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E2E18">
      <w:pPr>
        <w:widowControl/>
        <w:jc w:val="center"/>
        <w:outlineLvl w:val="0"/>
        <w:rPr>
          <w:rFonts w:ascii="宋体" w:hAnsi="宋体"/>
          <w:b/>
          <w:bCs/>
          <w:color w:val="auto"/>
          <w:kern w:val="0"/>
          <w:sz w:val="30"/>
          <w:szCs w:val="30"/>
        </w:rPr>
      </w:pPr>
      <w:bookmarkStart w:id="0" w:name="_Toc354926673"/>
      <w:r>
        <w:rPr>
          <w:rFonts w:hint="eastAsia" w:ascii="宋体" w:hAnsi="宋体" w:eastAsia="宋体"/>
          <w:b/>
          <w:bCs/>
          <w:color w:val="auto"/>
          <w:kern w:val="0"/>
          <w:sz w:val="30"/>
          <w:szCs w:val="30"/>
          <w:lang w:eastAsia="zh-CN"/>
        </w:rPr>
        <w:drawing>
          <wp:inline distT="0" distB="0" distL="114300" distR="114300">
            <wp:extent cx="6626225" cy="9380855"/>
            <wp:effectExtent l="0" t="0" r="3175" b="10795"/>
            <wp:docPr id="2" name="图片 2" descr="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封面_01"/>
                    <pic:cNvPicPr>
                      <a:picLocks noChangeAspect="1"/>
                    </pic:cNvPicPr>
                  </pic:nvPicPr>
                  <pic:blipFill>
                    <a:blip r:embed="rId9"/>
                    <a:stretch>
                      <a:fillRect/>
                    </a:stretch>
                  </pic:blipFill>
                  <pic:spPr>
                    <a:xfrm>
                      <a:off x="0" y="0"/>
                      <a:ext cx="6626225" cy="9380855"/>
                    </a:xfrm>
                    <a:prstGeom prst="rect">
                      <a:avLst/>
                    </a:prstGeom>
                  </pic:spPr>
                </pic:pic>
              </a:graphicData>
            </a:graphic>
          </wp:inline>
        </w:drawing>
      </w:r>
    </w:p>
    <w:p w14:paraId="6E26182D">
      <w:pPr>
        <w:widowControl/>
        <w:jc w:val="center"/>
        <w:outlineLvl w:val="0"/>
        <w:rPr>
          <w:rFonts w:hint="eastAsia" w:ascii="宋体" w:hAnsi="宋体" w:eastAsia="宋体"/>
          <w:b/>
          <w:bCs/>
          <w:color w:val="auto"/>
          <w:kern w:val="0"/>
          <w:sz w:val="30"/>
          <w:szCs w:val="30"/>
          <w:lang w:eastAsia="zh-CN"/>
        </w:rPr>
      </w:pPr>
      <w:r>
        <w:rPr>
          <w:rFonts w:hint="eastAsia" w:ascii="宋体" w:hAnsi="宋体" w:eastAsia="宋体"/>
          <w:b/>
          <w:bCs/>
          <w:color w:val="auto"/>
          <w:kern w:val="0"/>
          <w:sz w:val="30"/>
          <w:szCs w:val="30"/>
          <w:lang w:eastAsia="zh-CN"/>
        </w:rPr>
        <w:drawing>
          <wp:inline distT="0" distB="0" distL="114300" distR="114300">
            <wp:extent cx="6623050" cy="9366250"/>
            <wp:effectExtent l="0" t="0" r="6350" b="6350"/>
            <wp:docPr id="7" name="图片 7" descr="1、资质信息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资质信息_01"/>
                    <pic:cNvPicPr>
                      <a:picLocks noChangeAspect="1"/>
                    </pic:cNvPicPr>
                  </pic:nvPicPr>
                  <pic:blipFill>
                    <a:blip r:embed="rId10"/>
                    <a:stretch>
                      <a:fillRect/>
                    </a:stretch>
                  </pic:blipFill>
                  <pic:spPr>
                    <a:xfrm>
                      <a:off x="0" y="0"/>
                      <a:ext cx="6623050" cy="9366250"/>
                    </a:xfrm>
                    <a:prstGeom prst="rect">
                      <a:avLst/>
                    </a:prstGeom>
                  </pic:spPr>
                </pic:pic>
              </a:graphicData>
            </a:graphic>
          </wp:inline>
        </w:drawing>
      </w:r>
    </w:p>
    <w:p w14:paraId="2DB1C31F">
      <w:pPr>
        <w:widowControl/>
        <w:jc w:val="center"/>
        <w:outlineLvl w:val="0"/>
        <w:rPr>
          <w:rFonts w:hint="eastAsia" w:ascii="宋体" w:hAnsi="宋体" w:eastAsia="宋体"/>
          <w:b/>
          <w:bCs/>
          <w:color w:val="auto"/>
          <w:kern w:val="0"/>
          <w:sz w:val="30"/>
          <w:szCs w:val="30"/>
          <w:lang w:eastAsia="zh-CN"/>
        </w:rPr>
      </w:pPr>
      <w:r>
        <w:rPr>
          <w:rFonts w:hint="eastAsia" w:ascii="宋体" w:hAnsi="宋体" w:eastAsia="宋体"/>
          <w:b/>
          <w:bCs/>
          <w:color w:val="auto"/>
          <w:kern w:val="0"/>
          <w:sz w:val="30"/>
          <w:szCs w:val="30"/>
          <w:lang w:eastAsia="zh-CN"/>
        </w:rPr>
        <w:drawing>
          <wp:inline distT="0" distB="0" distL="114300" distR="114300">
            <wp:extent cx="6631305" cy="9368155"/>
            <wp:effectExtent l="0" t="0" r="17145" b="4445"/>
            <wp:docPr id="8" name="图片 8" descr="1、资质信息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资质信息_02"/>
                    <pic:cNvPicPr>
                      <a:picLocks noChangeAspect="1"/>
                    </pic:cNvPicPr>
                  </pic:nvPicPr>
                  <pic:blipFill>
                    <a:blip r:embed="rId11"/>
                    <a:stretch>
                      <a:fillRect/>
                    </a:stretch>
                  </pic:blipFill>
                  <pic:spPr>
                    <a:xfrm>
                      <a:off x="0" y="0"/>
                      <a:ext cx="6631305" cy="9368155"/>
                    </a:xfrm>
                    <a:prstGeom prst="rect">
                      <a:avLst/>
                    </a:prstGeom>
                  </pic:spPr>
                </pic:pic>
              </a:graphicData>
            </a:graphic>
          </wp:inline>
        </w:drawing>
      </w:r>
    </w:p>
    <w:p w14:paraId="709C22F6">
      <w:pPr>
        <w:widowControl/>
        <w:jc w:val="center"/>
        <w:outlineLvl w:val="0"/>
        <w:rPr>
          <w:rFonts w:hint="eastAsia" w:ascii="宋体" w:hAnsi="宋体" w:eastAsia="宋体"/>
          <w:b/>
          <w:bCs/>
          <w:color w:val="auto"/>
          <w:kern w:val="0"/>
          <w:sz w:val="30"/>
          <w:szCs w:val="30"/>
          <w:lang w:eastAsia="zh-CN"/>
        </w:rPr>
      </w:pPr>
    </w:p>
    <w:p w14:paraId="6BF69910">
      <w:pPr>
        <w:widowControl/>
        <w:jc w:val="center"/>
        <w:outlineLvl w:val="0"/>
        <w:rPr>
          <w:rFonts w:hint="eastAsia" w:ascii="宋体" w:hAnsi="宋体" w:eastAsia="宋体"/>
          <w:b/>
          <w:bCs/>
          <w:color w:val="auto"/>
          <w:kern w:val="0"/>
          <w:sz w:val="30"/>
          <w:szCs w:val="30"/>
          <w:lang w:eastAsia="zh-CN"/>
        </w:rPr>
      </w:pPr>
    </w:p>
    <w:p w14:paraId="516592E3">
      <w:pPr>
        <w:widowControl/>
        <w:jc w:val="center"/>
        <w:outlineLvl w:val="0"/>
        <w:rPr>
          <w:rFonts w:hint="eastAsia" w:ascii="宋体" w:hAnsi="宋体" w:eastAsia="宋体"/>
          <w:b/>
          <w:bCs/>
          <w:color w:val="auto"/>
          <w:kern w:val="0"/>
          <w:sz w:val="30"/>
          <w:szCs w:val="30"/>
          <w:lang w:eastAsia="zh-CN"/>
        </w:rPr>
      </w:pPr>
    </w:p>
    <w:p w14:paraId="71D515A3">
      <w:pPr>
        <w:widowControl/>
        <w:jc w:val="center"/>
        <w:outlineLvl w:val="0"/>
        <w:rPr>
          <w:rFonts w:hint="eastAsia" w:ascii="宋体" w:hAnsi="宋体" w:eastAsia="宋体"/>
          <w:b/>
          <w:bCs/>
          <w:color w:val="auto"/>
          <w:kern w:val="0"/>
          <w:sz w:val="30"/>
          <w:szCs w:val="30"/>
          <w:lang w:eastAsia="zh-CN"/>
        </w:rPr>
      </w:pPr>
    </w:p>
    <w:p w14:paraId="329A9162">
      <w:pPr>
        <w:widowControl/>
        <w:jc w:val="center"/>
        <w:outlineLvl w:val="0"/>
        <w:rPr>
          <w:rFonts w:hint="eastAsia" w:ascii="宋体" w:hAnsi="宋体" w:eastAsia="宋体"/>
          <w:b/>
          <w:bCs/>
          <w:color w:val="auto"/>
          <w:kern w:val="0"/>
          <w:sz w:val="30"/>
          <w:szCs w:val="30"/>
          <w:lang w:eastAsia="zh-CN"/>
        </w:rPr>
      </w:pPr>
      <w:r>
        <w:rPr>
          <w:rFonts w:hint="eastAsia" w:ascii="宋体" w:hAnsi="宋体" w:eastAsia="宋体"/>
          <w:b/>
          <w:bCs/>
          <w:color w:val="auto"/>
          <w:kern w:val="0"/>
          <w:sz w:val="30"/>
          <w:szCs w:val="30"/>
          <w:lang w:eastAsia="zh-CN"/>
        </w:rPr>
        <w:drawing>
          <wp:inline distT="0" distB="0" distL="114300" distR="114300">
            <wp:extent cx="6623050" cy="9366250"/>
            <wp:effectExtent l="0" t="0" r="6350" b="6350"/>
            <wp:docPr id="14" name="图片 14" descr="1、资质信息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资质信息_07"/>
                    <pic:cNvPicPr>
                      <a:picLocks noChangeAspect="1"/>
                    </pic:cNvPicPr>
                  </pic:nvPicPr>
                  <pic:blipFill>
                    <a:blip r:embed="rId12"/>
                    <a:stretch>
                      <a:fillRect/>
                    </a:stretch>
                  </pic:blipFill>
                  <pic:spPr>
                    <a:xfrm>
                      <a:off x="0" y="0"/>
                      <a:ext cx="6623050" cy="9366250"/>
                    </a:xfrm>
                    <a:prstGeom prst="rect">
                      <a:avLst/>
                    </a:prstGeom>
                  </pic:spPr>
                </pic:pic>
              </a:graphicData>
            </a:graphic>
          </wp:inline>
        </w:drawing>
      </w:r>
    </w:p>
    <w:p w14:paraId="64D65A47">
      <w:pPr>
        <w:widowControl/>
        <w:jc w:val="center"/>
        <w:outlineLvl w:val="0"/>
        <w:rPr>
          <w:rFonts w:ascii="宋体" w:hAnsi="宋体"/>
          <w:b/>
          <w:bCs/>
          <w:color w:val="auto"/>
          <w:kern w:val="0"/>
          <w:sz w:val="30"/>
          <w:szCs w:val="30"/>
        </w:rPr>
      </w:pPr>
      <w:r>
        <w:rPr>
          <w:rFonts w:hint="eastAsia" w:ascii="宋体" w:hAnsi="宋体" w:eastAsia="宋体"/>
          <w:b/>
          <w:bCs/>
          <w:color w:val="auto"/>
          <w:kern w:val="0"/>
          <w:sz w:val="30"/>
          <w:szCs w:val="30"/>
          <w:lang w:eastAsia="zh-CN"/>
        </w:rPr>
        <w:drawing>
          <wp:inline distT="0" distB="0" distL="114300" distR="114300">
            <wp:extent cx="6631305" cy="9368155"/>
            <wp:effectExtent l="0" t="0" r="17145" b="4445"/>
            <wp:docPr id="16" name="图片 16" descr="1、资质信息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资质信息_08"/>
                    <pic:cNvPicPr>
                      <a:picLocks noChangeAspect="1"/>
                    </pic:cNvPicPr>
                  </pic:nvPicPr>
                  <pic:blipFill>
                    <a:blip r:embed="rId13"/>
                    <a:stretch>
                      <a:fillRect/>
                    </a:stretch>
                  </pic:blipFill>
                  <pic:spPr>
                    <a:xfrm>
                      <a:off x="0" y="0"/>
                      <a:ext cx="6631305" cy="9368155"/>
                    </a:xfrm>
                    <a:prstGeom prst="rect">
                      <a:avLst/>
                    </a:prstGeom>
                  </pic:spPr>
                </pic:pic>
              </a:graphicData>
            </a:graphic>
          </wp:inline>
        </w:drawing>
      </w:r>
    </w:p>
    <w:p w14:paraId="44488DCC">
      <w:pPr>
        <w:widowControl/>
        <w:jc w:val="center"/>
        <w:outlineLvl w:val="0"/>
        <w:rPr>
          <w:rFonts w:ascii="宋体" w:hAnsi="宋体"/>
          <w:b/>
          <w:bCs/>
          <w:color w:val="auto"/>
          <w:kern w:val="0"/>
          <w:sz w:val="30"/>
          <w:szCs w:val="30"/>
        </w:rPr>
        <w:sectPr>
          <w:headerReference r:id="rId3" w:type="default"/>
          <w:headerReference r:id="rId4" w:type="even"/>
          <w:footerReference r:id="rId5" w:type="even"/>
          <w:pgSz w:w="11906" w:h="16838"/>
          <w:pgMar w:top="720" w:right="720" w:bottom="720" w:left="720" w:header="851" w:footer="992" w:gutter="0"/>
          <w:pgBorders>
            <w:top w:val="none" w:sz="0" w:space="0"/>
            <w:left w:val="none" w:sz="0" w:space="0"/>
            <w:bottom w:val="none" w:sz="0" w:space="0"/>
            <w:right w:val="none" w:sz="0" w:space="0"/>
          </w:pgBorders>
          <w:cols w:space="720" w:num="1"/>
          <w:docGrid w:type="lines" w:linePitch="312" w:charSpace="0"/>
        </w:sectPr>
      </w:pPr>
    </w:p>
    <w:p w14:paraId="3E77EECE">
      <w:pPr>
        <w:widowControl/>
        <w:jc w:val="center"/>
        <w:outlineLvl w:val="0"/>
        <w:rPr>
          <w:rFonts w:ascii="宋体" w:hAnsi="宋体"/>
          <w:b/>
          <w:color w:val="auto"/>
          <w:kern w:val="0"/>
          <w:sz w:val="30"/>
          <w:szCs w:val="30"/>
        </w:rPr>
      </w:pPr>
      <w:r>
        <w:rPr>
          <w:rFonts w:ascii="宋体" w:hAnsi="宋体"/>
          <w:b/>
          <w:bCs/>
          <w:color w:val="auto"/>
          <w:kern w:val="0"/>
          <w:sz w:val="30"/>
          <w:szCs w:val="30"/>
        </w:rPr>
        <w:t>一</w:t>
      </w:r>
      <w:r>
        <w:rPr>
          <w:rFonts w:hint="eastAsia" w:ascii="宋体" w:hAnsi="宋体"/>
          <w:b/>
          <w:bCs/>
          <w:color w:val="auto"/>
          <w:kern w:val="0"/>
          <w:sz w:val="30"/>
          <w:szCs w:val="30"/>
        </w:rPr>
        <w:t>、</w:t>
      </w:r>
      <w:r>
        <w:rPr>
          <w:rFonts w:ascii="宋体" w:hAnsi="宋体"/>
          <w:b/>
          <w:bCs/>
          <w:color w:val="auto"/>
          <w:kern w:val="0"/>
          <w:sz w:val="30"/>
          <w:szCs w:val="30"/>
        </w:rPr>
        <w:t>建设项目</w:t>
      </w:r>
      <w:r>
        <w:rPr>
          <w:rFonts w:ascii="宋体" w:hAnsi="宋体"/>
          <w:b/>
          <w:color w:val="auto"/>
          <w:kern w:val="0"/>
          <w:sz w:val="30"/>
          <w:szCs w:val="30"/>
        </w:rPr>
        <w:t>基本情况</w:t>
      </w:r>
      <w:bookmarkEnd w:id="0"/>
    </w:p>
    <w:tbl>
      <w:tblPr>
        <w:tblStyle w:val="37"/>
        <w:tblW w:w="506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2"/>
        <w:gridCol w:w="444"/>
        <w:gridCol w:w="761"/>
        <w:gridCol w:w="2700"/>
        <w:gridCol w:w="1700"/>
        <w:gridCol w:w="2820"/>
      </w:tblGrid>
      <w:tr w14:paraId="68FC8E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Before w:val="1"/>
          <w:wBefore w:w="7" w:type="pct"/>
          <w:trHeight w:val="496" w:hRule="atLeast"/>
          <w:jc w:val="center"/>
        </w:trPr>
        <w:tc>
          <w:tcPr>
            <w:tcW w:w="714" w:type="pct"/>
            <w:gridSpan w:val="2"/>
            <w:tcMar>
              <w:top w:w="16" w:type="dxa"/>
              <w:left w:w="16" w:type="dxa"/>
              <w:right w:w="16" w:type="dxa"/>
            </w:tcMar>
            <w:vAlign w:val="center"/>
          </w:tcPr>
          <w:p w14:paraId="33E821D1">
            <w:pPr>
              <w:keepNext w:val="0"/>
              <w:keepLines w:val="0"/>
              <w:suppressLineNumbers w:val="0"/>
              <w:adjustRightInd w:val="0"/>
              <w:snapToGrid w:val="0"/>
              <w:spacing w:before="0" w:beforeAutospacing="0" w:after="0" w:afterAutospacing="0"/>
              <w:ind w:left="0" w:right="0"/>
              <w:jc w:val="center"/>
              <w:rPr>
                <w:rFonts w:hint="eastAsia" w:ascii="宋体" w:hAnsi="宋体" w:cs="宋体"/>
                <w:color w:val="auto"/>
                <w:sz w:val="24"/>
                <w:szCs w:val="24"/>
              </w:rPr>
            </w:pPr>
            <w:r>
              <w:rPr>
                <w:rFonts w:hint="eastAsia" w:ascii="宋体" w:hAnsi="宋体" w:cs="宋体"/>
                <w:color w:val="auto"/>
                <w:sz w:val="24"/>
                <w:szCs w:val="24"/>
              </w:rPr>
              <w:t>建设项目</w:t>
            </w:r>
          </w:p>
          <w:p w14:paraId="3DC5F79D">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名称</w:t>
            </w:r>
          </w:p>
        </w:tc>
        <w:tc>
          <w:tcPr>
            <w:tcW w:w="4278" w:type="pct"/>
            <w:gridSpan w:val="3"/>
            <w:vAlign w:val="center"/>
          </w:tcPr>
          <w:p w14:paraId="33DD3A3E">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lang w:eastAsia="zh-CN"/>
              </w:rPr>
            </w:pPr>
            <w:r>
              <w:rPr>
                <w:rFonts w:hint="eastAsia" w:ascii="宋体" w:hAnsi="宋体" w:cs="宋体"/>
                <w:color w:val="auto"/>
                <w:sz w:val="24"/>
                <w:szCs w:val="24"/>
                <w:lang w:eastAsia="zh-CN"/>
              </w:rPr>
              <w:t>淮南永豪塑胶科技有限公司日用品生产项目</w:t>
            </w:r>
          </w:p>
        </w:tc>
      </w:tr>
      <w:tr w14:paraId="04C37A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Before w:val="1"/>
          <w:wBefore w:w="7" w:type="pct"/>
          <w:trHeight w:val="496" w:hRule="atLeast"/>
          <w:jc w:val="center"/>
        </w:trPr>
        <w:tc>
          <w:tcPr>
            <w:tcW w:w="714" w:type="pct"/>
            <w:gridSpan w:val="2"/>
            <w:tcMar>
              <w:top w:w="16" w:type="dxa"/>
              <w:left w:w="16" w:type="dxa"/>
              <w:right w:w="16" w:type="dxa"/>
            </w:tcMar>
            <w:vAlign w:val="center"/>
          </w:tcPr>
          <w:p w14:paraId="50122D2A">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项目代码</w:t>
            </w:r>
          </w:p>
        </w:tc>
        <w:tc>
          <w:tcPr>
            <w:tcW w:w="4278" w:type="pct"/>
            <w:gridSpan w:val="3"/>
            <w:vAlign w:val="center"/>
          </w:tcPr>
          <w:p w14:paraId="2CA69D4C">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color w:val="auto"/>
                <w:sz w:val="24"/>
                <w:szCs w:val="24"/>
                <w:lang w:val="en-US" w:eastAsia="zh-CN"/>
              </w:rPr>
            </w:pPr>
            <w:r>
              <w:rPr>
                <w:rFonts w:hint="eastAsia" w:cs="Times New Roman"/>
                <w:color w:val="auto"/>
                <w:sz w:val="24"/>
                <w:szCs w:val="24"/>
                <w:lang w:val="en-US" w:eastAsia="zh-CN"/>
              </w:rPr>
              <w:t>2603-340421-04-03-241021</w:t>
            </w:r>
          </w:p>
        </w:tc>
      </w:tr>
      <w:tr w14:paraId="77D78F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Before w:val="1"/>
          <w:wBefore w:w="7" w:type="pct"/>
          <w:trHeight w:val="496" w:hRule="atLeast"/>
          <w:jc w:val="center"/>
        </w:trPr>
        <w:tc>
          <w:tcPr>
            <w:tcW w:w="714" w:type="pct"/>
            <w:gridSpan w:val="2"/>
            <w:tcMar>
              <w:top w:w="16" w:type="dxa"/>
              <w:left w:w="16" w:type="dxa"/>
              <w:right w:w="16" w:type="dxa"/>
            </w:tcMar>
            <w:vAlign w:val="center"/>
          </w:tcPr>
          <w:p w14:paraId="10184935">
            <w:pPr>
              <w:keepNext w:val="0"/>
              <w:keepLines w:val="0"/>
              <w:suppressLineNumbers w:val="0"/>
              <w:adjustRightInd w:val="0"/>
              <w:snapToGrid w:val="0"/>
              <w:spacing w:before="0" w:beforeAutospacing="0" w:after="0" w:afterAutospacing="0"/>
              <w:ind w:left="0" w:right="0"/>
              <w:jc w:val="center"/>
              <w:rPr>
                <w:rFonts w:hint="eastAsia" w:ascii="宋体" w:hAnsi="宋体" w:cs="宋体"/>
                <w:color w:val="auto"/>
                <w:sz w:val="24"/>
                <w:szCs w:val="24"/>
              </w:rPr>
            </w:pPr>
            <w:r>
              <w:rPr>
                <w:rFonts w:hint="eastAsia" w:ascii="宋体" w:hAnsi="宋体" w:cs="宋体"/>
                <w:color w:val="auto"/>
                <w:sz w:val="24"/>
                <w:szCs w:val="24"/>
              </w:rPr>
              <w:t>建设单位</w:t>
            </w:r>
          </w:p>
          <w:p w14:paraId="3F31CF57">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联系人</w:t>
            </w:r>
          </w:p>
        </w:tc>
        <w:tc>
          <w:tcPr>
            <w:tcW w:w="1600" w:type="pct"/>
            <w:vAlign w:val="center"/>
          </w:tcPr>
          <w:p w14:paraId="424E2575">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color w:val="auto"/>
                <w:sz w:val="24"/>
                <w:szCs w:val="24"/>
                <w:lang w:val="en-US" w:eastAsia="zh-CN"/>
              </w:rPr>
            </w:pPr>
          </w:p>
        </w:tc>
        <w:tc>
          <w:tcPr>
            <w:tcW w:w="1007" w:type="pct"/>
            <w:vAlign w:val="center"/>
          </w:tcPr>
          <w:p w14:paraId="5ED8DE7D">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联系方式</w:t>
            </w:r>
          </w:p>
        </w:tc>
        <w:tc>
          <w:tcPr>
            <w:tcW w:w="1671" w:type="pct"/>
            <w:vAlign w:val="center"/>
          </w:tcPr>
          <w:p w14:paraId="5379232A">
            <w:pPr>
              <w:keepNext w:val="0"/>
              <w:keepLines w:val="0"/>
              <w:suppressLineNumbers w:val="0"/>
              <w:adjustRightInd w:val="0"/>
              <w:snapToGrid w:val="0"/>
              <w:spacing w:before="0" w:beforeAutospacing="0" w:after="0" w:afterAutospacing="0"/>
              <w:ind w:left="0" w:right="0"/>
              <w:jc w:val="center"/>
              <w:rPr>
                <w:rFonts w:hint="default" w:eastAsia="宋体"/>
                <w:color w:val="auto"/>
                <w:sz w:val="24"/>
                <w:szCs w:val="24"/>
                <w:lang w:val="en-US" w:eastAsia="zh-CN"/>
              </w:rPr>
            </w:pPr>
            <w:bookmarkStart w:id="15" w:name="_GoBack"/>
            <w:bookmarkEnd w:id="15"/>
          </w:p>
        </w:tc>
      </w:tr>
      <w:tr w14:paraId="7BA50D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Before w:val="1"/>
          <w:wBefore w:w="7" w:type="pct"/>
          <w:trHeight w:val="496" w:hRule="atLeast"/>
          <w:jc w:val="center"/>
        </w:trPr>
        <w:tc>
          <w:tcPr>
            <w:tcW w:w="714" w:type="pct"/>
            <w:gridSpan w:val="2"/>
            <w:tcMar>
              <w:top w:w="16" w:type="dxa"/>
              <w:left w:w="16" w:type="dxa"/>
              <w:right w:w="16" w:type="dxa"/>
            </w:tcMar>
            <w:vAlign w:val="center"/>
          </w:tcPr>
          <w:p w14:paraId="66BE0A91">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建设地点</w:t>
            </w:r>
          </w:p>
        </w:tc>
        <w:tc>
          <w:tcPr>
            <w:tcW w:w="4278" w:type="pct"/>
            <w:gridSpan w:val="3"/>
            <w:vAlign w:val="center"/>
          </w:tcPr>
          <w:p w14:paraId="20ADC1E5">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lang w:val="en-US" w:eastAsia="zh-CN"/>
              </w:rPr>
            </w:pPr>
            <w:r>
              <w:rPr>
                <w:rFonts w:hint="eastAsia"/>
                <w:color w:val="auto"/>
                <w:sz w:val="24"/>
                <w:lang w:eastAsia="zh-CN"/>
              </w:rPr>
              <w:t>安徽省淮南市</w:t>
            </w:r>
            <w:r>
              <w:rPr>
                <w:rFonts w:hint="eastAsia"/>
                <w:color w:val="auto"/>
                <w:sz w:val="24"/>
                <w:lang w:val="en-US" w:eastAsia="zh-CN"/>
              </w:rPr>
              <w:t>凤台县</w:t>
            </w:r>
            <w:r>
              <w:rPr>
                <w:rFonts w:hint="eastAsia"/>
                <w:color w:val="auto"/>
                <w:sz w:val="24"/>
                <w:lang w:eastAsia="zh-CN"/>
              </w:rPr>
              <w:t>凤台经济开发区电子智能制造产业园52#标准化厂房一层、二层、三层、四层</w:t>
            </w:r>
          </w:p>
        </w:tc>
      </w:tr>
      <w:tr w14:paraId="62127C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Before w:val="1"/>
          <w:wBefore w:w="7" w:type="pct"/>
          <w:trHeight w:val="496" w:hRule="atLeast"/>
          <w:jc w:val="center"/>
        </w:trPr>
        <w:tc>
          <w:tcPr>
            <w:tcW w:w="714" w:type="pct"/>
            <w:gridSpan w:val="2"/>
            <w:tcMar>
              <w:top w:w="16" w:type="dxa"/>
              <w:left w:w="16" w:type="dxa"/>
              <w:right w:w="16" w:type="dxa"/>
            </w:tcMar>
            <w:vAlign w:val="center"/>
          </w:tcPr>
          <w:p w14:paraId="765D3A44">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地理坐标</w:t>
            </w:r>
          </w:p>
        </w:tc>
        <w:tc>
          <w:tcPr>
            <w:tcW w:w="4278" w:type="pct"/>
            <w:gridSpan w:val="3"/>
            <w:vAlign w:val="center"/>
          </w:tcPr>
          <w:p w14:paraId="3A055FE0">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w:t>
            </w:r>
            <w:r>
              <w:rPr>
                <w:rFonts w:hint="default"/>
                <w:color w:val="auto"/>
                <w:sz w:val="24"/>
                <w:szCs w:val="24"/>
              </w:rPr>
              <w:t>E</w:t>
            </w:r>
            <w:r>
              <w:rPr>
                <w:rFonts w:hint="default"/>
                <w:color w:val="auto"/>
                <w:sz w:val="24"/>
                <w:szCs w:val="24"/>
                <w:u w:val="single"/>
              </w:rPr>
              <w:t>11</w:t>
            </w:r>
            <w:r>
              <w:rPr>
                <w:rFonts w:hint="eastAsia"/>
                <w:color w:val="auto"/>
                <w:sz w:val="24"/>
                <w:szCs w:val="24"/>
                <w:u w:val="single"/>
                <w:lang w:val="en-US" w:eastAsia="zh-CN"/>
              </w:rPr>
              <w:t>6</w:t>
            </w:r>
            <w:r>
              <w:rPr>
                <w:rFonts w:hint="eastAsia" w:ascii="宋体" w:hAnsi="宋体" w:cs="宋体"/>
                <w:color w:val="auto"/>
                <w:sz w:val="24"/>
                <w:szCs w:val="24"/>
              </w:rPr>
              <w:t>度</w:t>
            </w:r>
            <w:r>
              <w:rPr>
                <w:rFonts w:hint="eastAsia"/>
                <w:color w:val="auto"/>
                <w:sz w:val="24"/>
                <w:szCs w:val="24"/>
                <w:u w:val="single"/>
                <w:lang w:val="en-US" w:eastAsia="zh-CN"/>
              </w:rPr>
              <w:t>39</w:t>
            </w:r>
            <w:r>
              <w:rPr>
                <w:rFonts w:hint="eastAsia" w:ascii="宋体" w:hAnsi="宋体" w:cs="宋体"/>
                <w:color w:val="auto"/>
                <w:sz w:val="24"/>
                <w:szCs w:val="24"/>
              </w:rPr>
              <w:t>分</w:t>
            </w:r>
            <w:r>
              <w:rPr>
                <w:rFonts w:hint="eastAsia"/>
                <w:color w:val="auto"/>
                <w:sz w:val="24"/>
                <w:szCs w:val="24"/>
                <w:u w:val="single"/>
                <w:lang w:val="en-US" w:eastAsia="zh-CN"/>
              </w:rPr>
              <w:t>55.422</w:t>
            </w:r>
            <w:r>
              <w:rPr>
                <w:rFonts w:hint="eastAsia" w:ascii="宋体" w:hAnsi="宋体" w:cs="宋体"/>
                <w:color w:val="auto"/>
                <w:sz w:val="24"/>
                <w:szCs w:val="24"/>
              </w:rPr>
              <w:t>秒，</w:t>
            </w:r>
            <w:r>
              <w:rPr>
                <w:rFonts w:hint="default"/>
                <w:color w:val="auto"/>
                <w:sz w:val="24"/>
                <w:szCs w:val="24"/>
              </w:rPr>
              <w:t>N</w:t>
            </w:r>
            <w:r>
              <w:rPr>
                <w:rFonts w:hint="default"/>
                <w:color w:val="auto"/>
                <w:sz w:val="24"/>
                <w:szCs w:val="24"/>
                <w:u w:val="single"/>
              </w:rPr>
              <w:t>3</w:t>
            </w:r>
            <w:r>
              <w:rPr>
                <w:rFonts w:hint="eastAsia"/>
                <w:color w:val="auto"/>
                <w:sz w:val="24"/>
                <w:szCs w:val="24"/>
                <w:u w:val="single"/>
                <w:lang w:val="en-US" w:eastAsia="zh-CN"/>
              </w:rPr>
              <w:t>2</w:t>
            </w:r>
            <w:r>
              <w:rPr>
                <w:rFonts w:hint="eastAsia" w:ascii="宋体" w:hAnsi="宋体" w:cs="宋体"/>
                <w:color w:val="auto"/>
                <w:sz w:val="24"/>
                <w:szCs w:val="24"/>
              </w:rPr>
              <w:t>度</w:t>
            </w:r>
            <w:r>
              <w:rPr>
                <w:rFonts w:hint="eastAsia"/>
                <w:color w:val="auto"/>
                <w:sz w:val="24"/>
                <w:szCs w:val="24"/>
                <w:u w:val="single"/>
                <w:lang w:val="en-US" w:eastAsia="zh-CN"/>
              </w:rPr>
              <w:t>45</w:t>
            </w:r>
            <w:r>
              <w:rPr>
                <w:rFonts w:hint="eastAsia" w:ascii="宋体" w:hAnsi="宋体" w:cs="宋体"/>
                <w:color w:val="auto"/>
                <w:sz w:val="24"/>
                <w:szCs w:val="24"/>
              </w:rPr>
              <w:t>分</w:t>
            </w:r>
            <w:r>
              <w:rPr>
                <w:rFonts w:hint="eastAsia"/>
                <w:color w:val="auto"/>
                <w:sz w:val="24"/>
                <w:szCs w:val="24"/>
                <w:u w:val="single"/>
                <w:lang w:val="en-US" w:eastAsia="zh-CN"/>
              </w:rPr>
              <w:t>0.778</w:t>
            </w:r>
            <w:r>
              <w:rPr>
                <w:rFonts w:hint="eastAsia" w:ascii="宋体" w:hAnsi="宋体" w:cs="宋体"/>
                <w:color w:val="auto"/>
                <w:sz w:val="24"/>
                <w:szCs w:val="24"/>
              </w:rPr>
              <w:t>秒）</w:t>
            </w:r>
          </w:p>
        </w:tc>
      </w:tr>
      <w:tr w14:paraId="709922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Before w:val="1"/>
          <w:wBefore w:w="7" w:type="pct"/>
          <w:trHeight w:val="560" w:hRule="atLeast"/>
          <w:jc w:val="center"/>
        </w:trPr>
        <w:tc>
          <w:tcPr>
            <w:tcW w:w="714" w:type="pct"/>
            <w:gridSpan w:val="2"/>
            <w:tcMar>
              <w:top w:w="16" w:type="dxa"/>
              <w:left w:w="16" w:type="dxa"/>
              <w:right w:w="16" w:type="dxa"/>
            </w:tcMar>
            <w:vAlign w:val="center"/>
          </w:tcPr>
          <w:p w14:paraId="38089D55">
            <w:pPr>
              <w:keepNext w:val="0"/>
              <w:keepLines w:val="0"/>
              <w:suppressLineNumbers w:val="0"/>
              <w:adjustRightInd w:val="0"/>
              <w:snapToGrid w:val="0"/>
              <w:spacing w:before="0" w:beforeAutospacing="0" w:after="0" w:afterAutospacing="0"/>
              <w:ind w:left="0" w:right="0"/>
              <w:jc w:val="center"/>
              <w:rPr>
                <w:rFonts w:hint="default"/>
                <w:color w:val="auto"/>
                <w:sz w:val="24"/>
                <w:szCs w:val="24"/>
              </w:rPr>
            </w:pPr>
            <w:r>
              <w:rPr>
                <w:rFonts w:hint="default" w:hAnsi="宋体"/>
                <w:color w:val="auto"/>
                <w:sz w:val="24"/>
                <w:szCs w:val="24"/>
              </w:rPr>
              <w:t>国民经济</w:t>
            </w:r>
          </w:p>
          <w:p w14:paraId="6C7C82B5">
            <w:pPr>
              <w:keepNext w:val="0"/>
              <w:keepLines w:val="0"/>
              <w:suppressLineNumbers w:val="0"/>
              <w:adjustRightInd w:val="0"/>
              <w:snapToGrid w:val="0"/>
              <w:spacing w:before="0" w:beforeAutospacing="0" w:after="0" w:afterAutospacing="0"/>
              <w:ind w:left="0" w:right="0"/>
              <w:jc w:val="center"/>
              <w:rPr>
                <w:rFonts w:hint="default"/>
                <w:color w:val="auto"/>
                <w:sz w:val="24"/>
                <w:szCs w:val="24"/>
              </w:rPr>
            </w:pPr>
            <w:r>
              <w:rPr>
                <w:rFonts w:hint="default" w:hAnsi="宋体"/>
                <w:color w:val="auto"/>
                <w:sz w:val="24"/>
                <w:szCs w:val="24"/>
              </w:rPr>
              <w:t>行业类别</w:t>
            </w:r>
          </w:p>
        </w:tc>
        <w:tc>
          <w:tcPr>
            <w:tcW w:w="1600" w:type="pct"/>
            <w:vAlign w:val="center"/>
          </w:tcPr>
          <w:p w14:paraId="57246364">
            <w:pPr>
              <w:keepNext w:val="0"/>
              <w:keepLines w:val="0"/>
              <w:suppressLineNumbers w:val="0"/>
              <w:adjustRightInd w:val="0"/>
              <w:snapToGrid w:val="0"/>
              <w:spacing w:before="0" w:beforeAutospacing="0" w:after="0" w:afterAutospacing="0"/>
              <w:ind w:left="0" w:right="0"/>
              <w:jc w:val="center"/>
              <w:rPr>
                <w:rFonts w:hint="default"/>
                <w:color w:val="auto"/>
                <w:lang w:val="en-US" w:eastAsia="zh-CN"/>
              </w:rPr>
            </w:pPr>
            <w:r>
              <w:rPr>
                <w:rFonts w:hint="eastAsia"/>
                <w:color w:val="auto"/>
                <w:sz w:val="24"/>
                <w:szCs w:val="24"/>
              </w:rPr>
              <w:t>C</w:t>
            </w:r>
            <w:r>
              <w:rPr>
                <w:rFonts w:hint="eastAsia"/>
                <w:color w:val="auto"/>
                <w:sz w:val="24"/>
                <w:szCs w:val="24"/>
                <w:lang w:val="en-US" w:eastAsia="zh-CN"/>
              </w:rPr>
              <w:t>2927日用塑料制品</w:t>
            </w:r>
            <w:r>
              <w:rPr>
                <w:rFonts w:hint="eastAsia"/>
                <w:color w:val="auto"/>
                <w:sz w:val="24"/>
                <w:szCs w:val="24"/>
              </w:rPr>
              <w:t>制造</w:t>
            </w:r>
            <w:r>
              <w:rPr>
                <w:rFonts w:hint="eastAsia"/>
                <w:color w:val="auto"/>
                <w:sz w:val="24"/>
                <w:szCs w:val="24"/>
                <w:lang w:val="en-US" w:eastAsia="zh-CN"/>
              </w:rPr>
              <w:t>C2929塑料零件及其他塑料制品制造</w:t>
            </w:r>
          </w:p>
        </w:tc>
        <w:tc>
          <w:tcPr>
            <w:tcW w:w="1007" w:type="pct"/>
            <w:vAlign w:val="center"/>
          </w:tcPr>
          <w:p w14:paraId="54E0AA0F">
            <w:pPr>
              <w:keepNext w:val="0"/>
              <w:keepLines w:val="0"/>
              <w:suppressLineNumbers w:val="0"/>
              <w:adjustRightInd w:val="0"/>
              <w:snapToGrid w:val="0"/>
              <w:spacing w:before="0" w:beforeAutospacing="0" w:after="0" w:afterAutospacing="0"/>
              <w:ind w:left="0" w:right="0"/>
              <w:jc w:val="center"/>
              <w:rPr>
                <w:rFonts w:hint="default"/>
                <w:color w:val="auto"/>
                <w:sz w:val="24"/>
                <w:szCs w:val="24"/>
              </w:rPr>
            </w:pPr>
            <w:bookmarkStart w:id="1" w:name="_Hlk49843745"/>
            <w:r>
              <w:rPr>
                <w:rFonts w:hint="default" w:hAnsi="宋体"/>
                <w:color w:val="auto"/>
                <w:sz w:val="24"/>
                <w:szCs w:val="24"/>
              </w:rPr>
              <w:t>建设项目</w:t>
            </w:r>
          </w:p>
          <w:p w14:paraId="621B1436">
            <w:pPr>
              <w:keepNext w:val="0"/>
              <w:keepLines w:val="0"/>
              <w:suppressLineNumbers w:val="0"/>
              <w:adjustRightInd w:val="0"/>
              <w:snapToGrid w:val="0"/>
              <w:spacing w:before="0" w:beforeAutospacing="0" w:after="0" w:afterAutospacing="0"/>
              <w:ind w:left="0" w:right="0"/>
              <w:jc w:val="center"/>
              <w:rPr>
                <w:rFonts w:hint="default"/>
                <w:color w:val="auto"/>
                <w:sz w:val="24"/>
                <w:szCs w:val="24"/>
              </w:rPr>
            </w:pPr>
            <w:r>
              <w:rPr>
                <w:rFonts w:hint="default" w:hAnsi="宋体"/>
                <w:color w:val="auto"/>
                <w:sz w:val="24"/>
                <w:szCs w:val="24"/>
              </w:rPr>
              <w:t>行业类别</w:t>
            </w:r>
            <w:bookmarkEnd w:id="1"/>
          </w:p>
        </w:tc>
        <w:tc>
          <w:tcPr>
            <w:tcW w:w="1671" w:type="pct"/>
            <w:vAlign w:val="center"/>
          </w:tcPr>
          <w:p w14:paraId="4C19C433">
            <w:pPr>
              <w:keepNext w:val="0"/>
              <w:keepLines w:val="0"/>
              <w:suppressLineNumbers w:val="0"/>
              <w:adjustRightInd w:val="0"/>
              <w:snapToGrid w:val="0"/>
              <w:spacing w:before="0" w:beforeAutospacing="0" w:after="0" w:afterAutospacing="0"/>
              <w:ind w:left="0" w:right="0"/>
              <w:jc w:val="center"/>
              <w:rPr>
                <w:rFonts w:hint="default" w:eastAsia="宋体"/>
                <w:color w:val="auto"/>
                <w:sz w:val="24"/>
                <w:szCs w:val="24"/>
                <w:lang w:val="en-US" w:eastAsia="zh-CN"/>
              </w:rPr>
            </w:pPr>
            <w:r>
              <w:rPr>
                <w:rFonts w:hint="eastAsia"/>
                <w:color w:val="auto"/>
                <w:sz w:val="24"/>
                <w:szCs w:val="24"/>
                <w:lang w:val="en-US" w:eastAsia="zh-CN"/>
              </w:rPr>
              <w:t>二十六、橡胶和塑料制品业29 塑料制品业292</w:t>
            </w:r>
          </w:p>
        </w:tc>
      </w:tr>
      <w:tr w14:paraId="7F90E9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Before w:val="1"/>
          <w:wBefore w:w="7" w:type="pct"/>
          <w:trHeight w:val="1216" w:hRule="atLeast"/>
          <w:jc w:val="center"/>
        </w:trPr>
        <w:tc>
          <w:tcPr>
            <w:tcW w:w="714" w:type="pct"/>
            <w:gridSpan w:val="2"/>
            <w:tcMar>
              <w:top w:w="16" w:type="dxa"/>
              <w:left w:w="16" w:type="dxa"/>
              <w:right w:w="16" w:type="dxa"/>
            </w:tcMar>
            <w:vAlign w:val="center"/>
          </w:tcPr>
          <w:p w14:paraId="7B1ECCB2">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建设性质</w:t>
            </w:r>
          </w:p>
        </w:tc>
        <w:tc>
          <w:tcPr>
            <w:tcW w:w="1600" w:type="pct"/>
            <w:vAlign w:val="center"/>
          </w:tcPr>
          <w:p w14:paraId="35D557DE">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rPr>
              <w:t>新建（迁建）</w:t>
            </w:r>
          </w:p>
          <w:p w14:paraId="343305B3">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sym w:font="Wingdings 2" w:char="00A3"/>
            </w:r>
            <w:r>
              <w:rPr>
                <w:rFonts w:hint="eastAsia" w:ascii="宋体" w:hAnsi="宋体" w:cs="宋体"/>
                <w:color w:val="auto"/>
                <w:sz w:val="24"/>
                <w:szCs w:val="24"/>
              </w:rPr>
              <w:t>改建</w:t>
            </w:r>
          </w:p>
          <w:p w14:paraId="0E8C849B">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sym w:font="Wingdings 2" w:char="00A3"/>
            </w:r>
            <w:r>
              <w:rPr>
                <w:rFonts w:hint="eastAsia" w:ascii="宋体" w:hAnsi="宋体" w:cs="宋体"/>
                <w:color w:val="auto"/>
                <w:sz w:val="24"/>
                <w:szCs w:val="24"/>
              </w:rPr>
              <w:t>扩建</w:t>
            </w:r>
          </w:p>
          <w:p w14:paraId="490FE221">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□技术改造</w:t>
            </w:r>
          </w:p>
        </w:tc>
        <w:tc>
          <w:tcPr>
            <w:tcW w:w="1007" w:type="pct"/>
            <w:vAlign w:val="center"/>
          </w:tcPr>
          <w:p w14:paraId="6E3EF260">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建设项目</w:t>
            </w:r>
          </w:p>
          <w:p w14:paraId="20B2BFD8">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申报情形</w:t>
            </w:r>
          </w:p>
        </w:tc>
        <w:tc>
          <w:tcPr>
            <w:tcW w:w="1671" w:type="pct"/>
            <w:vAlign w:val="center"/>
          </w:tcPr>
          <w:p w14:paraId="7A4DA4D1">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sym w:font="Wingdings 2" w:char="F052"/>
            </w:r>
            <w:r>
              <w:rPr>
                <w:rFonts w:hint="eastAsia" w:ascii="宋体" w:hAnsi="宋体" w:cs="宋体"/>
                <w:color w:val="auto"/>
                <w:sz w:val="24"/>
                <w:szCs w:val="24"/>
              </w:rPr>
              <w:t>首次申报项目</w:t>
            </w:r>
          </w:p>
          <w:p w14:paraId="326158A3">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rPr>
              <w:t>不予批准后再次申报项目</w:t>
            </w:r>
          </w:p>
          <w:p w14:paraId="559DBEC8">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sym w:font="Wingdings 2" w:char="00A3"/>
            </w:r>
            <w:r>
              <w:rPr>
                <w:rFonts w:hint="eastAsia" w:ascii="宋体" w:hAnsi="宋体" w:cs="宋体"/>
                <w:color w:val="auto"/>
                <w:sz w:val="24"/>
                <w:szCs w:val="24"/>
              </w:rPr>
              <w:t>超五年重新审核项目</w:t>
            </w:r>
          </w:p>
          <w:p w14:paraId="29786C02">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□重大变动重新报批项目</w:t>
            </w:r>
          </w:p>
        </w:tc>
      </w:tr>
      <w:tr w14:paraId="375051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Before w:val="1"/>
          <w:wBefore w:w="7" w:type="pct"/>
          <w:trHeight w:val="849" w:hRule="atLeast"/>
          <w:jc w:val="center"/>
        </w:trPr>
        <w:tc>
          <w:tcPr>
            <w:tcW w:w="714" w:type="pct"/>
            <w:gridSpan w:val="2"/>
            <w:tcMar>
              <w:top w:w="16" w:type="dxa"/>
              <w:left w:w="16" w:type="dxa"/>
              <w:right w:w="16" w:type="dxa"/>
            </w:tcMar>
            <w:vAlign w:val="center"/>
          </w:tcPr>
          <w:p w14:paraId="560F8446">
            <w:pPr>
              <w:keepNext w:val="0"/>
              <w:keepLines w:val="0"/>
              <w:suppressLineNumbers w:val="0"/>
              <w:adjustRightInd w:val="0"/>
              <w:snapToGrid w:val="0"/>
              <w:spacing w:before="0" w:beforeAutospacing="0" w:after="0" w:afterAutospacing="0"/>
              <w:ind w:left="0" w:right="0"/>
              <w:jc w:val="center"/>
              <w:rPr>
                <w:rFonts w:hint="eastAsia" w:ascii="宋体" w:hAnsi="宋体" w:cs="宋体"/>
                <w:color w:val="auto"/>
                <w:sz w:val="24"/>
                <w:szCs w:val="24"/>
              </w:rPr>
            </w:pPr>
            <w:r>
              <w:rPr>
                <w:rFonts w:hint="eastAsia" w:ascii="宋体" w:hAnsi="宋体" w:cs="宋体"/>
                <w:color w:val="auto"/>
                <w:sz w:val="24"/>
                <w:szCs w:val="24"/>
              </w:rPr>
              <w:t>项目审批</w:t>
            </w:r>
          </w:p>
          <w:p w14:paraId="75B1CCC4">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（核准</w:t>
            </w:r>
            <w:r>
              <w:rPr>
                <w:rFonts w:hint="default" w:ascii="宋体" w:hAnsi="宋体" w:cs="宋体"/>
                <w:color w:val="auto"/>
                <w:sz w:val="24"/>
                <w:szCs w:val="24"/>
              </w:rPr>
              <w:t>/</w:t>
            </w:r>
          </w:p>
          <w:p w14:paraId="2BAA7F1E">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备案）部门（选填）</w:t>
            </w:r>
          </w:p>
        </w:tc>
        <w:tc>
          <w:tcPr>
            <w:tcW w:w="1600" w:type="pct"/>
            <w:vAlign w:val="center"/>
          </w:tcPr>
          <w:p w14:paraId="0377B043">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凤台县发展和改革委员会</w:t>
            </w:r>
          </w:p>
        </w:tc>
        <w:tc>
          <w:tcPr>
            <w:tcW w:w="1007" w:type="pct"/>
            <w:vAlign w:val="center"/>
          </w:tcPr>
          <w:p w14:paraId="01A492C5">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项目审批（核准</w:t>
            </w:r>
            <w:r>
              <w:rPr>
                <w:rFonts w:hint="default" w:ascii="宋体" w:hAnsi="宋体" w:cs="宋体"/>
                <w:color w:val="auto"/>
                <w:sz w:val="24"/>
                <w:szCs w:val="24"/>
              </w:rPr>
              <w:t>/</w:t>
            </w:r>
          </w:p>
          <w:p w14:paraId="78BA1551">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备案）文号（选填）</w:t>
            </w:r>
          </w:p>
        </w:tc>
        <w:tc>
          <w:tcPr>
            <w:tcW w:w="1671" w:type="pct"/>
            <w:vAlign w:val="center"/>
          </w:tcPr>
          <w:p w14:paraId="49D8ADEB">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w:t>
            </w:r>
          </w:p>
        </w:tc>
      </w:tr>
      <w:tr w14:paraId="4B1E24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Before w:val="1"/>
          <w:wBefore w:w="7" w:type="pct"/>
          <w:trHeight w:val="496" w:hRule="atLeast"/>
          <w:jc w:val="center"/>
        </w:trPr>
        <w:tc>
          <w:tcPr>
            <w:tcW w:w="714" w:type="pct"/>
            <w:gridSpan w:val="2"/>
            <w:tcMar>
              <w:top w:w="16" w:type="dxa"/>
              <w:left w:w="16" w:type="dxa"/>
              <w:right w:w="16" w:type="dxa"/>
            </w:tcMar>
            <w:vAlign w:val="center"/>
          </w:tcPr>
          <w:p w14:paraId="37662C15">
            <w:pPr>
              <w:keepNext w:val="0"/>
              <w:keepLines w:val="0"/>
              <w:suppressLineNumbers w:val="0"/>
              <w:adjustRightInd w:val="0"/>
              <w:snapToGrid w:val="0"/>
              <w:spacing w:before="0" w:beforeAutospacing="0" w:after="0" w:afterAutospacing="0"/>
              <w:ind w:left="0" w:right="0"/>
              <w:jc w:val="center"/>
              <w:rPr>
                <w:rFonts w:hint="default" w:hAnsi="宋体"/>
                <w:color w:val="auto"/>
                <w:sz w:val="24"/>
                <w:szCs w:val="24"/>
              </w:rPr>
            </w:pPr>
            <w:r>
              <w:rPr>
                <w:rFonts w:hint="default" w:hAnsi="宋体"/>
                <w:color w:val="auto"/>
                <w:sz w:val="24"/>
                <w:szCs w:val="24"/>
              </w:rPr>
              <w:t>总投资</w:t>
            </w:r>
          </w:p>
          <w:p w14:paraId="1CE8C896">
            <w:pPr>
              <w:keepNext w:val="0"/>
              <w:keepLines w:val="0"/>
              <w:suppressLineNumbers w:val="0"/>
              <w:adjustRightInd w:val="0"/>
              <w:snapToGrid w:val="0"/>
              <w:spacing w:before="0" w:beforeAutospacing="0" w:after="0" w:afterAutospacing="0"/>
              <w:ind w:left="0" w:right="0"/>
              <w:jc w:val="center"/>
              <w:rPr>
                <w:rFonts w:hint="default"/>
                <w:color w:val="auto"/>
                <w:sz w:val="24"/>
                <w:szCs w:val="24"/>
              </w:rPr>
            </w:pPr>
            <w:r>
              <w:rPr>
                <w:rFonts w:hint="default" w:hAnsi="宋体"/>
                <w:color w:val="auto"/>
                <w:sz w:val="24"/>
                <w:szCs w:val="24"/>
              </w:rPr>
              <w:t>（万元）</w:t>
            </w:r>
          </w:p>
        </w:tc>
        <w:tc>
          <w:tcPr>
            <w:tcW w:w="1600" w:type="pct"/>
            <w:vAlign w:val="center"/>
          </w:tcPr>
          <w:p w14:paraId="0378F2A4">
            <w:pPr>
              <w:keepNext w:val="0"/>
              <w:keepLines w:val="0"/>
              <w:suppressLineNumbers w:val="0"/>
              <w:adjustRightInd w:val="0"/>
              <w:snapToGrid w:val="0"/>
              <w:spacing w:before="0" w:beforeAutospacing="0" w:after="0" w:afterAutospacing="0"/>
              <w:ind w:left="0" w:right="0"/>
              <w:jc w:val="center"/>
              <w:rPr>
                <w:rFonts w:hint="default" w:eastAsia="宋体"/>
                <w:color w:val="auto"/>
                <w:sz w:val="24"/>
                <w:szCs w:val="24"/>
                <w:lang w:val="en-US" w:eastAsia="zh-CN"/>
              </w:rPr>
            </w:pPr>
            <w:r>
              <w:rPr>
                <w:rFonts w:hint="eastAsia"/>
                <w:color w:val="auto"/>
                <w:sz w:val="24"/>
                <w:szCs w:val="24"/>
                <w:lang w:val="en-US" w:eastAsia="zh-CN"/>
              </w:rPr>
              <w:t>3000</w:t>
            </w:r>
          </w:p>
        </w:tc>
        <w:tc>
          <w:tcPr>
            <w:tcW w:w="1007" w:type="pct"/>
            <w:tcMar>
              <w:top w:w="16" w:type="dxa"/>
              <w:left w:w="16" w:type="dxa"/>
              <w:right w:w="16" w:type="dxa"/>
            </w:tcMar>
            <w:vAlign w:val="center"/>
          </w:tcPr>
          <w:p w14:paraId="0193841E">
            <w:pPr>
              <w:keepNext w:val="0"/>
              <w:keepLines w:val="0"/>
              <w:suppressLineNumbers w:val="0"/>
              <w:adjustRightInd w:val="0"/>
              <w:snapToGrid w:val="0"/>
              <w:spacing w:before="0" w:beforeAutospacing="0" w:after="0" w:afterAutospacing="0"/>
              <w:ind w:left="0" w:right="0"/>
              <w:jc w:val="center"/>
              <w:rPr>
                <w:rFonts w:hint="default" w:hAnsi="宋体"/>
                <w:color w:val="auto"/>
                <w:sz w:val="24"/>
                <w:szCs w:val="24"/>
              </w:rPr>
            </w:pPr>
            <w:r>
              <w:rPr>
                <w:rFonts w:hint="default" w:hAnsi="宋体"/>
                <w:color w:val="auto"/>
                <w:sz w:val="24"/>
                <w:szCs w:val="24"/>
              </w:rPr>
              <w:t>环保投资</w:t>
            </w:r>
          </w:p>
          <w:p w14:paraId="36F9A5EE">
            <w:pPr>
              <w:keepNext w:val="0"/>
              <w:keepLines w:val="0"/>
              <w:suppressLineNumbers w:val="0"/>
              <w:adjustRightInd w:val="0"/>
              <w:snapToGrid w:val="0"/>
              <w:spacing w:before="0" w:beforeAutospacing="0" w:after="0" w:afterAutospacing="0"/>
              <w:ind w:left="0" w:right="0"/>
              <w:jc w:val="center"/>
              <w:rPr>
                <w:rFonts w:hint="default"/>
                <w:color w:val="auto"/>
                <w:sz w:val="24"/>
                <w:szCs w:val="24"/>
              </w:rPr>
            </w:pPr>
            <w:r>
              <w:rPr>
                <w:rFonts w:hint="default" w:hAnsi="宋体"/>
                <w:color w:val="auto"/>
                <w:sz w:val="24"/>
                <w:szCs w:val="24"/>
              </w:rPr>
              <w:t>（万元）</w:t>
            </w:r>
          </w:p>
        </w:tc>
        <w:tc>
          <w:tcPr>
            <w:tcW w:w="1671" w:type="pct"/>
            <w:vAlign w:val="center"/>
          </w:tcPr>
          <w:p w14:paraId="19A9BE15">
            <w:pPr>
              <w:keepNext w:val="0"/>
              <w:keepLines w:val="0"/>
              <w:suppressLineNumbers w:val="0"/>
              <w:adjustRightInd w:val="0"/>
              <w:snapToGrid w:val="0"/>
              <w:spacing w:before="0" w:beforeAutospacing="0" w:after="0" w:afterAutospacing="0"/>
              <w:ind w:left="0" w:right="0"/>
              <w:jc w:val="center"/>
              <w:rPr>
                <w:rFonts w:hint="default" w:eastAsia="宋体"/>
                <w:color w:val="auto"/>
                <w:sz w:val="24"/>
                <w:szCs w:val="24"/>
                <w:lang w:val="en-US" w:eastAsia="zh-CN"/>
              </w:rPr>
            </w:pPr>
            <w:r>
              <w:rPr>
                <w:rFonts w:hint="eastAsia"/>
                <w:color w:val="auto"/>
                <w:sz w:val="24"/>
                <w:szCs w:val="24"/>
                <w:lang w:val="en-US" w:eastAsia="zh-CN"/>
              </w:rPr>
              <w:t>80</w:t>
            </w:r>
          </w:p>
        </w:tc>
      </w:tr>
      <w:tr w14:paraId="543241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Before w:val="1"/>
          <w:wBefore w:w="7" w:type="pct"/>
          <w:trHeight w:val="496" w:hRule="atLeast"/>
          <w:jc w:val="center"/>
        </w:trPr>
        <w:tc>
          <w:tcPr>
            <w:tcW w:w="714" w:type="pct"/>
            <w:gridSpan w:val="2"/>
            <w:tcMar>
              <w:top w:w="16" w:type="dxa"/>
              <w:left w:w="16" w:type="dxa"/>
              <w:right w:w="16" w:type="dxa"/>
            </w:tcMar>
            <w:vAlign w:val="center"/>
          </w:tcPr>
          <w:p w14:paraId="38D3BCD2">
            <w:pPr>
              <w:keepNext w:val="0"/>
              <w:keepLines w:val="0"/>
              <w:suppressLineNumbers w:val="0"/>
              <w:adjustRightInd w:val="0"/>
              <w:snapToGrid w:val="0"/>
              <w:spacing w:before="0" w:beforeAutospacing="0" w:after="0" w:afterAutospacing="0"/>
              <w:ind w:left="0" w:right="0"/>
              <w:jc w:val="center"/>
              <w:rPr>
                <w:rFonts w:hint="default" w:hAnsi="宋体"/>
                <w:color w:val="auto"/>
                <w:sz w:val="24"/>
                <w:szCs w:val="24"/>
              </w:rPr>
            </w:pPr>
            <w:r>
              <w:rPr>
                <w:rFonts w:hint="default" w:hAnsi="宋体"/>
                <w:color w:val="auto"/>
                <w:sz w:val="24"/>
                <w:szCs w:val="24"/>
              </w:rPr>
              <w:t>环保投资</w:t>
            </w:r>
          </w:p>
          <w:p w14:paraId="22FF716F">
            <w:pPr>
              <w:keepNext w:val="0"/>
              <w:keepLines w:val="0"/>
              <w:suppressLineNumbers w:val="0"/>
              <w:adjustRightInd w:val="0"/>
              <w:snapToGrid w:val="0"/>
              <w:spacing w:before="0" w:beforeAutospacing="0" w:after="0" w:afterAutospacing="0"/>
              <w:ind w:left="0" w:right="0"/>
              <w:jc w:val="center"/>
              <w:rPr>
                <w:rFonts w:hint="default"/>
                <w:color w:val="auto"/>
                <w:sz w:val="24"/>
                <w:szCs w:val="24"/>
              </w:rPr>
            </w:pPr>
            <w:r>
              <w:rPr>
                <w:rFonts w:hint="default" w:hAnsi="宋体"/>
                <w:color w:val="auto"/>
                <w:sz w:val="24"/>
                <w:szCs w:val="24"/>
              </w:rPr>
              <w:t>占比（</w:t>
            </w:r>
            <w:r>
              <w:rPr>
                <w:rFonts w:hint="default"/>
                <w:color w:val="auto"/>
                <w:sz w:val="24"/>
                <w:szCs w:val="24"/>
              </w:rPr>
              <w:t>%</w:t>
            </w:r>
            <w:r>
              <w:rPr>
                <w:rFonts w:hint="default" w:hAnsi="宋体"/>
                <w:color w:val="auto"/>
                <w:sz w:val="24"/>
                <w:szCs w:val="24"/>
              </w:rPr>
              <w:t>）</w:t>
            </w:r>
          </w:p>
        </w:tc>
        <w:tc>
          <w:tcPr>
            <w:tcW w:w="1600" w:type="pct"/>
            <w:vAlign w:val="center"/>
          </w:tcPr>
          <w:p w14:paraId="5BB96FA6">
            <w:pPr>
              <w:keepNext w:val="0"/>
              <w:keepLines w:val="0"/>
              <w:suppressLineNumbers w:val="0"/>
              <w:adjustRightInd w:val="0"/>
              <w:snapToGrid w:val="0"/>
              <w:spacing w:before="0" w:beforeAutospacing="0" w:after="0" w:afterAutospacing="0"/>
              <w:ind w:left="0" w:right="0"/>
              <w:jc w:val="center"/>
              <w:rPr>
                <w:rFonts w:hint="default" w:eastAsia="宋体"/>
                <w:color w:val="auto"/>
                <w:sz w:val="24"/>
                <w:szCs w:val="24"/>
                <w:lang w:val="en-US" w:eastAsia="zh-CN"/>
              </w:rPr>
            </w:pPr>
            <w:r>
              <w:rPr>
                <w:rFonts w:hint="eastAsia"/>
                <w:color w:val="auto"/>
                <w:sz w:val="24"/>
                <w:szCs w:val="24"/>
                <w:lang w:val="en-US" w:eastAsia="zh-CN"/>
              </w:rPr>
              <w:t>2.67</w:t>
            </w:r>
          </w:p>
        </w:tc>
        <w:tc>
          <w:tcPr>
            <w:tcW w:w="1007" w:type="pct"/>
            <w:tcMar>
              <w:top w:w="16" w:type="dxa"/>
              <w:left w:w="16" w:type="dxa"/>
              <w:right w:w="16" w:type="dxa"/>
            </w:tcMar>
            <w:vAlign w:val="center"/>
          </w:tcPr>
          <w:p w14:paraId="63D2B953">
            <w:pPr>
              <w:keepNext w:val="0"/>
              <w:keepLines w:val="0"/>
              <w:suppressLineNumbers w:val="0"/>
              <w:adjustRightInd w:val="0"/>
              <w:snapToGrid w:val="0"/>
              <w:spacing w:before="0" w:beforeAutospacing="0" w:after="0" w:afterAutospacing="0"/>
              <w:ind w:left="0" w:right="0"/>
              <w:jc w:val="center"/>
              <w:rPr>
                <w:rFonts w:hint="default"/>
                <w:color w:val="auto"/>
                <w:sz w:val="24"/>
                <w:szCs w:val="24"/>
              </w:rPr>
            </w:pPr>
            <w:r>
              <w:rPr>
                <w:rFonts w:hint="default" w:hAnsi="宋体"/>
                <w:color w:val="auto"/>
                <w:sz w:val="24"/>
                <w:szCs w:val="24"/>
              </w:rPr>
              <w:t>施工工期</w:t>
            </w:r>
          </w:p>
        </w:tc>
        <w:tc>
          <w:tcPr>
            <w:tcW w:w="1671" w:type="pct"/>
            <w:vAlign w:val="center"/>
          </w:tcPr>
          <w:p w14:paraId="0A7353EB">
            <w:pPr>
              <w:keepNext w:val="0"/>
              <w:keepLines w:val="0"/>
              <w:suppressLineNumbers w:val="0"/>
              <w:adjustRightInd w:val="0"/>
              <w:snapToGrid w:val="0"/>
              <w:spacing w:before="0" w:beforeAutospacing="0" w:after="0" w:afterAutospacing="0"/>
              <w:ind w:left="0" w:right="0"/>
              <w:jc w:val="center"/>
              <w:rPr>
                <w:rFonts w:hint="default"/>
                <w:color w:val="auto"/>
                <w:sz w:val="24"/>
                <w:szCs w:val="24"/>
              </w:rPr>
            </w:pPr>
            <w:r>
              <w:rPr>
                <w:rFonts w:hint="eastAsia"/>
                <w:color w:val="auto"/>
                <w:sz w:val="24"/>
                <w:szCs w:val="24"/>
                <w:lang w:val="en-US" w:eastAsia="zh-CN"/>
              </w:rPr>
              <w:t>3</w:t>
            </w:r>
            <w:r>
              <w:rPr>
                <w:rFonts w:hint="eastAsia"/>
                <w:color w:val="auto"/>
                <w:sz w:val="24"/>
                <w:szCs w:val="24"/>
              </w:rPr>
              <w:t>个月</w:t>
            </w:r>
          </w:p>
        </w:tc>
      </w:tr>
      <w:tr w14:paraId="475E86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Before w:val="1"/>
          <w:wBefore w:w="7" w:type="pct"/>
          <w:trHeight w:val="598" w:hRule="atLeast"/>
          <w:jc w:val="center"/>
        </w:trPr>
        <w:tc>
          <w:tcPr>
            <w:tcW w:w="714" w:type="pct"/>
            <w:gridSpan w:val="2"/>
            <w:tcMar>
              <w:top w:w="16" w:type="dxa"/>
              <w:left w:w="16" w:type="dxa"/>
              <w:right w:w="16" w:type="dxa"/>
            </w:tcMar>
            <w:vAlign w:val="center"/>
          </w:tcPr>
          <w:p w14:paraId="48250BC0">
            <w:pPr>
              <w:keepNext w:val="0"/>
              <w:keepLines w:val="0"/>
              <w:suppressLineNumbers w:val="0"/>
              <w:adjustRightInd w:val="0"/>
              <w:snapToGrid w:val="0"/>
              <w:spacing w:before="0" w:beforeAutospacing="0" w:after="0" w:afterAutospacing="0"/>
              <w:ind w:left="0" w:right="0"/>
              <w:jc w:val="center"/>
              <w:rPr>
                <w:rFonts w:hint="eastAsia" w:ascii="宋体" w:hAnsi="宋体" w:cs="宋体"/>
                <w:color w:val="auto"/>
                <w:sz w:val="24"/>
                <w:szCs w:val="24"/>
              </w:rPr>
            </w:pPr>
            <w:r>
              <w:rPr>
                <w:rFonts w:hint="eastAsia" w:ascii="宋体" w:hAnsi="宋体" w:cs="宋体"/>
                <w:color w:val="auto"/>
                <w:sz w:val="24"/>
                <w:szCs w:val="24"/>
              </w:rPr>
              <w:t>是否开工</w:t>
            </w:r>
          </w:p>
          <w:p w14:paraId="061635BA">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建设</w:t>
            </w:r>
          </w:p>
        </w:tc>
        <w:tc>
          <w:tcPr>
            <w:tcW w:w="1600" w:type="pct"/>
            <w:vAlign w:val="center"/>
          </w:tcPr>
          <w:p w14:paraId="323B0B4D">
            <w:pPr>
              <w:keepNext w:val="0"/>
              <w:keepLines w:val="0"/>
              <w:suppressLineNumbers w:val="0"/>
              <w:adjustRightInd w:val="0"/>
              <w:snapToGrid w:val="0"/>
              <w:spacing w:before="0" w:beforeAutospacing="0" w:after="0" w:afterAutospacing="0"/>
              <w:ind w:left="0" w:right="0"/>
              <w:rPr>
                <w:rFonts w:hint="default" w:ascii="宋体" w:hAnsi="宋体" w:cs="宋体"/>
                <w:color w:val="auto"/>
                <w:sz w:val="24"/>
                <w:szCs w:val="24"/>
              </w:rPr>
            </w:pPr>
            <w:r>
              <w:rPr>
                <w:rFonts w:hint="eastAsia" w:ascii="宋体" w:hAnsi="宋体" w:cs="宋体"/>
                <w:color w:val="auto"/>
                <w:sz w:val="24"/>
                <w:szCs w:val="24"/>
              </w:rPr>
              <w:sym w:font="Wingdings 2" w:char="F052"/>
            </w:r>
            <w:r>
              <w:rPr>
                <w:rFonts w:hint="eastAsia" w:ascii="宋体" w:hAnsi="宋体" w:cs="宋体"/>
                <w:color w:val="auto"/>
                <w:sz w:val="24"/>
                <w:szCs w:val="24"/>
              </w:rPr>
              <w:t>否</w:t>
            </w:r>
          </w:p>
          <w:p w14:paraId="29763434">
            <w:pPr>
              <w:keepNext w:val="0"/>
              <w:keepLines w:val="0"/>
              <w:suppressLineNumbers w:val="0"/>
              <w:adjustRightInd w:val="0"/>
              <w:snapToGrid w:val="0"/>
              <w:spacing w:before="0" w:beforeAutospacing="0" w:after="0" w:afterAutospacing="0"/>
              <w:ind w:left="0" w:right="0"/>
              <w:rPr>
                <w:rFonts w:hint="default" w:ascii="宋体" w:hAnsi="宋体" w:cs="宋体"/>
                <w:color w:val="auto"/>
                <w:sz w:val="24"/>
                <w:szCs w:val="24"/>
              </w:rPr>
            </w:pPr>
            <w:r>
              <w:rPr>
                <w:rFonts w:hint="eastAsia" w:ascii="宋体" w:hAnsi="宋体" w:cs="宋体"/>
                <w:color w:val="auto"/>
                <w:sz w:val="24"/>
                <w:szCs w:val="24"/>
              </w:rPr>
              <w:t>□是：</w:t>
            </w:r>
            <w:r>
              <w:rPr>
                <w:rFonts w:hint="eastAsia" w:ascii="宋体" w:hAnsi="宋体" w:cs="宋体"/>
                <w:color w:val="auto"/>
                <w:sz w:val="24"/>
                <w:szCs w:val="24"/>
                <w:u w:val="single"/>
              </w:rPr>
              <w:t xml:space="preserve">      </w:t>
            </w:r>
          </w:p>
        </w:tc>
        <w:tc>
          <w:tcPr>
            <w:tcW w:w="1007" w:type="pct"/>
            <w:tcMar>
              <w:top w:w="16" w:type="dxa"/>
              <w:left w:w="16" w:type="dxa"/>
              <w:right w:w="16" w:type="dxa"/>
            </w:tcMar>
            <w:vAlign w:val="center"/>
          </w:tcPr>
          <w:p w14:paraId="3F4BA117">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pacing w:val="-6"/>
                <w:sz w:val="24"/>
                <w:szCs w:val="24"/>
              </w:rPr>
            </w:pPr>
            <w:r>
              <w:rPr>
                <w:rFonts w:hint="eastAsia" w:ascii="宋体" w:hAnsi="宋体" w:cs="宋体"/>
                <w:color w:val="auto"/>
                <w:spacing w:val="-6"/>
                <w:sz w:val="24"/>
                <w:szCs w:val="24"/>
              </w:rPr>
              <w:t>用地（用海）</w:t>
            </w:r>
          </w:p>
          <w:p w14:paraId="5E99A3B7">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pacing w:val="-6"/>
                <w:sz w:val="24"/>
                <w:szCs w:val="24"/>
              </w:rPr>
              <w:t>面积（</w:t>
            </w:r>
            <w:r>
              <w:rPr>
                <w:rFonts w:hint="default"/>
                <w:color w:val="auto"/>
                <w:spacing w:val="-6"/>
                <w:sz w:val="24"/>
                <w:szCs w:val="24"/>
              </w:rPr>
              <w:t>m</w:t>
            </w:r>
            <w:r>
              <w:rPr>
                <w:rFonts w:hint="default"/>
                <w:color w:val="auto"/>
                <w:spacing w:val="-6"/>
                <w:sz w:val="24"/>
                <w:szCs w:val="24"/>
                <w:vertAlign w:val="superscript"/>
              </w:rPr>
              <w:t>2</w:t>
            </w:r>
            <w:r>
              <w:rPr>
                <w:rFonts w:hint="eastAsia" w:ascii="宋体" w:hAnsi="宋体" w:cs="宋体"/>
                <w:color w:val="auto"/>
                <w:spacing w:val="-6"/>
                <w:sz w:val="24"/>
                <w:szCs w:val="24"/>
              </w:rPr>
              <w:t>）</w:t>
            </w:r>
          </w:p>
        </w:tc>
        <w:tc>
          <w:tcPr>
            <w:tcW w:w="1671" w:type="pct"/>
            <w:vAlign w:val="center"/>
          </w:tcPr>
          <w:p w14:paraId="54183A26">
            <w:pPr>
              <w:keepNext w:val="0"/>
              <w:keepLines w:val="0"/>
              <w:suppressLineNumbers w:val="0"/>
              <w:adjustRightInd w:val="0"/>
              <w:snapToGrid w:val="0"/>
              <w:spacing w:before="0" w:beforeAutospacing="0" w:after="0" w:afterAutospacing="0"/>
              <w:ind w:left="0" w:right="0"/>
              <w:jc w:val="center"/>
              <w:rPr>
                <w:rFonts w:hint="default"/>
                <w:color w:val="auto"/>
                <w:spacing w:val="-6"/>
                <w:sz w:val="24"/>
                <w:szCs w:val="24"/>
                <w:lang w:val="en-US" w:eastAsia="zh-CN"/>
              </w:rPr>
            </w:pPr>
            <w:r>
              <w:rPr>
                <w:rFonts w:hint="eastAsia"/>
                <w:color w:val="auto"/>
                <w:spacing w:val="-6"/>
                <w:sz w:val="24"/>
                <w:szCs w:val="24"/>
                <w:lang w:val="en-US" w:eastAsia="zh-CN"/>
              </w:rPr>
              <w:t>732.06</w:t>
            </w:r>
          </w:p>
          <w:p w14:paraId="18FD4F1D">
            <w:pPr>
              <w:keepNext w:val="0"/>
              <w:keepLines w:val="0"/>
              <w:suppressLineNumbers w:val="0"/>
              <w:adjustRightInd w:val="0"/>
              <w:snapToGrid w:val="0"/>
              <w:spacing w:before="0" w:beforeAutospacing="0" w:after="0" w:afterAutospacing="0"/>
              <w:ind w:left="0" w:right="0"/>
              <w:jc w:val="center"/>
              <w:rPr>
                <w:rFonts w:hint="default"/>
                <w:color w:val="auto"/>
                <w:sz w:val="24"/>
                <w:szCs w:val="24"/>
                <w:lang w:val="en-US"/>
              </w:rPr>
            </w:pPr>
            <w:r>
              <w:rPr>
                <w:rFonts w:hint="eastAsia"/>
                <w:color w:val="auto"/>
                <w:spacing w:val="-6"/>
                <w:sz w:val="24"/>
                <w:szCs w:val="24"/>
                <w:lang w:val="en-US" w:eastAsia="zh-CN"/>
              </w:rPr>
              <w:t>（建筑面积2910.24m</w:t>
            </w:r>
            <w:r>
              <w:rPr>
                <w:rFonts w:hint="eastAsia"/>
                <w:color w:val="auto"/>
                <w:spacing w:val="-6"/>
                <w:sz w:val="24"/>
                <w:szCs w:val="24"/>
                <w:vertAlign w:val="superscript"/>
                <w:lang w:val="en-US" w:eastAsia="zh-CN"/>
              </w:rPr>
              <w:t>2</w:t>
            </w:r>
            <w:r>
              <w:rPr>
                <w:rFonts w:hint="eastAsia"/>
                <w:color w:val="auto"/>
                <w:spacing w:val="-6"/>
                <w:sz w:val="24"/>
                <w:szCs w:val="24"/>
                <w:lang w:val="en-US" w:eastAsia="zh-CN"/>
              </w:rPr>
              <w:t>）</w:t>
            </w:r>
          </w:p>
        </w:tc>
      </w:tr>
      <w:tr w14:paraId="46BE60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wBefore w:w="7" w:type="pct"/>
          <w:trHeight w:val="1018" w:hRule="atLeast"/>
          <w:jc w:val="center"/>
        </w:trPr>
        <w:tc>
          <w:tcPr>
            <w:tcW w:w="714" w:type="pct"/>
            <w:gridSpan w:val="2"/>
            <w:vAlign w:val="center"/>
          </w:tcPr>
          <w:p w14:paraId="233219AA">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宋体"/>
                <w:color w:val="auto"/>
                <w:kern w:val="0"/>
                <w:sz w:val="24"/>
                <w:szCs w:val="24"/>
              </w:rPr>
            </w:pPr>
            <w:r>
              <w:rPr>
                <w:rFonts w:hint="eastAsia" w:ascii="宋体" w:hAnsi="宋体" w:cs="宋体"/>
                <w:color w:val="auto"/>
                <w:kern w:val="0"/>
                <w:sz w:val="24"/>
                <w:szCs w:val="24"/>
              </w:rPr>
              <w:t>专项评价设置情况</w:t>
            </w:r>
          </w:p>
        </w:tc>
        <w:tc>
          <w:tcPr>
            <w:tcW w:w="4278" w:type="pct"/>
            <w:gridSpan w:val="3"/>
            <w:vAlign w:val="center"/>
          </w:tcPr>
          <w:p w14:paraId="3B039EA5">
            <w:pPr>
              <w:keepNext w:val="0"/>
              <w:keepLines w:val="0"/>
              <w:suppressLineNumbers w:val="0"/>
              <w:autoSpaceDE w:val="0"/>
              <w:autoSpaceDN w:val="0"/>
              <w:adjustRightInd w:val="0"/>
              <w:snapToGrid w:val="0"/>
              <w:spacing w:before="0" w:beforeAutospacing="0" w:after="0" w:afterAutospacing="0" w:line="360" w:lineRule="auto"/>
              <w:ind w:left="0" w:right="0"/>
              <w:rPr>
                <w:rFonts w:hint="default"/>
                <w:color w:val="auto"/>
                <w:sz w:val="24"/>
              </w:rPr>
            </w:pPr>
            <w:r>
              <w:rPr>
                <w:rFonts w:hint="eastAsia"/>
                <w:color w:val="auto"/>
                <w:sz w:val="24"/>
              </w:rPr>
              <w:t>无，判定依据详见下表：</w:t>
            </w:r>
          </w:p>
          <w:p w14:paraId="061A2D99">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default" w:eastAsia="黑体"/>
                <w:color w:val="auto"/>
                <w:sz w:val="24"/>
                <w:szCs w:val="24"/>
              </w:rPr>
            </w:pPr>
            <w:r>
              <w:rPr>
                <w:rFonts w:hint="eastAsia" w:hAnsi="黑体" w:eastAsia="黑体"/>
                <w:color w:val="auto"/>
                <w:sz w:val="24"/>
                <w:szCs w:val="24"/>
              </w:rPr>
              <w:t>表</w:t>
            </w:r>
            <w:r>
              <w:rPr>
                <w:rFonts w:hint="default" w:eastAsia="黑体"/>
                <w:color w:val="auto"/>
                <w:sz w:val="24"/>
                <w:szCs w:val="24"/>
              </w:rPr>
              <w:t>1</w:t>
            </w:r>
            <w:r>
              <w:rPr>
                <w:rFonts w:hint="eastAsia" w:eastAsia="黑体"/>
                <w:color w:val="auto"/>
                <w:sz w:val="24"/>
                <w:szCs w:val="24"/>
                <w:lang w:val="en-US" w:eastAsia="zh-CN"/>
              </w:rPr>
              <w:t>-1</w:t>
            </w:r>
            <w:r>
              <w:rPr>
                <w:rFonts w:hint="default" w:eastAsia="黑体"/>
                <w:color w:val="auto"/>
                <w:sz w:val="24"/>
                <w:szCs w:val="24"/>
              </w:rPr>
              <w:t xml:space="preserve"> </w:t>
            </w:r>
            <w:r>
              <w:rPr>
                <w:rFonts w:hint="eastAsia" w:hAnsi="黑体" w:eastAsia="黑体"/>
                <w:color w:val="auto"/>
                <w:sz w:val="24"/>
                <w:szCs w:val="24"/>
              </w:rPr>
              <w:t>专项评价设置原则表</w:t>
            </w:r>
          </w:p>
          <w:tbl>
            <w:tblPr>
              <w:tblStyle w:val="3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2480"/>
              <w:gridCol w:w="2237"/>
              <w:gridCol w:w="1181"/>
            </w:tblGrid>
            <w:tr w14:paraId="331767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9" w:type="pct"/>
                  <w:tcBorders>
                    <w:top w:val="single" w:color="auto" w:sz="12" w:space="0"/>
                    <w:left w:val="nil"/>
                    <w:bottom w:val="single" w:color="auto" w:sz="4" w:space="0"/>
                    <w:right w:val="single" w:color="auto" w:sz="4" w:space="0"/>
                  </w:tcBorders>
                  <w:vAlign w:val="center"/>
                </w:tcPr>
                <w:p w14:paraId="1DC687C0">
                  <w:pPr>
                    <w:keepNext w:val="0"/>
                    <w:keepLines w:val="0"/>
                    <w:suppressLineNumbers w:val="0"/>
                    <w:autoSpaceDE w:val="0"/>
                    <w:autoSpaceDN w:val="0"/>
                    <w:spacing w:before="0" w:beforeAutospacing="0" w:after="0" w:afterAutospacing="0" w:line="276" w:lineRule="auto"/>
                    <w:ind w:left="0" w:right="0"/>
                    <w:jc w:val="center"/>
                    <w:rPr>
                      <w:rFonts w:hint="default"/>
                      <w:b/>
                      <w:color w:val="auto"/>
                      <w:szCs w:val="21"/>
                    </w:rPr>
                  </w:pPr>
                  <w:r>
                    <w:rPr>
                      <w:rFonts w:hint="eastAsia" w:hAnsi="宋体"/>
                      <w:b/>
                      <w:color w:val="auto"/>
                      <w:szCs w:val="21"/>
                    </w:rPr>
                    <w:t>专项评价的类别</w:t>
                  </w:r>
                </w:p>
              </w:tc>
              <w:tc>
                <w:tcPr>
                  <w:tcW w:w="1770" w:type="pct"/>
                  <w:tcBorders>
                    <w:top w:val="single" w:color="auto" w:sz="12" w:space="0"/>
                    <w:left w:val="single" w:color="auto" w:sz="4" w:space="0"/>
                    <w:bottom w:val="single" w:color="auto" w:sz="4" w:space="0"/>
                    <w:right w:val="single" w:color="auto" w:sz="4" w:space="0"/>
                  </w:tcBorders>
                  <w:vAlign w:val="center"/>
                </w:tcPr>
                <w:p w14:paraId="7DEADFF8">
                  <w:pPr>
                    <w:keepNext w:val="0"/>
                    <w:keepLines w:val="0"/>
                    <w:suppressLineNumbers w:val="0"/>
                    <w:autoSpaceDE w:val="0"/>
                    <w:autoSpaceDN w:val="0"/>
                    <w:spacing w:before="0" w:beforeAutospacing="0" w:after="0" w:afterAutospacing="0" w:line="276" w:lineRule="auto"/>
                    <w:ind w:left="0" w:right="0"/>
                    <w:jc w:val="center"/>
                    <w:rPr>
                      <w:rFonts w:hint="default"/>
                      <w:b/>
                      <w:color w:val="auto"/>
                      <w:szCs w:val="21"/>
                    </w:rPr>
                  </w:pPr>
                  <w:r>
                    <w:rPr>
                      <w:rFonts w:hint="eastAsia" w:hAnsi="宋体"/>
                      <w:b/>
                      <w:color w:val="auto"/>
                      <w:szCs w:val="21"/>
                    </w:rPr>
                    <w:t>设置原则</w:t>
                  </w:r>
                </w:p>
              </w:tc>
              <w:tc>
                <w:tcPr>
                  <w:tcW w:w="1596" w:type="pct"/>
                  <w:tcBorders>
                    <w:top w:val="single" w:color="auto" w:sz="12" w:space="0"/>
                    <w:left w:val="single" w:color="auto" w:sz="4" w:space="0"/>
                    <w:bottom w:val="single" w:color="auto" w:sz="4" w:space="0"/>
                    <w:right w:val="single" w:color="auto" w:sz="4" w:space="0"/>
                  </w:tcBorders>
                  <w:vAlign w:val="center"/>
                </w:tcPr>
                <w:p w14:paraId="0E9DDEB6">
                  <w:pPr>
                    <w:keepNext w:val="0"/>
                    <w:keepLines w:val="0"/>
                    <w:suppressLineNumbers w:val="0"/>
                    <w:autoSpaceDE w:val="0"/>
                    <w:autoSpaceDN w:val="0"/>
                    <w:spacing w:before="0" w:beforeAutospacing="0" w:after="0" w:afterAutospacing="0" w:line="276" w:lineRule="auto"/>
                    <w:ind w:left="0" w:right="0"/>
                    <w:jc w:val="center"/>
                    <w:rPr>
                      <w:rFonts w:hint="default"/>
                      <w:b/>
                      <w:color w:val="auto"/>
                      <w:szCs w:val="21"/>
                    </w:rPr>
                  </w:pPr>
                  <w:r>
                    <w:rPr>
                      <w:rFonts w:hint="eastAsia" w:hAnsi="宋体"/>
                      <w:b/>
                      <w:color w:val="auto"/>
                      <w:szCs w:val="21"/>
                    </w:rPr>
                    <w:t>本项目</w:t>
                  </w:r>
                </w:p>
              </w:tc>
              <w:tc>
                <w:tcPr>
                  <w:tcW w:w="843" w:type="pct"/>
                  <w:tcBorders>
                    <w:top w:val="single" w:color="auto" w:sz="12" w:space="0"/>
                    <w:left w:val="single" w:color="auto" w:sz="4" w:space="0"/>
                    <w:bottom w:val="single" w:color="auto" w:sz="4" w:space="0"/>
                    <w:right w:val="nil"/>
                  </w:tcBorders>
                  <w:vAlign w:val="center"/>
                </w:tcPr>
                <w:p w14:paraId="57F1575F">
                  <w:pPr>
                    <w:keepNext w:val="0"/>
                    <w:keepLines w:val="0"/>
                    <w:suppressLineNumbers w:val="0"/>
                    <w:autoSpaceDE w:val="0"/>
                    <w:autoSpaceDN w:val="0"/>
                    <w:spacing w:before="0" w:beforeAutospacing="0" w:after="0" w:afterAutospacing="0" w:line="276" w:lineRule="auto"/>
                    <w:ind w:left="0" w:right="0"/>
                    <w:jc w:val="center"/>
                    <w:rPr>
                      <w:rFonts w:hint="default"/>
                      <w:b/>
                      <w:color w:val="auto"/>
                      <w:szCs w:val="21"/>
                    </w:rPr>
                  </w:pPr>
                  <w:r>
                    <w:rPr>
                      <w:rFonts w:hint="eastAsia" w:hAnsi="宋体"/>
                      <w:b/>
                      <w:color w:val="auto"/>
                      <w:szCs w:val="21"/>
                    </w:rPr>
                    <w:t>是否设置专项评价</w:t>
                  </w:r>
                </w:p>
              </w:tc>
            </w:tr>
            <w:tr w14:paraId="0EC968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9" w:type="pct"/>
                  <w:tcBorders>
                    <w:top w:val="single" w:color="auto" w:sz="4" w:space="0"/>
                    <w:left w:val="nil"/>
                    <w:bottom w:val="single" w:color="auto" w:sz="4" w:space="0"/>
                    <w:right w:val="single" w:color="auto" w:sz="4" w:space="0"/>
                  </w:tcBorders>
                  <w:vAlign w:val="center"/>
                </w:tcPr>
                <w:p w14:paraId="5F090B05">
                  <w:pPr>
                    <w:keepNext w:val="0"/>
                    <w:keepLines w:val="0"/>
                    <w:suppressLineNumbers w:val="0"/>
                    <w:autoSpaceDE w:val="0"/>
                    <w:autoSpaceDN w:val="0"/>
                    <w:spacing w:before="0" w:beforeAutospacing="0" w:after="0" w:afterAutospacing="0" w:line="276" w:lineRule="auto"/>
                    <w:ind w:left="0" w:right="0"/>
                    <w:jc w:val="center"/>
                    <w:rPr>
                      <w:rFonts w:hint="default"/>
                      <w:color w:val="auto"/>
                      <w:szCs w:val="21"/>
                    </w:rPr>
                  </w:pPr>
                  <w:r>
                    <w:rPr>
                      <w:rFonts w:hint="eastAsia" w:hAnsi="宋体"/>
                      <w:color w:val="auto"/>
                      <w:szCs w:val="21"/>
                    </w:rPr>
                    <w:t>大气</w:t>
                  </w:r>
                </w:p>
              </w:tc>
              <w:tc>
                <w:tcPr>
                  <w:tcW w:w="1770" w:type="pct"/>
                  <w:tcBorders>
                    <w:top w:val="single" w:color="auto" w:sz="4" w:space="0"/>
                    <w:left w:val="single" w:color="auto" w:sz="4" w:space="0"/>
                    <w:bottom w:val="single" w:color="auto" w:sz="4" w:space="0"/>
                    <w:right w:val="single" w:color="auto" w:sz="4" w:space="0"/>
                  </w:tcBorders>
                  <w:vAlign w:val="center"/>
                </w:tcPr>
                <w:p w14:paraId="6846B9D1">
                  <w:pPr>
                    <w:keepNext w:val="0"/>
                    <w:keepLines w:val="0"/>
                    <w:suppressLineNumbers w:val="0"/>
                    <w:spacing w:before="0" w:beforeAutospacing="0" w:after="0" w:afterAutospacing="0" w:line="276" w:lineRule="auto"/>
                    <w:ind w:left="0" w:right="0"/>
                    <w:jc w:val="center"/>
                    <w:rPr>
                      <w:rFonts w:hint="default"/>
                      <w:color w:val="auto"/>
                      <w:szCs w:val="21"/>
                    </w:rPr>
                  </w:pPr>
                  <w:r>
                    <w:rPr>
                      <w:rFonts w:hint="eastAsia"/>
                      <w:color w:val="auto"/>
                      <w:szCs w:val="21"/>
                    </w:rPr>
                    <w:t>排放废气含有毒有害污染物、二噁英、苯并</w:t>
                  </w:r>
                  <w:r>
                    <w:rPr>
                      <w:rFonts w:hint="default"/>
                      <w:color w:val="auto"/>
                      <w:szCs w:val="21"/>
                    </w:rPr>
                    <w:t>[a]</w:t>
                  </w:r>
                  <w:r>
                    <w:rPr>
                      <w:rFonts w:hint="eastAsia"/>
                      <w:color w:val="auto"/>
                      <w:szCs w:val="21"/>
                    </w:rPr>
                    <w:t>芘、氰化物、氯气且厂界外</w:t>
                  </w:r>
                  <w:r>
                    <w:rPr>
                      <w:rFonts w:hint="default"/>
                      <w:color w:val="auto"/>
                      <w:szCs w:val="21"/>
                    </w:rPr>
                    <w:t>500</w:t>
                  </w:r>
                  <w:r>
                    <w:rPr>
                      <w:rFonts w:hint="eastAsia"/>
                      <w:color w:val="auto"/>
                      <w:szCs w:val="21"/>
                    </w:rPr>
                    <w:t>米范围内有环境空气保护目标的建设项目</w:t>
                  </w:r>
                </w:p>
              </w:tc>
              <w:tc>
                <w:tcPr>
                  <w:tcW w:w="1596" w:type="pct"/>
                  <w:tcBorders>
                    <w:top w:val="single" w:color="auto" w:sz="4" w:space="0"/>
                    <w:left w:val="single" w:color="auto" w:sz="4" w:space="0"/>
                    <w:bottom w:val="single" w:color="auto" w:sz="4" w:space="0"/>
                    <w:right w:val="single" w:color="auto" w:sz="4" w:space="0"/>
                  </w:tcBorders>
                  <w:vAlign w:val="center"/>
                </w:tcPr>
                <w:p w14:paraId="1DBACA4F">
                  <w:pPr>
                    <w:keepNext w:val="0"/>
                    <w:keepLines w:val="0"/>
                    <w:suppressLineNumbers w:val="0"/>
                    <w:autoSpaceDE w:val="0"/>
                    <w:autoSpaceDN w:val="0"/>
                    <w:spacing w:before="0" w:beforeAutospacing="0" w:after="0" w:afterAutospacing="0" w:line="276" w:lineRule="auto"/>
                    <w:ind w:left="0" w:right="0"/>
                    <w:jc w:val="center"/>
                    <w:rPr>
                      <w:rFonts w:hint="eastAsia" w:eastAsia="宋体"/>
                      <w:color w:val="auto"/>
                      <w:szCs w:val="21"/>
                      <w:lang w:eastAsia="zh-CN"/>
                    </w:rPr>
                  </w:pPr>
                  <w:r>
                    <w:rPr>
                      <w:rFonts w:hint="eastAsia" w:hAnsi="宋体"/>
                      <w:color w:val="auto"/>
                      <w:kern w:val="0"/>
                      <w:szCs w:val="21"/>
                    </w:rPr>
                    <w:t>本项目排放废气污染物</w:t>
                  </w:r>
                  <w:r>
                    <w:rPr>
                      <w:rFonts w:hint="eastAsia" w:hAnsi="宋体"/>
                      <w:color w:val="auto"/>
                      <w:kern w:val="0"/>
                      <w:szCs w:val="21"/>
                      <w:lang w:val="en-US" w:eastAsia="zh-CN"/>
                    </w:rPr>
                    <w:t>种类</w:t>
                  </w:r>
                  <w:r>
                    <w:rPr>
                      <w:rFonts w:hint="eastAsia" w:hAnsi="宋体"/>
                      <w:color w:val="auto"/>
                      <w:kern w:val="0"/>
                      <w:szCs w:val="21"/>
                    </w:rPr>
                    <w:t>主要为非甲烷总烃</w:t>
                  </w:r>
                  <w:r>
                    <w:rPr>
                      <w:rFonts w:hint="eastAsia" w:hAnsi="宋体"/>
                      <w:color w:val="auto"/>
                      <w:kern w:val="0"/>
                      <w:sz w:val="21"/>
                      <w:szCs w:val="21"/>
                    </w:rPr>
                    <w:t>、</w:t>
                  </w:r>
                  <w:r>
                    <w:rPr>
                      <w:rFonts w:hint="eastAsia" w:ascii="Times New Roman" w:hAnsi="Times New Roman" w:cs="Times New Roman"/>
                      <w:color w:val="auto"/>
                      <w:sz w:val="21"/>
                      <w:szCs w:val="21"/>
                    </w:rPr>
                    <w:t>苯乙烯、</w:t>
                  </w:r>
                  <w:r>
                    <w:rPr>
                      <w:rFonts w:hint="eastAsia" w:cs="Times New Roman"/>
                      <w:color w:val="auto"/>
                      <w:sz w:val="21"/>
                      <w:szCs w:val="21"/>
                      <w:lang w:val="en-US" w:eastAsia="zh-CN"/>
                    </w:rPr>
                    <w:t>苯</w:t>
                  </w:r>
                  <w:r>
                    <w:rPr>
                      <w:rFonts w:hint="eastAsia" w:ascii="Times New Roman" w:hAnsi="Times New Roman" w:cs="Times New Roman"/>
                      <w:color w:val="auto"/>
                      <w:sz w:val="21"/>
                      <w:szCs w:val="21"/>
                    </w:rPr>
                    <w:t>、甲苯、乙苯</w:t>
                  </w:r>
                  <w:r>
                    <w:rPr>
                      <w:rFonts w:hint="eastAsia" w:cs="Times New Roman"/>
                      <w:color w:val="auto"/>
                      <w:sz w:val="21"/>
                      <w:szCs w:val="21"/>
                      <w:lang w:eastAsia="zh-CN"/>
                    </w:rPr>
                    <w:t>、</w:t>
                  </w:r>
                  <w:r>
                    <w:rPr>
                      <w:rFonts w:hint="eastAsia" w:cs="Times New Roman"/>
                      <w:color w:val="auto"/>
                      <w:sz w:val="21"/>
                      <w:szCs w:val="21"/>
                      <w:lang w:val="en-US" w:eastAsia="zh-CN"/>
                    </w:rPr>
                    <w:t>二甲苯</w:t>
                  </w:r>
                  <w:r>
                    <w:rPr>
                      <w:rFonts w:hint="eastAsia" w:hAnsi="宋体"/>
                      <w:color w:val="auto"/>
                      <w:kern w:val="0"/>
                      <w:sz w:val="21"/>
                      <w:szCs w:val="21"/>
                      <w:lang w:val="en-US" w:eastAsia="zh-CN"/>
                    </w:rPr>
                    <w:t>、</w:t>
                  </w:r>
                  <w:r>
                    <w:rPr>
                      <w:rFonts w:hint="eastAsia" w:hAnsi="宋体"/>
                      <w:color w:val="auto"/>
                      <w:kern w:val="0"/>
                      <w:szCs w:val="21"/>
                    </w:rPr>
                    <w:t>颗粒物</w:t>
                  </w:r>
                  <w:r>
                    <w:rPr>
                      <w:rFonts w:hint="eastAsia" w:hAnsi="宋体"/>
                      <w:color w:val="auto"/>
                      <w:kern w:val="0"/>
                      <w:szCs w:val="21"/>
                      <w:lang w:eastAsia="zh-CN"/>
                    </w:rPr>
                    <w:t>、</w:t>
                  </w:r>
                  <w:r>
                    <w:rPr>
                      <w:rFonts w:hint="eastAsia" w:hAnsi="宋体"/>
                      <w:color w:val="auto"/>
                      <w:kern w:val="0"/>
                      <w:szCs w:val="21"/>
                      <w:lang w:val="en-US" w:eastAsia="zh-CN"/>
                    </w:rPr>
                    <w:t>臭气浓度</w:t>
                  </w:r>
                  <w:r>
                    <w:rPr>
                      <w:rFonts w:hint="eastAsia"/>
                      <w:color w:val="auto"/>
                      <w:szCs w:val="21"/>
                    </w:rPr>
                    <w:t>，不</w:t>
                  </w:r>
                  <w:r>
                    <w:rPr>
                      <w:rFonts w:hint="eastAsia"/>
                      <w:color w:val="auto"/>
                      <w:szCs w:val="21"/>
                      <w:lang w:val="en-US" w:eastAsia="zh-CN"/>
                    </w:rPr>
                    <w:t>涉及</w:t>
                  </w:r>
                  <w:r>
                    <w:rPr>
                      <w:rFonts w:hint="eastAsia"/>
                      <w:color w:val="auto"/>
                      <w:szCs w:val="21"/>
                    </w:rPr>
                    <w:t>二噁英、苯并</w:t>
                  </w:r>
                  <w:r>
                    <w:rPr>
                      <w:rFonts w:hint="default"/>
                      <w:color w:val="auto"/>
                      <w:szCs w:val="21"/>
                    </w:rPr>
                    <w:t>[a]</w:t>
                  </w:r>
                  <w:r>
                    <w:rPr>
                      <w:rFonts w:hint="eastAsia"/>
                      <w:color w:val="auto"/>
                      <w:szCs w:val="21"/>
                    </w:rPr>
                    <w:t>芘、氰化物、氯气以及《有毒有害大气污染物名录》中的有毒有害污染物</w:t>
                  </w:r>
                  <w:r>
                    <w:rPr>
                      <w:rFonts w:hint="eastAsia"/>
                      <w:color w:val="auto"/>
                      <w:szCs w:val="21"/>
                      <w:lang w:eastAsia="zh-CN"/>
                    </w:rPr>
                    <w:t>。</w:t>
                  </w:r>
                </w:p>
              </w:tc>
              <w:tc>
                <w:tcPr>
                  <w:tcW w:w="843" w:type="pct"/>
                  <w:tcBorders>
                    <w:top w:val="single" w:color="auto" w:sz="4" w:space="0"/>
                    <w:left w:val="single" w:color="auto" w:sz="4" w:space="0"/>
                    <w:bottom w:val="single" w:color="auto" w:sz="4" w:space="0"/>
                    <w:right w:val="nil"/>
                  </w:tcBorders>
                  <w:vAlign w:val="center"/>
                </w:tcPr>
                <w:p w14:paraId="7103B5E1">
                  <w:pPr>
                    <w:keepNext w:val="0"/>
                    <w:keepLines w:val="0"/>
                    <w:suppressLineNumbers w:val="0"/>
                    <w:autoSpaceDE w:val="0"/>
                    <w:autoSpaceDN w:val="0"/>
                    <w:spacing w:before="0" w:beforeAutospacing="0" w:after="0" w:afterAutospacing="0" w:line="276" w:lineRule="auto"/>
                    <w:ind w:left="0" w:right="0"/>
                    <w:jc w:val="center"/>
                    <w:rPr>
                      <w:rFonts w:hint="default"/>
                      <w:color w:val="auto"/>
                      <w:szCs w:val="21"/>
                      <w:lang w:eastAsia="en-US"/>
                    </w:rPr>
                  </w:pPr>
                  <w:r>
                    <w:rPr>
                      <w:rFonts w:hint="eastAsia" w:hAnsi="宋体"/>
                      <w:color w:val="auto"/>
                      <w:szCs w:val="21"/>
                    </w:rPr>
                    <w:t>否</w:t>
                  </w:r>
                </w:p>
              </w:tc>
            </w:tr>
            <w:tr w14:paraId="12C45B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9" w:type="pct"/>
                  <w:tcBorders>
                    <w:top w:val="single" w:color="auto" w:sz="4" w:space="0"/>
                    <w:left w:val="nil"/>
                    <w:bottom w:val="single" w:color="auto" w:sz="4" w:space="0"/>
                    <w:right w:val="single" w:color="auto" w:sz="4" w:space="0"/>
                  </w:tcBorders>
                  <w:vAlign w:val="center"/>
                </w:tcPr>
                <w:p w14:paraId="7B2E73CA">
                  <w:pPr>
                    <w:keepNext w:val="0"/>
                    <w:keepLines w:val="0"/>
                    <w:suppressLineNumbers w:val="0"/>
                    <w:autoSpaceDE w:val="0"/>
                    <w:autoSpaceDN w:val="0"/>
                    <w:spacing w:before="0" w:beforeAutospacing="0" w:after="0" w:afterAutospacing="0" w:line="276" w:lineRule="auto"/>
                    <w:ind w:left="0" w:right="0"/>
                    <w:jc w:val="center"/>
                    <w:rPr>
                      <w:rFonts w:hint="default"/>
                      <w:color w:val="auto"/>
                      <w:szCs w:val="21"/>
                      <w:lang w:eastAsia="en-US"/>
                    </w:rPr>
                  </w:pPr>
                  <w:r>
                    <w:rPr>
                      <w:rFonts w:hint="eastAsia" w:hAnsi="宋体"/>
                      <w:color w:val="auto"/>
                      <w:szCs w:val="21"/>
                    </w:rPr>
                    <w:t>地表水</w:t>
                  </w:r>
                </w:p>
              </w:tc>
              <w:tc>
                <w:tcPr>
                  <w:tcW w:w="1770" w:type="pct"/>
                  <w:tcBorders>
                    <w:top w:val="single" w:color="auto" w:sz="4" w:space="0"/>
                    <w:left w:val="single" w:color="auto" w:sz="4" w:space="0"/>
                    <w:bottom w:val="single" w:color="auto" w:sz="4" w:space="0"/>
                    <w:right w:val="single" w:color="auto" w:sz="4" w:space="0"/>
                  </w:tcBorders>
                  <w:vAlign w:val="center"/>
                </w:tcPr>
                <w:p w14:paraId="55FBAFB2">
                  <w:pPr>
                    <w:keepNext w:val="0"/>
                    <w:keepLines w:val="0"/>
                    <w:suppressLineNumbers w:val="0"/>
                    <w:spacing w:before="0" w:beforeAutospacing="0" w:after="0" w:afterAutospacing="0" w:line="276" w:lineRule="auto"/>
                    <w:ind w:left="0" w:right="0"/>
                    <w:jc w:val="center"/>
                    <w:rPr>
                      <w:rFonts w:hint="default"/>
                      <w:color w:val="auto"/>
                      <w:szCs w:val="21"/>
                    </w:rPr>
                  </w:pPr>
                  <w:r>
                    <w:rPr>
                      <w:rFonts w:hint="eastAsia" w:hAnsi="宋体"/>
                      <w:color w:val="auto"/>
                      <w:szCs w:val="21"/>
                    </w:rPr>
                    <w:t>新增工业废水直排建设项目（槽罐车外送污水处理厂的除外）；新增废水直排的污水集中处理厂</w:t>
                  </w:r>
                </w:p>
              </w:tc>
              <w:tc>
                <w:tcPr>
                  <w:tcW w:w="1596" w:type="pct"/>
                  <w:tcBorders>
                    <w:top w:val="single" w:color="auto" w:sz="4" w:space="0"/>
                    <w:left w:val="single" w:color="auto" w:sz="4" w:space="0"/>
                    <w:bottom w:val="single" w:color="auto" w:sz="4" w:space="0"/>
                    <w:right w:val="single" w:color="auto" w:sz="4" w:space="0"/>
                  </w:tcBorders>
                  <w:vAlign w:val="center"/>
                </w:tcPr>
                <w:p w14:paraId="1996E253">
                  <w:pPr>
                    <w:keepNext w:val="0"/>
                    <w:keepLines w:val="0"/>
                    <w:suppressLineNumbers w:val="0"/>
                    <w:autoSpaceDE w:val="0"/>
                    <w:autoSpaceDN w:val="0"/>
                    <w:spacing w:before="0" w:beforeAutospacing="0" w:after="0" w:afterAutospacing="0" w:line="276" w:lineRule="auto"/>
                    <w:ind w:left="0" w:right="0"/>
                    <w:jc w:val="center"/>
                    <w:rPr>
                      <w:rFonts w:hint="eastAsia" w:eastAsia="宋体"/>
                      <w:color w:val="auto"/>
                      <w:szCs w:val="21"/>
                      <w:lang w:val="en-US" w:eastAsia="zh-CN"/>
                    </w:rPr>
                  </w:pPr>
                  <w:r>
                    <w:rPr>
                      <w:rFonts w:hint="eastAsia"/>
                      <w:color w:val="auto"/>
                      <w:szCs w:val="21"/>
                    </w:rPr>
                    <w:t>本项目</w:t>
                  </w:r>
                  <w:r>
                    <w:rPr>
                      <w:rFonts w:hint="eastAsia"/>
                      <w:color w:val="auto"/>
                      <w:szCs w:val="21"/>
                      <w:lang w:val="en-US" w:eastAsia="zh-CN"/>
                    </w:rPr>
                    <w:t>产生的废水主要为循环冷却系统排水及生活污水，废水经预处理达标后</w:t>
                  </w:r>
                  <w:r>
                    <w:rPr>
                      <w:rFonts w:hint="eastAsia"/>
                      <w:color w:val="auto"/>
                      <w:lang w:val="en-US" w:eastAsia="zh-CN"/>
                    </w:rPr>
                    <w:t>由厂区废水总排口接管至凤台县污水处理厂处理，属于间接排放，项目</w:t>
                  </w:r>
                  <w:r>
                    <w:rPr>
                      <w:rFonts w:hint="eastAsia"/>
                      <w:color w:val="auto"/>
                      <w:szCs w:val="21"/>
                    </w:rPr>
                    <w:t>不涉及工业废水直排</w:t>
                  </w:r>
                  <w:r>
                    <w:rPr>
                      <w:rFonts w:hint="eastAsia"/>
                      <w:color w:val="auto"/>
                      <w:szCs w:val="21"/>
                      <w:lang w:eastAsia="zh-CN"/>
                    </w:rPr>
                    <w:t>，</w:t>
                  </w:r>
                  <w:r>
                    <w:rPr>
                      <w:rFonts w:hint="eastAsia"/>
                      <w:color w:val="auto"/>
                      <w:szCs w:val="21"/>
                      <w:lang w:val="en-US" w:eastAsia="zh-CN"/>
                    </w:rPr>
                    <w:t>不属于</w:t>
                  </w:r>
                  <w:r>
                    <w:rPr>
                      <w:rFonts w:hint="eastAsia"/>
                      <w:color w:val="auto"/>
                      <w:szCs w:val="21"/>
                    </w:rPr>
                    <w:t>废水直排的污水集中处理厂</w:t>
                  </w:r>
                  <w:r>
                    <w:rPr>
                      <w:rFonts w:hint="eastAsia"/>
                      <w:color w:val="auto"/>
                      <w:szCs w:val="21"/>
                      <w:lang w:val="en-US" w:eastAsia="zh-CN"/>
                    </w:rPr>
                    <w:t>建设项目。</w:t>
                  </w:r>
                </w:p>
              </w:tc>
              <w:tc>
                <w:tcPr>
                  <w:tcW w:w="843" w:type="pct"/>
                  <w:tcBorders>
                    <w:top w:val="single" w:color="auto" w:sz="4" w:space="0"/>
                    <w:left w:val="single" w:color="auto" w:sz="4" w:space="0"/>
                    <w:bottom w:val="single" w:color="auto" w:sz="4" w:space="0"/>
                    <w:right w:val="nil"/>
                  </w:tcBorders>
                  <w:vAlign w:val="center"/>
                </w:tcPr>
                <w:p w14:paraId="79D965F3">
                  <w:pPr>
                    <w:keepNext w:val="0"/>
                    <w:keepLines w:val="0"/>
                    <w:suppressLineNumbers w:val="0"/>
                    <w:autoSpaceDE w:val="0"/>
                    <w:autoSpaceDN w:val="0"/>
                    <w:spacing w:before="0" w:beforeAutospacing="0" w:after="0" w:afterAutospacing="0" w:line="276" w:lineRule="auto"/>
                    <w:ind w:left="0" w:right="0"/>
                    <w:jc w:val="center"/>
                    <w:rPr>
                      <w:rFonts w:hint="default"/>
                      <w:color w:val="auto"/>
                      <w:szCs w:val="21"/>
                      <w:lang w:eastAsia="en-US"/>
                    </w:rPr>
                  </w:pPr>
                  <w:r>
                    <w:rPr>
                      <w:rFonts w:hint="eastAsia" w:hAnsi="宋体"/>
                      <w:color w:val="auto"/>
                      <w:szCs w:val="21"/>
                    </w:rPr>
                    <w:t>否</w:t>
                  </w:r>
                </w:p>
              </w:tc>
            </w:tr>
            <w:tr w14:paraId="786766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9" w:type="pct"/>
                  <w:tcBorders>
                    <w:top w:val="single" w:color="auto" w:sz="4" w:space="0"/>
                    <w:left w:val="nil"/>
                    <w:bottom w:val="single" w:color="auto" w:sz="4" w:space="0"/>
                    <w:right w:val="single" w:color="auto" w:sz="4" w:space="0"/>
                  </w:tcBorders>
                  <w:vAlign w:val="center"/>
                </w:tcPr>
                <w:p w14:paraId="3EC06F01">
                  <w:pPr>
                    <w:keepNext w:val="0"/>
                    <w:keepLines w:val="0"/>
                    <w:suppressLineNumbers w:val="0"/>
                    <w:autoSpaceDE w:val="0"/>
                    <w:autoSpaceDN w:val="0"/>
                    <w:spacing w:before="0" w:beforeAutospacing="0" w:after="0" w:afterAutospacing="0" w:line="276" w:lineRule="auto"/>
                    <w:ind w:left="0" w:right="0"/>
                    <w:jc w:val="center"/>
                    <w:rPr>
                      <w:rFonts w:hint="default"/>
                      <w:color w:val="auto"/>
                      <w:szCs w:val="21"/>
                      <w:lang w:eastAsia="en-US"/>
                    </w:rPr>
                  </w:pPr>
                  <w:r>
                    <w:rPr>
                      <w:rFonts w:hint="eastAsia" w:hAnsi="宋体"/>
                      <w:color w:val="auto"/>
                      <w:szCs w:val="21"/>
                    </w:rPr>
                    <w:t>环境风险</w:t>
                  </w:r>
                </w:p>
              </w:tc>
              <w:tc>
                <w:tcPr>
                  <w:tcW w:w="1770" w:type="pct"/>
                  <w:tcBorders>
                    <w:top w:val="single" w:color="auto" w:sz="4" w:space="0"/>
                    <w:left w:val="single" w:color="auto" w:sz="4" w:space="0"/>
                    <w:bottom w:val="single" w:color="auto" w:sz="4" w:space="0"/>
                    <w:right w:val="single" w:color="auto" w:sz="4" w:space="0"/>
                  </w:tcBorders>
                  <w:vAlign w:val="center"/>
                </w:tcPr>
                <w:p w14:paraId="7BABFD4B">
                  <w:pPr>
                    <w:keepNext w:val="0"/>
                    <w:keepLines w:val="0"/>
                    <w:suppressLineNumbers w:val="0"/>
                    <w:autoSpaceDE w:val="0"/>
                    <w:autoSpaceDN w:val="0"/>
                    <w:spacing w:before="0" w:beforeAutospacing="0" w:after="0" w:afterAutospacing="0" w:line="276" w:lineRule="auto"/>
                    <w:ind w:left="0" w:right="0"/>
                    <w:jc w:val="center"/>
                    <w:rPr>
                      <w:rFonts w:hint="default"/>
                      <w:color w:val="auto"/>
                      <w:szCs w:val="21"/>
                    </w:rPr>
                  </w:pPr>
                  <w:r>
                    <w:rPr>
                      <w:rFonts w:hint="eastAsia" w:hAnsi="宋体"/>
                      <w:color w:val="auto"/>
                      <w:szCs w:val="21"/>
                    </w:rPr>
                    <w:t>有毒有害和易燃易爆危险物质存储量超过临界量的建设项目</w:t>
                  </w:r>
                </w:p>
              </w:tc>
              <w:tc>
                <w:tcPr>
                  <w:tcW w:w="1596" w:type="pct"/>
                  <w:tcBorders>
                    <w:top w:val="single" w:color="auto" w:sz="4" w:space="0"/>
                    <w:left w:val="single" w:color="auto" w:sz="4" w:space="0"/>
                    <w:bottom w:val="single" w:color="auto" w:sz="4" w:space="0"/>
                    <w:right w:val="single" w:color="auto" w:sz="4" w:space="0"/>
                  </w:tcBorders>
                  <w:vAlign w:val="center"/>
                </w:tcPr>
                <w:p w14:paraId="253D9DD1">
                  <w:pPr>
                    <w:keepNext w:val="0"/>
                    <w:keepLines w:val="0"/>
                    <w:suppressLineNumbers w:val="0"/>
                    <w:autoSpaceDE w:val="0"/>
                    <w:autoSpaceDN w:val="0"/>
                    <w:spacing w:before="0" w:beforeAutospacing="0" w:after="0" w:afterAutospacing="0" w:line="276" w:lineRule="auto"/>
                    <w:ind w:left="0" w:right="0"/>
                    <w:jc w:val="center"/>
                    <w:rPr>
                      <w:rFonts w:hint="eastAsia" w:eastAsia="宋体"/>
                      <w:color w:val="auto"/>
                      <w:szCs w:val="21"/>
                      <w:lang w:eastAsia="zh-CN"/>
                    </w:rPr>
                  </w:pPr>
                  <w:r>
                    <w:rPr>
                      <w:rFonts w:hint="eastAsia" w:hAnsi="宋体"/>
                      <w:color w:val="auto"/>
                      <w:szCs w:val="21"/>
                    </w:rPr>
                    <w:t>本项目危险物质存储量未超过临界值</w:t>
                  </w:r>
                  <w:r>
                    <w:rPr>
                      <w:rFonts w:hint="eastAsia" w:hAnsi="宋体"/>
                      <w:color w:val="auto"/>
                      <w:szCs w:val="21"/>
                      <w:lang w:eastAsia="zh-CN"/>
                    </w:rPr>
                    <w:t>。</w:t>
                  </w:r>
                </w:p>
              </w:tc>
              <w:tc>
                <w:tcPr>
                  <w:tcW w:w="843" w:type="pct"/>
                  <w:tcBorders>
                    <w:top w:val="single" w:color="auto" w:sz="4" w:space="0"/>
                    <w:left w:val="single" w:color="auto" w:sz="4" w:space="0"/>
                    <w:bottom w:val="single" w:color="auto" w:sz="4" w:space="0"/>
                    <w:right w:val="nil"/>
                  </w:tcBorders>
                  <w:vAlign w:val="center"/>
                </w:tcPr>
                <w:p w14:paraId="2D9260A4">
                  <w:pPr>
                    <w:keepNext w:val="0"/>
                    <w:keepLines w:val="0"/>
                    <w:suppressLineNumbers w:val="0"/>
                    <w:autoSpaceDE w:val="0"/>
                    <w:autoSpaceDN w:val="0"/>
                    <w:spacing w:before="0" w:beforeAutospacing="0" w:after="0" w:afterAutospacing="0" w:line="276" w:lineRule="auto"/>
                    <w:ind w:left="0" w:right="0"/>
                    <w:jc w:val="center"/>
                    <w:rPr>
                      <w:rFonts w:hint="default"/>
                      <w:color w:val="auto"/>
                      <w:szCs w:val="21"/>
                      <w:lang w:eastAsia="en-US"/>
                    </w:rPr>
                  </w:pPr>
                  <w:r>
                    <w:rPr>
                      <w:rFonts w:hint="eastAsia" w:hAnsi="宋体"/>
                      <w:color w:val="auto"/>
                      <w:szCs w:val="21"/>
                    </w:rPr>
                    <w:t>否</w:t>
                  </w:r>
                </w:p>
              </w:tc>
            </w:tr>
            <w:tr w14:paraId="0F13B1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9" w:type="pct"/>
                  <w:tcBorders>
                    <w:top w:val="single" w:color="auto" w:sz="4" w:space="0"/>
                    <w:left w:val="nil"/>
                    <w:bottom w:val="single" w:color="auto" w:sz="4" w:space="0"/>
                    <w:right w:val="single" w:color="auto" w:sz="4" w:space="0"/>
                  </w:tcBorders>
                  <w:vAlign w:val="center"/>
                </w:tcPr>
                <w:p w14:paraId="5E7106A0">
                  <w:pPr>
                    <w:keepNext w:val="0"/>
                    <w:keepLines w:val="0"/>
                    <w:suppressLineNumbers w:val="0"/>
                    <w:autoSpaceDE w:val="0"/>
                    <w:autoSpaceDN w:val="0"/>
                    <w:spacing w:before="0" w:beforeAutospacing="0" w:after="0" w:afterAutospacing="0" w:line="276" w:lineRule="auto"/>
                    <w:ind w:left="0" w:right="0"/>
                    <w:jc w:val="center"/>
                    <w:rPr>
                      <w:rFonts w:hint="default"/>
                      <w:color w:val="auto"/>
                      <w:szCs w:val="21"/>
                      <w:lang w:eastAsia="en-US"/>
                    </w:rPr>
                  </w:pPr>
                  <w:r>
                    <w:rPr>
                      <w:rFonts w:hint="eastAsia" w:hAnsi="宋体"/>
                      <w:color w:val="auto"/>
                      <w:szCs w:val="21"/>
                    </w:rPr>
                    <w:t>生态</w:t>
                  </w:r>
                </w:p>
              </w:tc>
              <w:tc>
                <w:tcPr>
                  <w:tcW w:w="1770" w:type="pct"/>
                  <w:tcBorders>
                    <w:top w:val="single" w:color="auto" w:sz="4" w:space="0"/>
                    <w:left w:val="single" w:color="auto" w:sz="4" w:space="0"/>
                    <w:bottom w:val="single" w:color="auto" w:sz="4" w:space="0"/>
                    <w:right w:val="single" w:color="auto" w:sz="4" w:space="0"/>
                  </w:tcBorders>
                  <w:vAlign w:val="center"/>
                </w:tcPr>
                <w:p w14:paraId="7B98C9BF">
                  <w:pPr>
                    <w:keepNext w:val="0"/>
                    <w:keepLines w:val="0"/>
                    <w:suppressLineNumbers w:val="0"/>
                    <w:spacing w:before="0" w:beforeAutospacing="0" w:after="0" w:afterAutospacing="0" w:line="276" w:lineRule="auto"/>
                    <w:ind w:left="0" w:right="0"/>
                    <w:jc w:val="center"/>
                    <w:rPr>
                      <w:rFonts w:hint="default"/>
                      <w:color w:val="auto"/>
                      <w:szCs w:val="21"/>
                    </w:rPr>
                  </w:pPr>
                  <w:r>
                    <w:rPr>
                      <w:rFonts w:hint="eastAsia" w:hAnsi="宋体"/>
                      <w:color w:val="auto"/>
                      <w:szCs w:val="21"/>
                    </w:rPr>
                    <w:t>取水口下游</w:t>
                  </w:r>
                  <w:r>
                    <w:rPr>
                      <w:rFonts w:hint="default"/>
                      <w:color w:val="auto"/>
                      <w:szCs w:val="21"/>
                    </w:rPr>
                    <w:t>500</w:t>
                  </w:r>
                  <w:r>
                    <w:rPr>
                      <w:rFonts w:hint="eastAsia" w:hAnsi="宋体"/>
                      <w:color w:val="auto"/>
                      <w:szCs w:val="21"/>
                    </w:rPr>
                    <w:t>米范围内有重要水生生物的自然产卵场、索饵场、越冬场和洄游通道的新增河道取水的污染类建设项目</w:t>
                  </w:r>
                </w:p>
              </w:tc>
              <w:tc>
                <w:tcPr>
                  <w:tcW w:w="1596" w:type="pct"/>
                  <w:tcBorders>
                    <w:top w:val="single" w:color="auto" w:sz="4" w:space="0"/>
                    <w:left w:val="single" w:color="auto" w:sz="4" w:space="0"/>
                    <w:bottom w:val="single" w:color="auto" w:sz="4" w:space="0"/>
                    <w:right w:val="single" w:color="auto" w:sz="4" w:space="0"/>
                  </w:tcBorders>
                  <w:vAlign w:val="center"/>
                </w:tcPr>
                <w:p w14:paraId="64FBE17B">
                  <w:pPr>
                    <w:keepNext w:val="0"/>
                    <w:keepLines w:val="0"/>
                    <w:suppressLineNumbers w:val="0"/>
                    <w:autoSpaceDE w:val="0"/>
                    <w:autoSpaceDN w:val="0"/>
                    <w:spacing w:before="0" w:beforeAutospacing="0" w:after="0" w:afterAutospacing="0" w:line="276" w:lineRule="auto"/>
                    <w:ind w:left="0" w:right="0"/>
                    <w:jc w:val="center"/>
                    <w:rPr>
                      <w:rFonts w:hint="eastAsia" w:eastAsia="宋体"/>
                      <w:color w:val="auto"/>
                      <w:szCs w:val="21"/>
                      <w:lang w:eastAsia="zh-CN"/>
                    </w:rPr>
                  </w:pPr>
                  <w:r>
                    <w:rPr>
                      <w:rFonts w:hint="eastAsia" w:hAnsi="宋体"/>
                      <w:color w:val="auto"/>
                      <w:szCs w:val="21"/>
                    </w:rPr>
                    <w:t>不涉及</w:t>
                  </w:r>
                </w:p>
              </w:tc>
              <w:tc>
                <w:tcPr>
                  <w:tcW w:w="843" w:type="pct"/>
                  <w:tcBorders>
                    <w:top w:val="single" w:color="auto" w:sz="4" w:space="0"/>
                    <w:left w:val="single" w:color="auto" w:sz="4" w:space="0"/>
                    <w:bottom w:val="single" w:color="auto" w:sz="4" w:space="0"/>
                    <w:right w:val="nil"/>
                  </w:tcBorders>
                  <w:vAlign w:val="center"/>
                </w:tcPr>
                <w:p w14:paraId="65860F2E">
                  <w:pPr>
                    <w:keepNext w:val="0"/>
                    <w:keepLines w:val="0"/>
                    <w:suppressLineNumbers w:val="0"/>
                    <w:autoSpaceDE w:val="0"/>
                    <w:autoSpaceDN w:val="0"/>
                    <w:spacing w:before="0" w:beforeAutospacing="0" w:after="0" w:afterAutospacing="0" w:line="276" w:lineRule="auto"/>
                    <w:ind w:left="0" w:right="0"/>
                    <w:jc w:val="center"/>
                    <w:rPr>
                      <w:rFonts w:hint="default"/>
                      <w:color w:val="auto"/>
                      <w:szCs w:val="21"/>
                      <w:lang w:eastAsia="en-US"/>
                    </w:rPr>
                  </w:pPr>
                  <w:r>
                    <w:rPr>
                      <w:rFonts w:hint="eastAsia" w:hAnsi="宋体"/>
                      <w:color w:val="auto"/>
                      <w:szCs w:val="21"/>
                    </w:rPr>
                    <w:t>否</w:t>
                  </w:r>
                </w:p>
              </w:tc>
            </w:tr>
            <w:tr w14:paraId="1DF6BF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789" w:type="pct"/>
                  <w:tcBorders>
                    <w:top w:val="single" w:color="auto" w:sz="4" w:space="0"/>
                    <w:left w:val="nil"/>
                    <w:bottom w:val="single" w:color="auto" w:sz="12" w:space="0"/>
                    <w:right w:val="single" w:color="auto" w:sz="4" w:space="0"/>
                  </w:tcBorders>
                  <w:vAlign w:val="center"/>
                </w:tcPr>
                <w:p w14:paraId="00869253">
                  <w:pPr>
                    <w:keepNext w:val="0"/>
                    <w:keepLines w:val="0"/>
                    <w:suppressLineNumbers w:val="0"/>
                    <w:autoSpaceDE w:val="0"/>
                    <w:autoSpaceDN w:val="0"/>
                    <w:spacing w:before="0" w:beforeAutospacing="0" w:after="0" w:afterAutospacing="0" w:line="276" w:lineRule="auto"/>
                    <w:ind w:left="0" w:right="0"/>
                    <w:jc w:val="center"/>
                    <w:rPr>
                      <w:rFonts w:hint="default"/>
                      <w:color w:val="auto"/>
                      <w:szCs w:val="21"/>
                      <w:lang w:eastAsia="en-US"/>
                    </w:rPr>
                  </w:pPr>
                  <w:r>
                    <w:rPr>
                      <w:rFonts w:hint="eastAsia" w:hAnsi="宋体"/>
                      <w:color w:val="auto"/>
                      <w:szCs w:val="21"/>
                    </w:rPr>
                    <w:t>海洋</w:t>
                  </w:r>
                </w:p>
              </w:tc>
              <w:tc>
                <w:tcPr>
                  <w:tcW w:w="1770" w:type="pct"/>
                  <w:tcBorders>
                    <w:top w:val="single" w:color="auto" w:sz="4" w:space="0"/>
                    <w:left w:val="single" w:color="auto" w:sz="4" w:space="0"/>
                    <w:bottom w:val="single" w:color="auto" w:sz="12" w:space="0"/>
                    <w:right w:val="single" w:color="auto" w:sz="4" w:space="0"/>
                  </w:tcBorders>
                  <w:vAlign w:val="center"/>
                </w:tcPr>
                <w:p w14:paraId="22316A87">
                  <w:pPr>
                    <w:keepNext w:val="0"/>
                    <w:keepLines w:val="0"/>
                    <w:suppressLineNumbers w:val="0"/>
                    <w:autoSpaceDE w:val="0"/>
                    <w:autoSpaceDN w:val="0"/>
                    <w:spacing w:before="0" w:beforeAutospacing="0" w:after="0" w:afterAutospacing="0" w:line="276" w:lineRule="auto"/>
                    <w:ind w:left="0" w:right="0"/>
                    <w:jc w:val="center"/>
                    <w:rPr>
                      <w:rFonts w:hint="default"/>
                      <w:color w:val="auto"/>
                      <w:szCs w:val="21"/>
                    </w:rPr>
                  </w:pPr>
                  <w:r>
                    <w:rPr>
                      <w:rFonts w:hint="eastAsia" w:hAnsi="宋体"/>
                      <w:color w:val="auto"/>
                      <w:szCs w:val="21"/>
                    </w:rPr>
                    <w:t>直接向海排放污染物的海洋工程建设项目</w:t>
                  </w:r>
                </w:p>
              </w:tc>
              <w:tc>
                <w:tcPr>
                  <w:tcW w:w="1596" w:type="pct"/>
                  <w:tcBorders>
                    <w:top w:val="single" w:color="auto" w:sz="4" w:space="0"/>
                    <w:left w:val="single" w:color="auto" w:sz="4" w:space="0"/>
                    <w:bottom w:val="single" w:color="auto" w:sz="12" w:space="0"/>
                    <w:right w:val="single" w:color="auto" w:sz="4" w:space="0"/>
                  </w:tcBorders>
                  <w:vAlign w:val="center"/>
                </w:tcPr>
                <w:p w14:paraId="360EE7CC">
                  <w:pPr>
                    <w:keepNext w:val="0"/>
                    <w:keepLines w:val="0"/>
                    <w:suppressLineNumbers w:val="0"/>
                    <w:autoSpaceDE w:val="0"/>
                    <w:autoSpaceDN w:val="0"/>
                    <w:spacing w:before="0" w:beforeAutospacing="0" w:after="0" w:afterAutospacing="0" w:line="276" w:lineRule="auto"/>
                    <w:ind w:left="0" w:right="0"/>
                    <w:jc w:val="center"/>
                    <w:rPr>
                      <w:rFonts w:hint="default"/>
                      <w:b/>
                      <w:color w:val="auto"/>
                      <w:szCs w:val="21"/>
                    </w:rPr>
                  </w:pPr>
                  <w:r>
                    <w:rPr>
                      <w:rFonts w:hint="eastAsia" w:hAnsi="宋体"/>
                      <w:color w:val="auto"/>
                      <w:szCs w:val="21"/>
                    </w:rPr>
                    <w:t>不涉及</w:t>
                  </w:r>
                </w:p>
              </w:tc>
              <w:tc>
                <w:tcPr>
                  <w:tcW w:w="843" w:type="pct"/>
                  <w:tcBorders>
                    <w:top w:val="single" w:color="auto" w:sz="4" w:space="0"/>
                    <w:left w:val="single" w:color="auto" w:sz="4" w:space="0"/>
                    <w:bottom w:val="single" w:color="auto" w:sz="12" w:space="0"/>
                    <w:right w:val="nil"/>
                  </w:tcBorders>
                  <w:vAlign w:val="center"/>
                </w:tcPr>
                <w:p w14:paraId="549F9630">
                  <w:pPr>
                    <w:keepNext w:val="0"/>
                    <w:keepLines w:val="0"/>
                    <w:suppressLineNumbers w:val="0"/>
                    <w:autoSpaceDE w:val="0"/>
                    <w:autoSpaceDN w:val="0"/>
                    <w:spacing w:before="0" w:beforeAutospacing="0" w:after="0" w:afterAutospacing="0" w:line="276" w:lineRule="auto"/>
                    <w:ind w:left="0" w:right="0"/>
                    <w:jc w:val="center"/>
                    <w:rPr>
                      <w:rFonts w:hint="default"/>
                      <w:color w:val="auto"/>
                      <w:szCs w:val="21"/>
                    </w:rPr>
                  </w:pPr>
                  <w:r>
                    <w:rPr>
                      <w:rFonts w:hint="eastAsia" w:hAnsi="宋体"/>
                      <w:color w:val="auto"/>
                      <w:szCs w:val="21"/>
                    </w:rPr>
                    <w:t>否</w:t>
                  </w:r>
                </w:p>
              </w:tc>
            </w:tr>
          </w:tbl>
          <w:p w14:paraId="639CCC9E">
            <w:pPr>
              <w:keepNext w:val="0"/>
              <w:keepLines w:val="0"/>
              <w:suppressLineNumbers w:val="0"/>
              <w:autoSpaceDE w:val="0"/>
              <w:autoSpaceDN w:val="0"/>
              <w:spacing w:before="0" w:beforeAutospacing="0" w:after="0" w:afterAutospacing="0" w:line="240" w:lineRule="atLeast"/>
              <w:ind w:left="0" w:right="0"/>
              <w:jc w:val="left"/>
              <w:rPr>
                <w:rFonts w:hint="default" w:ascii="宋体" w:hAnsi="宋体" w:cs="宋体"/>
                <w:color w:val="auto"/>
                <w:kern w:val="0"/>
                <w:sz w:val="24"/>
                <w:szCs w:val="24"/>
              </w:rPr>
            </w:pPr>
            <w:r>
              <w:rPr>
                <w:rFonts w:hint="default" w:ascii="Times New Roman" w:hAnsi="Times New Roman" w:eastAsia="黑体"/>
                <w:color w:val="auto"/>
                <w:kern w:val="0"/>
                <w:szCs w:val="21"/>
              </w:rPr>
              <w:t>注</w:t>
            </w:r>
            <w:r>
              <w:rPr>
                <w:rFonts w:hint="eastAsia" w:ascii="Times New Roman" w:hAnsi="Times New Roman" w:eastAsia="黑体"/>
                <w:color w:val="auto"/>
                <w:kern w:val="0"/>
                <w:szCs w:val="21"/>
              </w:rPr>
              <w:t>：1、废气中有毒有害污染物指纳入《有毒有害大气污染物名录》的污染物（不包括无排放标准的污染物）；2、环境空气保护目标指自然保护区、风景名胜区、居住区、文化区和农村地区中人群较集中的区域；3、临界量及其计算方法可参考《建设项目环境风险评价技术导则》（HJ169）附录B、附录C</w:t>
            </w:r>
            <w:r>
              <w:rPr>
                <w:rFonts w:hint="eastAsia" w:ascii="Times New Roman" w:hAnsi="Times New Roman" w:eastAsia="黑体"/>
                <w:color w:val="auto"/>
                <w:kern w:val="0"/>
                <w:szCs w:val="21"/>
                <w:lang w:eastAsia="zh-CN"/>
              </w:rPr>
              <w:t>。</w:t>
            </w:r>
          </w:p>
        </w:tc>
      </w:tr>
      <w:tr w14:paraId="00DC39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wBefore w:w="7" w:type="pct"/>
          <w:trHeight w:val="1018" w:hRule="atLeast"/>
          <w:jc w:val="center"/>
        </w:trPr>
        <w:tc>
          <w:tcPr>
            <w:tcW w:w="714" w:type="pct"/>
            <w:gridSpan w:val="2"/>
            <w:vAlign w:val="center"/>
          </w:tcPr>
          <w:p w14:paraId="6E090073">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宋体"/>
                <w:color w:val="auto"/>
                <w:kern w:val="0"/>
                <w:sz w:val="24"/>
                <w:szCs w:val="24"/>
              </w:rPr>
            </w:pPr>
            <w:r>
              <w:rPr>
                <w:rFonts w:hint="eastAsia" w:ascii="宋体" w:hAnsi="宋体" w:cs="宋体"/>
                <w:color w:val="auto"/>
                <w:sz w:val="24"/>
                <w:szCs w:val="24"/>
              </w:rPr>
              <w:t>规划情况</w:t>
            </w:r>
          </w:p>
        </w:tc>
        <w:tc>
          <w:tcPr>
            <w:tcW w:w="4278" w:type="pct"/>
            <w:gridSpan w:val="3"/>
            <w:vAlign w:val="center"/>
          </w:tcPr>
          <w:p w14:paraId="740F0D9C">
            <w:pPr>
              <w:keepNext w:val="0"/>
              <w:keepLines w:val="0"/>
              <w:suppressLineNumbers w:val="0"/>
              <w:wordWrap w:val="0"/>
              <w:topLinePunct/>
              <w:spacing w:before="0" w:beforeAutospacing="0" w:after="0" w:afterAutospacing="0" w:line="324" w:lineRule="auto"/>
              <w:ind w:left="0" w:right="0"/>
              <w:jc w:val="left"/>
              <w:rPr>
                <w:rFonts w:hint="default" w:ascii="Times New Roman" w:hAnsi="宋体"/>
                <w:color w:val="auto"/>
                <w:sz w:val="24"/>
                <w:szCs w:val="24"/>
              </w:rPr>
            </w:pPr>
            <w:r>
              <w:rPr>
                <w:rFonts w:hint="default" w:ascii="Times New Roman" w:hAnsi="宋体"/>
                <w:color w:val="auto"/>
                <w:sz w:val="24"/>
                <w:szCs w:val="24"/>
              </w:rPr>
              <w:t>规划名称：</w:t>
            </w:r>
            <w:r>
              <w:rPr>
                <w:rFonts w:hint="eastAsia" w:ascii="Times New Roman" w:hAnsi="宋体"/>
                <w:color w:val="auto"/>
                <w:sz w:val="24"/>
                <w:szCs w:val="24"/>
              </w:rPr>
              <w:t>《凤台县（含毛集实验区）国土空间总体规划（2021-2035年）》</w:t>
            </w:r>
          </w:p>
          <w:p w14:paraId="26FD98C3">
            <w:pPr>
              <w:keepNext w:val="0"/>
              <w:keepLines w:val="0"/>
              <w:suppressLineNumbers w:val="0"/>
              <w:autoSpaceDE w:val="0"/>
              <w:autoSpaceDN w:val="0"/>
              <w:spacing w:before="0" w:beforeAutospacing="0" w:after="0" w:afterAutospacing="0" w:line="324" w:lineRule="auto"/>
              <w:ind w:left="0" w:right="0"/>
              <w:jc w:val="left"/>
              <w:rPr>
                <w:rFonts w:hint="default" w:ascii="Times New Roman" w:hAnsi="宋体"/>
                <w:color w:val="auto"/>
                <w:sz w:val="24"/>
                <w:szCs w:val="24"/>
              </w:rPr>
            </w:pPr>
            <w:r>
              <w:rPr>
                <w:rFonts w:hint="default" w:ascii="Times New Roman" w:hAnsi="宋体"/>
                <w:color w:val="auto"/>
                <w:sz w:val="24"/>
                <w:szCs w:val="24"/>
              </w:rPr>
              <w:t>审批机关：</w:t>
            </w:r>
            <w:r>
              <w:rPr>
                <w:rFonts w:hint="eastAsia" w:ascii="Times New Roman" w:hAnsi="宋体"/>
                <w:color w:val="auto"/>
                <w:sz w:val="24"/>
                <w:szCs w:val="24"/>
              </w:rPr>
              <w:t>淮南市人民政府</w:t>
            </w:r>
          </w:p>
          <w:p w14:paraId="022BA3A3">
            <w:pPr>
              <w:keepNext w:val="0"/>
              <w:keepLines w:val="0"/>
              <w:suppressLineNumbers w:val="0"/>
              <w:autoSpaceDE w:val="0"/>
              <w:autoSpaceDN w:val="0"/>
              <w:spacing w:before="0" w:beforeAutospacing="0" w:after="0" w:afterAutospacing="0" w:line="324" w:lineRule="auto"/>
              <w:ind w:left="0" w:right="0"/>
              <w:jc w:val="left"/>
              <w:rPr>
                <w:rFonts w:hint="default" w:ascii="Times New Roman" w:hAnsi="宋体"/>
                <w:color w:val="auto"/>
                <w:sz w:val="24"/>
                <w:szCs w:val="24"/>
              </w:rPr>
            </w:pPr>
            <w:r>
              <w:rPr>
                <w:rFonts w:hint="default" w:ascii="Times New Roman" w:hAnsi="宋体"/>
                <w:color w:val="auto"/>
                <w:sz w:val="24"/>
                <w:szCs w:val="24"/>
              </w:rPr>
              <w:t>审批文件及文号：</w:t>
            </w:r>
            <w:r>
              <w:rPr>
                <w:rFonts w:hint="eastAsia" w:ascii="Times New Roman" w:hAnsi="宋体"/>
                <w:color w:val="auto"/>
                <w:sz w:val="24"/>
                <w:szCs w:val="24"/>
              </w:rPr>
              <w:t>淮南市人民政府关于《凤台县（含毛集实验区）国土空间总体规划（2021-2035年）》的批复</w:t>
            </w:r>
            <w:r>
              <w:rPr>
                <w:rFonts w:hint="eastAsia" w:hAnsi="宋体"/>
                <w:color w:val="auto"/>
                <w:sz w:val="24"/>
                <w:szCs w:val="24"/>
                <w:lang w:eastAsia="zh-CN"/>
              </w:rPr>
              <w:t>（</w:t>
            </w:r>
            <w:r>
              <w:rPr>
                <w:rFonts w:hint="default" w:ascii="Times New Roman" w:hAnsi="宋体"/>
                <w:color w:val="auto"/>
                <w:sz w:val="24"/>
                <w:szCs w:val="24"/>
              </w:rPr>
              <w:t>淮府秘〔2024〕50号</w:t>
            </w:r>
            <w:r>
              <w:rPr>
                <w:rFonts w:hint="eastAsia" w:hAnsi="宋体"/>
                <w:color w:val="auto"/>
                <w:sz w:val="24"/>
                <w:szCs w:val="24"/>
                <w:lang w:eastAsia="zh-CN"/>
              </w:rPr>
              <w:t>）</w:t>
            </w:r>
          </w:p>
          <w:p w14:paraId="71AA135A">
            <w:pPr>
              <w:pStyle w:val="229"/>
              <w:keepNext w:val="0"/>
              <w:keepLines w:val="0"/>
              <w:suppressLineNumbers w:val="0"/>
              <w:spacing w:before="0" w:beforeAutospacing="0" w:after="0" w:afterAutospacing="0"/>
              <w:ind w:left="0" w:right="0" w:firstLine="0" w:firstLineChars="0"/>
              <w:jc w:val="left"/>
              <w:rPr>
                <w:rFonts w:hint="default" w:hAnsi="宋体"/>
                <w:color w:val="auto"/>
                <w:spacing w:val="-20"/>
                <w:sz w:val="24"/>
                <w:szCs w:val="24"/>
              </w:rPr>
            </w:pPr>
            <w:r>
              <w:rPr>
                <w:rFonts w:hint="default" w:hAnsi="宋体"/>
                <w:color w:val="auto"/>
                <w:sz w:val="24"/>
                <w:szCs w:val="24"/>
              </w:rPr>
              <w:t>规划名称：</w:t>
            </w:r>
            <w:r>
              <w:rPr>
                <w:rFonts w:hint="default" w:hAnsi="宋体"/>
                <w:color w:val="auto"/>
                <w:spacing w:val="-20"/>
                <w:sz w:val="24"/>
                <w:szCs w:val="24"/>
              </w:rPr>
              <w:t>《安徽凤台经济开发区总体发展规划（2024-2035年）（调区）》</w:t>
            </w:r>
          </w:p>
          <w:p w14:paraId="3BB2F052">
            <w:pPr>
              <w:pStyle w:val="229"/>
              <w:keepNext w:val="0"/>
              <w:keepLines w:val="0"/>
              <w:suppressLineNumbers w:val="0"/>
              <w:spacing w:before="0" w:beforeAutospacing="0" w:after="0" w:afterAutospacing="0"/>
              <w:ind w:left="0" w:right="0" w:firstLine="0" w:firstLineChars="0"/>
              <w:jc w:val="left"/>
              <w:rPr>
                <w:rFonts w:hint="default" w:hAnsi="宋体"/>
                <w:color w:val="auto"/>
                <w:sz w:val="24"/>
                <w:szCs w:val="24"/>
              </w:rPr>
            </w:pPr>
            <w:r>
              <w:rPr>
                <w:rFonts w:hint="default" w:hAnsi="宋体"/>
                <w:color w:val="auto"/>
                <w:sz w:val="24"/>
                <w:szCs w:val="24"/>
              </w:rPr>
              <w:t>审批机关：安徽省人民政府</w:t>
            </w:r>
          </w:p>
          <w:p w14:paraId="45B64AF7">
            <w:pPr>
              <w:pStyle w:val="229"/>
              <w:keepNext w:val="0"/>
              <w:keepLines w:val="0"/>
              <w:suppressLineNumbers w:val="0"/>
              <w:spacing w:before="0" w:beforeAutospacing="0" w:after="0" w:afterAutospacing="0"/>
              <w:ind w:left="0" w:right="0" w:firstLine="0" w:firstLineChars="0"/>
              <w:jc w:val="left"/>
              <w:rPr>
                <w:rFonts w:hint="default" w:hAnsi="宋体"/>
                <w:color w:val="auto"/>
                <w:szCs w:val="24"/>
              </w:rPr>
            </w:pPr>
            <w:r>
              <w:rPr>
                <w:rFonts w:hint="default" w:hAnsi="宋体"/>
                <w:color w:val="auto"/>
                <w:sz w:val="24"/>
                <w:szCs w:val="24"/>
              </w:rPr>
              <w:t>审批文件及文号：安徽省人民政府关于同意安徽肥西经济开发区等调（扩）区的批复（皖政秘〔2025〕29号）</w:t>
            </w:r>
          </w:p>
        </w:tc>
      </w:tr>
      <w:tr w14:paraId="45643F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wBefore w:w="7" w:type="pct"/>
          <w:trHeight w:val="1199" w:hRule="atLeast"/>
          <w:jc w:val="center"/>
        </w:trPr>
        <w:tc>
          <w:tcPr>
            <w:tcW w:w="714" w:type="pct"/>
            <w:gridSpan w:val="2"/>
            <w:vAlign w:val="center"/>
          </w:tcPr>
          <w:p w14:paraId="31FF340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76" w:lineRule="auto"/>
              <w:ind w:left="0" w:right="0"/>
              <w:jc w:val="center"/>
              <w:textAlignment w:val="auto"/>
              <w:rPr>
                <w:rFonts w:hint="default" w:ascii="宋体" w:hAnsi="宋体" w:cs="宋体"/>
                <w:color w:val="auto"/>
                <w:kern w:val="0"/>
                <w:sz w:val="24"/>
                <w:szCs w:val="24"/>
              </w:rPr>
            </w:pPr>
            <w:r>
              <w:rPr>
                <w:rFonts w:hint="eastAsia" w:ascii="宋体" w:hAnsi="宋体" w:cs="宋体"/>
                <w:color w:val="auto"/>
                <w:sz w:val="24"/>
                <w:szCs w:val="24"/>
              </w:rPr>
              <w:t>规划环境影响评价情况</w:t>
            </w:r>
          </w:p>
        </w:tc>
        <w:tc>
          <w:tcPr>
            <w:tcW w:w="4278" w:type="pct"/>
            <w:gridSpan w:val="3"/>
            <w:vAlign w:val="center"/>
          </w:tcPr>
          <w:p w14:paraId="6979E5C9">
            <w:pPr>
              <w:pStyle w:val="229"/>
              <w:keepNext w:val="0"/>
              <w:keepLines w:val="0"/>
              <w:suppressLineNumbers w:val="0"/>
              <w:spacing w:before="0" w:beforeAutospacing="0" w:after="0" w:afterAutospacing="0"/>
              <w:ind w:left="0" w:right="0"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规划环评文件：《安徽凤台经济开发区总体发展规划（2024-2035年）（调区）环境影响报告书》</w:t>
            </w:r>
          </w:p>
          <w:p w14:paraId="7254D5AE">
            <w:pPr>
              <w:pStyle w:val="229"/>
              <w:keepNext w:val="0"/>
              <w:keepLines w:val="0"/>
              <w:suppressLineNumbers w:val="0"/>
              <w:spacing w:before="0" w:beforeAutospacing="0" w:after="0" w:afterAutospacing="0"/>
              <w:ind w:left="0" w:right="0"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审批机关：安徽省生态环境厅</w:t>
            </w:r>
          </w:p>
          <w:p w14:paraId="415D2980">
            <w:pPr>
              <w:pStyle w:val="229"/>
              <w:keepNext w:val="0"/>
              <w:keepLines w:val="0"/>
              <w:suppressLineNumbers w:val="0"/>
              <w:spacing w:before="0" w:beforeAutospacing="0" w:after="0" w:afterAutospacing="0"/>
              <w:ind w:left="0" w:right="0"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规划审批文件名称：安徽省生态环境厅关于印送《安徽凤台经济开发区总体发展规划（2024-2035年）（调区）环境影响报告书审查意见》的函</w:t>
            </w:r>
          </w:p>
          <w:p w14:paraId="2B1D8DA4">
            <w:pPr>
              <w:pStyle w:val="229"/>
              <w:keepNext w:val="0"/>
              <w:keepLines w:val="0"/>
              <w:suppressLineNumbers w:val="0"/>
              <w:spacing w:before="0" w:beforeAutospacing="0" w:after="0" w:afterAutospacing="0"/>
              <w:ind w:left="0" w:right="0" w:firstLine="0" w:firstLineChars="0"/>
              <w:jc w:val="left"/>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审批文号：皖环函[2024]1008号</w:t>
            </w:r>
          </w:p>
        </w:tc>
      </w:tr>
      <w:tr w14:paraId="1A5683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wBefore w:w="7" w:type="pct"/>
          <w:trHeight w:val="5093" w:hRule="atLeast"/>
          <w:jc w:val="center"/>
        </w:trPr>
        <w:tc>
          <w:tcPr>
            <w:tcW w:w="714" w:type="pct"/>
            <w:gridSpan w:val="2"/>
            <w:vAlign w:val="center"/>
          </w:tcPr>
          <w:p w14:paraId="15B8BA0F">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宋体"/>
                <w:color w:val="auto"/>
                <w:kern w:val="0"/>
                <w:sz w:val="24"/>
                <w:szCs w:val="24"/>
              </w:rPr>
            </w:pPr>
            <w:r>
              <w:rPr>
                <w:rFonts w:hint="eastAsia" w:ascii="宋体" w:hAnsi="宋体" w:cs="宋体"/>
                <w:color w:val="auto"/>
                <w:kern w:val="0"/>
                <w:sz w:val="24"/>
                <w:szCs w:val="24"/>
              </w:rPr>
              <w:t>规划及规划环境影响评价符合性分析</w:t>
            </w:r>
          </w:p>
        </w:tc>
        <w:tc>
          <w:tcPr>
            <w:tcW w:w="4278" w:type="pct"/>
            <w:gridSpan w:val="3"/>
            <w:vAlign w:val="center"/>
          </w:tcPr>
          <w:p w14:paraId="072E77A8">
            <w:pPr>
              <w:keepNext w:val="0"/>
              <w:keepLines w:val="0"/>
              <w:suppressLineNumbers w:val="0"/>
              <w:spacing w:before="0" w:beforeAutospacing="0" w:after="0" w:afterAutospacing="0" w:line="360" w:lineRule="auto"/>
              <w:ind w:left="0" w:right="0" w:firstLine="482" w:firstLineChars="200"/>
              <w:rPr>
                <w:rFonts w:hint="default" w:ascii="Times New Roman" w:hAnsi="Times New Roman"/>
                <w:b/>
                <w:bCs/>
                <w:color w:val="auto"/>
                <w:sz w:val="24"/>
                <w:szCs w:val="24"/>
              </w:rPr>
            </w:pPr>
            <w:r>
              <w:rPr>
                <w:rFonts w:hint="eastAsia" w:ascii="Times New Roman" w:hAnsi="Times New Roman"/>
                <w:b/>
                <w:bCs/>
                <w:color w:val="auto"/>
                <w:sz w:val="24"/>
                <w:szCs w:val="24"/>
              </w:rPr>
              <w:t>1</w:t>
            </w:r>
            <w:r>
              <w:rPr>
                <w:rFonts w:hint="eastAsia" w:ascii="Times New Roman" w:hAnsi="Times New Roman"/>
                <w:b/>
                <w:bCs/>
                <w:color w:val="auto"/>
                <w:sz w:val="24"/>
                <w:szCs w:val="24"/>
                <w:lang w:val="en-US" w:eastAsia="zh-CN"/>
              </w:rPr>
              <w:t>.</w:t>
            </w:r>
            <w:r>
              <w:rPr>
                <w:rFonts w:hint="eastAsia" w:ascii="Times New Roman" w:hAnsi="Times New Roman"/>
                <w:b/>
                <w:bCs/>
                <w:color w:val="auto"/>
                <w:sz w:val="24"/>
                <w:szCs w:val="24"/>
              </w:rPr>
              <w:t>与《凤台县（含毛集实验区）国土空间总体规划（2021-2035年）》符合性分析</w:t>
            </w:r>
          </w:p>
          <w:p w14:paraId="52FEFA4C">
            <w:pPr>
              <w:keepNext w:val="0"/>
              <w:keepLines w:val="0"/>
              <w:suppressLineNumbers w:val="0"/>
              <w:spacing w:before="0" w:beforeAutospacing="0" w:after="0" w:afterAutospacing="0" w:line="360" w:lineRule="auto"/>
              <w:ind w:left="0" w:right="0" w:firstLine="480" w:firstLineChars="200"/>
              <w:jc w:val="center"/>
              <w:rPr>
                <w:rFonts w:hint="default" w:ascii="Times New Roman" w:hAnsi="黑体" w:eastAsia="黑体"/>
                <w:color w:val="auto"/>
                <w:sz w:val="24"/>
                <w:szCs w:val="24"/>
              </w:rPr>
            </w:pPr>
            <w:r>
              <w:rPr>
                <w:rFonts w:hint="default" w:ascii="Times New Roman" w:hAnsi="黑体" w:eastAsia="黑体"/>
                <w:color w:val="auto"/>
                <w:sz w:val="24"/>
                <w:szCs w:val="24"/>
              </w:rPr>
              <w:t>表</w:t>
            </w:r>
            <w:r>
              <w:rPr>
                <w:rFonts w:hint="default" w:ascii="Times New Roman" w:hAnsi="Times New Roman" w:eastAsia="黑体"/>
                <w:color w:val="auto"/>
                <w:sz w:val="24"/>
                <w:szCs w:val="24"/>
              </w:rPr>
              <w:t>1-</w:t>
            </w:r>
            <w:r>
              <w:rPr>
                <w:rFonts w:hint="eastAsia" w:ascii="Times New Roman" w:hAnsi="Times New Roman" w:eastAsia="黑体"/>
                <w:color w:val="auto"/>
                <w:sz w:val="24"/>
                <w:szCs w:val="24"/>
              </w:rPr>
              <w:t xml:space="preserve">2  </w:t>
            </w:r>
            <w:r>
              <w:rPr>
                <w:rFonts w:hint="default" w:ascii="Times New Roman" w:hAnsi="黑体" w:eastAsia="黑体"/>
                <w:color w:val="auto"/>
                <w:sz w:val="24"/>
                <w:szCs w:val="24"/>
              </w:rPr>
              <w:t>与规划</w:t>
            </w:r>
            <w:r>
              <w:rPr>
                <w:rFonts w:hint="eastAsia" w:ascii="Times New Roman" w:hAnsi="黑体" w:eastAsia="黑体"/>
                <w:color w:val="auto"/>
                <w:sz w:val="24"/>
                <w:szCs w:val="24"/>
              </w:rPr>
              <w:t>符合</w:t>
            </w:r>
            <w:r>
              <w:rPr>
                <w:rFonts w:hint="default" w:ascii="Times New Roman" w:hAnsi="黑体" w:eastAsia="黑体"/>
                <w:color w:val="auto"/>
                <w:sz w:val="24"/>
                <w:szCs w:val="24"/>
              </w:rPr>
              <w:t>性分析一览表</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82"/>
              <w:gridCol w:w="2436"/>
              <w:gridCol w:w="2853"/>
              <w:gridCol w:w="933"/>
            </w:tblGrid>
            <w:tr w14:paraId="3BB3FA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 w:type="pct"/>
                  <w:noWrap w:val="0"/>
                  <w:vAlign w:val="center"/>
                </w:tcPr>
                <w:p w14:paraId="4ECFD970">
                  <w:pPr>
                    <w:pStyle w:val="15"/>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76" w:lineRule="auto"/>
                    <w:ind w:left="0" w:right="0"/>
                    <w:jc w:val="center"/>
                    <w:textAlignment w:val="auto"/>
                    <w:rPr>
                      <w:rFonts w:hint="default" w:ascii="Times New Roman" w:hAnsi="Times New Roman"/>
                      <w:b/>
                      <w:color w:val="auto"/>
                      <w:sz w:val="21"/>
                      <w:szCs w:val="21"/>
                    </w:rPr>
                  </w:pPr>
                  <w:r>
                    <w:rPr>
                      <w:rFonts w:hint="default" w:ascii="Times New Roman" w:hAnsi="Times New Roman"/>
                      <w:b/>
                      <w:color w:val="auto"/>
                      <w:sz w:val="21"/>
                      <w:szCs w:val="21"/>
                    </w:rPr>
                    <w:t>序号</w:t>
                  </w:r>
                </w:p>
              </w:tc>
              <w:tc>
                <w:tcPr>
                  <w:tcW w:w="1739" w:type="pct"/>
                  <w:noWrap w:val="0"/>
                  <w:vAlign w:val="center"/>
                </w:tcPr>
                <w:p w14:paraId="6FF09119">
                  <w:pPr>
                    <w:pStyle w:val="15"/>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76" w:lineRule="auto"/>
                    <w:ind w:left="0" w:right="0"/>
                    <w:jc w:val="center"/>
                    <w:textAlignment w:val="auto"/>
                    <w:rPr>
                      <w:rFonts w:hint="default" w:ascii="Times New Roman" w:hAnsi="Times New Roman"/>
                      <w:b/>
                      <w:color w:val="auto"/>
                      <w:sz w:val="21"/>
                      <w:szCs w:val="21"/>
                    </w:rPr>
                  </w:pPr>
                  <w:r>
                    <w:rPr>
                      <w:rFonts w:hint="default" w:ascii="Times New Roman" w:hAnsi="Times New Roman"/>
                      <w:b/>
                      <w:color w:val="auto"/>
                      <w:sz w:val="21"/>
                      <w:szCs w:val="21"/>
                    </w:rPr>
                    <w:t>相关要求</w:t>
                  </w:r>
                </w:p>
              </w:tc>
              <w:tc>
                <w:tcPr>
                  <w:tcW w:w="2037" w:type="pct"/>
                  <w:noWrap w:val="0"/>
                  <w:vAlign w:val="center"/>
                </w:tcPr>
                <w:p w14:paraId="47142629">
                  <w:pPr>
                    <w:pStyle w:val="15"/>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76" w:lineRule="auto"/>
                    <w:ind w:left="0" w:right="0"/>
                    <w:jc w:val="center"/>
                    <w:textAlignment w:val="auto"/>
                    <w:rPr>
                      <w:rFonts w:hint="default" w:ascii="Times New Roman" w:hAnsi="Times New Roman"/>
                      <w:b/>
                      <w:color w:val="auto"/>
                      <w:sz w:val="21"/>
                      <w:szCs w:val="21"/>
                    </w:rPr>
                  </w:pPr>
                  <w:r>
                    <w:rPr>
                      <w:rFonts w:hint="default" w:ascii="Times New Roman" w:hAnsi="Times New Roman"/>
                      <w:b/>
                      <w:color w:val="auto"/>
                      <w:sz w:val="21"/>
                      <w:szCs w:val="21"/>
                    </w:rPr>
                    <w:t>本项目情况</w:t>
                  </w:r>
                </w:p>
              </w:tc>
              <w:tc>
                <w:tcPr>
                  <w:tcW w:w="666" w:type="pct"/>
                  <w:noWrap w:val="0"/>
                  <w:vAlign w:val="center"/>
                </w:tcPr>
                <w:p w14:paraId="6F39137D">
                  <w:pPr>
                    <w:pStyle w:val="162"/>
                    <w:keepNext w:val="0"/>
                    <w:keepLines w:val="0"/>
                    <w:pageBreakBefore w:val="0"/>
                    <w:widowControl w:val="0"/>
                    <w:suppressLineNumbers w:val="0"/>
                    <w:kinsoku/>
                    <w:wordWrap/>
                    <w:overflowPunct/>
                    <w:topLinePunct w:val="0"/>
                    <w:autoSpaceDE/>
                    <w:autoSpaceDN/>
                    <w:bidi w:val="0"/>
                    <w:spacing w:before="0" w:beforeAutospacing="0" w:after="0" w:afterAutospacing="0" w:line="276" w:lineRule="auto"/>
                    <w:ind w:left="0" w:right="0"/>
                    <w:textAlignment w:val="auto"/>
                    <w:rPr>
                      <w:rFonts w:hint="default" w:ascii="Times New Roman"/>
                      <w:b/>
                      <w:color w:val="auto"/>
                      <w:sz w:val="21"/>
                      <w:szCs w:val="21"/>
                      <w:lang w:val="en-US" w:eastAsia="zh-CN"/>
                    </w:rPr>
                  </w:pPr>
                  <w:r>
                    <w:rPr>
                      <w:rFonts w:hint="eastAsia" w:ascii="Times New Roman"/>
                      <w:b/>
                      <w:bCs/>
                      <w:color w:val="auto"/>
                      <w:sz w:val="21"/>
                      <w:szCs w:val="21"/>
                      <w:lang w:val="en-US" w:eastAsia="zh-CN"/>
                    </w:rPr>
                    <w:t>符合</w:t>
                  </w:r>
                  <w:r>
                    <w:rPr>
                      <w:rFonts w:hint="default" w:ascii="Times New Roman"/>
                      <w:b/>
                      <w:bCs/>
                      <w:color w:val="auto"/>
                      <w:sz w:val="21"/>
                      <w:szCs w:val="21"/>
                      <w:lang w:val="en-US" w:eastAsia="zh-CN"/>
                    </w:rPr>
                    <w:t>性</w:t>
                  </w:r>
                </w:p>
              </w:tc>
            </w:tr>
            <w:tr w14:paraId="164FDC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 w:type="pct"/>
                  <w:noWrap w:val="0"/>
                  <w:vAlign w:val="center"/>
                </w:tcPr>
                <w:p w14:paraId="2327AB8B">
                  <w:pPr>
                    <w:pStyle w:val="15"/>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76"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1</w:t>
                  </w:r>
                </w:p>
              </w:tc>
              <w:tc>
                <w:tcPr>
                  <w:tcW w:w="1739" w:type="pct"/>
                  <w:noWrap w:val="0"/>
                  <w:vAlign w:val="center"/>
                </w:tcPr>
                <w:p w14:paraId="1B75E509">
                  <w:pPr>
                    <w:pStyle w:val="15"/>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76" w:lineRule="auto"/>
                    <w:ind w:left="0" w:right="0"/>
                    <w:jc w:val="center"/>
                    <w:textAlignment w:val="auto"/>
                    <w:rPr>
                      <w:rFonts w:hint="default" w:ascii="Times New Roman" w:hAnsi="Times New Roman"/>
                      <w:bCs/>
                      <w:color w:val="auto"/>
                      <w:sz w:val="21"/>
                      <w:szCs w:val="21"/>
                    </w:rPr>
                  </w:pPr>
                  <w:r>
                    <w:rPr>
                      <w:rFonts w:hint="eastAsia" w:ascii="Times New Roman" w:hAnsi="Times New Roman"/>
                      <w:bCs/>
                      <w:color w:val="auto"/>
                      <w:sz w:val="21"/>
                      <w:szCs w:val="21"/>
                    </w:rPr>
                    <w:t>构建</w:t>
                  </w:r>
                  <w:bookmarkStart w:id="2" w:name="OLE_LINK33"/>
                  <w:r>
                    <w:rPr>
                      <w:rFonts w:hint="eastAsia" w:ascii="Times New Roman" w:hAnsi="Times New Roman"/>
                      <w:bCs/>
                      <w:color w:val="auto"/>
                      <w:sz w:val="21"/>
                      <w:szCs w:val="21"/>
                    </w:rPr>
                    <w:t>“一核两带四区”</w:t>
                  </w:r>
                  <w:bookmarkEnd w:id="2"/>
                  <w:r>
                    <w:rPr>
                      <w:rFonts w:hint="eastAsia" w:ascii="Times New Roman" w:hAnsi="Times New Roman"/>
                      <w:bCs/>
                      <w:color w:val="auto"/>
                      <w:sz w:val="21"/>
                      <w:szCs w:val="21"/>
                    </w:rPr>
                    <w:t>的国土空间总体格局。落实淮南市“两带三区四中心”的国土空间总体格局，统筹国土空间安全与发展，按照生产空间集约高效、生活空间宜居适度、生态空间山清水秀的原则，坚持“底线安全，四区协同，轴带引领，组团递进”的布局理念，构建“一核两带四区”的县域国土空间开发保护总体格局。</w:t>
                  </w:r>
                </w:p>
              </w:tc>
              <w:tc>
                <w:tcPr>
                  <w:tcW w:w="2037" w:type="pct"/>
                  <w:vMerge w:val="restart"/>
                  <w:noWrap w:val="0"/>
                  <w:vAlign w:val="center"/>
                </w:tcPr>
                <w:p w14:paraId="39FA7D56">
                  <w:pPr>
                    <w:pStyle w:val="15"/>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76" w:lineRule="auto"/>
                    <w:ind w:left="0" w:right="0"/>
                    <w:jc w:val="center"/>
                    <w:textAlignment w:val="auto"/>
                    <w:rPr>
                      <w:rFonts w:hint="eastAsia" w:ascii="Times New Roman" w:hAnsi="Times New Roman" w:eastAsia="宋体"/>
                      <w:bCs/>
                      <w:color w:val="auto"/>
                      <w:sz w:val="21"/>
                      <w:szCs w:val="21"/>
                      <w:lang w:eastAsia="zh-CN"/>
                    </w:rPr>
                  </w:pPr>
                  <w:r>
                    <w:rPr>
                      <w:rFonts w:hint="default" w:ascii="Times New Roman" w:hAnsi="Times New Roman"/>
                      <w:bCs/>
                      <w:color w:val="auto"/>
                      <w:sz w:val="21"/>
                      <w:szCs w:val="21"/>
                    </w:rPr>
                    <w:t>本项目</w:t>
                  </w:r>
                  <w:r>
                    <w:rPr>
                      <w:rFonts w:hint="eastAsia" w:ascii="Times New Roman" w:hAnsi="Times New Roman"/>
                      <w:bCs/>
                      <w:color w:val="auto"/>
                      <w:sz w:val="21"/>
                      <w:szCs w:val="21"/>
                      <w:lang w:val="en-US" w:eastAsia="zh-CN"/>
                    </w:rPr>
                    <w:t>租赁</w:t>
                  </w:r>
                  <w:r>
                    <w:rPr>
                      <w:rFonts w:hint="eastAsia" w:ascii="Times New Roman" w:hAnsi="Times New Roman"/>
                      <w:bCs/>
                      <w:color w:val="auto"/>
                      <w:sz w:val="21"/>
                      <w:szCs w:val="21"/>
                      <w:lang w:eastAsia="zh-CN"/>
                    </w:rPr>
                    <w:t>安徽省淮南市</w:t>
                  </w:r>
                  <w:r>
                    <w:rPr>
                      <w:rFonts w:hint="eastAsia" w:ascii="Times New Roman" w:hAnsi="Times New Roman"/>
                      <w:bCs/>
                      <w:color w:val="auto"/>
                      <w:sz w:val="21"/>
                      <w:szCs w:val="21"/>
                      <w:lang w:val="en-US" w:eastAsia="zh-CN"/>
                    </w:rPr>
                    <w:t>凤台县</w:t>
                  </w:r>
                  <w:r>
                    <w:rPr>
                      <w:rFonts w:hint="eastAsia" w:ascii="Times New Roman" w:hAnsi="Times New Roman"/>
                      <w:bCs/>
                      <w:color w:val="auto"/>
                      <w:sz w:val="21"/>
                      <w:szCs w:val="21"/>
                      <w:lang w:eastAsia="zh-CN"/>
                    </w:rPr>
                    <w:t>凤台经济开发区电子智能制造产业园52#标准化厂房一层、二层、三层、四层</w:t>
                  </w:r>
                  <w:r>
                    <w:rPr>
                      <w:rFonts w:hint="eastAsia" w:ascii="Times New Roman" w:hAnsi="Times New Roman"/>
                      <w:bCs/>
                      <w:color w:val="auto"/>
                      <w:sz w:val="21"/>
                      <w:szCs w:val="21"/>
                      <w:lang w:val="en-US" w:eastAsia="zh-CN"/>
                    </w:rPr>
                    <w:t>进行建设</w:t>
                  </w:r>
                  <w:r>
                    <w:rPr>
                      <w:rFonts w:hint="default" w:ascii="Times New Roman" w:hAnsi="Times New Roman"/>
                      <w:bCs/>
                      <w:color w:val="auto"/>
                      <w:sz w:val="21"/>
                      <w:szCs w:val="21"/>
                    </w:rPr>
                    <w:t>，</w:t>
                  </w:r>
                  <w:bookmarkStart w:id="3" w:name="OLE_LINK8"/>
                  <w:bookmarkStart w:id="4" w:name="OLE_LINK1"/>
                  <w:r>
                    <w:rPr>
                      <w:rFonts w:hint="default" w:ascii="Times New Roman" w:hAnsi="Times New Roman"/>
                      <w:bCs/>
                      <w:color w:val="auto"/>
                      <w:sz w:val="21"/>
                      <w:szCs w:val="21"/>
                      <w:highlight w:val="none"/>
                    </w:rPr>
                    <w:t>根据企业提供的</w:t>
                  </w:r>
                  <w:r>
                    <w:rPr>
                      <w:rFonts w:hint="eastAsia" w:ascii="Times New Roman" w:hAnsi="Times New Roman"/>
                      <w:bCs/>
                      <w:color w:val="auto"/>
                      <w:sz w:val="21"/>
                      <w:szCs w:val="21"/>
                      <w:highlight w:val="none"/>
                      <w:lang w:val="en-US" w:eastAsia="zh-CN"/>
                    </w:rPr>
                    <w:t>租赁合同及不动产权证</w:t>
                  </w:r>
                  <w:r>
                    <w:rPr>
                      <w:rFonts w:hint="default" w:ascii="Times New Roman" w:hAnsi="Times New Roman"/>
                      <w:bCs/>
                      <w:color w:val="auto"/>
                      <w:sz w:val="21"/>
                      <w:szCs w:val="21"/>
                      <w:highlight w:val="none"/>
                    </w:rPr>
                    <w:t>（见附件</w:t>
                  </w:r>
                  <w:r>
                    <w:rPr>
                      <w:rFonts w:hint="eastAsia" w:ascii="Times New Roman" w:hAnsi="Times New Roman"/>
                      <w:bCs/>
                      <w:color w:val="auto"/>
                      <w:sz w:val="21"/>
                      <w:szCs w:val="21"/>
                      <w:highlight w:val="none"/>
                    </w:rPr>
                    <w:t>3</w:t>
                  </w:r>
                  <w:r>
                    <w:rPr>
                      <w:rFonts w:hint="default" w:ascii="Times New Roman" w:hAnsi="Times New Roman"/>
                      <w:bCs/>
                      <w:color w:val="auto"/>
                      <w:sz w:val="21"/>
                      <w:szCs w:val="21"/>
                      <w:highlight w:val="none"/>
                    </w:rPr>
                    <w:t>）</w:t>
                  </w:r>
                  <w:bookmarkEnd w:id="3"/>
                  <w:bookmarkEnd w:id="4"/>
                  <w:r>
                    <w:rPr>
                      <w:rFonts w:hint="default" w:ascii="Times New Roman" w:hAnsi="Times New Roman"/>
                      <w:bCs/>
                      <w:color w:val="auto"/>
                      <w:sz w:val="21"/>
                      <w:szCs w:val="21"/>
                      <w:highlight w:val="none"/>
                    </w:rPr>
                    <w:t>，本</w:t>
                  </w:r>
                  <w:r>
                    <w:rPr>
                      <w:rFonts w:hint="default" w:ascii="Times New Roman" w:hAnsi="Times New Roman"/>
                      <w:bCs/>
                      <w:color w:val="auto"/>
                      <w:sz w:val="21"/>
                      <w:szCs w:val="21"/>
                    </w:rPr>
                    <w:t>项目用地性质为工业用地，根据《凤台县（含毛集实验区）国土空间总体规划（2021-2035年）》中县域国土空间用地用海规划分区图（见附图</w:t>
                  </w:r>
                  <w:r>
                    <w:rPr>
                      <w:rFonts w:hint="eastAsia" w:ascii="Times New Roman" w:hAnsi="Times New Roman"/>
                      <w:bCs/>
                      <w:color w:val="auto"/>
                      <w:sz w:val="21"/>
                      <w:szCs w:val="21"/>
                      <w:lang w:val="en-US" w:eastAsia="zh-CN"/>
                    </w:rPr>
                    <w:t>4</w:t>
                  </w:r>
                  <w:r>
                    <w:rPr>
                      <w:rFonts w:hint="default" w:ascii="Times New Roman" w:hAnsi="Times New Roman"/>
                      <w:bCs/>
                      <w:color w:val="auto"/>
                      <w:sz w:val="21"/>
                      <w:szCs w:val="21"/>
                    </w:rPr>
                    <w:t>），本项目</w:t>
                  </w:r>
                  <w:r>
                    <w:rPr>
                      <w:rFonts w:hint="eastAsia" w:ascii="Times New Roman" w:hAnsi="Times New Roman"/>
                      <w:bCs/>
                      <w:color w:val="auto"/>
                      <w:sz w:val="21"/>
                      <w:szCs w:val="21"/>
                    </w:rPr>
                    <w:t>属于</w:t>
                  </w:r>
                  <w:r>
                    <w:rPr>
                      <w:rFonts w:hint="default" w:ascii="Times New Roman" w:hAnsi="Times New Roman"/>
                      <w:bCs/>
                      <w:color w:val="auto"/>
                      <w:sz w:val="21"/>
                      <w:szCs w:val="21"/>
                    </w:rPr>
                    <w:t>城镇发展区，不属于</w:t>
                  </w:r>
                  <w:r>
                    <w:rPr>
                      <w:rFonts w:hint="eastAsia" w:ascii="Times New Roman" w:hAnsi="Times New Roman"/>
                      <w:bCs/>
                      <w:color w:val="auto"/>
                      <w:sz w:val="21"/>
                      <w:szCs w:val="21"/>
                    </w:rPr>
                    <w:t>农田保护区、生态保护区、生态控制区、乡村发展区和矿产能源发展区</w:t>
                  </w:r>
                  <w:r>
                    <w:rPr>
                      <w:rFonts w:hint="eastAsia" w:ascii="Times New Roman" w:hAnsi="Times New Roman"/>
                      <w:bCs/>
                      <w:color w:val="auto"/>
                      <w:sz w:val="21"/>
                      <w:szCs w:val="21"/>
                      <w:lang w:eastAsia="zh-CN"/>
                    </w:rPr>
                    <w:t>。</w:t>
                  </w:r>
                </w:p>
              </w:tc>
              <w:tc>
                <w:tcPr>
                  <w:tcW w:w="666" w:type="pct"/>
                  <w:noWrap w:val="0"/>
                  <w:vAlign w:val="center"/>
                </w:tcPr>
                <w:p w14:paraId="1DB75D14">
                  <w:pPr>
                    <w:pStyle w:val="15"/>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76" w:lineRule="auto"/>
                    <w:ind w:left="0" w:right="0"/>
                    <w:jc w:val="center"/>
                    <w:textAlignment w:val="auto"/>
                    <w:rPr>
                      <w:rFonts w:hint="default" w:ascii="Times New Roman" w:hAnsi="Times New Roman"/>
                      <w:color w:val="auto"/>
                      <w:sz w:val="21"/>
                      <w:szCs w:val="21"/>
                    </w:rPr>
                  </w:pPr>
                  <w:r>
                    <w:rPr>
                      <w:rFonts w:hint="default" w:ascii="Times New Roman" w:hAnsi="Times New Roman"/>
                      <w:color w:val="auto"/>
                      <w:sz w:val="21"/>
                      <w:szCs w:val="21"/>
                    </w:rPr>
                    <w:t>符合</w:t>
                  </w:r>
                </w:p>
              </w:tc>
            </w:tr>
            <w:tr w14:paraId="44AC50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 w:type="pct"/>
                  <w:noWrap w:val="0"/>
                  <w:vAlign w:val="center"/>
                </w:tcPr>
                <w:p w14:paraId="64D05CB0">
                  <w:pPr>
                    <w:pStyle w:val="15"/>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76"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2</w:t>
                  </w:r>
                </w:p>
              </w:tc>
              <w:tc>
                <w:tcPr>
                  <w:tcW w:w="1739" w:type="pct"/>
                  <w:noWrap w:val="0"/>
                  <w:vAlign w:val="center"/>
                </w:tcPr>
                <w:p w14:paraId="451A85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76" w:lineRule="auto"/>
                    <w:ind w:left="0" w:right="0"/>
                    <w:jc w:val="center"/>
                    <w:textAlignment w:val="auto"/>
                    <w:rPr>
                      <w:rFonts w:hint="default" w:ascii="Times New Roman" w:hAnsi="Times New Roman"/>
                      <w:bCs/>
                      <w:color w:val="auto"/>
                      <w:sz w:val="21"/>
                      <w:szCs w:val="21"/>
                    </w:rPr>
                  </w:pPr>
                  <w:r>
                    <w:rPr>
                      <w:rFonts w:hint="eastAsia" w:ascii="Times New Roman" w:hAnsi="Times New Roman"/>
                      <w:bCs/>
                      <w:color w:val="auto"/>
                      <w:sz w:val="21"/>
                      <w:szCs w:val="21"/>
                    </w:rPr>
                    <w:t>统筹优化国土空间规划分区。按照主体功能定位和空间治理要求，县域层次国土空间规划分区划分为</w:t>
                  </w:r>
                  <w:bookmarkStart w:id="5" w:name="OLE_LINK34"/>
                  <w:r>
                    <w:rPr>
                      <w:rFonts w:hint="eastAsia" w:ascii="Times New Roman" w:hAnsi="Times New Roman"/>
                      <w:bCs/>
                      <w:color w:val="auto"/>
                      <w:sz w:val="21"/>
                      <w:szCs w:val="21"/>
                    </w:rPr>
                    <w:t>农田保护区、生态保护区、生态控制区、城镇发展区、乡村发展区和矿产能源发展区</w:t>
                  </w:r>
                  <w:bookmarkEnd w:id="5"/>
                  <w:r>
                    <w:rPr>
                      <w:rFonts w:hint="eastAsia" w:ascii="Times New Roman" w:hAnsi="Times New Roman"/>
                      <w:bCs/>
                      <w:color w:val="auto"/>
                      <w:sz w:val="21"/>
                      <w:szCs w:val="21"/>
                    </w:rPr>
                    <w:t>。通过分区管制制度，明确各分区核心管控目标、主要国土用途构成及该分区准入或禁止等管制规则，传导国土空间规划管制政策。</w:t>
                  </w:r>
                </w:p>
              </w:tc>
              <w:tc>
                <w:tcPr>
                  <w:tcW w:w="2037" w:type="pct"/>
                  <w:vMerge w:val="continue"/>
                  <w:noWrap w:val="0"/>
                  <w:vAlign w:val="center"/>
                </w:tcPr>
                <w:p w14:paraId="7F150E49">
                  <w:pPr>
                    <w:pStyle w:val="15"/>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76" w:lineRule="auto"/>
                    <w:ind w:left="0" w:right="0"/>
                    <w:jc w:val="center"/>
                    <w:textAlignment w:val="auto"/>
                    <w:rPr>
                      <w:rFonts w:hint="default" w:ascii="Times New Roman" w:hAnsi="Times New Roman"/>
                      <w:bCs/>
                      <w:color w:val="auto"/>
                      <w:sz w:val="21"/>
                      <w:szCs w:val="21"/>
                    </w:rPr>
                  </w:pPr>
                </w:p>
              </w:tc>
              <w:tc>
                <w:tcPr>
                  <w:tcW w:w="666" w:type="pct"/>
                  <w:noWrap w:val="0"/>
                  <w:vAlign w:val="center"/>
                </w:tcPr>
                <w:p w14:paraId="38563459">
                  <w:pPr>
                    <w:pStyle w:val="15"/>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76" w:lineRule="auto"/>
                    <w:ind w:left="0" w:right="0"/>
                    <w:jc w:val="center"/>
                    <w:textAlignment w:val="auto"/>
                    <w:rPr>
                      <w:rFonts w:hint="default" w:ascii="Times New Roman" w:hAnsi="Times New Roman"/>
                      <w:color w:val="auto"/>
                      <w:sz w:val="21"/>
                      <w:szCs w:val="21"/>
                    </w:rPr>
                  </w:pPr>
                  <w:r>
                    <w:rPr>
                      <w:rFonts w:hint="default" w:ascii="Times New Roman" w:hAnsi="Times New Roman"/>
                      <w:color w:val="auto"/>
                      <w:sz w:val="21"/>
                      <w:szCs w:val="21"/>
                    </w:rPr>
                    <w:t>符合</w:t>
                  </w:r>
                </w:p>
              </w:tc>
            </w:tr>
          </w:tbl>
          <w:p w14:paraId="3D3E4778">
            <w:pPr>
              <w:keepNext w:val="0"/>
              <w:keepLines w:val="0"/>
              <w:suppressLineNumbers w:val="0"/>
              <w:spacing w:before="0" w:beforeAutospacing="0" w:after="0" w:afterAutospacing="0" w:line="360" w:lineRule="auto"/>
              <w:ind w:left="0" w:right="0" w:firstLine="480" w:firstLineChars="200"/>
              <w:jc w:val="left"/>
              <w:rPr>
                <w:rFonts w:hint="default" w:ascii="Times New Roman" w:hAnsi="宋体"/>
                <w:color w:val="auto"/>
                <w:sz w:val="24"/>
                <w:szCs w:val="24"/>
              </w:rPr>
            </w:pPr>
            <w:r>
              <w:rPr>
                <w:rFonts w:hint="eastAsia" w:ascii="Times New Roman" w:hAnsi="宋体"/>
                <w:color w:val="auto"/>
                <w:sz w:val="24"/>
                <w:szCs w:val="24"/>
              </w:rPr>
              <w:t>综上，本项目符合</w:t>
            </w:r>
            <w:r>
              <w:rPr>
                <w:rFonts w:hint="eastAsia" w:ascii="Times New Roman" w:hAnsi="宋体"/>
                <w:bCs/>
                <w:color w:val="auto"/>
                <w:sz w:val="24"/>
                <w:szCs w:val="24"/>
              </w:rPr>
              <w:t>《凤台县（含毛集实验区）国土空间总体规划（2021-2035年）》及其</w:t>
            </w:r>
            <w:r>
              <w:rPr>
                <w:rFonts w:hint="default" w:ascii="Times New Roman" w:hAnsi="宋体"/>
                <w:bCs/>
                <w:color w:val="auto"/>
                <w:sz w:val="24"/>
                <w:szCs w:val="24"/>
              </w:rPr>
              <w:t>审查意见</w:t>
            </w:r>
            <w:r>
              <w:rPr>
                <w:rFonts w:hint="eastAsia" w:ascii="Times New Roman" w:hAnsi="宋体"/>
                <w:color w:val="auto"/>
                <w:sz w:val="24"/>
                <w:szCs w:val="24"/>
              </w:rPr>
              <w:t>相关要求。</w:t>
            </w:r>
          </w:p>
          <w:p w14:paraId="1634A194">
            <w:pPr>
              <w:keepNext w:val="0"/>
              <w:keepLines w:val="0"/>
              <w:suppressLineNumbers w:val="0"/>
              <w:autoSpaceDE w:val="0"/>
              <w:autoSpaceDN w:val="0"/>
              <w:spacing w:before="0" w:beforeAutospacing="0" w:after="0" w:afterAutospacing="0" w:line="360" w:lineRule="auto"/>
              <w:ind w:left="0" w:right="0" w:firstLine="482" w:firstLineChars="200"/>
              <w:jc w:val="left"/>
              <w:rPr>
                <w:rFonts w:hint="eastAsia" w:hAnsi="宋体"/>
                <w:b/>
                <w:color w:val="auto"/>
                <w:sz w:val="24"/>
                <w:lang w:val="en-US" w:eastAsia="zh-CN"/>
              </w:rPr>
            </w:pPr>
            <w:r>
              <w:rPr>
                <w:rFonts w:hint="eastAsia" w:hAnsi="宋体"/>
                <w:b/>
                <w:color w:val="auto"/>
                <w:sz w:val="24"/>
                <w:lang w:val="en-US" w:eastAsia="zh-CN"/>
              </w:rPr>
              <w:t>2.与《安徽凤台经济开发区总体发展规划(2024-2035年)（调区）》符合性分析</w:t>
            </w:r>
          </w:p>
          <w:p w14:paraId="5843923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eastAsia" w:hAnsi="宋体"/>
                <w:b w:val="0"/>
                <w:bCs/>
                <w:color w:val="auto"/>
                <w:sz w:val="24"/>
                <w:lang w:val="en-US" w:eastAsia="zh-CN"/>
              </w:rPr>
            </w:pPr>
            <w:r>
              <w:rPr>
                <w:rFonts w:hint="eastAsia" w:hAnsi="宋体"/>
                <w:b w:val="0"/>
                <w:bCs/>
                <w:color w:val="auto"/>
                <w:sz w:val="24"/>
                <w:lang w:val="en-US" w:eastAsia="zh-CN"/>
              </w:rPr>
              <w:t>（1）用地规划</w:t>
            </w:r>
          </w:p>
          <w:p w14:paraId="1EF5F4F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eastAsia" w:hAnsi="宋体"/>
                <w:b/>
                <w:color w:val="auto"/>
                <w:sz w:val="24"/>
                <w:lang w:val="en-US" w:eastAsia="zh-CN"/>
              </w:rPr>
            </w:pPr>
            <w:r>
              <w:rPr>
                <w:rFonts w:hint="eastAsia" w:hAnsi="宋体"/>
                <w:b w:val="0"/>
                <w:bCs/>
                <w:color w:val="auto"/>
                <w:sz w:val="24"/>
                <w:lang w:val="en-US" w:eastAsia="zh-CN"/>
              </w:rPr>
              <w:t>本项目位于安徽省淮南市凤台县凤台经济开发区</w:t>
            </w:r>
            <w:r>
              <w:rPr>
                <w:rFonts w:hint="eastAsia"/>
                <w:color w:val="auto"/>
                <w:sz w:val="24"/>
                <w:lang w:eastAsia="zh-CN"/>
              </w:rPr>
              <w:t>电子智能制造产业园</w:t>
            </w:r>
            <w:r>
              <w:rPr>
                <w:rFonts w:hint="eastAsia" w:hAnsi="宋体"/>
                <w:b w:val="0"/>
                <w:bCs/>
                <w:color w:val="auto"/>
                <w:sz w:val="24"/>
                <w:lang w:val="en-US" w:eastAsia="zh-CN"/>
              </w:rPr>
              <w:t>，根据《安徽凤台经济开发区总体发展规划（2024-2035年）（调区）》用地规划图可知，项目用地性质为工业用地，符合开发区用地规划要求，项目选址和《安徽凤台经济开发区总体发展规划（2024-2035年）（调区）》用地规划图的位置关系见附图5。</w:t>
            </w:r>
          </w:p>
          <w:p w14:paraId="1CF1745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eastAsia" w:hAnsi="宋体"/>
                <w:b w:val="0"/>
                <w:bCs/>
                <w:color w:val="auto"/>
                <w:sz w:val="24"/>
                <w:lang w:val="en-US" w:eastAsia="zh-CN"/>
              </w:rPr>
            </w:pPr>
            <w:r>
              <w:rPr>
                <w:rFonts w:hint="eastAsia" w:hAnsi="宋体"/>
                <w:b w:val="0"/>
                <w:bCs/>
                <w:color w:val="auto"/>
                <w:sz w:val="24"/>
                <w:lang w:val="en-US" w:eastAsia="zh-CN"/>
              </w:rPr>
              <w:t>（2）产业规划</w:t>
            </w:r>
          </w:p>
          <w:p w14:paraId="2505475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eastAsia" w:hAnsi="宋体"/>
                <w:b/>
                <w:color w:val="auto"/>
                <w:sz w:val="24"/>
                <w:lang w:val="en-US" w:eastAsia="zh-CN"/>
              </w:rPr>
            </w:pPr>
            <w:r>
              <w:rPr>
                <w:rFonts w:hint="eastAsia" w:hAnsi="宋体"/>
                <w:b w:val="0"/>
                <w:bCs/>
                <w:color w:val="auto"/>
                <w:sz w:val="24"/>
                <w:lang w:val="en-US" w:eastAsia="zh-CN"/>
              </w:rPr>
              <w:t>行业类别属于C2927日用塑料制品制造、</w:t>
            </w:r>
            <w:r>
              <w:rPr>
                <w:rFonts w:hint="eastAsia"/>
                <w:color w:val="auto"/>
                <w:sz w:val="24"/>
                <w:szCs w:val="24"/>
                <w:lang w:val="en-US" w:eastAsia="zh-CN"/>
              </w:rPr>
              <w:t>C2929塑料零件及其他塑料制品制造</w:t>
            </w:r>
            <w:r>
              <w:rPr>
                <w:rFonts w:hint="eastAsia" w:hAnsi="宋体"/>
                <w:b w:val="0"/>
                <w:bCs/>
                <w:color w:val="auto"/>
                <w:sz w:val="24"/>
                <w:lang w:val="en-US" w:eastAsia="zh-CN"/>
              </w:rPr>
              <w:t>；根据《安徽凤台经济开发区总体规划（2024-2035年）（调区）》，凤台经济开发区以电气机械制造、汽车制造、非金属矿物制品等为主导产业。本项目不属于园区限制引入类项目、禁止类项目，因此本项目符合凤台经济开发区规划产业功能定位。</w:t>
            </w:r>
          </w:p>
          <w:p w14:paraId="34A2FFD8">
            <w:pPr>
              <w:keepNext w:val="0"/>
              <w:keepLines w:val="0"/>
              <w:numPr>
                <w:ilvl w:val="0"/>
                <w:numId w:val="0"/>
              </w:numPr>
              <w:suppressLineNumbers w:val="0"/>
              <w:autoSpaceDE w:val="0"/>
              <w:autoSpaceDN w:val="0"/>
              <w:spacing w:before="0" w:beforeAutospacing="0" w:after="0" w:afterAutospacing="0" w:line="360" w:lineRule="auto"/>
              <w:ind w:left="0" w:leftChars="0" w:right="0" w:rightChars="0" w:firstLine="482" w:firstLineChars="200"/>
              <w:jc w:val="left"/>
              <w:rPr>
                <w:rFonts w:hint="eastAsia" w:hAnsi="宋体"/>
                <w:b/>
                <w:color w:val="auto"/>
                <w:sz w:val="24"/>
                <w:lang w:val="en-US" w:eastAsia="zh-CN"/>
              </w:rPr>
            </w:pPr>
            <w:r>
              <w:rPr>
                <w:rFonts w:hint="eastAsia" w:hAnsi="宋体" w:cs="Times New Roman"/>
                <w:b/>
                <w:color w:val="auto"/>
                <w:kern w:val="2"/>
                <w:sz w:val="24"/>
                <w:szCs w:val="22"/>
                <w:lang w:val="en-US" w:eastAsia="zh-CN" w:bidi="ar-SA"/>
              </w:rPr>
              <w:t>3.</w:t>
            </w:r>
            <w:r>
              <w:rPr>
                <w:rFonts w:hint="eastAsia" w:hAnsi="宋体"/>
                <w:b/>
                <w:color w:val="auto"/>
                <w:sz w:val="24"/>
                <w:lang w:val="en-US" w:eastAsia="zh-CN"/>
              </w:rPr>
              <w:t>与《安徽凤台经济开发区总体发展规划（2024-2035年）（调区）环境影响报告书》及其审查意见符合性分析</w:t>
            </w:r>
          </w:p>
          <w:p w14:paraId="1782FADA">
            <w:pPr>
              <w:keepNext w:val="0"/>
              <w:keepLines w:val="0"/>
              <w:numPr>
                <w:ilvl w:val="0"/>
                <w:numId w:val="0"/>
              </w:numPr>
              <w:suppressLineNumbers w:val="0"/>
              <w:autoSpaceDE w:val="0"/>
              <w:autoSpaceDN w:val="0"/>
              <w:spacing w:before="0" w:beforeAutospacing="0" w:after="0" w:afterAutospacing="0" w:line="360" w:lineRule="auto"/>
              <w:ind w:left="0" w:right="0" w:rightChars="0" w:firstLine="480" w:firstLineChars="200"/>
              <w:jc w:val="left"/>
              <w:rPr>
                <w:rFonts w:hint="eastAsia" w:hAnsi="宋体"/>
                <w:b w:val="0"/>
                <w:bCs/>
                <w:color w:val="auto"/>
                <w:sz w:val="24"/>
                <w:lang w:val="en-US" w:eastAsia="zh-CN"/>
              </w:rPr>
            </w:pPr>
            <w:r>
              <w:rPr>
                <w:rFonts w:hint="eastAsia" w:hAnsi="宋体"/>
                <w:b w:val="0"/>
                <w:bCs/>
                <w:color w:val="auto"/>
                <w:sz w:val="24"/>
                <w:lang w:val="en-US" w:eastAsia="zh-CN"/>
              </w:rPr>
              <w:t>与《安徽凤台经济开发区总体发展规划（2024-2035年）（调区）环境影响报告书》以及审查意见要求的相符性分析如下表：</w:t>
            </w:r>
          </w:p>
          <w:p w14:paraId="60C67B65">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default" w:eastAsia="黑体"/>
                <w:color w:val="auto"/>
                <w:sz w:val="24"/>
                <w:szCs w:val="24"/>
                <w:lang w:val="en-US" w:eastAsia="zh-CN"/>
              </w:rPr>
            </w:pPr>
            <w:r>
              <w:rPr>
                <w:rFonts w:hint="eastAsia" w:hAnsi="黑体" w:eastAsia="黑体"/>
                <w:color w:val="auto"/>
                <w:sz w:val="24"/>
                <w:szCs w:val="24"/>
              </w:rPr>
              <w:t>表</w:t>
            </w:r>
            <w:r>
              <w:rPr>
                <w:rFonts w:hint="default" w:eastAsia="黑体"/>
                <w:color w:val="auto"/>
                <w:sz w:val="24"/>
                <w:szCs w:val="24"/>
              </w:rPr>
              <w:t>1</w:t>
            </w:r>
            <w:r>
              <w:rPr>
                <w:rFonts w:hint="eastAsia" w:eastAsia="黑体"/>
                <w:color w:val="auto"/>
                <w:sz w:val="24"/>
                <w:szCs w:val="24"/>
                <w:lang w:val="en-US" w:eastAsia="zh-CN"/>
              </w:rPr>
              <w:t>-2</w:t>
            </w:r>
            <w:r>
              <w:rPr>
                <w:rFonts w:hint="default" w:eastAsia="黑体"/>
                <w:color w:val="auto"/>
                <w:sz w:val="24"/>
                <w:szCs w:val="24"/>
              </w:rPr>
              <w:t xml:space="preserve"> </w:t>
            </w:r>
            <w:r>
              <w:rPr>
                <w:rFonts w:hint="eastAsia" w:hAnsi="黑体" w:eastAsia="黑体"/>
                <w:color w:val="auto"/>
                <w:sz w:val="24"/>
                <w:szCs w:val="24"/>
                <w:lang w:val="en-US" w:eastAsia="zh-CN"/>
              </w:rPr>
              <w:t>与规划环评及审查意见相符性</w:t>
            </w:r>
          </w:p>
          <w:tbl>
            <w:tblPr>
              <w:tblStyle w:val="37"/>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61"/>
              <w:gridCol w:w="3192"/>
              <w:gridCol w:w="2494"/>
              <w:gridCol w:w="854"/>
            </w:tblGrid>
            <w:tr w14:paraId="610735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4" w:hRule="atLeast"/>
                <w:jc w:val="center"/>
              </w:trPr>
              <w:tc>
                <w:tcPr>
                  <w:tcW w:w="329" w:type="pct"/>
                  <w:shd w:val="clear" w:color="auto" w:fill="auto"/>
                  <w:vAlign w:val="center"/>
                </w:tcPr>
                <w:p w14:paraId="3D1CD95B">
                  <w:pPr>
                    <w:keepNext w:val="0"/>
                    <w:keepLines w:val="0"/>
                    <w:suppressLineNumbers w:val="0"/>
                    <w:spacing w:before="0" w:beforeAutospacing="0" w:after="0" w:afterAutospacing="0" w:line="276" w:lineRule="auto"/>
                    <w:ind w:left="0" w:right="0"/>
                    <w:jc w:val="center"/>
                    <w:rPr>
                      <w:rFonts w:hint="default"/>
                      <w:b/>
                      <w:color w:val="auto"/>
                      <w:szCs w:val="21"/>
                    </w:rPr>
                  </w:pPr>
                  <w:r>
                    <w:rPr>
                      <w:rFonts w:hint="default"/>
                      <w:b/>
                      <w:color w:val="auto"/>
                      <w:szCs w:val="21"/>
                    </w:rPr>
                    <w:t>序号</w:t>
                  </w:r>
                </w:p>
              </w:tc>
              <w:tc>
                <w:tcPr>
                  <w:tcW w:w="2279" w:type="pct"/>
                  <w:shd w:val="clear" w:color="auto" w:fill="auto"/>
                  <w:vAlign w:val="center"/>
                </w:tcPr>
                <w:p w14:paraId="66BD0C8C">
                  <w:pPr>
                    <w:keepNext w:val="0"/>
                    <w:keepLines w:val="0"/>
                    <w:suppressLineNumbers w:val="0"/>
                    <w:spacing w:before="0" w:beforeAutospacing="0" w:after="0" w:afterAutospacing="0" w:line="276" w:lineRule="auto"/>
                    <w:ind w:left="0" w:right="0"/>
                    <w:jc w:val="center"/>
                    <w:rPr>
                      <w:rFonts w:hint="default" w:eastAsia="宋体"/>
                      <w:b/>
                      <w:color w:val="auto"/>
                      <w:szCs w:val="21"/>
                      <w:lang w:val="en-US" w:eastAsia="zh-CN"/>
                    </w:rPr>
                  </w:pPr>
                  <w:r>
                    <w:rPr>
                      <w:rFonts w:hint="eastAsia"/>
                      <w:b/>
                      <w:color w:val="auto"/>
                      <w:szCs w:val="21"/>
                      <w:lang w:val="en-US" w:eastAsia="zh-CN"/>
                    </w:rPr>
                    <w:t>相关要求</w:t>
                  </w:r>
                </w:p>
              </w:tc>
              <w:tc>
                <w:tcPr>
                  <w:tcW w:w="1781" w:type="pct"/>
                  <w:shd w:val="clear" w:color="auto" w:fill="auto"/>
                  <w:vAlign w:val="center"/>
                </w:tcPr>
                <w:p w14:paraId="259473ED">
                  <w:pPr>
                    <w:keepNext w:val="0"/>
                    <w:keepLines w:val="0"/>
                    <w:suppressLineNumbers w:val="0"/>
                    <w:spacing w:before="0" w:beforeAutospacing="0" w:after="0" w:afterAutospacing="0" w:line="276" w:lineRule="auto"/>
                    <w:ind w:left="0" w:right="0"/>
                    <w:jc w:val="center"/>
                    <w:rPr>
                      <w:rFonts w:hint="eastAsia" w:eastAsia="宋体"/>
                      <w:b/>
                      <w:color w:val="auto"/>
                      <w:szCs w:val="21"/>
                      <w:lang w:val="en-US" w:eastAsia="zh-CN"/>
                    </w:rPr>
                  </w:pPr>
                  <w:r>
                    <w:rPr>
                      <w:rFonts w:hint="default" w:hAnsi="Calibri"/>
                      <w:b/>
                      <w:color w:val="auto"/>
                      <w:szCs w:val="21"/>
                    </w:rPr>
                    <w:t>本项目</w:t>
                  </w:r>
                  <w:r>
                    <w:rPr>
                      <w:rFonts w:hint="eastAsia" w:hAnsi="Calibri"/>
                      <w:b/>
                      <w:color w:val="auto"/>
                      <w:szCs w:val="21"/>
                      <w:lang w:val="en-US" w:eastAsia="zh-CN"/>
                    </w:rPr>
                    <w:t>情况</w:t>
                  </w:r>
                </w:p>
              </w:tc>
              <w:tc>
                <w:tcPr>
                  <w:tcW w:w="610" w:type="pct"/>
                  <w:shd w:val="clear" w:color="auto" w:fill="auto"/>
                  <w:vAlign w:val="center"/>
                </w:tcPr>
                <w:p w14:paraId="492BFA85">
                  <w:pPr>
                    <w:keepNext w:val="0"/>
                    <w:keepLines w:val="0"/>
                    <w:suppressLineNumbers w:val="0"/>
                    <w:spacing w:before="0" w:beforeAutospacing="0" w:after="0" w:afterAutospacing="0" w:line="276" w:lineRule="auto"/>
                    <w:ind w:left="0" w:right="0"/>
                    <w:jc w:val="center"/>
                    <w:rPr>
                      <w:rFonts w:hint="default"/>
                      <w:b/>
                      <w:color w:val="auto"/>
                      <w:szCs w:val="21"/>
                    </w:rPr>
                  </w:pPr>
                  <w:r>
                    <w:rPr>
                      <w:rFonts w:hint="default" w:hAnsi="Calibri"/>
                      <w:b/>
                      <w:color w:val="auto"/>
                      <w:szCs w:val="21"/>
                    </w:rPr>
                    <w:t>符合性</w:t>
                  </w:r>
                </w:p>
              </w:tc>
            </w:tr>
            <w:tr w14:paraId="7CFFE5C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4" w:hRule="atLeast"/>
                <w:jc w:val="center"/>
              </w:trPr>
              <w:tc>
                <w:tcPr>
                  <w:tcW w:w="329" w:type="pct"/>
                  <w:shd w:val="clear" w:color="auto" w:fill="auto"/>
                  <w:vAlign w:val="center"/>
                </w:tcPr>
                <w:p w14:paraId="6F1615B5">
                  <w:pPr>
                    <w:keepNext w:val="0"/>
                    <w:keepLines w:val="0"/>
                    <w:suppressLineNumbers w:val="0"/>
                    <w:spacing w:before="0" w:beforeAutospacing="0" w:after="0" w:afterAutospacing="0" w:line="276" w:lineRule="auto"/>
                    <w:ind w:left="0" w:right="0"/>
                    <w:jc w:val="center"/>
                    <w:rPr>
                      <w:rFonts w:hint="default"/>
                      <w:color w:val="auto"/>
                      <w:szCs w:val="21"/>
                    </w:rPr>
                  </w:pPr>
                  <w:r>
                    <w:rPr>
                      <w:rFonts w:hint="default"/>
                      <w:color w:val="auto"/>
                      <w:szCs w:val="21"/>
                    </w:rPr>
                    <w:t>1</w:t>
                  </w:r>
                </w:p>
              </w:tc>
              <w:tc>
                <w:tcPr>
                  <w:tcW w:w="2279" w:type="pct"/>
                  <w:shd w:val="clear" w:color="auto" w:fill="auto"/>
                  <w:vAlign w:val="center"/>
                </w:tcPr>
                <w:p w14:paraId="443C34FB">
                  <w:pPr>
                    <w:keepNext w:val="0"/>
                    <w:keepLines w:val="0"/>
                    <w:suppressLineNumbers w:val="0"/>
                    <w:spacing w:before="0" w:beforeAutospacing="0" w:after="0" w:afterAutospacing="0" w:line="276" w:lineRule="auto"/>
                    <w:ind w:left="0" w:right="0"/>
                    <w:jc w:val="center"/>
                    <w:rPr>
                      <w:rFonts w:hint="eastAsia" w:hAnsi="宋体" w:eastAsia="宋体"/>
                      <w:color w:val="auto"/>
                      <w:szCs w:val="21"/>
                      <w:lang w:eastAsia="zh-CN"/>
                    </w:rPr>
                  </w:pPr>
                  <w:r>
                    <w:rPr>
                      <w:rFonts w:hint="eastAsia" w:hAnsi="宋体"/>
                      <w:color w:val="auto"/>
                      <w:szCs w:val="21"/>
                      <w:lang w:eastAsia="zh-CN"/>
                    </w:rPr>
                    <w:t>（</w:t>
                  </w:r>
                  <w:r>
                    <w:rPr>
                      <w:rFonts w:hint="eastAsia" w:hAnsi="宋体"/>
                      <w:color w:val="auto"/>
                      <w:szCs w:val="21"/>
                      <w:lang w:val="en-US" w:eastAsia="zh-CN"/>
                    </w:rPr>
                    <w:t>一</w:t>
                  </w:r>
                  <w:r>
                    <w:rPr>
                      <w:rFonts w:hint="eastAsia" w:hAnsi="宋体"/>
                      <w:color w:val="auto"/>
                      <w:szCs w:val="21"/>
                      <w:lang w:eastAsia="zh-CN"/>
                    </w:rPr>
                    <w:t>）</w:t>
                  </w:r>
                  <w:r>
                    <w:rPr>
                      <w:rFonts w:hint="eastAsia" w:hAnsi="宋体" w:eastAsia="宋体"/>
                      <w:color w:val="auto"/>
                      <w:szCs w:val="21"/>
                      <w:lang w:eastAsia="zh-CN"/>
                    </w:rPr>
                    <w:t>加强《规划》引领，坚持绿色协调发展。《规划》应全面贯彻落实习近平生态文明思想，加强《规划》与《淮河流域水污染防治暂行条例》、深入打好污染防治攻坚战相关要求、生态环境分区管控方案及国土空间总体规划的协调衔接。统筹推进开发区整体发展和生态保护，基于区域资源、生态、环境等制约因素合理控制开发利用强度和开发区建设时序，进一步提高土地利用效率，协调总体发展与区域环境保护的关系。推进开发区减污降碳协同共治、资源节约集约及循环化利用、能源智慧高效利用、环境风险防控等工作的落实，引导开发区高质量发展。认真落实开发区近期发展规划，着力推进开发区产业转型升级和结构布局优化，结合区域生态环境承载力，确保产业发展与区域生态环境保护、人居环境质量保障相协调。</w:t>
                  </w:r>
                </w:p>
              </w:tc>
              <w:tc>
                <w:tcPr>
                  <w:tcW w:w="1781" w:type="pct"/>
                  <w:shd w:val="clear" w:color="auto" w:fill="auto"/>
                  <w:vAlign w:val="center"/>
                </w:tcPr>
                <w:p w14:paraId="2D706A89">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default" w:eastAsia="宋体"/>
                      <w:color w:val="auto"/>
                      <w:szCs w:val="21"/>
                      <w:lang w:val="en-US" w:eastAsia="zh-CN"/>
                    </w:rPr>
                    <w:t>根据《安徽凤台经济开发区总体发展规划（2024-2035年）》，本项目所在地性质为工业用地，符合园区</w:t>
                  </w:r>
                  <w:r>
                    <w:rPr>
                      <w:rFonts w:hint="eastAsia"/>
                      <w:color w:val="auto"/>
                      <w:szCs w:val="21"/>
                      <w:lang w:val="en-US" w:eastAsia="zh-CN"/>
                    </w:rPr>
                    <w:t>用地布局规划</w:t>
                  </w:r>
                  <w:r>
                    <w:rPr>
                      <w:rFonts w:hint="default" w:eastAsia="宋体"/>
                      <w:color w:val="auto"/>
                      <w:szCs w:val="21"/>
                      <w:lang w:val="en-US" w:eastAsia="zh-CN"/>
                    </w:rPr>
                    <w:t>。项目选址和《安徽凤台经济开发区总体发展规划（2024-2035年）（调区）》用地规划图的位置关系见附图</w:t>
                  </w:r>
                  <w:r>
                    <w:rPr>
                      <w:rFonts w:hint="eastAsia"/>
                      <w:color w:val="auto"/>
                      <w:szCs w:val="21"/>
                      <w:lang w:val="en-US" w:eastAsia="zh-CN"/>
                    </w:rPr>
                    <w:t>5</w:t>
                  </w:r>
                  <w:r>
                    <w:rPr>
                      <w:rFonts w:hint="default" w:eastAsia="宋体"/>
                      <w:color w:val="auto"/>
                      <w:szCs w:val="21"/>
                      <w:lang w:val="en-US" w:eastAsia="zh-CN"/>
                    </w:rPr>
                    <w:t>。</w:t>
                  </w:r>
                </w:p>
              </w:tc>
              <w:tc>
                <w:tcPr>
                  <w:tcW w:w="610" w:type="pct"/>
                  <w:shd w:val="clear" w:color="auto" w:fill="auto"/>
                  <w:vAlign w:val="center"/>
                </w:tcPr>
                <w:p w14:paraId="5C1255E1">
                  <w:pPr>
                    <w:keepNext w:val="0"/>
                    <w:keepLines w:val="0"/>
                    <w:suppressLineNumbers w:val="0"/>
                    <w:spacing w:before="0" w:beforeAutospacing="0" w:after="0" w:afterAutospacing="0" w:line="276" w:lineRule="auto"/>
                    <w:ind w:left="0" w:right="0"/>
                    <w:jc w:val="center"/>
                    <w:rPr>
                      <w:rFonts w:hint="default"/>
                      <w:color w:val="auto"/>
                      <w:szCs w:val="21"/>
                    </w:rPr>
                  </w:pPr>
                  <w:r>
                    <w:rPr>
                      <w:rFonts w:hint="default"/>
                      <w:color w:val="auto"/>
                      <w:szCs w:val="21"/>
                    </w:rPr>
                    <w:t>符合</w:t>
                  </w:r>
                </w:p>
              </w:tc>
            </w:tr>
            <w:tr w14:paraId="3366714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4" w:hRule="atLeast"/>
                <w:jc w:val="center"/>
              </w:trPr>
              <w:tc>
                <w:tcPr>
                  <w:tcW w:w="329" w:type="pct"/>
                  <w:shd w:val="clear" w:color="auto" w:fill="auto"/>
                  <w:vAlign w:val="center"/>
                </w:tcPr>
                <w:p w14:paraId="26267B61">
                  <w:pPr>
                    <w:keepNext w:val="0"/>
                    <w:keepLines w:val="0"/>
                    <w:suppressLineNumbers w:val="0"/>
                    <w:spacing w:before="0" w:beforeAutospacing="0" w:after="0" w:afterAutospacing="0" w:line="276" w:lineRule="auto"/>
                    <w:ind w:left="0" w:right="0"/>
                    <w:jc w:val="center"/>
                    <w:rPr>
                      <w:rFonts w:hint="eastAsia" w:eastAsia="宋体"/>
                      <w:color w:val="auto"/>
                      <w:szCs w:val="21"/>
                      <w:lang w:val="en-US" w:eastAsia="zh-CN"/>
                    </w:rPr>
                  </w:pPr>
                  <w:r>
                    <w:rPr>
                      <w:rFonts w:hint="eastAsia"/>
                      <w:color w:val="auto"/>
                      <w:szCs w:val="21"/>
                      <w:lang w:val="en-US" w:eastAsia="zh-CN"/>
                    </w:rPr>
                    <w:t>2</w:t>
                  </w:r>
                </w:p>
              </w:tc>
              <w:tc>
                <w:tcPr>
                  <w:tcW w:w="2279" w:type="pct"/>
                  <w:shd w:val="clear" w:color="auto" w:fill="auto"/>
                  <w:vAlign w:val="center"/>
                </w:tcPr>
                <w:p w14:paraId="63DABF16">
                  <w:pPr>
                    <w:keepNext w:val="0"/>
                    <w:keepLines w:val="0"/>
                    <w:suppressLineNumbers w:val="0"/>
                    <w:spacing w:before="0" w:beforeAutospacing="0" w:after="0" w:afterAutospacing="0" w:line="276" w:lineRule="auto"/>
                    <w:ind w:left="0" w:right="0"/>
                    <w:jc w:val="center"/>
                    <w:rPr>
                      <w:rFonts w:hint="eastAsia" w:hAnsi="宋体" w:eastAsia="宋体"/>
                      <w:color w:val="auto"/>
                      <w:szCs w:val="21"/>
                      <w:lang w:eastAsia="zh-CN"/>
                    </w:rPr>
                  </w:pPr>
                  <w:r>
                    <w:rPr>
                      <w:rFonts w:hint="eastAsia" w:hAnsi="宋体"/>
                      <w:color w:val="auto"/>
                      <w:szCs w:val="21"/>
                      <w:lang w:eastAsia="zh-CN"/>
                    </w:rPr>
                    <w:t>（</w:t>
                  </w:r>
                  <w:r>
                    <w:rPr>
                      <w:rFonts w:hint="eastAsia" w:hAnsi="宋体"/>
                      <w:color w:val="auto"/>
                      <w:szCs w:val="21"/>
                      <w:lang w:val="en-US" w:eastAsia="zh-CN"/>
                    </w:rPr>
                    <w:t>二</w:t>
                  </w:r>
                  <w:r>
                    <w:rPr>
                      <w:rFonts w:hint="eastAsia" w:hAnsi="宋体"/>
                      <w:color w:val="auto"/>
                      <w:szCs w:val="21"/>
                      <w:lang w:eastAsia="zh-CN"/>
                    </w:rPr>
                    <w:t>）</w:t>
                  </w:r>
                  <w:r>
                    <w:rPr>
                      <w:rFonts w:hint="eastAsia" w:hAnsi="宋体" w:eastAsia="宋体"/>
                      <w:color w:val="auto"/>
                      <w:szCs w:val="21"/>
                      <w:lang w:eastAsia="zh-CN"/>
                    </w:rPr>
                    <w:t>严守环境质量底线，保护区域生态环境质量。开发区周边涉及淮河以及八公山国家地质公园、八公山风景名胜区、八公山国家森林公园、安徽凤台凤凰湖省级湿地公园、淮河淮南段长吻鮠国家级水产种质资源保护区等生态敏感区，生态环境保护要求较高，应主动避让并与其边界保持一定的缓冲防护距离。开发区应坚持“生态优先、绿色发展”的战略定位，以生态环境质量改善、防范环境风险为核心，明确开发区发展存在的环境制约因素。根据国家和我省大气、水、土壤、环境风险防范和固体废物污染防治相关要求，妥善解决区域现存生态环境问题，确保开发区建设项目污染物长期稳定达标排放，区域生态环境质量持续改善。鉴于淮河水生态环境保护要求较高，开发区应审慎考虑并严格控制涉氟产业发展规模及水污染物排放总量</w:t>
                  </w:r>
                  <w:r>
                    <w:rPr>
                      <w:rFonts w:hint="eastAsia" w:hAnsi="宋体"/>
                      <w:color w:val="auto"/>
                      <w:szCs w:val="21"/>
                      <w:lang w:eastAsia="zh-CN"/>
                    </w:rPr>
                    <w:t>。</w:t>
                  </w:r>
                </w:p>
              </w:tc>
              <w:tc>
                <w:tcPr>
                  <w:tcW w:w="1781" w:type="pct"/>
                  <w:shd w:val="clear" w:color="auto" w:fill="auto"/>
                  <w:vAlign w:val="center"/>
                </w:tcPr>
                <w:p w14:paraId="199F4715">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default" w:eastAsia="宋体"/>
                      <w:color w:val="auto"/>
                      <w:szCs w:val="21"/>
                      <w:lang w:val="en-US" w:eastAsia="zh-CN"/>
                    </w:rPr>
                    <w:t>本项目距安徽凤台凤凰湖省级湿地公园约</w:t>
                  </w:r>
                  <w:r>
                    <w:rPr>
                      <w:rFonts w:hint="eastAsia"/>
                      <w:color w:val="auto"/>
                      <w:szCs w:val="21"/>
                      <w:lang w:val="en-US" w:eastAsia="zh-CN"/>
                    </w:rPr>
                    <w:t>2.13</w:t>
                  </w:r>
                  <w:r>
                    <w:rPr>
                      <w:rFonts w:hint="default" w:eastAsia="宋体"/>
                      <w:color w:val="auto"/>
                      <w:szCs w:val="21"/>
                      <w:lang w:val="en-US" w:eastAsia="zh-CN"/>
                    </w:rPr>
                    <w:t>km，不在其缓冲防护距离内；</w:t>
                  </w:r>
                  <w:r>
                    <w:rPr>
                      <w:rFonts w:hint="eastAsia"/>
                      <w:color w:val="auto"/>
                      <w:szCs w:val="21"/>
                      <w:lang w:val="en-US" w:eastAsia="zh-CN"/>
                    </w:rPr>
                    <w:t>注塑废气</w:t>
                  </w:r>
                  <w:r>
                    <w:rPr>
                      <w:rFonts w:hint="default" w:eastAsia="宋体"/>
                      <w:color w:val="auto"/>
                      <w:szCs w:val="21"/>
                      <w:lang w:val="en-US" w:eastAsia="zh-CN"/>
                    </w:rPr>
                    <w:t>经集气罩收集后进入一套“二级活性炭吸附装置”（TA001）处理后通过</w:t>
                  </w:r>
                  <w:r>
                    <w:rPr>
                      <w:rFonts w:hint="eastAsia"/>
                      <w:color w:val="auto"/>
                      <w:szCs w:val="21"/>
                      <w:lang w:val="en-US" w:eastAsia="zh-CN"/>
                    </w:rPr>
                    <w:t>23</w:t>
                  </w:r>
                  <w:r>
                    <w:rPr>
                      <w:rFonts w:hint="default" w:eastAsia="宋体"/>
                      <w:color w:val="auto"/>
                      <w:szCs w:val="21"/>
                      <w:lang w:val="en-US" w:eastAsia="zh-CN"/>
                    </w:rPr>
                    <w:t>m高排气筒（DA001）排放；</w:t>
                  </w:r>
                  <w:r>
                    <w:rPr>
                      <w:rFonts w:hint="eastAsia"/>
                      <w:color w:val="auto"/>
                      <w:szCs w:val="21"/>
                      <w:lang w:val="en-US" w:eastAsia="zh-CN"/>
                    </w:rPr>
                    <w:t>循环冷却排水与经化粪池预处理的</w:t>
                  </w:r>
                  <w:r>
                    <w:rPr>
                      <w:rFonts w:hint="default" w:eastAsia="宋体"/>
                      <w:color w:val="auto"/>
                      <w:szCs w:val="21"/>
                      <w:lang w:val="en-US" w:eastAsia="zh-CN"/>
                    </w:rPr>
                    <w:t>生活污水</w:t>
                  </w:r>
                  <w:r>
                    <w:rPr>
                      <w:rFonts w:hint="eastAsia"/>
                      <w:color w:val="auto"/>
                      <w:szCs w:val="21"/>
                      <w:lang w:val="en-US" w:eastAsia="zh-CN"/>
                    </w:rPr>
                    <w:t>一并</w:t>
                  </w:r>
                  <w:r>
                    <w:rPr>
                      <w:rFonts w:hint="default" w:eastAsia="宋体"/>
                      <w:color w:val="auto"/>
                      <w:szCs w:val="21"/>
                      <w:lang w:val="en-US" w:eastAsia="zh-CN"/>
                    </w:rPr>
                    <w:t>收集处理，达到</w:t>
                  </w:r>
                  <w:r>
                    <w:rPr>
                      <w:rFonts w:hint="eastAsia"/>
                      <w:color w:val="auto"/>
                      <w:szCs w:val="21"/>
                      <w:lang w:val="en-US" w:eastAsia="zh-CN"/>
                    </w:rPr>
                    <w:t>凤台县污水处理厂</w:t>
                  </w:r>
                  <w:r>
                    <w:rPr>
                      <w:rFonts w:hint="default" w:eastAsia="宋体"/>
                      <w:color w:val="auto"/>
                      <w:szCs w:val="21"/>
                      <w:lang w:val="en-US" w:eastAsia="zh-CN"/>
                    </w:rPr>
                    <w:t>接管标准限值后</w:t>
                  </w:r>
                  <w:r>
                    <w:rPr>
                      <w:rFonts w:hint="eastAsia"/>
                      <w:color w:val="auto"/>
                      <w:szCs w:val="21"/>
                      <w:lang w:val="en-US" w:eastAsia="zh-CN"/>
                    </w:rPr>
                    <w:t>接管至凤台县污水处理厂</w:t>
                  </w:r>
                  <w:r>
                    <w:rPr>
                      <w:rFonts w:hint="default" w:eastAsia="宋体"/>
                      <w:color w:val="auto"/>
                      <w:szCs w:val="21"/>
                      <w:lang w:val="en-US" w:eastAsia="zh-CN"/>
                    </w:rPr>
                    <w:t>处理；项目</w:t>
                  </w:r>
                  <w:r>
                    <w:rPr>
                      <w:rFonts w:hint="eastAsia"/>
                      <w:color w:val="auto"/>
                      <w:szCs w:val="21"/>
                      <w:lang w:val="en-US" w:eastAsia="zh-CN"/>
                    </w:rPr>
                    <w:t>危废暂存间及化学品库</w:t>
                  </w:r>
                  <w:r>
                    <w:rPr>
                      <w:rFonts w:hint="default" w:eastAsia="宋体"/>
                      <w:color w:val="auto"/>
                      <w:szCs w:val="21"/>
                      <w:lang w:val="en-US" w:eastAsia="zh-CN"/>
                    </w:rPr>
                    <w:t>重点防渗，</w:t>
                  </w:r>
                  <w:r>
                    <w:rPr>
                      <w:rFonts w:hint="eastAsia"/>
                      <w:b w:val="0"/>
                      <w:bCs w:val="0"/>
                      <w:color w:val="auto"/>
                      <w:szCs w:val="21"/>
                      <w:lang w:val="en-US" w:eastAsia="zh-CN"/>
                    </w:rPr>
                    <w:t>生产区域</w:t>
                  </w:r>
                  <w:r>
                    <w:rPr>
                      <w:rFonts w:hint="eastAsia"/>
                      <w:b w:val="0"/>
                      <w:bCs w:val="0"/>
                      <w:color w:val="auto"/>
                      <w:szCs w:val="21"/>
                    </w:rPr>
                    <w:t>、</w:t>
                  </w:r>
                  <w:r>
                    <w:rPr>
                      <w:rFonts w:hint="eastAsia"/>
                      <w:b w:val="0"/>
                      <w:bCs w:val="0"/>
                      <w:color w:val="auto"/>
                      <w:szCs w:val="21"/>
                      <w:lang w:val="en-US" w:eastAsia="zh-CN"/>
                    </w:rPr>
                    <w:t>原材料存放区、包材区、</w:t>
                  </w:r>
                  <w:r>
                    <w:rPr>
                      <w:rFonts w:hint="eastAsia"/>
                      <w:b w:val="0"/>
                      <w:bCs w:val="0"/>
                      <w:color w:val="auto"/>
                      <w:szCs w:val="21"/>
                    </w:rPr>
                    <w:t>配电房</w:t>
                  </w:r>
                  <w:r>
                    <w:rPr>
                      <w:rFonts w:hint="eastAsia"/>
                      <w:b w:val="0"/>
                      <w:bCs w:val="0"/>
                      <w:color w:val="auto"/>
                      <w:szCs w:val="21"/>
                      <w:lang w:val="en-US" w:eastAsia="zh-CN"/>
                    </w:rPr>
                    <w:t>及一般工业固废间</w:t>
                  </w:r>
                  <w:r>
                    <w:rPr>
                      <w:rFonts w:hint="default" w:eastAsia="宋体"/>
                      <w:color w:val="auto"/>
                      <w:szCs w:val="21"/>
                      <w:lang w:val="en-US" w:eastAsia="zh-CN"/>
                    </w:rPr>
                    <w:t>等除重点防渗区外的其他生产区域简单防渗，各单元防渗层满足相应控制标准要求，有效防止废液下渗污染地下水和土壤环境。本项目不涉氟。</w:t>
                  </w:r>
                </w:p>
              </w:tc>
              <w:tc>
                <w:tcPr>
                  <w:tcW w:w="610" w:type="pct"/>
                  <w:shd w:val="clear" w:color="auto" w:fill="auto"/>
                  <w:vAlign w:val="center"/>
                </w:tcPr>
                <w:p w14:paraId="306E9E37">
                  <w:pPr>
                    <w:keepNext w:val="0"/>
                    <w:keepLines w:val="0"/>
                    <w:suppressLineNumbers w:val="0"/>
                    <w:spacing w:before="0" w:beforeAutospacing="0" w:after="0" w:afterAutospacing="0" w:line="276" w:lineRule="auto"/>
                    <w:ind w:left="0" w:right="0"/>
                    <w:jc w:val="center"/>
                    <w:rPr>
                      <w:rFonts w:hint="eastAsia" w:eastAsia="宋体"/>
                      <w:color w:val="auto"/>
                      <w:szCs w:val="21"/>
                      <w:lang w:val="en-US" w:eastAsia="zh-CN"/>
                    </w:rPr>
                  </w:pPr>
                  <w:r>
                    <w:rPr>
                      <w:rFonts w:hint="eastAsia"/>
                      <w:color w:val="auto"/>
                      <w:szCs w:val="21"/>
                      <w:lang w:val="en-US" w:eastAsia="zh-CN"/>
                    </w:rPr>
                    <w:t>符合</w:t>
                  </w:r>
                </w:p>
              </w:tc>
            </w:tr>
            <w:tr w14:paraId="4499738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4" w:hRule="atLeast"/>
                <w:jc w:val="center"/>
              </w:trPr>
              <w:tc>
                <w:tcPr>
                  <w:tcW w:w="329" w:type="pct"/>
                  <w:shd w:val="clear" w:color="auto" w:fill="auto"/>
                  <w:vAlign w:val="center"/>
                </w:tcPr>
                <w:p w14:paraId="15151C3C">
                  <w:pPr>
                    <w:keepNext w:val="0"/>
                    <w:keepLines w:val="0"/>
                    <w:suppressLineNumbers w:val="0"/>
                    <w:spacing w:before="0" w:beforeAutospacing="0" w:after="0" w:afterAutospacing="0" w:line="276" w:lineRule="auto"/>
                    <w:ind w:left="0" w:right="0"/>
                    <w:jc w:val="center"/>
                    <w:rPr>
                      <w:rFonts w:hint="eastAsia" w:eastAsia="宋体"/>
                      <w:color w:val="auto"/>
                      <w:szCs w:val="21"/>
                      <w:lang w:val="en-US" w:eastAsia="zh-CN"/>
                    </w:rPr>
                  </w:pPr>
                  <w:r>
                    <w:rPr>
                      <w:rFonts w:hint="eastAsia"/>
                      <w:color w:val="auto"/>
                      <w:szCs w:val="21"/>
                      <w:lang w:val="en-US" w:eastAsia="zh-CN"/>
                    </w:rPr>
                    <w:t>3</w:t>
                  </w:r>
                </w:p>
              </w:tc>
              <w:tc>
                <w:tcPr>
                  <w:tcW w:w="2279" w:type="pct"/>
                  <w:shd w:val="clear" w:color="auto" w:fill="auto"/>
                  <w:vAlign w:val="center"/>
                </w:tcPr>
                <w:p w14:paraId="637F8C19">
                  <w:pPr>
                    <w:keepNext w:val="0"/>
                    <w:keepLines w:val="0"/>
                    <w:suppressLineNumbers w:val="0"/>
                    <w:spacing w:before="0" w:beforeAutospacing="0" w:after="0" w:afterAutospacing="0" w:line="276" w:lineRule="auto"/>
                    <w:ind w:left="0" w:right="0"/>
                    <w:jc w:val="center"/>
                    <w:rPr>
                      <w:rFonts w:hint="eastAsia" w:hAnsi="宋体" w:eastAsia="宋体"/>
                      <w:color w:val="auto"/>
                      <w:szCs w:val="21"/>
                      <w:lang w:eastAsia="zh-CN"/>
                    </w:rPr>
                  </w:pPr>
                  <w:r>
                    <w:rPr>
                      <w:rFonts w:hint="eastAsia" w:hAnsi="宋体"/>
                      <w:color w:val="auto"/>
                      <w:szCs w:val="21"/>
                      <w:lang w:eastAsia="zh-CN"/>
                    </w:rPr>
                    <w:t>（</w:t>
                  </w:r>
                  <w:r>
                    <w:rPr>
                      <w:rFonts w:hint="eastAsia" w:hAnsi="宋体"/>
                      <w:color w:val="auto"/>
                      <w:szCs w:val="21"/>
                      <w:lang w:val="en-US" w:eastAsia="zh-CN"/>
                    </w:rPr>
                    <w:t>三</w:t>
                  </w:r>
                  <w:r>
                    <w:rPr>
                      <w:rFonts w:hint="eastAsia" w:hAnsi="宋体"/>
                      <w:color w:val="auto"/>
                      <w:szCs w:val="21"/>
                      <w:lang w:eastAsia="zh-CN"/>
                    </w:rPr>
                    <w:t>）</w:t>
                  </w:r>
                  <w:r>
                    <w:rPr>
                      <w:rFonts w:hint="eastAsia" w:hAnsi="宋体" w:eastAsia="宋体"/>
                      <w:color w:val="auto"/>
                      <w:szCs w:val="21"/>
                      <w:lang w:eastAsia="zh-CN"/>
                    </w:rPr>
                    <w:t>优化空间布局，加强生态环境分区管控。落实生态环境分区管控要求，结合国家和省长江经济带发展负面清单管控要求及区域资源优势和环境制约因素、开发区产业定位等，进一步完善调区规划，优化功能分区和空间布局。合理规划不同功能区的环境保护空间，严禁不符合管控要</w:t>
                  </w:r>
                  <w:r>
                    <w:rPr>
                      <w:rFonts w:hint="eastAsia" w:hAnsi="宋体"/>
                      <w:color w:val="auto"/>
                      <w:szCs w:val="21"/>
                      <w:lang w:val="en-US" w:eastAsia="zh-CN"/>
                    </w:rPr>
                    <w:t>求</w:t>
                  </w:r>
                  <w:r>
                    <w:rPr>
                      <w:rFonts w:hint="eastAsia" w:hAnsi="宋体" w:eastAsia="宋体"/>
                      <w:color w:val="auto"/>
                      <w:szCs w:val="21"/>
                      <w:lang w:eastAsia="zh-CN"/>
                    </w:rPr>
                    <w:t>的各类开发建设活动，规划实施应加强对淮河的保护，不得损害周边水环境、大气环境、声环境、重要生态敏感区的环境质量和生态功能。做好开发区工业企业与周边地表水体、居住区等各类环境保护目标的有效离居住区和保护地周边严禁布设生态环境影响较大的建设项目，保障区域生态环境安全，实现产业发展与区域生态环境保护相协调</w:t>
                  </w:r>
                  <w:r>
                    <w:rPr>
                      <w:rFonts w:hint="eastAsia" w:hAnsi="宋体"/>
                      <w:color w:val="auto"/>
                      <w:szCs w:val="21"/>
                      <w:lang w:eastAsia="zh-CN"/>
                    </w:rPr>
                    <w:t>。</w:t>
                  </w:r>
                </w:p>
              </w:tc>
              <w:tc>
                <w:tcPr>
                  <w:tcW w:w="1781" w:type="pct"/>
                  <w:shd w:val="clear" w:color="auto" w:fill="auto"/>
                  <w:vAlign w:val="center"/>
                </w:tcPr>
                <w:p w14:paraId="60001EE8">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default" w:eastAsia="宋体"/>
                      <w:color w:val="auto"/>
                      <w:szCs w:val="21"/>
                      <w:lang w:val="en-US" w:eastAsia="zh-CN"/>
                    </w:rPr>
                    <w:t>项目位于</w:t>
                  </w:r>
                  <w:r>
                    <w:rPr>
                      <w:rFonts w:hint="eastAsia"/>
                      <w:color w:val="auto"/>
                      <w:szCs w:val="21"/>
                      <w:lang w:val="en-US" w:eastAsia="zh-CN"/>
                    </w:rPr>
                    <w:t>安徽省淮南市凤台县凤台经济开发区电子智能制造产业园52#标准化厂房一层、二层、三层、四层</w:t>
                  </w:r>
                  <w:r>
                    <w:rPr>
                      <w:rFonts w:hint="default" w:eastAsia="宋体"/>
                      <w:color w:val="auto"/>
                      <w:szCs w:val="21"/>
                      <w:lang w:val="en-US" w:eastAsia="zh-CN"/>
                    </w:rPr>
                    <w:t>，行业类别属于C2927日用塑料制品制造</w:t>
                  </w:r>
                  <w:r>
                    <w:rPr>
                      <w:rFonts w:hint="eastAsia"/>
                      <w:color w:val="auto"/>
                      <w:szCs w:val="21"/>
                      <w:lang w:val="en-US" w:eastAsia="zh-CN"/>
                    </w:rPr>
                    <w:t>、C2929塑料零件及其他塑料制品制造</w:t>
                  </w:r>
                  <w:r>
                    <w:rPr>
                      <w:rFonts w:hint="default" w:eastAsia="宋体"/>
                      <w:color w:val="auto"/>
                      <w:szCs w:val="21"/>
                      <w:lang w:val="en-US" w:eastAsia="zh-CN"/>
                    </w:rPr>
                    <w:t>，根据《产业结构调整指导目录（2024年本）》，本项目不属于目录中鼓励类、限制类和淘汰类的范畴，视为允许建设项目</w:t>
                  </w:r>
                  <w:r>
                    <w:rPr>
                      <w:rFonts w:hint="eastAsia"/>
                      <w:color w:val="auto"/>
                      <w:szCs w:val="21"/>
                      <w:lang w:val="en-US" w:eastAsia="zh-CN"/>
                    </w:rPr>
                    <w:t>。</w:t>
                  </w:r>
                </w:p>
              </w:tc>
              <w:tc>
                <w:tcPr>
                  <w:tcW w:w="610" w:type="pct"/>
                  <w:shd w:val="clear" w:color="auto" w:fill="auto"/>
                  <w:vAlign w:val="center"/>
                </w:tcPr>
                <w:p w14:paraId="6D1E5B95">
                  <w:pPr>
                    <w:keepNext w:val="0"/>
                    <w:keepLines w:val="0"/>
                    <w:suppressLineNumbers w:val="0"/>
                    <w:spacing w:before="0" w:beforeAutospacing="0" w:after="0" w:afterAutospacing="0" w:line="276" w:lineRule="auto"/>
                    <w:ind w:left="0" w:right="0"/>
                    <w:jc w:val="center"/>
                    <w:rPr>
                      <w:rFonts w:hint="eastAsia" w:eastAsia="宋体"/>
                      <w:color w:val="auto"/>
                      <w:szCs w:val="21"/>
                      <w:lang w:val="en-US" w:eastAsia="zh-CN"/>
                    </w:rPr>
                  </w:pPr>
                  <w:r>
                    <w:rPr>
                      <w:rFonts w:hint="eastAsia"/>
                      <w:color w:val="auto"/>
                      <w:szCs w:val="21"/>
                      <w:lang w:val="en-US" w:eastAsia="zh-CN"/>
                    </w:rPr>
                    <w:t>符合</w:t>
                  </w:r>
                </w:p>
              </w:tc>
            </w:tr>
            <w:tr w14:paraId="394C8DB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4" w:hRule="atLeast"/>
                <w:jc w:val="center"/>
              </w:trPr>
              <w:tc>
                <w:tcPr>
                  <w:tcW w:w="329" w:type="pct"/>
                  <w:shd w:val="clear" w:color="auto" w:fill="auto"/>
                  <w:vAlign w:val="center"/>
                </w:tcPr>
                <w:p w14:paraId="4DB72C14">
                  <w:pPr>
                    <w:keepNext w:val="0"/>
                    <w:keepLines w:val="0"/>
                    <w:suppressLineNumbers w:val="0"/>
                    <w:spacing w:before="0" w:beforeAutospacing="0" w:after="0" w:afterAutospacing="0" w:line="276" w:lineRule="auto"/>
                    <w:ind w:left="0" w:right="0"/>
                    <w:jc w:val="center"/>
                    <w:rPr>
                      <w:rFonts w:hint="eastAsia" w:eastAsia="宋体"/>
                      <w:color w:val="auto"/>
                      <w:szCs w:val="21"/>
                      <w:lang w:val="en-US" w:eastAsia="zh-CN"/>
                    </w:rPr>
                  </w:pPr>
                  <w:r>
                    <w:rPr>
                      <w:rFonts w:hint="eastAsia"/>
                      <w:color w:val="auto"/>
                      <w:szCs w:val="21"/>
                      <w:lang w:val="en-US" w:eastAsia="zh-CN"/>
                    </w:rPr>
                    <w:t>4</w:t>
                  </w:r>
                </w:p>
              </w:tc>
              <w:tc>
                <w:tcPr>
                  <w:tcW w:w="2279" w:type="pct"/>
                  <w:shd w:val="clear" w:color="auto" w:fill="auto"/>
                  <w:vAlign w:val="center"/>
                </w:tcPr>
                <w:p w14:paraId="5068EB38">
                  <w:pPr>
                    <w:keepNext w:val="0"/>
                    <w:keepLines w:val="0"/>
                    <w:suppressLineNumbers w:val="0"/>
                    <w:spacing w:before="0" w:beforeAutospacing="0" w:after="0" w:afterAutospacing="0" w:line="276" w:lineRule="auto"/>
                    <w:ind w:left="0" w:right="0"/>
                    <w:jc w:val="center"/>
                    <w:rPr>
                      <w:rFonts w:hint="eastAsia" w:hAnsi="宋体" w:eastAsia="宋体"/>
                      <w:color w:val="auto"/>
                      <w:szCs w:val="21"/>
                      <w:lang w:eastAsia="zh-CN"/>
                    </w:rPr>
                  </w:pPr>
                  <w:r>
                    <w:rPr>
                      <w:rFonts w:hint="eastAsia" w:hAnsi="宋体"/>
                      <w:color w:val="auto"/>
                      <w:szCs w:val="21"/>
                      <w:lang w:eastAsia="zh-CN"/>
                    </w:rPr>
                    <w:t>（</w:t>
                  </w:r>
                  <w:r>
                    <w:rPr>
                      <w:rFonts w:hint="eastAsia" w:hAnsi="宋体"/>
                      <w:color w:val="auto"/>
                      <w:szCs w:val="21"/>
                      <w:lang w:val="en-US" w:eastAsia="zh-CN"/>
                    </w:rPr>
                    <w:t>四</w:t>
                  </w:r>
                  <w:r>
                    <w:rPr>
                      <w:rFonts w:hint="eastAsia" w:hAnsi="宋体"/>
                      <w:color w:val="auto"/>
                      <w:szCs w:val="21"/>
                      <w:lang w:eastAsia="zh-CN"/>
                    </w:rPr>
                    <w:t>）</w:t>
                  </w:r>
                  <w:r>
                    <w:rPr>
                      <w:rFonts w:hint="eastAsia" w:hAnsi="宋体" w:eastAsia="宋体"/>
                      <w:color w:val="auto"/>
                      <w:szCs w:val="21"/>
                      <w:lang w:eastAsia="zh-CN"/>
                    </w:rPr>
                    <w:t>完善环保基础设施建设，强化环境污染防控。按照环保基础设施适当超前建设的原则，根据主导产业、开发时序和开发强度，进一步优化区域供水、排水</w:t>
                  </w:r>
                  <w:r>
                    <w:rPr>
                      <w:rFonts w:hint="eastAsia" w:hAnsi="宋体"/>
                      <w:color w:val="auto"/>
                      <w:szCs w:val="21"/>
                      <w:lang w:eastAsia="zh-CN"/>
                    </w:rPr>
                    <w:t>、</w:t>
                  </w:r>
                  <w:r>
                    <w:rPr>
                      <w:rFonts w:hint="eastAsia" w:hAnsi="宋体" w:eastAsia="宋体"/>
                      <w:color w:val="auto"/>
                      <w:szCs w:val="21"/>
                      <w:lang w:eastAsia="zh-CN"/>
                    </w:rPr>
                    <w:t>供气、供热及中水回用等规划。开发区应加快新调入区域环保基础设施建设，完善含氟废水深度处理设施。结合区域环境质量现状，细化开发区污染防治基础设施建设、运行管理要求及应急处理处置方案，合理设定处理规模和排放指标，保障开发区周边空气环境持续改善，水环境功能降低，受纳水体、下游水环境保护目标及相关考核断面稳定达标。</w:t>
                  </w:r>
                </w:p>
              </w:tc>
              <w:tc>
                <w:tcPr>
                  <w:tcW w:w="1781" w:type="pct"/>
                  <w:shd w:val="clear" w:color="auto" w:fill="auto"/>
                  <w:vAlign w:val="center"/>
                </w:tcPr>
                <w:p w14:paraId="2DBC7BDC">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default" w:eastAsia="宋体"/>
                      <w:color w:val="auto"/>
                      <w:szCs w:val="21"/>
                      <w:lang w:val="en-US" w:eastAsia="zh-CN"/>
                    </w:rPr>
                    <w:t>本项目所在区域供水、排水市政管网及园区污水处理厂已配套完善，项目生活污水经化粪池</w:t>
                  </w:r>
                  <w:r>
                    <w:rPr>
                      <w:rFonts w:hint="eastAsia"/>
                      <w:color w:val="auto"/>
                      <w:szCs w:val="21"/>
                      <w:lang w:val="en-US" w:eastAsia="zh-CN"/>
                    </w:rPr>
                    <w:t>预</w:t>
                  </w:r>
                  <w:r>
                    <w:rPr>
                      <w:rFonts w:hint="default" w:eastAsia="宋体"/>
                      <w:color w:val="auto"/>
                      <w:szCs w:val="21"/>
                      <w:lang w:val="en-US" w:eastAsia="zh-CN"/>
                    </w:rPr>
                    <w:t>处理，</w:t>
                  </w:r>
                  <w:r>
                    <w:rPr>
                      <w:rFonts w:hint="eastAsia"/>
                      <w:color w:val="auto"/>
                      <w:szCs w:val="21"/>
                      <w:lang w:val="en-US" w:eastAsia="zh-CN"/>
                    </w:rPr>
                    <w:t>废水预处理</w:t>
                  </w:r>
                  <w:r>
                    <w:rPr>
                      <w:rFonts w:hint="default" w:eastAsia="宋体"/>
                      <w:color w:val="auto"/>
                      <w:szCs w:val="21"/>
                      <w:lang w:val="en-US" w:eastAsia="zh-CN"/>
                    </w:rPr>
                    <w:t>达到</w:t>
                  </w:r>
                  <w:r>
                    <w:rPr>
                      <w:rFonts w:hint="eastAsia"/>
                      <w:color w:val="auto"/>
                      <w:szCs w:val="21"/>
                      <w:lang w:val="en-US" w:eastAsia="zh-CN"/>
                    </w:rPr>
                    <w:t>凤台县污水处理厂</w:t>
                  </w:r>
                  <w:r>
                    <w:rPr>
                      <w:rFonts w:hint="default" w:eastAsia="宋体"/>
                      <w:color w:val="auto"/>
                      <w:szCs w:val="21"/>
                      <w:lang w:val="en-US" w:eastAsia="zh-CN"/>
                    </w:rPr>
                    <w:t>接管标准限值后</w:t>
                  </w:r>
                  <w:r>
                    <w:rPr>
                      <w:rFonts w:hint="eastAsia"/>
                      <w:color w:val="auto"/>
                      <w:szCs w:val="21"/>
                      <w:lang w:val="en-US" w:eastAsia="zh-CN"/>
                    </w:rPr>
                    <w:t>与循环冷却排水一并接管至凤台县污水处理厂</w:t>
                  </w:r>
                  <w:r>
                    <w:rPr>
                      <w:rFonts w:hint="default" w:eastAsia="宋体"/>
                      <w:color w:val="auto"/>
                      <w:szCs w:val="21"/>
                      <w:lang w:val="en-US" w:eastAsia="zh-CN"/>
                    </w:rPr>
                    <w:t>进行深度处理</w:t>
                  </w:r>
                  <w:r>
                    <w:rPr>
                      <w:rFonts w:hint="eastAsia"/>
                      <w:color w:val="auto"/>
                      <w:szCs w:val="21"/>
                      <w:lang w:val="en-US" w:eastAsia="zh-CN"/>
                    </w:rPr>
                    <w:t>后</w:t>
                  </w:r>
                  <w:r>
                    <w:rPr>
                      <w:rFonts w:hint="default" w:eastAsia="宋体"/>
                      <w:color w:val="auto"/>
                      <w:szCs w:val="21"/>
                      <w:lang w:val="en-US" w:eastAsia="zh-CN"/>
                    </w:rPr>
                    <w:t>排入架河。</w:t>
                  </w:r>
                </w:p>
              </w:tc>
              <w:tc>
                <w:tcPr>
                  <w:tcW w:w="610" w:type="pct"/>
                  <w:shd w:val="clear" w:color="auto" w:fill="auto"/>
                  <w:vAlign w:val="center"/>
                </w:tcPr>
                <w:p w14:paraId="08174230">
                  <w:pPr>
                    <w:keepNext w:val="0"/>
                    <w:keepLines w:val="0"/>
                    <w:suppressLineNumbers w:val="0"/>
                    <w:spacing w:before="0" w:beforeAutospacing="0" w:after="0" w:afterAutospacing="0" w:line="276" w:lineRule="auto"/>
                    <w:ind w:left="0" w:right="0"/>
                    <w:jc w:val="center"/>
                    <w:rPr>
                      <w:rFonts w:hint="eastAsia" w:eastAsia="宋体"/>
                      <w:color w:val="auto"/>
                      <w:szCs w:val="21"/>
                      <w:lang w:val="en-US" w:eastAsia="zh-CN"/>
                    </w:rPr>
                  </w:pPr>
                  <w:r>
                    <w:rPr>
                      <w:rFonts w:hint="eastAsia"/>
                      <w:color w:val="auto"/>
                      <w:szCs w:val="21"/>
                      <w:lang w:val="en-US" w:eastAsia="zh-CN"/>
                    </w:rPr>
                    <w:t>符合</w:t>
                  </w:r>
                </w:p>
              </w:tc>
            </w:tr>
            <w:tr w14:paraId="6D84CE9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4" w:hRule="atLeast"/>
                <w:jc w:val="center"/>
              </w:trPr>
              <w:tc>
                <w:tcPr>
                  <w:tcW w:w="329" w:type="pct"/>
                  <w:shd w:val="clear" w:color="auto" w:fill="auto"/>
                  <w:vAlign w:val="center"/>
                </w:tcPr>
                <w:p w14:paraId="5E9C5756">
                  <w:pPr>
                    <w:keepNext w:val="0"/>
                    <w:keepLines w:val="0"/>
                    <w:suppressLineNumbers w:val="0"/>
                    <w:spacing w:before="0" w:beforeAutospacing="0" w:after="0" w:afterAutospacing="0" w:line="276" w:lineRule="auto"/>
                    <w:ind w:left="0" w:right="0"/>
                    <w:jc w:val="center"/>
                    <w:rPr>
                      <w:rFonts w:hint="eastAsia" w:eastAsia="宋体"/>
                      <w:color w:val="auto"/>
                      <w:szCs w:val="21"/>
                      <w:lang w:val="en-US" w:eastAsia="zh-CN"/>
                    </w:rPr>
                  </w:pPr>
                  <w:r>
                    <w:rPr>
                      <w:rFonts w:hint="eastAsia"/>
                      <w:color w:val="auto"/>
                      <w:szCs w:val="21"/>
                      <w:lang w:val="en-US" w:eastAsia="zh-CN"/>
                    </w:rPr>
                    <w:t>5</w:t>
                  </w:r>
                </w:p>
              </w:tc>
              <w:tc>
                <w:tcPr>
                  <w:tcW w:w="2279" w:type="pct"/>
                  <w:shd w:val="clear" w:color="auto" w:fill="auto"/>
                  <w:vAlign w:val="center"/>
                </w:tcPr>
                <w:p w14:paraId="57ED5A79">
                  <w:pPr>
                    <w:keepNext w:val="0"/>
                    <w:keepLines w:val="0"/>
                    <w:suppressLineNumbers w:val="0"/>
                    <w:spacing w:before="0" w:beforeAutospacing="0" w:after="0" w:afterAutospacing="0" w:line="276" w:lineRule="auto"/>
                    <w:ind w:left="0" w:right="0"/>
                    <w:jc w:val="center"/>
                    <w:rPr>
                      <w:rFonts w:hint="eastAsia" w:hAnsi="宋体" w:eastAsia="宋体"/>
                      <w:color w:val="auto"/>
                      <w:szCs w:val="21"/>
                      <w:lang w:eastAsia="zh-CN"/>
                    </w:rPr>
                  </w:pPr>
                  <w:r>
                    <w:rPr>
                      <w:rFonts w:hint="eastAsia" w:hAnsi="宋体"/>
                      <w:color w:val="auto"/>
                      <w:szCs w:val="21"/>
                      <w:lang w:eastAsia="zh-CN"/>
                    </w:rPr>
                    <w:t>（</w:t>
                  </w:r>
                  <w:r>
                    <w:rPr>
                      <w:rFonts w:hint="eastAsia" w:hAnsi="宋体"/>
                      <w:color w:val="auto"/>
                      <w:szCs w:val="21"/>
                      <w:lang w:val="en-US" w:eastAsia="zh-CN"/>
                    </w:rPr>
                    <w:t>五</w:t>
                  </w:r>
                  <w:r>
                    <w:rPr>
                      <w:rFonts w:hint="eastAsia" w:hAnsi="宋体"/>
                      <w:color w:val="auto"/>
                      <w:szCs w:val="21"/>
                      <w:lang w:eastAsia="zh-CN"/>
                    </w:rPr>
                    <w:t>）</w:t>
                  </w:r>
                  <w:r>
                    <w:rPr>
                      <w:rFonts w:hint="eastAsia" w:hAnsi="宋体" w:eastAsia="宋体"/>
                      <w:color w:val="auto"/>
                      <w:szCs w:val="21"/>
                      <w:lang w:eastAsia="zh-CN"/>
                    </w:rPr>
                    <w:t>细化生态环境准入清单，推动高质量发展。《报告书》应根据规划区域调整，结合主导产业、区域生态环境质量现状、生态环境分区管控要求和现行生态环境管理要求等，进一步细化开发区产业准入清单。严格执行国家产业政策，严禁不符合淮河流域生态环境保护要求的项目。坚决遏制“两高一低”项目盲目发展，引进项目的清洁生产水平不应低于国内同行业先进水平加强对《淮河流域水污染防治暂</w:t>
                  </w:r>
                </w:p>
                <w:p w14:paraId="6AC18244">
                  <w:pPr>
                    <w:keepNext w:val="0"/>
                    <w:keepLines w:val="0"/>
                    <w:suppressLineNumbers w:val="0"/>
                    <w:spacing w:before="0" w:beforeAutospacing="0" w:after="0" w:afterAutospacing="0" w:line="276" w:lineRule="auto"/>
                    <w:ind w:left="0" w:right="0"/>
                    <w:jc w:val="center"/>
                    <w:rPr>
                      <w:rFonts w:hint="eastAsia" w:hAnsi="宋体" w:eastAsia="宋体"/>
                      <w:color w:val="auto"/>
                      <w:szCs w:val="21"/>
                      <w:lang w:eastAsia="zh-CN"/>
                    </w:rPr>
                  </w:pPr>
                  <w:r>
                    <w:rPr>
                      <w:rFonts w:hint="eastAsia" w:hAnsi="宋体" w:eastAsia="宋体"/>
                      <w:color w:val="auto"/>
                      <w:szCs w:val="21"/>
                      <w:lang w:eastAsia="zh-CN"/>
                    </w:rPr>
                    <w:t>行条例》限制和禁止项目的入园管控，严禁不符合条例的项目入园。不符合相关要求的工业废水严禁排入市政污水收集处理设施。区内现有化工企业应根据国家和我省相关要求整改、搬迁。</w:t>
                  </w:r>
                </w:p>
              </w:tc>
              <w:tc>
                <w:tcPr>
                  <w:tcW w:w="1781" w:type="pct"/>
                  <w:shd w:val="clear" w:color="auto" w:fill="auto"/>
                  <w:vAlign w:val="center"/>
                </w:tcPr>
                <w:p w14:paraId="4C0C4BAA">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default" w:eastAsia="宋体"/>
                      <w:color w:val="auto"/>
                      <w:szCs w:val="21"/>
                      <w:lang w:val="en-US" w:eastAsia="zh-CN"/>
                    </w:rPr>
                    <w:t>本项目行业类别属于C2927日用塑料制品制造</w:t>
                  </w:r>
                  <w:r>
                    <w:rPr>
                      <w:rFonts w:hint="eastAsia"/>
                      <w:color w:val="auto"/>
                      <w:szCs w:val="21"/>
                      <w:lang w:val="en-US" w:eastAsia="zh-CN"/>
                    </w:rPr>
                    <w:t>、</w:t>
                  </w:r>
                  <w:r>
                    <w:rPr>
                      <w:rFonts w:hint="default" w:eastAsia="宋体"/>
                      <w:color w:val="auto"/>
                      <w:szCs w:val="21"/>
                      <w:lang w:val="en-US" w:eastAsia="zh-CN"/>
                    </w:rPr>
                    <w:t>C2929塑料零件及其他塑料制品制造，不属于“两高一低”项目，根据《产业结构调整指导目录（2024年本）》，本项目不属于目录中鼓励类、限制类和淘汰类的范畴，为允许建设项目。本项目</w:t>
                  </w:r>
                  <w:r>
                    <w:rPr>
                      <w:rFonts w:hint="eastAsia"/>
                      <w:color w:val="auto"/>
                      <w:szCs w:val="21"/>
                      <w:lang w:val="en-US" w:eastAsia="zh-CN"/>
                    </w:rPr>
                    <w:t>循环冷却排水与经化粪池预处理的</w:t>
                  </w:r>
                  <w:r>
                    <w:rPr>
                      <w:rFonts w:hint="default" w:eastAsia="宋体"/>
                      <w:color w:val="auto"/>
                      <w:szCs w:val="21"/>
                      <w:lang w:val="en-US" w:eastAsia="zh-CN"/>
                    </w:rPr>
                    <w:t>生活污水</w:t>
                  </w:r>
                  <w:r>
                    <w:rPr>
                      <w:rFonts w:hint="eastAsia"/>
                      <w:color w:val="auto"/>
                      <w:szCs w:val="21"/>
                      <w:lang w:val="en-US" w:eastAsia="zh-CN"/>
                    </w:rPr>
                    <w:t>一并经厂区废水总排口接管至凤台县污水处理厂</w:t>
                  </w:r>
                  <w:r>
                    <w:rPr>
                      <w:rFonts w:hint="default" w:eastAsia="宋体"/>
                      <w:color w:val="auto"/>
                      <w:szCs w:val="21"/>
                      <w:lang w:val="en-US" w:eastAsia="zh-CN"/>
                    </w:rPr>
                    <w:t>深度处理</w:t>
                  </w:r>
                  <w:r>
                    <w:rPr>
                      <w:rFonts w:hint="eastAsia"/>
                      <w:color w:val="auto"/>
                      <w:szCs w:val="21"/>
                      <w:lang w:val="en-US" w:eastAsia="zh-CN"/>
                    </w:rPr>
                    <w:t>后</w:t>
                  </w:r>
                  <w:r>
                    <w:rPr>
                      <w:rFonts w:hint="default" w:eastAsia="宋体"/>
                      <w:color w:val="auto"/>
                      <w:szCs w:val="21"/>
                      <w:lang w:val="en-US" w:eastAsia="zh-CN"/>
                    </w:rPr>
                    <w:t>排入架河。</w:t>
                  </w:r>
                </w:p>
              </w:tc>
              <w:tc>
                <w:tcPr>
                  <w:tcW w:w="610" w:type="pct"/>
                  <w:shd w:val="clear" w:color="auto" w:fill="auto"/>
                  <w:vAlign w:val="center"/>
                </w:tcPr>
                <w:p w14:paraId="6DB5683B">
                  <w:pPr>
                    <w:keepNext w:val="0"/>
                    <w:keepLines w:val="0"/>
                    <w:suppressLineNumbers w:val="0"/>
                    <w:spacing w:before="0" w:beforeAutospacing="0" w:after="0" w:afterAutospacing="0" w:line="276" w:lineRule="auto"/>
                    <w:ind w:left="0" w:right="0"/>
                    <w:jc w:val="center"/>
                    <w:rPr>
                      <w:rFonts w:hint="eastAsia" w:eastAsia="宋体"/>
                      <w:color w:val="auto"/>
                      <w:szCs w:val="21"/>
                      <w:lang w:val="en-US" w:eastAsia="zh-CN"/>
                    </w:rPr>
                  </w:pPr>
                  <w:r>
                    <w:rPr>
                      <w:rFonts w:hint="eastAsia"/>
                      <w:color w:val="auto"/>
                      <w:szCs w:val="21"/>
                      <w:lang w:val="en-US" w:eastAsia="zh-CN"/>
                    </w:rPr>
                    <w:t>符合</w:t>
                  </w:r>
                </w:p>
              </w:tc>
            </w:tr>
            <w:tr w14:paraId="01F624F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4" w:hRule="atLeast"/>
                <w:jc w:val="center"/>
              </w:trPr>
              <w:tc>
                <w:tcPr>
                  <w:tcW w:w="329" w:type="pct"/>
                  <w:shd w:val="clear" w:color="auto" w:fill="auto"/>
                  <w:vAlign w:val="center"/>
                </w:tcPr>
                <w:p w14:paraId="672C9E70">
                  <w:pPr>
                    <w:keepNext w:val="0"/>
                    <w:keepLines w:val="0"/>
                    <w:suppressLineNumbers w:val="0"/>
                    <w:spacing w:before="0" w:beforeAutospacing="0" w:after="0" w:afterAutospacing="0" w:line="276" w:lineRule="auto"/>
                    <w:ind w:left="0" w:right="0"/>
                    <w:jc w:val="center"/>
                    <w:rPr>
                      <w:rFonts w:hint="eastAsia" w:eastAsia="宋体"/>
                      <w:color w:val="auto"/>
                      <w:szCs w:val="21"/>
                      <w:lang w:val="en-US" w:eastAsia="zh-CN"/>
                    </w:rPr>
                  </w:pPr>
                  <w:r>
                    <w:rPr>
                      <w:rFonts w:hint="eastAsia"/>
                      <w:color w:val="auto"/>
                      <w:szCs w:val="21"/>
                      <w:lang w:val="en-US" w:eastAsia="zh-CN"/>
                    </w:rPr>
                    <w:t>6</w:t>
                  </w:r>
                </w:p>
              </w:tc>
              <w:tc>
                <w:tcPr>
                  <w:tcW w:w="2279" w:type="pct"/>
                  <w:shd w:val="clear" w:color="auto" w:fill="auto"/>
                  <w:vAlign w:val="center"/>
                </w:tcPr>
                <w:p w14:paraId="0FD86DE4">
                  <w:pPr>
                    <w:keepNext w:val="0"/>
                    <w:keepLines w:val="0"/>
                    <w:suppressLineNumbers w:val="0"/>
                    <w:spacing w:before="0" w:beforeAutospacing="0" w:after="0" w:afterAutospacing="0" w:line="276" w:lineRule="auto"/>
                    <w:ind w:left="0" w:right="0"/>
                    <w:jc w:val="center"/>
                    <w:rPr>
                      <w:rFonts w:hint="eastAsia" w:hAnsi="宋体" w:eastAsia="宋体"/>
                      <w:color w:val="auto"/>
                      <w:szCs w:val="21"/>
                      <w:lang w:eastAsia="zh-CN"/>
                    </w:rPr>
                  </w:pPr>
                  <w:r>
                    <w:rPr>
                      <w:rFonts w:hint="eastAsia" w:hAnsi="宋体"/>
                      <w:color w:val="auto"/>
                      <w:szCs w:val="21"/>
                      <w:lang w:eastAsia="zh-CN"/>
                    </w:rPr>
                    <w:t>（</w:t>
                  </w:r>
                  <w:r>
                    <w:rPr>
                      <w:rFonts w:hint="eastAsia" w:hAnsi="宋体"/>
                      <w:color w:val="auto"/>
                      <w:szCs w:val="21"/>
                      <w:lang w:val="en-US" w:eastAsia="zh-CN"/>
                    </w:rPr>
                    <w:t>六</w:t>
                  </w:r>
                  <w:r>
                    <w:rPr>
                      <w:rFonts w:hint="eastAsia" w:hAnsi="宋体"/>
                      <w:color w:val="auto"/>
                      <w:szCs w:val="21"/>
                      <w:lang w:eastAsia="zh-CN"/>
                    </w:rPr>
                    <w:t>）</w:t>
                  </w:r>
                  <w:r>
                    <w:rPr>
                      <w:rFonts w:hint="eastAsia" w:hAnsi="宋体" w:eastAsia="宋体"/>
                      <w:color w:val="auto"/>
                      <w:szCs w:val="21"/>
                      <w:lang w:eastAsia="zh-CN"/>
                    </w:rPr>
                    <w:t>提升环境管理水平，加强生态环境风险防控。着力提升开发区环境管理水平，统筹考虑区域内污染物排放、固体废物(含危险废物)管理、大气环境保护、水环境保护、环境风险防范、生态环境管理等要求，健全区域风险防范体系和生态安全保障体系。开发区临近淮河干流，应全面落实环境风险三级防控加强开发区内重要环境风险源的管控，做好开发区重大环境风险源的识别与管控，重点关注涉氟企业环境风险防控，确保事故废水</w:t>
                  </w:r>
                  <w:r>
                    <w:rPr>
                      <w:rFonts w:hint="eastAsia" w:hAnsi="宋体"/>
                      <w:color w:val="auto"/>
                      <w:szCs w:val="21"/>
                      <w:lang w:val="en-US" w:eastAsia="zh-CN"/>
                    </w:rPr>
                    <w:t>与</w:t>
                  </w:r>
                  <w:r>
                    <w:rPr>
                      <w:rFonts w:hint="eastAsia" w:hAnsi="宋体" w:eastAsia="宋体"/>
                      <w:color w:val="auto"/>
                      <w:szCs w:val="21"/>
                      <w:lang w:eastAsia="zh-CN"/>
                    </w:rPr>
                    <w:t>外环境有效隔离、及时处置，完善环境风险防范应急措施加强日常环境监管与监测，落实</w:t>
                  </w:r>
                  <w:r>
                    <w:rPr>
                      <w:rFonts w:hint="eastAsia" w:hAnsi="宋体"/>
                      <w:color w:val="auto"/>
                      <w:szCs w:val="21"/>
                      <w:lang w:val="en-US" w:eastAsia="zh-CN"/>
                    </w:rPr>
                    <w:t>区域</w:t>
                  </w:r>
                  <w:r>
                    <w:rPr>
                      <w:rFonts w:hint="eastAsia" w:hAnsi="宋体" w:eastAsia="宋体"/>
                      <w:color w:val="auto"/>
                      <w:szCs w:val="21"/>
                      <w:lang w:eastAsia="zh-CN"/>
                    </w:rPr>
                    <w:t>环境管理要求。在规划实施过程中，适时开展规划环境影响的跟踪评价。结合规划环评及跟踪</w:t>
                  </w:r>
                  <w:r>
                    <w:rPr>
                      <w:rFonts w:hint="eastAsia" w:hAnsi="宋体"/>
                      <w:color w:val="auto"/>
                      <w:szCs w:val="21"/>
                      <w:lang w:val="en-US" w:eastAsia="zh-CN"/>
                    </w:rPr>
                    <w:t>评</w:t>
                  </w:r>
                  <w:r>
                    <w:rPr>
                      <w:rFonts w:hint="eastAsia" w:hAnsi="宋体" w:eastAsia="宋体"/>
                      <w:color w:val="auto"/>
                      <w:szCs w:val="21"/>
                      <w:lang w:eastAsia="zh-CN"/>
                    </w:rPr>
                    <w:t>价成同步更新“区域评估+环境标准”成果。</w:t>
                  </w:r>
                </w:p>
              </w:tc>
              <w:tc>
                <w:tcPr>
                  <w:tcW w:w="1781" w:type="pct"/>
                  <w:shd w:val="clear" w:color="auto" w:fill="auto"/>
                  <w:vAlign w:val="center"/>
                </w:tcPr>
                <w:p w14:paraId="61E363AC">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default" w:eastAsia="宋体"/>
                      <w:color w:val="auto"/>
                      <w:szCs w:val="21"/>
                      <w:lang w:val="en-US" w:eastAsia="zh-CN"/>
                    </w:rPr>
                    <w:t>对照《固定污染源排污许可分类管理名录》（2019年版），本项目属于其中“二十四、橡胶和塑料制品业29”中的“日用塑料品制造2927</w:t>
                  </w:r>
                  <w:r>
                    <w:rPr>
                      <w:rFonts w:hint="eastAsia"/>
                      <w:color w:val="auto"/>
                      <w:szCs w:val="21"/>
                      <w:lang w:val="en-US" w:eastAsia="zh-CN"/>
                    </w:rPr>
                    <w:t>、</w:t>
                  </w:r>
                  <w:r>
                    <w:rPr>
                      <w:rFonts w:hint="default" w:eastAsia="宋体"/>
                      <w:color w:val="auto"/>
                      <w:szCs w:val="21"/>
                      <w:lang w:val="en-US" w:eastAsia="zh-CN"/>
                    </w:rPr>
                    <w:t>塑料零件及其他塑料制品制造2929”</w:t>
                  </w:r>
                  <w:r>
                    <w:rPr>
                      <w:rFonts w:hint="eastAsia"/>
                      <w:color w:val="auto"/>
                      <w:szCs w:val="21"/>
                      <w:lang w:val="en-US" w:eastAsia="zh-CN"/>
                    </w:rPr>
                    <w:t>中小于1万吨/年产能的项目</w:t>
                  </w:r>
                  <w:r>
                    <w:rPr>
                      <w:rFonts w:hint="default" w:eastAsia="宋体"/>
                      <w:color w:val="auto"/>
                      <w:szCs w:val="21"/>
                      <w:lang w:val="en-US" w:eastAsia="zh-CN"/>
                    </w:rPr>
                    <w:t>，因此，项目的排污许可填报管理类别应为“</w:t>
                  </w:r>
                  <w:r>
                    <w:rPr>
                      <w:rFonts w:hint="eastAsia"/>
                      <w:color w:val="auto"/>
                      <w:szCs w:val="21"/>
                      <w:lang w:val="en-US" w:eastAsia="zh-CN"/>
                    </w:rPr>
                    <w:t>登记</w:t>
                  </w:r>
                  <w:r>
                    <w:rPr>
                      <w:rFonts w:hint="default" w:eastAsia="宋体"/>
                      <w:color w:val="auto"/>
                      <w:szCs w:val="21"/>
                      <w:lang w:val="en-US" w:eastAsia="zh-CN"/>
                    </w:rPr>
                    <w:t>管理”，项目建成后应及时进行排污许可</w:t>
                  </w:r>
                  <w:r>
                    <w:rPr>
                      <w:rFonts w:hint="eastAsia"/>
                      <w:color w:val="auto"/>
                      <w:szCs w:val="21"/>
                      <w:lang w:val="en-US" w:eastAsia="zh-CN"/>
                    </w:rPr>
                    <w:t>填报</w:t>
                  </w:r>
                  <w:r>
                    <w:rPr>
                      <w:rFonts w:hint="default" w:eastAsia="宋体"/>
                      <w:color w:val="auto"/>
                      <w:szCs w:val="21"/>
                      <w:lang w:val="en-US" w:eastAsia="zh-CN"/>
                    </w:rPr>
                    <w:t>，本项目的建设和运行将设置专门的</w:t>
                  </w:r>
                  <w:r>
                    <w:rPr>
                      <w:rFonts w:hint="eastAsia"/>
                      <w:color w:val="auto"/>
                      <w:szCs w:val="21"/>
                      <w:lang w:val="en-US" w:eastAsia="zh-CN"/>
                    </w:rPr>
                    <w:t>安全环保</w:t>
                  </w:r>
                  <w:r>
                    <w:rPr>
                      <w:rFonts w:hint="default" w:eastAsia="宋体"/>
                      <w:color w:val="auto"/>
                      <w:szCs w:val="21"/>
                      <w:lang w:val="en-US" w:eastAsia="zh-CN"/>
                    </w:rPr>
                    <w:t>部门负责环境管理。</w:t>
                  </w:r>
                </w:p>
              </w:tc>
              <w:tc>
                <w:tcPr>
                  <w:tcW w:w="610" w:type="pct"/>
                  <w:shd w:val="clear" w:color="auto" w:fill="auto"/>
                  <w:vAlign w:val="center"/>
                </w:tcPr>
                <w:p w14:paraId="461E64BE">
                  <w:pPr>
                    <w:keepNext w:val="0"/>
                    <w:keepLines w:val="0"/>
                    <w:suppressLineNumbers w:val="0"/>
                    <w:spacing w:before="0" w:beforeAutospacing="0" w:after="0" w:afterAutospacing="0" w:line="276" w:lineRule="auto"/>
                    <w:ind w:left="0" w:right="0"/>
                    <w:jc w:val="center"/>
                    <w:rPr>
                      <w:rFonts w:hint="eastAsia" w:eastAsia="宋体"/>
                      <w:color w:val="auto"/>
                      <w:szCs w:val="21"/>
                      <w:lang w:val="en-US" w:eastAsia="zh-CN"/>
                    </w:rPr>
                  </w:pPr>
                  <w:r>
                    <w:rPr>
                      <w:rFonts w:hint="eastAsia"/>
                      <w:color w:val="auto"/>
                      <w:szCs w:val="21"/>
                      <w:lang w:val="en-US" w:eastAsia="zh-CN"/>
                    </w:rPr>
                    <w:t>符合</w:t>
                  </w:r>
                </w:p>
              </w:tc>
            </w:tr>
          </w:tbl>
          <w:p w14:paraId="1FB9D47A">
            <w:pPr>
              <w:keepNext w:val="0"/>
              <w:keepLines w:val="0"/>
              <w:widowControl/>
              <w:suppressLineNumbers w:val="0"/>
              <w:spacing w:before="0" w:beforeAutospacing="0" w:after="0" w:afterAutospacing="0" w:line="360" w:lineRule="auto"/>
              <w:ind w:left="0" w:right="0" w:firstLine="480" w:firstLineChars="200"/>
              <w:rPr>
                <w:rFonts w:hint="default" w:ascii="Times New Roman" w:hAnsi="Times New Roman"/>
                <w:color w:val="auto"/>
                <w:sz w:val="24"/>
                <w:szCs w:val="24"/>
              </w:rPr>
            </w:pPr>
            <w:r>
              <w:rPr>
                <w:rFonts w:hint="eastAsia" w:hAnsi="宋体"/>
                <w:b w:val="0"/>
                <w:bCs/>
                <w:color w:val="auto"/>
                <w:sz w:val="24"/>
                <w:lang w:val="en-US" w:eastAsia="zh-CN"/>
              </w:rPr>
              <w:t>对照</w:t>
            </w:r>
            <w:r>
              <w:rPr>
                <w:rFonts w:hint="eastAsia" w:ascii="Times New Roman" w:hAnsi="Times New Roman"/>
                <w:color w:val="auto"/>
                <w:sz w:val="24"/>
                <w:szCs w:val="24"/>
              </w:rPr>
              <w:t>《安徽凤台经济开发区总体发展规划（2024-2035年）（调区）环境影响报告书》生态环境</w:t>
            </w:r>
            <w:r>
              <w:rPr>
                <w:rFonts w:hint="default" w:ascii="Times New Roman" w:hAnsi="Times New Roman"/>
                <w:color w:val="auto"/>
                <w:sz w:val="24"/>
                <w:szCs w:val="24"/>
              </w:rPr>
              <w:t>准入清单分析如下：</w:t>
            </w:r>
          </w:p>
          <w:p w14:paraId="16A564BE">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default" w:eastAsia="黑体"/>
                <w:color w:val="auto"/>
                <w:sz w:val="24"/>
                <w:szCs w:val="24"/>
                <w:lang w:val="en-US" w:eastAsia="zh-CN"/>
              </w:rPr>
            </w:pPr>
            <w:r>
              <w:rPr>
                <w:rFonts w:hint="eastAsia" w:hAnsi="黑体" w:eastAsia="黑体"/>
                <w:color w:val="auto"/>
                <w:sz w:val="24"/>
                <w:szCs w:val="24"/>
              </w:rPr>
              <w:t>表</w:t>
            </w:r>
            <w:r>
              <w:rPr>
                <w:rFonts w:hint="default" w:eastAsia="黑体"/>
                <w:color w:val="auto"/>
                <w:sz w:val="24"/>
                <w:szCs w:val="24"/>
              </w:rPr>
              <w:t>1</w:t>
            </w:r>
            <w:r>
              <w:rPr>
                <w:rFonts w:hint="eastAsia" w:eastAsia="黑体"/>
                <w:color w:val="auto"/>
                <w:sz w:val="24"/>
                <w:szCs w:val="24"/>
                <w:lang w:val="en-US" w:eastAsia="zh-CN"/>
              </w:rPr>
              <w:t>-3</w:t>
            </w:r>
            <w:r>
              <w:rPr>
                <w:rFonts w:hint="default" w:eastAsia="黑体"/>
                <w:color w:val="auto"/>
                <w:sz w:val="24"/>
                <w:szCs w:val="24"/>
              </w:rPr>
              <w:t xml:space="preserve"> 安徽凤台经济开发区</w:t>
            </w:r>
            <w:r>
              <w:rPr>
                <w:rFonts w:hint="eastAsia" w:eastAsia="黑体"/>
                <w:color w:val="auto"/>
                <w:sz w:val="24"/>
                <w:szCs w:val="24"/>
                <w:lang w:val="en-US" w:eastAsia="zh-CN"/>
              </w:rPr>
              <w:t>生态环境准入清单</w:t>
            </w:r>
            <w:r>
              <w:rPr>
                <w:rFonts w:hint="eastAsia" w:hAnsi="黑体" w:eastAsia="黑体"/>
                <w:color w:val="auto"/>
                <w:sz w:val="24"/>
                <w:szCs w:val="24"/>
                <w:lang w:val="en-US" w:eastAsia="zh-CN"/>
              </w:rPr>
              <w:t>相符性</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1436"/>
              <w:gridCol w:w="3782"/>
            </w:tblGrid>
            <w:tr w14:paraId="2A9EDC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10" w:type="dxa"/>
                  <w:noWrap w:val="0"/>
                  <w:vAlign w:val="center"/>
                </w:tcPr>
                <w:p w14:paraId="02C2E3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b/>
                      <w:color w:val="auto"/>
                      <w:sz w:val="21"/>
                      <w:szCs w:val="21"/>
                    </w:rPr>
                  </w:pPr>
                  <w:r>
                    <w:rPr>
                      <w:rFonts w:hint="default" w:ascii="Times New Roman" w:hAnsi="Times New Roman"/>
                      <w:b/>
                      <w:color w:val="auto"/>
                      <w:sz w:val="21"/>
                      <w:szCs w:val="21"/>
                    </w:rPr>
                    <w:t>类别</w:t>
                  </w:r>
                </w:p>
              </w:tc>
              <w:tc>
                <w:tcPr>
                  <w:tcW w:w="1455" w:type="dxa"/>
                  <w:noWrap w:val="0"/>
                  <w:vAlign w:val="center"/>
                </w:tcPr>
                <w:p w14:paraId="2032D4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b/>
                      <w:color w:val="auto"/>
                      <w:sz w:val="21"/>
                      <w:szCs w:val="21"/>
                    </w:rPr>
                  </w:pPr>
                  <w:r>
                    <w:rPr>
                      <w:rFonts w:hint="default" w:ascii="Times New Roman" w:hAnsi="Times New Roman"/>
                      <w:b/>
                      <w:color w:val="auto"/>
                      <w:sz w:val="21"/>
                      <w:szCs w:val="21"/>
                    </w:rPr>
                    <w:t>主导产业</w:t>
                  </w:r>
                </w:p>
              </w:tc>
              <w:tc>
                <w:tcPr>
                  <w:tcW w:w="3838" w:type="dxa"/>
                  <w:noWrap w:val="0"/>
                  <w:vAlign w:val="center"/>
                </w:tcPr>
                <w:p w14:paraId="017451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b/>
                      <w:color w:val="auto"/>
                      <w:sz w:val="21"/>
                      <w:szCs w:val="21"/>
                    </w:rPr>
                  </w:pPr>
                  <w:r>
                    <w:rPr>
                      <w:rFonts w:hint="default" w:ascii="Times New Roman" w:hAnsi="Times New Roman"/>
                      <w:b/>
                      <w:color w:val="auto"/>
                      <w:sz w:val="21"/>
                      <w:szCs w:val="21"/>
                    </w:rPr>
                    <w:t>行业类别</w:t>
                  </w:r>
                </w:p>
              </w:tc>
            </w:tr>
            <w:tr w14:paraId="1F1943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10" w:type="dxa"/>
                  <w:vMerge w:val="restart"/>
                  <w:noWrap w:val="0"/>
                  <w:vAlign w:val="center"/>
                </w:tcPr>
                <w:p w14:paraId="606BF0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b/>
                      <w:color w:val="auto"/>
                      <w:sz w:val="21"/>
                      <w:szCs w:val="21"/>
                    </w:rPr>
                  </w:pPr>
                  <w:r>
                    <w:rPr>
                      <w:rFonts w:hint="default" w:ascii="Times New Roman" w:hAnsi="Times New Roman"/>
                      <w:b/>
                      <w:color w:val="auto"/>
                      <w:sz w:val="21"/>
                      <w:szCs w:val="21"/>
                    </w:rPr>
                    <w:t>产业定位</w:t>
                  </w:r>
                </w:p>
              </w:tc>
              <w:tc>
                <w:tcPr>
                  <w:tcW w:w="1455" w:type="dxa"/>
                  <w:noWrap w:val="0"/>
                  <w:vAlign w:val="center"/>
                </w:tcPr>
                <w:p w14:paraId="064DEF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38电气机械制造业</w:t>
                  </w:r>
                </w:p>
              </w:tc>
              <w:tc>
                <w:tcPr>
                  <w:tcW w:w="3838" w:type="dxa"/>
                  <w:noWrap w:val="0"/>
                  <w:vAlign w:val="center"/>
                </w:tcPr>
                <w:p w14:paraId="27CB77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381电机制造</w:t>
                  </w:r>
                </w:p>
                <w:p w14:paraId="3067A5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382输配电及控制设备制造</w:t>
                  </w:r>
                </w:p>
                <w:p w14:paraId="2B89FB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383电线、电缆、光缆及电工器材制造</w:t>
                  </w:r>
                </w:p>
                <w:p w14:paraId="1EBD26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384电池制造</w:t>
                  </w:r>
                </w:p>
                <w:p w14:paraId="0BE5AF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386非电力家用器具制造</w:t>
                  </w:r>
                </w:p>
                <w:p w14:paraId="6D9B39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387照明器具制造</w:t>
                  </w:r>
                </w:p>
                <w:p w14:paraId="325876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389其他电气机械及器材制造</w:t>
                  </w:r>
                </w:p>
              </w:tc>
            </w:tr>
            <w:tr w14:paraId="5D27E6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10" w:type="dxa"/>
                  <w:vMerge w:val="continue"/>
                  <w:noWrap w:val="0"/>
                  <w:vAlign w:val="center"/>
                </w:tcPr>
                <w:p w14:paraId="5BF568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b/>
                      <w:color w:val="auto"/>
                      <w:sz w:val="21"/>
                      <w:szCs w:val="21"/>
                    </w:rPr>
                  </w:pPr>
                </w:p>
              </w:tc>
              <w:tc>
                <w:tcPr>
                  <w:tcW w:w="1455" w:type="dxa"/>
                  <w:noWrap w:val="0"/>
                  <w:vAlign w:val="center"/>
                </w:tcPr>
                <w:p w14:paraId="2A6E7B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36汽车制造业</w:t>
                  </w:r>
                </w:p>
              </w:tc>
              <w:tc>
                <w:tcPr>
                  <w:tcW w:w="3838" w:type="dxa"/>
                  <w:noWrap w:val="0"/>
                  <w:vAlign w:val="center"/>
                </w:tcPr>
                <w:p w14:paraId="2282C8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362汽车用发动机制造</w:t>
                  </w:r>
                </w:p>
                <w:p w14:paraId="3A5B42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363改装汽车制造</w:t>
                  </w:r>
                </w:p>
                <w:p w14:paraId="0A7B47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366汽车车身、挂车制造</w:t>
                  </w:r>
                </w:p>
                <w:p w14:paraId="3463DD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b w:val="0"/>
                      <w:bCs w:val="0"/>
                      <w:color w:val="auto"/>
                      <w:sz w:val="21"/>
                      <w:szCs w:val="21"/>
                    </w:rPr>
                    <w:t>367汽车零部件及配件制造</w:t>
                  </w:r>
                </w:p>
              </w:tc>
            </w:tr>
            <w:tr w14:paraId="31CF43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10" w:type="dxa"/>
                  <w:vMerge w:val="continue"/>
                  <w:noWrap w:val="0"/>
                  <w:vAlign w:val="center"/>
                </w:tcPr>
                <w:p w14:paraId="597F57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b/>
                      <w:color w:val="auto"/>
                      <w:sz w:val="21"/>
                      <w:szCs w:val="21"/>
                    </w:rPr>
                  </w:pPr>
                </w:p>
              </w:tc>
              <w:tc>
                <w:tcPr>
                  <w:tcW w:w="1455" w:type="dxa"/>
                  <w:noWrap w:val="0"/>
                  <w:vAlign w:val="center"/>
                </w:tcPr>
                <w:p w14:paraId="31C220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30非金属矿物制品业</w:t>
                  </w:r>
                </w:p>
              </w:tc>
              <w:tc>
                <w:tcPr>
                  <w:tcW w:w="3838" w:type="dxa"/>
                  <w:noWrap w:val="0"/>
                  <w:vAlign w:val="center"/>
                </w:tcPr>
                <w:p w14:paraId="36EC6F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302石膏、水泥制品及类似制品制造</w:t>
                  </w:r>
                </w:p>
                <w:p w14:paraId="17FA60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303砖瓦、石材等建筑材料制造</w:t>
                  </w:r>
                </w:p>
                <w:p w14:paraId="34CC48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304玻璃制造</w:t>
                  </w:r>
                </w:p>
                <w:p w14:paraId="602632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305玻璃制品制造</w:t>
                  </w:r>
                </w:p>
                <w:p w14:paraId="09DD9B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306玻璃纤维和玻璃纤维增强塑料制品制造</w:t>
                  </w:r>
                </w:p>
                <w:p w14:paraId="3B4723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308耐火材料制品制造</w:t>
                  </w:r>
                </w:p>
                <w:p w14:paraId="2C4EE3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309石墨及其他非金属矿物制品制造</w:t>
                  </w:r>
                </w:p>
              </w:tc>
            </w:tr>
            <w:tr w14:paraId="194134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10" w:type="dxa"/>
                  <w:vMerge w:val="restart"/>
                  <w:noWrap w:val="0"/>
                  <w:vAlign w:val="center"/>
                </w:tcPr>
                <w:p w14:paraId="6587F7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b/>
                      <w:color w:val="auto"/>
                      <w:sz w:val="21"/>
                      <w:szCs w:val="21"/>
                    </w:rPr>
                  </w:pPr>
                  <w:r>
                    <w:rPr>
                      <w:rFonts w:hint="default" w:ascii="Times New Roman" w:hAnsi="Times New Roman"/>
                      <w:b/>
                      <w:color w:val="auto"/>
                      <w:sz w:val="21"/>
                      <w:szCs w:val="21"/>
                    </w:rPr>
                    <w:t>优先引入</w:t>
                  </w:r>
                </w:p>
              </w:tc>
              <w:tc>
                <w:tcPr>
                  <w:tcW w:w="5293" w:type="dxa"/>
                  <w:gridSpan w:val="2"/>
                  <w:noWrap w:val="0"/>
                  <w:vAlign w:val="center"/>
                </w:tcPr>
                <w:p w14:paraId="66D7C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符合产业定位且属于国家发展和改革委《产业结构调整指导目录（2024年本）》、《鼓励外商投资产业目录》（2022年版）、《产业转移指导目录》（2018年版）、《战略性新兴产业重点产品和服务指导目录（2016版）》等产业政策文件中属于鼓励类和重点发展中的产品、工艺和技术。</w:t>
                  </w:r>
                </w:p>
              </w:tc>
            </w:tr>
            <w:tr w14:paraId="77DA62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10" w:type="dxa"/>
                  <w:vMerge w:val="continue"/>
                  <w:noWrap w:val="0"/>
                  <w:vAlign w:val="center"/>
                </w:tcPr>
                <w:p w14:paraId="2FCC30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b/>
                      <w:color w:val="auto"/>
                      <w:sz w:val="21"/>
                      <w:szCs w:val="21"/>
                    </w:rPr>
                  </w:pPr>
                </w:p>
              </w:tc>
              <w:tc>
                <w:tcPr>
                  <w:tcW w:w="5293" w:type="dxa"/>
                  <w:gridSpan w:val="2"/>
                  <w:noWrap w:val="0"/>
                  <w:vAlign w:val="center"/>
                </w:tcPr>
                <w:p w14:paraId="457296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鼓励依托产业定位发展上下游关联度强、技术水平高、绿色安全环保的企业和项目，进一步补链、延链、强链。</w:t>
                  </w:r>
                </w:p>
              </w:tc>
            </w:tr>
            <w:tr w14:paraId="5ACF26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10" w:type="dxa"/>
                  <w:noWrap w:val="0"/>
                  <w:vAlign w:val="center"/>
                </w:tcPr>
                <w:p w14:paraId="14285E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b/>
                      <w:color w:val="auto"/>
                      <w:sz w:val="21"/>
                      <w:szCs w:val="21"/>
                    </w:rPr>
                  </w:pPr>
                  <w:r>
                    <w:rPr>
                      <w:rFonts w:hint="default" w:ascii="Times New Roman" w:hAnsi="Times New Roman"/>
                      <w:b/>
                      <w:color w:val="auto"/>
                      <w:sz w:val="21"/>
                      <w:szCs w:val="21"/>
                    </w:rPr>
                    <w:t>有条件引入</w:t>
                  </w:r>
                </w:p>
              </w:tc>
              <w:tc>
                <w:tcPr>
                  <w:tcW w:w="5293" w:type="dxa"/>
                  <w:gridSpan w:val="2"/>
                  <w:noWrap w:val="0"/>
                  <w:vAlign w:val="center"/>
                </w:tcPr>
                <w:p w14:paraId="2A372B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与主导产业链配套的其他相关产业，且经过充分的环境影响论证。</w:t>
                  </w:r>
                </w:p>
              </w:tc>
            </w:tr>
            <w:tr w14:paraId="1F4FF8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10" w:type="dxa"/>
                  <w:vMerge w:val="restart"/>
                  <w:noWrap w:val="0"/>
                  <w:vAlign w:val="center"/>
                </w:tcPr>
                <w:p w14:paraId="2C8D71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b/>
                      <w:color w:val="auto"/>
                      <w:sz w:val="21"/>
                      <w:szCs w:val="21"/>
                    </w:rPr>
                  </w:pPr>
                  <w:r>
                    <w:rPr>
                      <w:rFonts w:hint="default" w:ascii="Times New Roman" w:hAnsi="Times New Roman"/>
                      <w:b/>
                      <w:color w:val="auto"/>
                      <w:sz w:val="21"/>
                      <w:szCs w:val="21"/>
                    </w:rPr>
                    <w:t>限制引入类项目</w:t>
                  </w:r>
                </w:p>
              </w:tc>
              <w:tc>
                <w:tcPr>
                  <w:tcW w:w="5293" w:type="dxa"/>
                  <w:gridSpan w:val="2"/>
                  <w:noWrap w:val="0"/>
                  <w:vAlign w:val="center"/>
                </w:tcPr>
                <w:p w14:paraId="74926A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限制发展能源、资源消耗量或排污量较大但效益相对较好的企业，主要为规划外非禁止类项目，具体项目引入需经充分环境影响论证；</w:t>
                  </w:r>
                </w:p>
              </w:tc>
            </w:tr>
            <w:tr w14:paraId="19087F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10" w:type="dxa"/>
                  <w:vMerge w:val="continue"/>
                  <w:noWrap w:val="0"/>
                  <w:vAlign w:val="center"/>
                </w:tcPr>
                <w:p w14:paraId="1D9635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b/>
                      <w:color w:val="auto"/>
                      <w:sz w:val="21"/>
                      <w:szCs w:val="21"/>
                    </w:rPr>
                  </w:pPr>
                </w:p>
              </w:tc>
              <w:tc>
                <w:tcPr>
                  <w:tcW w:w="5293" w:type="dxa"/>
                  <w:gridSpan w:val="2"/>
                  <w:noWrap w:val="0"/>
                  <w:vAlign w:val="center"/>
                </w:tcPr>
                <w:p w14:paraId="7A25BF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限制新增与主导产业无关的、污染物排放量大的产业项目；</w:t>
                  </w:r>
                </w:p>
              </w:tc>
            </w:tr>
            <w:tr w14:paraId="0B661D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10" w:type="dxa"/>
                  <w:vMerge w:val="continue"/>
                  <w:noWrap w:val="0"/>
                  <w:vAlign w:val="center"/>
                </w:tcPr>
                <w:p w14:paraId="3C21C9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b/>
                      <w:color w:val="auto"/>
                      <w:sz w:val="21"/>
                      <w:szCs w:val="21"/>
                    </w:rPr>
                  </w:pPr>
                </w:p>
              </w:tc>
              <w:tc>
                <w:tcPr>
                  <w:tcW w:w="5293" w:type="dxa"/>
                  <w:gridSpan w:val="2"/>
                  <w:noWrap w:val="0"/>
                  <w:vAlign w:val="center"/>
                </w:tcPr>
                <w:p w14:paraId="3E428E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与主导产业相关</w:t>
                  </w:r>
                  <w:r>
                    <w:rPr>
                      <w:rFonts w:hint="eastAsia"/>
                      <w:color w:val="auto"/>
                      <w:sz w:val="21"/>
                      <w:szCs w:val="21"/>
                    </w:rPr>
                    <w:t>的“两高”</w:t>
                  </w:r>
                  <w:r>
                    <w:rPr>
                      <w:rFonts w:hint="default" w:ascii="Times New Roman" w:hAnsi="Times New Roman"/>
                      <w:color w:val="auto"/>
                      <w:sz w:val="21"/>
                      <w:szCs w:val="21"/>
                    </w:rPr>
                    <w:t>类项目需按照国家及安徽省相关政策要求严格控制引入，并经过环境影响充分论证。</w:t>
                  </w:r>
                </w:p>
              </w:tc>
            </w:tr>
            <w:tr w14:paraId="53FEA3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10" w:type="dxa"/>
                  <w:noWrap w:val="0"/>
                  <w:vAlign w:val="center"/>
                </w:tcPr>
                <w:p w14:paraId="7DF5CF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b/>
                      <w:color w:val="auto"/>
                      <w:sz w:val="21"/>
                      <w:szCs w:val="21"/>
                    </w:rPr>
                  </w:pPr>
                  <w:r>
                    <w:rPr>
                      <w:rFonts w:hint="default" w:ascii="Times New Roman" w:hAnsi="Times New Roman"/>
                      <w:b/>
                      <w:color w:val="auto"/>
                      <w:sz w:val="21"/>
                      <w:szCs w:val="21"/>
                    </w:rPr>
                    <w:t>禁止类</w:t>
                  </w:r>
                </w:p>
              </w:tc>
              <w:tc>
                <w:tcPr>
                  <w:tcW w:w="5293" w:type="dxa"/>
                  <w:gridSpan w:val="2"/>
                  <w:noWrap w:val="0"/>
                  <w:vAlign w:val="center"/>
                </w:tcPr>
                <w:p w14:paraId="4EBBE3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1）禁止引入《产业结构调整指导目录（2024年本）》《外商投资准入特别管理措施（负面清单）（2021年版）》《市场准入负面清单（2020年版）》和《国家长江经济带市场准入禁止限制目录》等相关产业政策中禁止或淘汰类项目、产品、工艺和设备；</w:t>
                  </w:r>
                </w:p>
                <w:p w14:paraId="7EA41B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（2）禁止引入专门从事印染、制革、电镀等生产的项目，禁止引入与主导产业不相符的“两高”类项目；</w:t>
                  </w:r>
                </w:p>
                <w:p w14:paraId="05F165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（3）禁止新建、扩建法律法规和相关政策明令禁止的落后产能项目；</w:t>
                  </w:r>
                </w:p>
                <w:p w14:paraId="4AABF2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（4）禁止新建、扩建不符合国家产能置换要求的严重过剩产能行业的项目；</w:t>
                  </w:r>
                </w:p>
                <w:p w14:paraId="7DE65F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（5）区内部分紧邻居民点等环境敏感目标的工业用地，严格限制设计使用危险化学品的企业入驻。</w:t>
                  </w:r>
                </w:p>
              </w:tc>
            </w:tr>
            <w:tr w14:paraId="3CF130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10" w:type="dxa"/>
                  <w:noWrap w:val="0"/>
                  <w:vAlign w:val="center"/>
                </w:tcPr>
                <w:p w14:paraId="6113CD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b/>
                      <w:color w:val="auto"/>
                      <w:sz w:val="21"/>
                      <w:szCs w:val="21"/>
                    </w:rPr>
                  </w:pPr>
                  <w:r>
                    <w:rPr>
                      <w:rFonts w:hint="default" w:ascii="Times New Roman" w:hAnsi="Times New Roman"/>
                      <w:b/>
                      <w:color w:val="auto"/>
                      <w:sz w:val="21"/>
                      <w:szCs w:val="21"/>
                    </w:rPr>
                    <w:t>空间布局约束</w:t>
                  </w:r>
                </w:p>
              </w:tc>
              <w:tc>
                <w:tcPr>
                  <w:tcW w:w="5293" w:type="dxa"/>
                  <w:gridSpan w:val="2"/>
                  <w:noWrap w:val="0"/>
                  <w:vAlign w:val="center"/>
                </w:tcPr>
                <w:p w14:paraId="177FC4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新建项目不得占用规划生态廊道和绿地区域。</w:t>
                  </w:r>
                </w:p>
              </w:tc>
            </w:tr>
            <w:tr w14:paraId="026D2D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10" w:type="dxa"/>
                  <w:noWrap w:val="0"/>
                  <w:vAlign w:val="center"/>
                </w:tcPr>
                <w:p w14:paraId="088404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b/>
                      <w:color w:val="auto"/>
                      <w:sz w:val="21"/>
                      <w:szCs w:val="21"/>
                    </w:rPr>
                  </w:pPr>
                  <w:r>
                    <w:rPr>
                      <w:rFonts w:hint="default" w:ascii="Times New Roman" w:hAnsi="Times New Roman"/>
                      <w:b/>
                      <w:color w:val="auto"/>
                      <w:sz w:val="21"/>
                      <w:szCs w:val="21"/>
                    </w:rPr>
                    <w:t>环境质量</w:t>
                  </w:r>
                </w:p>
              </w:tc>
              <w:tc>
                <w:tcPr>
                  <w:tcW w:w="5293" w:type="dxa"/>
                  <w:gridSpan w:val="2"/>
                  <w:noWrap w:val="0"/>
                  <w:vAlign w:val="center"/>
                </w:tcPr>
                <w:p w14:paraId="133F71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大气环境质量达到《环境空气质量标准》二级标准、《环境影响评价技术导则大气环境》（HJ2.2-2018）附录D其他污染物空气质量浓度参考限值等。淮河地表水达到《地表水环境质量标准》Ⅲ类标准；架河达到《地表水环境质量标准》IV类标准。土壤达到《土壤环境质量建设用地土壤污染风险管控标准（试行）》（GB36600-2018）中第二类用地筛选值，规划区域居住用地土壤达到《土壤环境质量建设用地土壤污染风险管控标准（试行）》（GB36600-2018）中第一类用地筛选值，规划区域农田土壤达到《土壤环境质量农用地土壤污染风险管控标准》（试行）中筛选值。</w:t>
                  </w:r>
                </w:p>
              </w:tc>
            </w:tr>
            <w:tr w14:paraId="731254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10" w:type="dxa"/>
                  <w:noWrap w:val="0"/>
                  <w:vAlign w:val="center"/>
                </w:tcPr>
                <w:p w14:paraId="0202C7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b/>
                      <w:color w:val="auto"/>
                      <w:sz w:val="21"/>
                      <w:szCs w:val="21"/>
                    </w:rPr>
                  </w:pPr>
                  <w:r>
                    <w:rPr>
                      <w:rFonts w:hint="default" w:ascii="Times New Roman" w:hAnsi="Times New Roman"/>
                      <w:b/>
                      <w:color w:val="auto"/>
                      <w:sz w:val="21"/>
                      <w:szCs w:val="21"/>
                    </w:rPr>
                    <w:t>总量控制</w:t>
                  </w:r>
                </w:p>
              </w:tc>
              <w:tc>
                <w:tcPr>
                  <w:tcW w:w="5293" w:type="dxa"/>
                  <w:gridSpan w:val="2"/>
                  <w:noWrap w:val="0"/>
                  <w:vAlign w:val="center"/>
                </w:tcPr>
                <w:p w14:paraId="18C907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大气污染物：规划期末SO</w:t>
                  </w:r>
                  <w:r>
                    <w:rPr>
                      <w:rFonts w:hint="default" w:ascii="Times New Roman" w:hAnsi="Times New Roman"/>
                      <w:color w:val="auto"/>
                      <w:sz w:val="21"/>
                      <w:szCs w:val="21"/>
                      <w:vertAlign w:val="subscript"/>
                    </w:rPr>
                    <w:t>2</w:t>
                  </w:r>
                  <w:r>
                    <w:rPr>
                      <w:rFonts w:hint="default" w:ascii="Times New Roman" w:hAnsi="Times New Roman"/>
                      <w:color w:val="auto"/>
                      <w:sz w:val="21"/>
                      <w:szCs w:val="21"/>
                    </w:rPr>
                    <w:t>：0.785t/a、NOx：27.133t/a、颗粒物：55.408t/a、VOCs：168.449t/a；废水污染物（外环境）：废水排放总量1638.288万t/a、COD：615.644t/a、氨氮：63.977t/a。</w:t>
                  </w:r>
                </w:p>
              </w:tc>
            </w:tr>
            <w:tr w14:paraId="7AED74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10" w:type="dxa"/>
                  <w:vMerge w:val="restart"/>
                  <w:noWrap w:val="0"/>
                  <w:vAlign w:val="center"/>
                </w:tcPr>
                <w:p w14:paraId="0F9EDC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b/>
                      <w:color w:val="auto"/>
                      <w:sz w:val="21"/>
                      <w:szCs w:val="21"/>
                    </w:rPr>
                  </w:pPr>
                  <w:r>
                    <w:rPr>
                      <w:rFonts w:hint="default" w:ascii="Times New Roman" w:hAnsi="Times New Roman"/>
                      <w:b/>
                      <w:color w:val="auto"/>
                      <w:sz w:val="21"/>
                      <w:szCs w:val="21"/>
                    </w:rPr>
                    <w:t>环境风险防控</w:t>
                  </w:r>
                </w:p>
              </w:tc>
              <w:tc>
                <w:tcPr>
                  <w:tcW w:w="5293" w:type="dxa"/>
                  <w:gridSpan w:val="2"/>
                  <w:noWrap w:val="0"/>
                  <w:vAlign w:val="center"/>
                </w:tcPr>
                <w:p w14:paraId="0FD7C2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完善园区环境风险防范预警系统，建立风险源动态数据库，加强对潜在风险源的管理，对易引发突发性环境污染事故的场所安装相应的监测和预警装置，实现快速应急响应。</w:t>
                  </w:r>
                </w:p>
              </w:tc>
            </w:tr>
            <w:tr w14:paraId="500F9D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10" w:type="dxa"/>
                  <w:vMerge w:val="continue"/>
                  <w:noWrap w:val="0"/>
                  <w:vAlign w:val="center"/>
                </w:tcPr>
                <w:p w14:paraId="749F5B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b/>
                      <w:color w:val="auto"/>
                      <w:sz w:val="21"/>
                      <w:szCs w:val="21"/>
                    </w:rPr>
                  </w:pPr>
                </w:p>
              </w:tc>
              <w:tc>
                <w:tcPr>
                  <w:tcW w:w="5293" w:type="dxa"/>
                  <w:gridSpan w:val="2"/>
                  <w:noWrap w:val="0"/>
                  <w:vAlign w:val="center"/>
                </w:tcPr>
                <w:p w14:paraId="16C155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对生产、使用、存储或释放风险物质的企业，开展突发环境事件风险评估，督促重点环境风险企业开展环境风险隐患排查整改。加强危险化学品运输管理。</w:t>
                  </w:r>
                </w:p>
              </w:tc>
            </w:tr>
            <w:tr w14:paraId="3C5D71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10" w:type="dxa"/>
                  <w:noWrap w:val="0"/>
                  <w:vAlign w:val="center"/>
                </w:tcPr>
                <w:p w14:paraId="0521EA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b/>
                      <w:color w:val="auto"/>
                      <w:sz w:val="21"/>
                      <w:szCs w:val="21"/>
                    </w:rPr>
                  </w:pPr>
                  <w:r>
                    <w:rPr>
                      <w:rFonts w:hint="default" w:ascii="Times New Roman" w:hAnsi="Times New Roman"/>
                      <w:b/>
                      <w:color w:val="auto"/>
                      <w:sz w:val="21"/>
                      <w:szCs w:val="21"/>
                    </w:rPr>
                    <w:t>清洁生产要求</w:t>
                  </w:r>
                </w:p>
              </w:tc>
              <w:tc>
                <w:tcPr>
                  <w:tcW w:w="5293" w:type="dxa"/>
                  <w:gridSpan w:val="2"/>
                  <w:noWrap w:val="0"/>
                  <w:vAlign w:val="center"/>
                </w:tcPr>
                <w:p w14:paraId="5F3DFF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olor w:val="auto"/>
                      <w:sz w:val="21"/>
                      <w:szCs w:val="21"/>
                    </w:rPr>
                  </w:pPr>
                  <w:r>
                    <w:rPr>
                      <w:rFonts w:hint="default" w:ascii="Times New Roman" w:hAnsi="Times New Roman"/>
                      <w:color w:val="auto"/>
                      <w:sz w:val="21"/>
                      <w:szCs w:val="21"/>
                    </w:rPr>
                    <w:t>对标节能减排和碳达峰、碳中和目标，严格高耗能高排放项目准入，新建、改建、扩建项目应采取先进适用的工艺技术和装备，单位产品能耗、物耗和水耗等达到国内清洁生产先进水平。禁止引进低于国内先进水平的项目。</w:t>
                  </w:r>
                </w:p>
              </w:tc>
            </w:tr>
          </w:tbl>
          <w:p w14:paraId="51307EE0">
            <w:pPr>
              <w:keepNext w:val="0"/>
              <w:keepLines w:val="0"/>
              <w:widowControl/>
              <w:suppressLineNumbers w:val="0"/>
              <w:spacing w:before="0" w:beforeAutospacing="0" w:after="0" w:afterAutospacing="0"/>
              <w:ind w:left="0" w:right="0"/>
              <w:rPr>
                <w:rFonts w:hint="default" w:ascii="Times New Roman" w:hAnsi="Times New Roman" w:eastAsia="黑体"/>
                <w:color w:val="auto"/>
                <w:szCs w:val="21"/>
              </w:rPr>
            </w:pPr>
            <w:r>
              <w:rPr>
                <w:rFonts w:hint="default" w:ascii="Times New Roman" w:hAnsi="黑体" w:eastAsia="黑体"/>
                <w:color w:val="auto"/>
                <w:szCs w:val="21"/>
              </w:rPr>
              <w:t>注：安徽凤台开发区生态环境准入要求应同步满足安徽省生态环境准入清单、淮南市市级生态环境准入清单中所列的一般性管控要求，上述清单中所列要求此处不再重复。</w:t>
            </w:r>
          </w:p>
          <w:p w14:paraId="420E43A0">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beforeAutospacing="0" w:after="0" w:afterAutospacing="0" w:line="360" w:lineRule="auto"/>
              <w:ind w:left="0" w:right="0" w:rightChars="0" w:firstLine="480" w:firstLineChars="200"/>
              <w:jc w:val="left"/>
              <w:textAlignment w:val="auto"/>
              <w:rPr>
                <w:rFonts w:hint="eastAsia" w:hAnsi="宋体" w:eastAsia="宋体"/>
                <w:b w:val="0"/>
                <w:bCs/>
                <w:color w:val="auto"/>
                <w:sz w:val="24"/>
                <w:lang w:val="en-US" w:eastAsia="zh-CN"/>
              </w:rPr>
            </w:pPr>
            <w:r>
              <w:rPr>
                <w:rFonts w:hint="eastAsia" w:ascii="Times New Roman" w:hAnsi="Times New Roman"/>
                <w:color w:val="auto"/>
                <w:kern w:val="0"/>
                <w:sz w:val="24"/>
                <w:szCs w:val="24"/>
              </w:rPr>
              <w:t>本项目国民经济行业类别为</w:t>
            </w:r>
            <w:r>
              <w:rPr>
                <w:rFonts w:hint="eastAsia"/>
                <w:color w:val="auto"/>
                <w:sz w:val="24"/>
                <w:szCs w:val="24"/>
              </w:rPr>
              <w:t>C</w:t>
            </w:r>
            <w:r>
              <w:rPr>
                <w:rFonts w:hint="eastAsia"/>
                <w:color w:val="auto"/>
                <w:sz w:val="24"/>
                <w:szCs w:val="24"/>
                <w:lang w:val="en-US" w:eastAsia="zh-CN"/>
              </w:rPr>
              <w:t>2927日用塑料制品</w:t>
            </w:r>
            <w:r>
              <w:rPr>
                <w:rFonts w:hint="eastAsia"/>
                <w:color w:val="auto"/>
                <w:sz w:val="24"/>
                <w:szCs w:val="24"/>
              </w:rPr>
              <w:t>制造</w:t>
            </w:r>
            <w:r>
              <w:rPr>
                <w:rFonts w:hint="eastAsia"/>
                <w:color w:val="auto"/>
                <w:sz w:val="24"/>
                <w:szCs w:val="24"/>
                <w:lang w:eastAsia="zh-CN"/>
              </w:rPr>
              <w:t>、</w:t>
            </w:r>
            <w:r>
              <w:rPr>
                <w:rFonts w:hint="eastAsia"/>
                <w:color w:val="auto"/>
                <w:kern w:val="0"/>
                <w:sz w:val="24"/>
                <w:szCs w:val="24"/>
                <w:lang w:val="en-US" w:eastAsia="zh-CN"/>
              </w:rPr>
              <w:t>C2929塑料零件及其他塑料制品制造</w:t>
            </w:r>
            <w:r>
              <w:rPr>
                <w:rFonts w:hint="eastAsia" w:ascii="Times New Roman" w:hAnsi="Times New Roman"/>
                <w:color w:val="auto"/>
                <w:kern w:val="0"/>
                <w:sz w:val="24"/>
                <w:szCs w:val="24"/>
              </w:rPr>
              <w:t>，主要从事</w:t>
            </w:r>
            <w:r>
              <w:rPr>
                <w:rFonts w:hint="eastAsia" w:hAnsi="宋体" w:cs="Times New Roman"/>
                <w:color w:val="auto"/>
                <w:kern w:val="2"/>
                <w:sz w:val="24"/>
                <w:szCs w:val="22"/>
                <w:lang w:val="en-US" w:eastAsia="zh-CN"/>
              </w:rPr>
              <w:t>日用品等塑料制品生产</w:t>
            </w:r>
            <w:r>
              <w:rPr>
                <w:rFonts w:hint="eastAsia" w:ascii="Times New Roman" w:hAnsi="Times New Roman"/>
                <w:color w:val="auto"/>
                <w:kern w:val="0"/>
                <w:sz w:val="24"/>
                <w:szCs w:val="24"/>
              </w:rPr>
              <w:t>，对照负面清单，项目</w:t>
            </w:r>
            <w:r>
              <w:rPr>
                <w:rFonts w:hint="eastAsia"/>
                <w:color w:val="auto"/>
                <w:kern w:val="0"/>
                <w:sz w:val="24"/>
                <w:szCs w:val="24"/>
                <w:lang w:val="en-US" w:eastAsia="zh-CN"/>
              </w:rPr>
              <w:t>不属于限制引入类及禁止类</w:t>
            </w:r>
            <w:r>
              <w:rPr>
                <w:rFonts w:hint="eastAsia"/>
                <w:color w:val="auto"/>
                <w:kern w:val="0"/>
                <w:sz w:val="24"/>
                <w:szCs w:val="24"/>
                <w:lang w:eastAsia="zh-CN"/>
              </w:rPr>
              <w:t>，</w:t>
            </w:r>
            <w:r>
              <w:rPr>
                <w:rFonts w:hint="eastAsia"/>
                <w:color w:val="auto"/>
                <w:kern w:val="0"/>
                <w:sz w:val="24"/>
                <w:szCs w:val="24"/>
                <w:lang w:val="en-US" w:eastAsia="zh-CN"/>
              </w:rPr>
              <w:t>属于</w:t>
            </w:r>
            <w:r>
              <w:rPr>
                <w:rFonts w:hint="eastAsia"/>
                <w:color w:val="auto"/>
                <w:kern w:val="0"/>
                <w:sz w:val="24"/>
                <w:szCs w:val="24"/>
                <w:lang w:eastAsia="zh-CN"/>
              </w:rPr>
              <w:t>主导产业链配套的其他相关产业且经过充分的环境影响论证，</w:t>
            </w:r>
            <w:r>
              <w:rPr>
                <w:rFonts w:hint="eastAsia" w:ascii="Times New Roman" w:hAnsi="Times New Roman"/>
                <w:color w:val="auto"/>
                <w:kern w:val="0"/>
                <w:sz w:val="24"/>
                <w:szCs w:val="24"/>
              </w:rPr>
              <w:t>因此</w:t>
            </w:r>
            <w:r>
              <w:rPr>
                <w:rFonts w:hint="eastAsia"/>
                <w:color w:val="auto"/>
                <w:kern w:val="0"/>
                <w:sz w:val="24"/>
                <w:szCs w:val="24"/>
                <w:lang w:eastAsia="zh-CN"/>
              </w:rPr>
              <w:t>，</w:t>
            </w:r>
            <w:r>
              <w:rPr>
                <w:rFonts w:hint="eastAsia" w:ascii="Times New Roman" w:hAnsi="Times New Roman"/>
                <w:color w:val="auto"/>
                <w:kern w:val="0"/>
                <w:sz w:val="24"/>
                <w:szCs w:val="24"/>
              </w:rPr>
              <w:t>符合开发区</w:t>
            </w:r>
            <w:r>
              <w:rPr>
                <w:rFonts w:hint="eastAsia"/>
                <w:color w:val="auto"/>
                <w:kern w:val="0"/>
                <w:sz w:val="24"/>
                <w:szCs w:val="24"/>
                <w:lang w:val="en-US" w:eastAsia="zh-CN"/>
              </w:rPr>
              <w:t>准入</w:t>
            </w:r>
            <w:r>
              <w:rPr>
                <w:rFonts w:hint="eastAsia" w:ascii="Times New Roman" w:hAnsi="Times New Roman"/>
                <w:color w:val="auto"/>
                <w:kern w:val="0"/>
                <w:sz w:val="24"/>
                <w:szCs w:val="24"/>
              </w:rPr>
              <w:t>清单要求</w:t>
            </w:r>
            <w:r>
              <w:rPr>
                <w:rFonts w:hint="eastAsia"/>
                <w:color w:val="auto"/>
                <w:kern w:val="0"/>
                <w:sz w:val="24"/>
                <w:szCs w:val="24"/>
                <w:lang w:eastAsia="zh-CN"/>
              </w:rPr>
              <w:t>。</w:t>
            </w:r>
          </w:p>
          <w:p w14:paraId="09CF015F">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beforeAutospacing="0" w:after="0" w:afterAutospacing="0" w:line="360" w:lineRule="auto"/>
              <w:ind w:left="0" w:right="0" w:rightChars="0" w:firstLine="0" w:firstLineChars="0"/>
              <w:jc w:val="left"/>
              <w:textAlignment w:val="auto"/>
              <w:rPr>
                <w:rFonts w:hint="eastAsia" w:hAnsi="宋体"/>
                <w:b w:val="0"/>
                <w:bCs/>
                <w:color w:val="auto"/>
                <w:sz w:val="24"/>
                <w:lang w:val="en-US" w:eastAsia="zh-CN"/>
              </w:rPr>
            </w:pPr>
          </w:p>
          <w:p w14:paraId="1119A3AD">
            <w:pPr>
              <w:pStyle w:val="229"/>
              <w:keepNext w:val="0"/>
              <w:keepLines w:val="0"/>
              <w:suppressLineNumbers w:val="0"/>
              <w:spacing w:before="0" w:beforeAutospacing="0" w:after="0" w:afterAutospacing="0"/>
              <w:ind w:left="0" w:leftChars="0" w:right="0" w:firstLine="0" w:firstLineChars="0"/>
              <w:jc w:val="left"/>
              <w:rPr>
                <w:rFonts w:hint="eastAsia"/>
                <w:color w:val="auto"/>
              </w:rPr>
            </w:pPr>
          </w:p>
          <w:p w14:paraId="0C0A275B">
            <w:pPr>
              <w:pStyle w:val="229"/>
              <w:keepNext w:val="0"/>
              <w:keepLines w:val="0"/>
              <w:suppressLineNumbers w:val="0"/>
              <w:spacing w:before="0" w:beforeAutospacing="0" w:after="0" w:afterAutospacing="0"/>
              <w:ind w:left="0" w:leftChars="0" w:right="0" w:firstLine="0" w:firstLineChars="0"/>
              <w:jc w:val="left"/>
              <w:rPr>
                <w:rFonts w:hint="eastAsia"/>
                <w:color w:val="auto"/>
              </w:rPr>
            </w:pPr>
          </w:p>
          <w:p w14:paraId="138517B0">
            <w:pPr>
              <w:pStyle w:val="229"/>
              <w:keepNext w:val="0"/>
              <w:keepLines w:val="0"/>
              <w:suppressLineNumbers w:val="0"/>
              <w:spacing w:before="0" w:beforeAutospacing="0" w:after="0" w:afterAutospacing="0"/>
              <w:ind w:left="0" w:leftChars="0" w:right="0" w:firstLine="0" w:firstLineChars="0"/>
              <w:jc w:val="left"/>
              <w:rPr>
                <w:rFonts w:hint="eastAsia"/>
                <w:color w:val="auto"/>
              </w:rPr>
            </w:pPr>
          </w:p>
          <w:p w14:paraId="0BE2B7BC">
            <w:pPr>
              <w:pStyle w:val="229"/>
              <w:keepNext w:val="0"/>
              <w:keepLines w:val="0"/>
              <w:suppressLineNumbers w:val="0"/>
              <w:spacing w:before="0" w:beforeAutospacing="0" w:after="0" w:afterAutospacing="0"/>
              <w:ind w:left="0" w:leftChars="0" w:right="0" w:firstLine="0" w:firstLineChars="0"/>
              <w:jc w:val="left"/>
              <w:rPr>
                <w:rFonts w:hint="eastAsia"/>
                <w:color w:val="auto"/>
              </w:rPr>
            </w:pPr>
          </w:p>
          <w:p w14:paraId="5791D2C8">
            <w:pPr>
              <w:pStyle w:val="229"/>
              <w:keepNext w:val="0"/>
              <w:keepLines w:val="0"/>
              <w:suppressLineNumbers w:val="0"/>
              <w:spacing w:before="0" w:beforeAutospacing="0" w:after="0" w:afterAutospacing="0"/>
              <w:ind w:left="0" w:leftChars="0" w:right="0" w:firstLine="0" w:firstLineChars="0"/>
              <w:jc w:val="left"/>
              <w:rPr>
                <w:rFonts w:hint="eastAsia"/>
                <w:color w:val="auto"/>
              </w:rPr>
            </w:pPr>
          </w:p>
          <w:p w14:paraId="23E906D8">
            <w:pPr>
              <w:pStyle w:val="229"/>
              <w:keepNext w:val="0"/>
              <w:keepLines w:val="0"/>
              <w:suppressLineNumbers w:val="0"/>
              <w:spacing w:before="0" w:beforeAutospacing="0" w:after="0" w:afterAutospacing="0"/>
              <w:ind w:left="0" w:leftChars="0" w:right="0" w:firstLine="0" w:firstLineChars="0"/>
              <w:jc w:val="left"/>
              <w:rPr>
                <w:rFonts w:hint="eastAsia"/>
                <w:color w:val="auto"/>
              </w:rPr>
            </w:pPr>
          </w:p>
          <w:p w14:paraId="56FB22A9">
            <w:pPr>
              <w:pStyle w:val="229"/>
              <w:keepNext w:val="0"/>
              <w:keepLines w:val="0"/>
              <w:suppressLineNumbers w:val="0"/>
              <w:spacing w:before="0" w:beforeAutospacing="0" w:after="0" w:afterAutospacing="0"/>
              <w:ind w:left="0" w:leftChars="0" w:right="0" w:firstLine="0" w:firstLineChars="0"/>
              <w:jc w:val="left"/>
              <w:rPr>
                <w:rFonts w:hint="eastAsia"/>
                <w:color w:val="auto"/>
              </w:rPr>
            </w:pPr>
          </w:p>
          <w:p w14:paraId="366AF665">
            <w:pPr>
              <w:pStyle w:val="229"/>
              <w:keepNext w:val="0"/>
              <w:keepLines w:val="0"/>
              <w:suppressLineNumbers w:val="0"/>
              <w:spacing w:before="0" w:beforeAutospacing="0" w:after="0" w:afterAutospacing="0"/>
              <w:ind w:left="0" w:leftChars="0" w:right="0" w:firstLine="0" w:firstLineChars="0"/>
              <w:jc w:val="left"/>
              <w:rPr>
                <w:rFonts w:hint="eastAsia"/>
                <w:color w:val="auto"/>
              </w:rPr>
            </w:pPr>
          </w:p>
          <w:p w14:paraId="3B91C021">
            <w:pPr>
              <w:pStyle w:val="229"/>
              <w:keepNext w:val="0"/>
              <w:keepLines w:val="0"/>
              <w:suppressLineNumbers w:val="0"/>
              <w:spacing w:before="0" w:beforeAutospacing="0" w:after="0" w:afterAutospacing="0"/>
              <w:ind w:left="0" w:leftChars="0" w:right="0" w:firstLine="0" w:firstLineChars="0"/>
              <w:jc w:val="left"/>
              <w:rPr>
                <w:rFonts w:hint="eastAsia"/>
                <w:color w:val="auto"/>
              </w:rPr>
            </w:pPr>
          </w:p>
          <w:p w14:paraId="5F321A97">
            <w:pPr>
              <w:pStyle w:val="229"/>
              <w:keepNext w:val="0"/>
              <w:keepLines w:val="0"/>
              <w:suppressLineNumbers w:val="0"/>
              <w:spacing w:before="0" w:beforeAutospacing="0" w:after="0" w:afterAutospacing="0"/>
              <w:ind w:left="0" w:leftChars="0" w:right="0" w:firstLine="0" w:firstLineChars="0"/>
              <w:jc w:val="left"/>
              <w:rPr>
                <w:rFonts w:hint="eastAsia"/>
                <w:color w:val="auto"/>
              </w:rPr>
            </w:pPr>
          </w:p>
          <w:p w14:paraId="17B15B7E">
            <w:pPr>
              <w:pStyle w:val="229"/>
              <w:keepNext w:val="0"/>
              <w:keepLines w:val="0"/>
              <w:suppressLineNumbers w:val="0"/>
              <w:spacing w:before="0" w:beforeAutospacing="0" w:after="0" w:afterAutospacing="0"/>
              <w:ind w:left="0" w:leftChars="0" w:right="0" w:firstLine="0" w:firstLineChars="0"/>
              <w:jc w:val="left"/>
              <w:rPr>
                <w:rFonts w:hint="eastAsia"/>
                <w:color w:val="auto"/>
              </w:rPr>
            </w:pPr>
          </w:p>
          <w:p w14:paraId="27AA0983">
            <w:pPr>
              <w:pStyle w:val="229"/>
              <w:keepNext w:val="0"/>
              <w:keepLines w:val="0"/>
              <w:suppressLineNumbers w:val="0"/>
              <w:spacing w:before="0" w:beforeAutospacing="0" w:after="0" w:afterAutospacing="0"/>
              <w:ind w:left="0" w:leftChars="0" w:right="0" w:firstLine="0" w:firstLineChars="0"/>
              <w:jc w:val="left"/>
              <w:rPr>
                <w:rFonts w:hint="eastAsia"/>
                <w:color w:val="auto"/>
              </w:rPr>
            </w:pPr>
          </w:p>
          <w:p w14:paraId="49F0A5C0">
            <w:pPr>
              <w:pStyle w:val="229"/>
              <w:keepNext w:val="0"/>
              <w:keepLines w:val="0"/>
              <w:suppressLineNumbers w:val="0"/>
              <w:spacing w:before="0" w:beforeAutospacing="0" w:after="0" w:afterAutospacing="0"/>
              <w:ind w:left="0" w:leftChars="0" w:right="0" w:firstLine="0" w:firstLineChars="0"/>
              <w:jc w:val="left"/>
              <w:rPr>
                <w:rFonts w:hint="eastAsia"/>
                <w:color w:val="auto"/>
              </w:rPr>
            </w:pPr>
          </w:p>
        </w:tc>
      </w:tr>
      <w:tr w14:paraId="27F15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900" w:hRule="atLeast"/>
          <w:jc w:val="center"/>
        </w:trPr>
        <w:tc>
          <w:tcPr>
            <w:tcW w:w="270" w:type="pct"/>
            <w:gridSpan w:val="2"/>
            <w:vAlign w:val="center"/>
          </w:tcPr>
          <w:p w14:paraId="495C4190">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default" w:ascii="宋体" w:hAnsi="宋体" w:cs="宋体"/>
                <w:color w:val="auto"/>
                <w:kern w:val="0"/>
                <w:sz w:val="24"/>
                <w:szCs w:val="24"/>
              </w:rPr>
            </w:pPr>
            <w:bookmarkStart w:id="6" w:name="_Toc354926674"/>
            <w:r>
              <w:rPr>
                <w:rFonts w:hint="default"/>
                <w:color w:val="auto"/>
              </w:rPr>
              <w:br w:type="page"/>
            </w:r>
            <w:r>
              <w:rPr>
                <w:rFonts w:hint="eastAsia" w:ascii="宋体" w:hAnsi="宋体" w:cs="宋体"/>
                <w:color w:val="auto"/>
                <w:kern w:val="0"/>
                <w:sz w:val="24"/>
                <w:szCs w:val="24"/>
              </w:rPr>
              <w:t>其他符合性分析</w:t>
            </w:r>
          </w:p>
        </w:tc>
        <w:tc>
          <w:tcPr>
            <w:tcW w:w="4729" w:type="pct"/>
            <w:gridSpan w:val="4"/>
            <w:vAlign w:val="center"/>
          </w:tcPr>
          <w:p w14:paraId="7E5AA7D2">
            <w:pPr>
              <w:keepNext w:val="0"/>
              <w:keepLines w:val="0"/>
              <w:suppressLineNumbers w:val="0"/>
              <w:snapToGrid w:val="0"/>
              <w:spacing w:before="0" w:beforeAutospacing="0" w:after="0" w:afterAutospacing="0" w:line="360" w:lineRule="auto"/>
              <w:ind w:left="0" w:right="0" w:firstLine="482" w:firstLineChars="200"/>
              <w:jc w:val="left"/>
              <w:rPr>
                <w:rFonts w:hint="default" w:hAnsi="黑体" w:eastAsia="黑体"/>
                <w:b/>
                <w:color w:val="auto"/>
                <w:sz w:val="24"/>
                <w:szCs w:val="24"/>
              </w:rPr>
            </w:pPr>
            <w:r>
              <w:rPr>
                <w:rFonts w:hint="eastAsia" w:hAnsi="黑体" w:eastAsia="黑体"/>
                <w:b/>
                <w:color w:val="auto"/>
                <w:sz w:val="24"/>
                <w:szCs w:val="24"/>
              </w:rPr>
              <w:t>1.</w:t>
            </w:r>
            <w:r>
              <w:rPr>
                <w:rFonts w:hint="eastAsia" w:ascii="宋体" w:hAnsi="宋体"/>
                <w:b/>
                <w:color w:val="auto"/>
                <w:sz w:val="24"/>
                <w:szCs w:val="24"/>
              </w:rPr>
              <w:t>产业政策符合性</w:t>
            </w:r>
          </w:p>
          <w:p w14:paraId="116A8CFD">
            <w:pPr>
              <w:keepNext w:val="0"/>
              <w:keepLines w:val="0"/>
              <w:suppressLineNumbers w:val="0"/>
              <w:snapToGrid w:val="0"/>
              <w:spacing w:before="0" w:beforeAutospacing="0" w:after="0" w:afterAutospacing="0" w:line="360" w:lineRule="auto"/>
              <w:ind w:left="0" w:right="0" w:firstLine="480" w:firstLineChars="200"/>
              <w:rPr>
                <w:rFonts w:hint="default"/>
                <w:color w:val="auto"/>
                <w:sz w:val="24"/>
              </w:rPr>
            </w:pPr>
            <w:r>
              <w:rPr>
                <w:rFonts w:hint="eastAsia"/>
                <w:color w:val="auto"/>
                <w:sz w:val="24"/>
              </w:rPr>
              <w:t>本项目行业类别为C2927日用塑料制品制造</w:t>
            </w:r>
            <w:r>
              <w:rPr>
                <w:rFonts w:hint="eastAsia"/>
                <w:color w:val="auto"/>
                <w:sz w:val="24"/>
                <w:lang w:eastAsia="zh-CN"/>
              </w:rPr>
              <w:t>、</w:t>
            </w:r>
            <w:r>
              <w:rPr>
                <w:rFonts w:hint="eastAsia"/>
                <w:color w:val="auto"/>
                <w:sz w:val="24"/>
                <w:lang w:val="en-US" w:eastAsia="zh-CN"/>
              </w:rPr>
              <w:t>C2929塑料零件及其他塑料制品制造</w:t>
            </w:r>
            <w:r>
              <w:rPr>
                <w:rFonts w:hint="eastAsia"/>
                <w:color w:val="auto"/>
                <w:sz w:val="24"/>
              </w:rPr>
              <w:t>，对照《产业结构调整指导目录（2024年本）》，本</w:t>
            </w:r>
            <w:r>
              <w:rPr>
                <w:rFonts w:hint="eastAsia"/>
                <w:color w:val="auto"/>
                <w:sz w:val="24"/>
                <w:lang w:val="en-US" w:eastAsia="zh-CN"/>
              </w:rPr>
              <w:t>项目</w:t>
            </w:r>
            <w:r>
              <w:rPr>
                <w:rFonts w:hint="eastAsia"/>
                <w:color w:val="auto"/>
                <w:sz w:val="24"/>
              </w:rPr>
              <w:t>不属于限制类和淘汰类，视为允</w:t>
            </w:r>
            <w:r>
              <w:rPr>
                <w:rFonts w:hint="eastAsia"/>
                <w:color w:val="auto"/>
                <w:sz w:val="24"/>
                <w:highlight w:val="none"/>
              </w:rPr>
              <w:t>许建设类。此外，本项目已取得</w:t>
            </w:r>
            <w:r>
              <w:rPr>
                <w:rFonts w:hint="eastAsia"/>
                <w:color w:val="auto"/>
                <w:sz w:val="24"/>
                <w:highlight w:val="none"/>
                <w:lang w:eastAsia="zh-CN"/>
              </w:rPr>
              <w:t>凤台县发展和改革委员会</w:t>
            </w:r>
            <w:r>
              <w:rPr>
                <w:rFonts w:hint="default"/>
                <w:color w:val="auto"/>
                <w:sz w:val="24"/>
                <w:highlight w:val="none"/>
              </w:rPr>
              <w:t>备案</w:t>
            </w:r>
            <w:r>
              <w:rPr>
                <w:rFonts w:hint="eastAsia"/>
                <w:color w:val="auto"/>
                <w:sz w:val="24"/>
                <w:highlight w:val="none"/>
              </w:rPr>
              <w:t>，项目代码为</w:t>
            </w:r>
            <w:r>
              <w:rPr>
                <w:rFonts w:hint="eastAsia"/>
                <w:color w:val="auto"/>
                <w:sz w:val="24"/>
                <w:szCs w:val="24"/>
                <w:highlight w:val="none"/>
                <w:lang w:val="en-US" w:eastAsia="zh-CN"/>
              </w:rPr>
              <w:t>2603-340421-04-03-241021</w:t>
            </w:r>
            <w:r>
              <w:rPr>
                <w:rFonts w:hint="eastAsia"/>
                <w:color w:val="auto"/>
                <w:sz w:val="24"/>
                <w:highlight w:val="none"/>
              </w:rPr>
              <w:t>。</w:t>
            </w:r>
            <w:r>
              <w:rPr>
                <w:rFonts w:hint="eastAsia"/>
                <w:color w:val="auto"/>
                <w:sz w:val="24"/>
              </w:rPr>
              <w:t>综上所述，本项目符合国家和地方产业政策。</w:t>
            </w:r>
          </w:p>
          <w:p w14:paraId="018345F1">
            <w:pPr>
              <w:keepNext w:val="0"/>
              <w:keepLines w:val="0"/>
              <w:suppressLineNumbers w:val="0"/>
              <w:snapToGrid w:val="0"/>
              <w:spacing w:before="0" w:beforeAutospacing="0" w:after="0" w:afterAutospacing="0" w:line="360" w:lineRule="auto"/>
              <w:ind w:left="0" w:right="0" w:firstLine="482" w:firstLineChars="200"/>
              <w:rPr>
                <w:rFonts w:hint="default"/>
                <w:b/>
                <w:color w:val="auto"/>
                <w:sz w:val="24"/>
              </w:rPr>
            </w:pPr>
            <w:r>
              <w:rPr>
                <w:rFonts w:hint="eastAsia"/>
                <w:b/>
                <w:color w:val="auto"/>
                <w:sz w:val="24"/>
              </w:rPr>
              <w:t>2.与周围环境相容性分析</w:t>
            </w:r>
          </w:p>
          <w:p w14:paraId="4FD265B2">
            <w:pPr>
              <w:keepNext w:val="0"/>
              <w:keepLines w:val="0"/>
              <w:suppressLineNumbers w:val="0"/>
              <w:snapToGrid w:val="0"/>
              <w:spacing w:before="0" w:beforeAutospacing="0" w:after="0" w:afterAutospacing="0" w:line="360" w:lineRule="auto"/>
              <w:ind w:left="0" w:right="0" w:firstLine="480" w:firstLineChars="200"/>
              <w:rPr>
                <w:rFonts w:hint="eastAsia"/>
                <w:color w:val="auto"/>
                <w:sz w:val="24"/>
                <w:lang w:val="en-US" w:eastAsia="zh-CN"/>
              </w:rPr>
            </w:pPr>
            <w:r>
              <w:rPr>
                <w:rFonts w:hint="eastAsia"/>
                <w:color w:val="auto"/>
                <w:sz w:val="24"/>
                <w:lang w:val="en-US" w:eastAsia="zh-CN"/>
              </w:rPr>
              <w:t>本项目位于安徽省淮南市凤台县凤台经济开发区电子智能制造产业园52#标准化厂房一层、二层、三层、四层内。项目所在地东侧为农用地，南侧为大兴集路，北侧为临近企业（淮南旭辉服饰有限公司），西侧为临近企业（义红服饰）。根据现场踏勘调查，距离本项目最近的环境保护目标为凤台县执法办案管理中心（政府机构，距项目东侧厂界约250m），评价范围内无自然保护区、风景名胜区、文物古迹等需要特别保护的环境敏感对象。</w:t>
            </w:r>
          </w:p>
          <w:p w14:paraId="6338B493">
            <w:pPr>
              <w:keepNext w:val="0"/>
              <w:keepLines w:val="0"/>
              <w:suppressLineNumbers w:val="0"/>
              <w:snapToGrid w:val="0"/>
              <w:spacing w:before="0" w:beforeAutospacing="0" w:after="0" w:afterAutospacing="0" w:line="360" w:lineRule="auto"/>
              <w:ind w:left="0" w:right="0" w:firstLine="480" w:firstLineChars="200"/>
              <w:rPr>
                <w:rFonts w:hint="eastAsia"/>
                <w:color w:val="auto"/>
                <w:sz w:val="24"/>
                <w:lang w:val="en-US" w:eastAsia="zh-CN"/>
              </w:rPr>
            </w:pPr>
            <w:r>
              <w:rPr>
                <w:rFonts w:hint="eastAsia"/>
                <w:color w:val="auto"/>
                <w:sz w:val="24"/>
                <w:szCs w:val="24"/>
                <w:lang w:val="en-US" w:eastAsia="zh-CN"/>
              </w:rPr>
              <w:t>本项目运营期产生的废水主要为循环冷却系统排水及生活污水</w:t>
            </w:r>
            <w:r>
              <w:rPr>
                <w:rFonts w:hint="eastAsia" w:ascii="宋体" w:hAnsi="宋体"/>
                <w:color w:val="auto"/>
                <w:kern w:val="0"/>
                <w:sz w:val="24"/>
                <w:szCs w:val="24"/>
                <w:highlight w:val="none"/>
                <w:lang w:val="en-US" w:eastAsia="zh-CN"/>
              </w:rPr>
              <w:t>，</w:t>
            </w:r>
            <w:r>
              <w:rPr>
                <w:rFonts w:hint="eastAsia"/>
                <w:color w:val="auto"/>
                <w:sz w:val="24"/>
                <w:szCs w:val="24"/>
                <w:lang w:val="en-US" w:eastAsia="zh-CN"/>
              </w:rPr>
              <w:t>生活污水</w:t>
            </w:r>
            <w:r>
              <w:rPr>
                <w:rFonts w:hint="eastAsia" w:ascii="宋体" w:hAnsi="宋体"/>
                <w:color w:val="auto"/>
                <w:kern w:val="0"/>
                <w:sz w:val="24"/>
                <w:szCs w:val="24"/>
                <w:highlight w:val="none"/>
                <w:lang w:val="en-US" w:eastAsia="zh-CN"/>
              </w:rPr>
              <w:t>经化粪池预处理</w:t>
            </w:r>
            <w:r>
              <w:rPr>
                <w:rFonts w:hint="default" w:ascii="Times New Roman" w:hAnsi="Times New Roman" w:cs="Times New Roman"/>
                <w:color w:val="auto"/>
                <w:kern w:val="0"/>
                <w:sz w:val="24"/>
                <w:szCs w:val="24"/>
                <w:highlight w:val="none"/>
                <w:lang w:val="en-US" w:eastAsia="zh-CN"/>
              </w:rPr>
              <w:t>达标</w:t>
            </w:r>
            <w:r>
              <w:rPr>
                <w:rFonts w:hint="eastAsia" w:cs="Times New Roman"/>
                <w:color w:val="auto"/>
                <w:kern w:val="0"/>
                <w:sz w:val="24"/>
                <w:szCs w:val="24"/>
                <w:highlight w:val="none"/>
                <w:lang w:val="en-US" w:eastAsia="zh-CN"/>
              </w:rPr>
              <w:t>后与</w:t>
            </w:r>
            <w:r>
              <w:rPr>
                <w:rFonts w:hint="eastAsia"/>
                <w:color w:val="auto"/>
                <w:sz w:val="24"/>
                <w:szCs w:val="24"/>
                <w:lang w:val="en-US" w:eastAsia="zh-CN"/>
              </w:rPr>
              <w:t>循环冷却系统排水一并</w:t>
            </w:r>
            <w:r>
              <w:rPr>
                <w:rFonts w:hint="default" w:ascii="Times New Roman" w:hAnsi="Times New Roman" w:cs="Times New Roman"/>
                <w:color w:val="auto"/>
                <w:kern w:val="0"/>
                <w:sz w:val="24"/>
                <w:szCs w:val="24"/>
                <w:highlight w:val="none"/>
              </w:rPr>
              <w:t>接管</w:t>
            </w:r>
            <w:r>
              <w:rPr>
                <w:rFonts w:hint="default" w:ascii="Times New Roman" w:hAnsi="Times New Roman" w:cs="Times New Roman"/>
                <w:color w:val="auto"/>
                <w:kern w:val="0"/>
                <w:sz w:val="24"/>
                <w:szCs w:val="24"/>
                <w:highlight w:val="none"/>
                <w:lang w:val="en-US" w:eastAsia="zh-CN"/>
              </w:rPr>
              <w:t>至</w:t>
            </w:r>
            <w:r>
              <w:rPr>
                <w:rFonts w:hint="eastAsia" w:cs="Times New Roman"/>
                <w:color w:val="auto"/>
                <w:kern w:val="0"/>
                <w:sz w:val="24"/>
                <w:szCs w:val="24"/>
                <w:highlight w:val="none"/>
                <w:lang w:eastAsia="zh-CN"/>
              </w:rPr>
              <w:t>凤台县污水处理厂</w:t>
            </w:r>
            <w:r>
              <w:rPr>
                <w:rFonts w:hint="default" w:ascii="Times New Roman" w:hAnsi="Times New Roman" w:cs="Times New Roman"/>
                <w:color w:val="auto"/>
                <w:kern w:val="0"/>
                <w:sz w:val="24"/>
                <w:szCs w:val="24"/>
                <w:highlight w:val="none"/>
                <w:lang w:val="en-US" w:eastAsia="zh-CN"/>
              </w:rPr>
              <w:t>深度</w:t>
            </w:r>
            <w:r>
              <w:rPr>
                <w:rFonts w:hint="default" w:ascii="Times New Roman" w:hAnsi="Times New Roman" w:cs="Times New Roman"/>
                <w:color w:val="auto"/>
                <w:kern w:val="0"/>
                <w:sz w:val="24"/>
                <w:szCs w:val="24"/>
                <w:highlight w:val="none"/>
              </w:rPr>
              <w:t>处理，</w:t>
            </w:r>
            <w:r>
              <w:rPr>
                <w:rFonts w:hint="default" w:ascii="Times New Roman" w:hAnsi="Times New Roman" w:cs="Times New Roman"/>
                <w:color w:val="auto"/>
                <w:kern w:val="0"/>
                <w:sz w:val="24"/>
                <w:szCs w:val="24"/>
                <w:highlight w:val="none"/>
                <w:lang w:val="en-US" w:eastAsia="zh-CN"/>
              </w:rPr>
              <w:t>处理达到《城镇污水处理厂污染物排放标准》（GB18918-2002</w:t>
            </w:r>
            <w:r>
              <w:rPr>
                <w:rFonts w:hint="eastAsia" w:cs="Times New Roman"/>
                <w:color w:val="auto"/>
                <w:kern w:val="0"/>
                <w:sz w:val="24"/>
                <w:szCs w:val="24"/>
                <w:highlight w:val="none"/>
                <w:lang w:val="en-US" w:eastAsia="zh-CN"/>
              </w:rPr>
              <w:t>，含2006年、2025年修改单</w:t>
            </w:r>
            <w:r>
              <w:rPr>
                <w:rFonts w:hint="default" w:ascii="Times New Roman" w:hAnsi="Times New Roman" w:cs="Times New Roman"/>
                <w:color w:val="auto"/>
                <w:kern w:val="0"/>
                <w:sz w:val="24"/>
                <w:szCs w:val="24"/>
                <w:highlight w:val="none"/>
                <w:lang w:val="en-US" w:eastAsia="zh-CN"/>
              </w:rPr>
              <w:t>）一级A标准后，排放至</w:t>
            </w:r>
            <w:r>
              <w:rPr>
                <w:rFonts w:hint="eastAsia" w:cs="Times New Roman"/>
                <w:color w:val="auto"/>
                <w:kern w:val="0"/>
                <w:sz w:val="24"/>
                <w:szCs w:val="24"/>
                <w:highlight w:val="none"/>
                <w:lang w:val="en-US" w:eastAsia="zh-CN"/>
              </w:rPr>
              <w:t>架</w:t>
            </w:r>
            <w:r>
              <w:rPr>
                <w:rFonts w:hint="default" w:ascii="Times New Roman" w:hAnsi="Times New Roman" w:cs="Times New Roman"/>
                <w:color w:val="auto"/>
                <w:kern w:val="0"/>
                <w:sz w:val="24"/>
                <w:szCs w:val="24"/>
                <w:highlight w:val="none"/>
                <w:lang w:val="en-US" w:eastAsia="zh-CN"/>
              </w:rPr>
              <w:t>河，最终汇入</w:t>
            </w:r>
            <w:r>
              <w:rPr>
                <w:rFonts w:hint="eastAsia" w:cs="Times New Roman"/>
                <w:color w:val="auto"/>
                <w:kern w:val="0"/>
                <w:sz w:val="24"/>
                <w:szCs w:val="24"/>
                <w:highlight w:val="none"/>
                <w:lang w:val="en-US" w:eastAsia="zh-CN"/>
              </w:rPr>
              <w:t>淮</w:t>
            </w:r>
            <w:r>
              <w:rPr>
                <w:rFonts w:hint="default" w:ascii="Times New Roman" w:hAnsi="Times New Roman" w:cs="Times New Roman"/>
                <w:color w:val="auto"/>
                <w:kern w:val="0"/>
                <w:sz w:val="24"/>
                <w:szCs w:val="24"/>
                <w:highlight w:val="none"/>
                <w:lang w:val="en-US" w:eastAsia="zh-CN"/>
              </w:rPr>
              <w:t>河</w:t>
            </w:r>
            <w:r>
              <w:rPr>
                <w:rFonts w:hint="default" w:ascii="Times New Roman" w:hAnsi="Times New Roman" w:cs="Times New Roman"/>
                <w:color w:val="auto"/>
                <w:kern w:val="0"/>
                <w:sz w:val="24"/>
                <w:szCs w:val="24"/>
                <w:highlight w:val="none"/>
                <w:lang w:eastAsia="zh-CN"/>
              </w:rPr>
              <w:t>。</w:t>
            </w:r>
            <w:r>
              <w:rPr>
                <w:rFonts w:hint="default" w:ascii="Times New Roman" w:hAnsi="Times New Roman" w:cs="Times New Roman"/>
                <w:color w:val="auto"/>
                <w:sz w:val="24"/>
                <w:lang w:val="en-US" w:eastAsia="zh-CN"/>
              </w:rPr>
              <w:t>在采</w:t>
            </w:r>
            <w:r>
              <w:rPr>
                <w:rFonts w:hint="eastAsia"/>
                <w:color w:val="auto"/>
                <w:sz w:val="24"/>
                <w:lang w:val="en-US" w:eastAsia="zh-CN"/>
              </w:rPr>
              <w:t>取本环评提出的相应治理措施后，对外环境产生的影响较小，污染物均能达标排放或得到妥善处置，项目的建设不会降低区域环境功能区划。</w:t>
            </w:r>
          </w:p>
          <w:p w14:paraId="44C30EDC">
            <w:pPr>
              <w:keepNext w:val="0"/>
              <w:keepLines w:val="0"/>
              <w:suppressLineNumbers w:val="0"/>
              <w:snapToGrid w:val="0"/>
              <w:spacing w:before="0" w:beforeAutospacing="0" w:after="0" w:afterAutospacing="0" w:line="360" w:lineRule="auto"/>
              <w:ind w:left="0" w:right="0" w:firstLine="480" w:firstLineChars="200"/>
              <w:rPr>
                <w:rFonts w:hint="default" w:eastAsia="宋体"/>
                <w:color w:val="auto"/>
                <w:sz w:val="24"/>
                <w:lang w:val="en-US" w:eastAsia="zh-CN"/>
              </w:rPr>
            </w:pPr>
            <w:r>
              <w:rPr>
                <w:rFonts w:hint="eastAsia"/>
                <w:color w:val="auto"/>
                <w:sz w:val="24"/>
                <w:lang w:val="en-US" w:eastAsia="zh-CN"/>
              </w:rPr>
              <w:t>因此，本项目须加强环境治理和管理，与周边环境相容。</w:t>
            </w:r>
          </w:p>
          <w:p w14:paraId="164A277C">
            <w:pPr>
              <w:keepNext w:val="0"/>
              <w:keepLines w:val="0"/>
              <w:suppressLineNumbers w:val="0"/>
              <w:spacing w:before="0" w:beforeAutospacing="0" w:after="0" w:afterAutospacing="0" w:line="360" w:lineRule="auto"/>
              <w:ind w:left="0" w:right="0" w:firstLine="466" w:firstLineChars="200"/>
              <w:jc w:val="left"/>
              <w:rPr>
                <w:rFonts w:hint="default"/>
                <w:b/>
                <w:color w:val="auto"/>
                <w:sz w:val="24"/>
                <w:szCs w:val="24"/>
              </w:rPr>
            </w:pPr>
            <w:r>
              <w:rPr>
                <w:rFonts w:hint="eastAsia"/>
                <w:b/>
                <w:color w:val="auto"/>
                <w:spacing w:val="-4"/>
                <w:sz w:val="24"/>
                <w:szCs w:val="24"/>
              </w:rPr>
              <w:t>3</w:t>
            </w:r>
            <w:r>
              <w:rPr>
                <w:rFonts w:hint="eastAsia" w:ascii="宋体" w:hAnsi="宋体"/>
                <w:b/>
                <w:color w:val="auto"/>
                <w:spacing w:val="-4"/>
                <w:sz w:val="24"/>
                <w:szCs w:val="24"/>
              </w:rPr>
              <w:t>.</w:t>
            </w:r>
            <w:r>
              <w:rPr>
                <w:rFonts w:hint="eastAsia" w:ascii="宋体" w:hAnsi="宋体"/>
                <w:b/>
                <w:color w:val="auto"/>
                <w:sz w:val="24"/>
                <w:szCs w:val="24"/>
              </w:rPr>
              <w:t>“</w:t>
            </w:r>
            <w:r>
              <w:rPr>
                <w:rFonts w:hint="default" w:ascii="宋体" w:hAnsi="宋体"/>
                <w:b/>
                <w:color w:val="auto"/>
                <w:sz w:val="24"/>
                <w:szCs w:val="24"/>
              </w:rPr>
              <w:t>三区三线</w:t>
            </w:r>
            <w:r>
              <w:rPr>
                <w:rFonts w:hint="eastAsia" w:ascii="宋体" w:hAnsi="宋体"/>
                <w:b/>
                <w:color w:val="auto"/>
                <w:spacing w:val="-4"/>
                <w:sz w:val="24"/>
                <w:szCs w:val="24"/>
              </w:rPr>
              <w:t>”</w:t>
            </w:r>
            <w:r>
              <w:rPr>
                <w:rFonts w:hint="default" w:ascii="宋体" w:hAnsi="宋体"/>
                <w:b/>
                <w:color w:val="auto"/>
                <w:sz w:val="24"/>
                <w:szCs w:val="24"/>
              </w:rPr>
              <w:t>符合性分析</w:t>
            </w:r>
          </w:p>
          <w:p w14:paraId="0CF91E4C">
            <w:pPr>
              <w:keepNext w:val="0"/>
              <w:keepLines w:val="0"/>
              <w:suppressLineNumbers w:val="0"/>
              <w:spacing w:before="0" w:beforeAutospacing="0" w:after="0" w:afterAutospacing="0" w:line="360" w:lineRule="auto"/>
              <w:ind w:left="0" w:right="0" w:firstLine="480" w:firstLineChars="200"/>
              <w:rPr>
                <w:rFonts w:hint="default" w:ascii="宋体" w:hAnsi="宋体"/>
                <w:color w:val="auto"/>
                <w:sz w:val="24"/>
                <w:szCs w:val="24"/>
              </w:rPr>
            </w:pPr>
            <w:r>
              <w:rPr>
                <w:rFonts w:hint="eastAsia" w:ascii="宋体" w:hAnsi="宋体"/>
                <w:color w:val="auto"/>
                <w:sz w:val="24"/>
                <w:szCs w:val="24"/>
              </w:rPr>
              <w:t>“三区三线”是根据城镇空间、农业空间、生态空间三种类型的空间，分别对应划定的城镇开发边界、永久基本农田保护红线、生态保护红线三条控制线。其中，生态保护红线是指在生态空间范围内具有特殊重要生态功能，必须强制性严格保护的陆域、水域、海域等区域。永久基本农田是指按照一定时期人口和经济社会发展对农产品的需求，依据国土空间规划确定的不能擅自占用或改变用途的耕地。城镇开发边界是指在一定时期内因城镇发展需要，可以集中进行城镇开发建设，重点完善城镇功能的区域边界，涉及城市、建制镇和各类开发区等。以第三次全国国土调查（以下称“三调”）和</w:t>
            </w:r>
            <w:r>
              <w:rPr>
                <w:rFonts w:hint="default"/>
                <w:color w:val="auto"/>
                <w:sz w:val="24"/>
                <w:szCs w:val="24"/>
              </w:rPr>
              <w:t>2020</w:t>
            </w:r>
            <w:r>
              <w:rPr>
                <w:rFonts w:hint="eastAsia" w:ascii="宋体" w:hAnsi="宋体"/>
                <w:color w:val="auto"/>
                <w:sz w:val="24"/>
                <w:szCs w:val="24"/>
              </w:rPr>
              <w:t>年度国土变更调查成果为基础，依据“三区三线”划定规则统筹划定耕地和永久基本农田、生态保护红线、城镇开发边界，确保落实耕地保护任务，稳定生态保护格局，合理确定城镇空间，同步建设国土空间规划“一张图”实施监督信息系统。</w:t>
            </w:r>
          </w:p>
          <w:p w14:paraId="3EC6AD4F">
            <w:pPr>
              <w:keepNext w:val="0"/>
              <w:keepLines w:val="0"/>
              <w:suppressLineNumbers w:val="0"/>
              <w:snapToGrid w:val="0"/>
              <w:spacing w:before="0" w:beforeAutospacing="0" w:after="0" w:afterAutospacing="0" w:line="360" w:lineRule="auto"/>
              <w:ind w:left="0" w:right="0" w:firstLine="480" w:firstLineChars="200"/>
              <w:rPr>
                <w:rFonts w:hint="eastAsia"/>
                <w:color w:val="auto"/>
                <w:sz w:val="24"/>
                <w:szCs w:val="24"/>
              </w:rPr>
            </w:pPr>
            <w:r>
              <w:rPr>
                <w:rFonts w:hint="default"/>
                <w:color w:val="auto"/>
                <w:sz w:val="24"/>
                <w:szCs w:val="24"/>
              </w:rPr>
              <w:t>2022</w:t>
            </w:r>
            <w:r>
              <w:rPr>
                <w:rFonts w:hint="default" w:ascii="宋体" w:hAnsi="宋体"/>
                <w:color w:val="auto"/>
                <w:sz w:val="24"/>
                <w:szCs w:val="24"/>
              </w:rPr>
              <w:t>年</w:t>
            </w:r>
            <w:r>
              <w:rPr>
                <w:rFonts w:hint="default"/>
                <w:color w:val="auto"/>
                <w:sz w:val="24"/>
                <w:szCs w:val="24"/>
              </w:rPr>
              <w:t>9</w:t>
            </w:r>
            <w:r>
              <w:rPr>
                <w:rFonts w:hint="default" w:ascii="宋体" w:hAnsi="宋体"/>
                <w:color w:val="auto"/>
                <w:sz w:val="24"/>
                <w:szCs w:val="24"/>
              </w:rPr>
              <w:t>月</w:t>
            </w:r>
            <w:r>
              <w:rPr>
                <w:rFonts w:hint="default"/>
                <w:color w:val="auto"/>
                <w:sz w:val="24"/>
                <w:szCs w:val="24"/>
              </w:rPr>
              <w:t>28</w:t>
            </w:r>
            <w:r>
              <w:rPr>
                <w:rFonts w:hint="default" w:ascii="宋体" w:hAnsi="宋体"/>
                <w:color w:val="auto"/>
                <w:sz w:val="24"/>
                <w:szCs w:val="24"/>
              </w:rPr>
              <w:t>日，自然资源部发函《自然资源部办公厅关于依据</w:t>
            </w:r>
            <w:r>
              <w:rPr>
                <w:rFonts w:hint="default"/>
                <w:color w:val="auto"/>
                <w:sz w:val="24"/>
                <w:szCs w:val="24"/>
              </w:rPr>
              <w:t>“</w:t>
            </w:r>
            <w:r>
              <w:rPr>
                <w:rFonts w:hint="default" w:ascii="宋体" w:hAnsi="宋体"/>
                <w:color w:val="auto"/>
                <w:sz w:val="24"/>
                <w:szCs w:val="24"/>
              </w:rPr>
              <w:t>三区三线</w:t>
            </w:r>
            <w:r>
              <w:rPr>
                <w:rFonts w:hint="default"/>
                <w:color w:val="auto"/>
                <w:sz w:val="24"/>
                <w:szCs w:val="24"/>
              </w:rPr>
              <w:t>”</w:t>
            </w:r>
            <w:r>
              <w:rPr>
                <w:rFonts w:hint="default" w:ascii="宋体" w:hAnsi="宋体"/>
                <w:color w:val="auto"/>
                <w:sz w:val="24"/>
                <w:szCs w:val="24"/>
              </w:rPr>
              <w:t>划定成果报批建设项目用地用海有关事宜的函》</w:t>
            </w:r>
            <w:r>
              <w:rPr>
                <w:rFonts w:hint="default"/>
                <w:color w:val="auto"/>
                <w:sz w:val="24"/>
                <w:szCs w:val="24"/>
              </w:rPr>
              <w:t>(</w:t>
            </w:r>
            <w:r>
              <w:rPr>
                <w:rFonts w:hint="default" w:ascii="宋体" w:hAnsi="宋体"/>
                <w:color w:val="auto"/>
                <w:sz w:val="24"/>
                <w:szCs w:val="24"/>
              </w:rPr>
              <w:t>自然资</w:t>
            </w:r>
            <w:r>
              <w:rPr>
                <w:rFonts w:hint="eastAsia" w:ascii="宋体" w:hAnsi="宋体"/>
                <w:color w:val="auto"/>
                <w:sz w:val="24"/>
                <w:szCs w:val="24"/>
                <w:lang w:val="en-US" w:eastAsia="zh-CN"/>
              </w:rPr>
              <w:t>办</w:t>
            </w:r>
            <w:r>
              <w:rPr>
                <w:rFonts w:hint="default" w:ascii="宋体" w:hAnsi="宋体"/>
                <w:color w:val="auto"/>
                <w:sz w:val="24"/>
                <w:szCs w:val="24"/>
              </w:rPr>
              <w:t>函</w:t>
            </w:r>
            <w:r>
              <w:rPr>
                <w:rFonts w:hint="eastAsia" w:ascii="宋体" w:hAnsi="宋体"/>
                <w:color w:val="auto"/>
                <w:sz w:val="24"/>
                <w:szCs w:val="24"/>
                <w:lang w:val="en-US" w:eastAsia="zh-CN"/>
              </w:rPr>
              <w:t>[</w:t>
            </w:r>
            <w:r>
              <w:rPr>
                <w:rFonts w:hint="default"/>
                <w:color w:val="auto"/>
                <w:sz w:val="24"/>
                <w:szCs w:val="24"/>
              </w:rPr>
              <w:t>2022</w:t>
            </w:r>
            <w:r>
              <w:rPr>
                <w:rFonts w:hint="eastAsia"/>
                <w:color w:val="auto"/>
                <w:sz w:val="24"/>
                <w:szCs w:val="24"/>
                <w:lang w:val="en-US" w:eastAsia="zh-CN"/>
              </w:rPr>
              <w:t>]2072</w:t>
            </w:r>
            <w:r>
              <w:rPr>
                <w:rFonts w:hint="default" w:ascii="宋体" w:hAnsi="宋体"/>
                <w:color w:val="auto"/>
                <w:sz w:val="24"/>
                <w:szCs w:val="24"/>
              </w:rPr>
              <w:t>号</w:t>
            </w:r>
            <w:r>
              <w:rPr>
                <w:rFonts w:hint="default"/>
                <w:color w:val="auto"/>
                <w:sz w:val="24"/>
                <w:szCs w:val="24"/>
              </w:rPr>
              <w:t>)</w:t>
            </w:r>
            <w:r>
              <w:rPr>
                <w:rFonts w:hint="default" w:ascii="宋体" w:hAnsi="宋体"/>
                <w:color w:val="auto"/>
                <w:sz w:val="24"/>
                <w:szCs w:val="24"/>
              </w:rPr>
              <w:t>，其中相关要求如下</w:t>
            </w:r>
            <w:r>
              <w:rPr>
                <w:rFonts w:hint="eastAsia" w:ascii="宋体" w:hAnsi="宋体"/>
                <w:color w:val="auto"/>
                <w:sz w:val="24"/>
                <w:szCs w:val="24"/>
              </w:rPr>
              <w:t>：</w:t>
            </w:r>
          </w:p>
          <w:p w14:paraId="24538CAF">
            <w:pPr>
              <w:keepNext w:val="0"/>
              <w:keepLines w:val="0"/>
              <w:suppressLineNumbers w:val="0"/>
              <w:autoSpaceDE w:val="0"/>
              <w:adjustRightInd w:val="0"/>
              <w:snapToGrid w:val="0"/>
              <w:spacing w:before="0" w:beforeAutospacing="0" w:after="0" w:afterAutospacing="0" w:line="360" w:lineRule="auto"/>
              <w:ind w:left="0" w:right="0"/>
              <w:jc w:val="center"/>
              <w:rPr>
                <w:rFonts w:hint="default" w:eastAsia="黑体"/>
                <w:bCs/>
                <w:color w:val="auto"/>
                <w:sz w:val="24"/>
                <w:szCs w:val="24"/>
              </w:rPr>
            </w:pPr>
            <w:r>
              <w:rPr>
                <w:rFonts w:hint="default" w:hAnsi="黑体" w:eastAsia="黑体"/>
                <w:bCs/>
                <w:color w:val="auto"/>
                <w:sz w:val="24"/>
                <w:szCs w:val="24"/>
              </w:rPr>
              <w:t>表</w:t>
            </w:r>
            <w:r>
              <w:rPr>
                <w:rFonts w:hint="eastAsia" w:hAnsi="黑体" w:eastAsia="黑体"/>
                <w:bCs/>
                <w:color w:val="auto"/>
                <w:sz w:val="24"/>
                <w:szCs w:val="24"/>
                <w:lang w:val="en-US" w:eastAsia="zh-CN"/>
              </w:rPr>
              <w:t xml:space="preserve">1-4 </w:t>
            </w:r>
            <w:r>
              <w:rPr>
                <w:rFonts w:hint="default" w:hAnsi="黑体" w:eastAsia="黑体"/>
                <w:bCs/>
                <w:color w:val="auto"/>
                <w:sz w:val="24"/>
                <w:szCs w:val="24"/>
              </w:rPr>
              <w:t>与自然资</w:t>
            </w:r>
            <w:r>
              <w:rPr>
                <w:rFonts w:hint="eastAsia" w:hAnsi="黑体" w:eastAsia="黑体"/>
                <w:bCs/>
                <w:color w:val="auto"/>
                <w:sz w:val="24"/>
                <w:szCs w:val="24"/>
                <w:lang w:val="en-US" w:eastAsia="zh-CN"/>
              </w:rPr>
              <w:t>办</w:t>
            </w:r>
            <w:r>
              <w:rPr>
                <w:rFonts w:hint="default" w:hAnsi="黑体" w:eastAsia="黑体"/>
                <w:bCs/>
                <w:color w:val="auto"/>
                <w:sz w:val="24"/>
                <w:szCs w:val="24"/>
              </w:rPr>
              <w:t>函</w:t>
            </w:r>
            <w:r>
              <w:rPr>
                <w:rFonts w:hint="eastAsia" w:hAnsi="黑体" w:eastAsia="黑体"/>
                <w:bCs/>
                <w:color w:val="auto"/>
                <w:sz w:val="24"/>
                <w:szCs w:val="24"/>
                <w:lang w:val="en-US" w:eastAsia="zh-CN"/>
              </w:rPr>
              <w:t>[</w:t>
            </w:r>
            <w:r>
              <w:rPr>
                <w:rFonts w:hint="default" w:eastAsia="黑体"/>
                <w:bCs/>
                <w:color w:val="auto"/>
                <w:sz w:val="24"/>
                <w:szCs w:val="24"/>
              </w:rPr>
              <w:t>2022</w:t>
            </w:r>
            <w:r>
              <w:rPr>
                <w:rFonts w:hint="eastAsia" w:eastAsia="黑体"/>
                <w:bCs/>
                <w:color w:val="auto"/>
                <w:sz w:val="24"/>
                <w:szCs w:val="24"/>
                <w:lang w:val="en-US" w:eastAsia="zh-CN"/>
              </w:rPr>
              <w:t>]</w:t>
            </w:r>
            <w:r>
              <w:rPr>
                <w:rFonts w:hint="default" w:eastAsia="黑体"/>
                <w:bCs/>
                <w:color w:val="auto"/>
                <w:sz w:val="24"/>
                <w:szCs w:val="24"/>
              </w:rPr>
              <w:t>2072</w:t>
            </w:r>
            <w:r>
              <w:rPr>
                <w:rFonts w:hint="default" w:hAnsi="黑体" w:eastAsia="黑体"/>
                <w:bCs/>
                <w:color w:val="auto"/>
                <w:sz w:val="24"/>
                <w:szCs w:val="24"/>
              </w:rPr>
              <w:t>号文符合性分析表</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079"/>
              <w:gridCol w:w="2729"/>
              <w:gridCol w:w="957"/>
            </w:tblGrid>
            <w:tr w14:paraId="7CCFFA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626" w:type="pct"/>
                  <w:vAlign w:val="center"/>
                </w:tcPr>
                <w:p w14:paraId="4BFE0046">
                  <w:pPr>
                    <w:keepNext w:val="0"/>
                    <w:keepLines w:val="0"/>
                    <w:suppressLineNumbers w:val="0"/>
                    <w:spacing w:before="0" w:beforeAutospacing="0" w:after="0" w:afterAutospacing="0" w:line="276" w:lineRule="auto"/>
                    <w:ind w:left="0" w:right="0"/>
                    <w:jc w:val="center"/>
                    <w:rPr>
                      <w:rFonts w:hint="default" w:ascii="宋体" w:hAnsi="宋体"/>
                      <w:b/>
                      <w:bCs/>
                      <w:color w:val="auto"/>
                      <w:szCs w:val="21"/>
                    </w:rPr>
                  </w:pPr>
                  <w:r>
                    <w:rPr>
                      <w:rFonts w:hint="default" w:ascii="宋体" w:hAnsi="宋体"/>
                      <w:b/>
                      <w:bCs/>
                      <w:color w:val="auto"/>
                    </w:rPr>
                    <w:t>自然资办函《</w:t>
                  </w:r>
                  <w:r>
                    <w:rPr>
                      <w:rFonts w:hint="default"/>
                      <w:b/>
                      <w:bCs/>
                      <w:color w:val="auto"/>
                    </w:rPr>
                    <w:t>2022</w:t>
                  </w:r>
                  <w:r>
                    <w:rPr>
                      <w:rFonts w:hint="eastAsia" w:ascii="宋体" w:hAnsi="宋体"/>
                      <w:b/>
                      <w:bCs/>
                      <w:color w:val="auto"/>
                    </w:rPr>
                    <w:t>》</w:t>
                  </w:r>
                  <w:r>
                    <w:rPr>
                      <w:rFonts w:hint="default"/>
                      <w:b/>
                      <w:bCs/>
                      <w:color w:val="auto"/>
                    </w:rPr>
                    <w:t>2072</w:t>
                  </w:r>
                  <w:r>
                    <w:rPr>
                      <w:rFonts w:hint="default" w:ascii="宋体" w:hAnsi="宋体"/>
                      <w:b/>
                      <w:bCs/>
                      <w:color w:val="auto"/>
                    </w:rPr>
                    <w:t>号文相关要求</w:t>
                  </w:r>
                </w:p>
              </w:tc>
              <w:tc>
                <w:tcPr>
                  <w:tcW w:w="1757" w:type="pct"/>
                  <w:vAlign w:val="center"/>
                </w:tcPr>
                <w:p w14:paraId="4944C49B">
                  <w:pPr>
                    <w:keepNext w:val="0"/>
                    <w:keepLines w:val="0"/>
                    <w:suppressLineNumbers w:val="0"/>
                    <w:spacing w:before="0" w:beforeAutospacing="0" w:after="0" w:afterAutospacing="0" w:line="276" w:lineRule="auto"/>
                    <w:ind w:left="0" w:right="0"/>
                    <w:jc w:val="center"/>
                    <w:rPr>
                      <w:rFonts w:hint="default" w:ascii="宋体" w:hAnsi="宋体"/>
                      <w:b/>
                      <w:bCs/>
                      <w:color w:val="auto"/>
                      <w:szCs w:val="21"/>
                    </w:rPr>
                  </w:pPr>
                  <w:r>
                    <w:rPr>
                      <w:rFonts w:hint="eastAsia" w:ascii="宋体" w:hAnsi="宋体"/>
                      <w:b/>
                      <w:bCs/>
                      <w:color w:val="auto"/>
                    </w:rPr>
                    <w:t>项目情况说明</w:t>
                  </w:r>
                </w:p>
              </w:tc>
              <w:tc>
                <w:tcPr>
                  <w:tcW w:w="616" w:type="pct"/>
                  <w:vAlign w:val="center"/>
                </w:tcPr>
                <w:p w14:paraId="78D2F9E7">
                  <w:pPr>
                    <w:keepNext w:val="0"/>
                    <w:keepLines w:val="0"/>
                    <w:suppressLineNumbers w:val="0"/>
                    <w:spacing w:before="0" w:beforeAutospacing="0" w:after="0" w:afterAutospacing="0" w:line="276" w:lineRule="auto"/>
                    <w:ind w:left="0" w:right="0"/>
                    <w:jc w:val="center"/>
                    <w:rPr>
                      <w:rFonts w:hint="default" w:ascii="宋体" w:hAnsi="宋体"/>
                      <w:b/>
                      <w:bCs/>
                      <w:color w:val="auto"/>
                      <w:szCs w:val="21"/>
                    </w:rPr>
                  </w:pPr>
                  <w:r>
                    <w:rPr>
                      <w:rFonts w:hint="eastAsia" w:ascii="宋体" w:hAnsi="宋体"/>
                      <w:b/>
                      <w:bCs/>
                      <w:color w:val="auto"/>
                    </w:rPr>
                    <w:t>符合性</w:t>
                  </w:r>
                </w:p>
              </w:tc>
            </w:tr>
            <w:tr w14:paraId="294A75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626" w:type="pct"/>
                  <w:vAlign w:val="center"/>
                </w:tcPr>
                <w:p w14:paraId="5A361755">
                  <w:pPr>
                    <w:keepNext w:val="0"/>
                    <w:keepLines w:val="0"/>
                    <w:suppressLineNumbers w:val="0"/>
                    <w:spacing w:before="0" w:beforeAutospacing="0" w:after="0" w:afterAutospacing="0" w:line="276" w:lineRule="auto"/>
                    <w:ind w:left="0" w:right="0"/>
                    <w:jc w:val="center"/>
                    <w:rPr>
                      <w:rFonts w:hint="eastAsia" w:ascii="宋体" w:hAnsi="宋体" w:eastAsia="宋体"/>
                      <w:color w:val="auto"/>
                      <w:szCs w:val="21"/>
                      <w:lang w:eastAsia="zh-CN"/>
                    </w:rPr>
                  </w:pPr>
                  <w:r>
                    <w:rPr>
                      <w:rFonts w:hint="eastAsia" w:ascii="宋体" w:hAnsi="宋体"/>
                      <w:color w:val="auto"/>
                    </w:rPr>
                    <w:t>山西、吉林、上海、安徽、河南、青海</w:t>
                  </w:r>
                  <w:r>
                    <w:rPr>
                      <w:rFonts w:hint="eastAsia"/>
                      <w:color w:val="auto"/>
                    </w:rPr>
                    <w:t>6</w:t>
                  </w:r>
                  <w:r>
                    <w:rPr>
                      <w:rFonts w:hint="eastAsia" w:ascii="宋体" w:hAnsi="宋体"/>
                      <w:color w:val="auto"/>
                    </w:rPr>
                    <w:t>省</w:t>
                  </w:r>
                  <w:r>
                    <w:rPr>
                      <w:rFonts w:hint="eastAsia"/>
                      <w:color w:val="auto"/>
                    </w:rPr>
                    <w:t>(</w:t>
                  </w:r>
                  <w:r>
                    <w:rPr>
                      <w:rFonts w:hint="eastAsia" w:ascii="宋体" w:hAnsi="宋体"/>
                      <w:color w:val="auto"/>
                    </w:rPr>
                    <w:t>市</w:t>
                  </w:r>
                  <w:r>
                    <w:rPr>
                      <w:rFonts w:hint="eastAsia"/>
                      <w:color w:val="auto"/>
                    </w:rPr>
                    <w:t>)</w:t>
                  </w:r>
                  <w:r>
                    <w:rPr>
                      <w:rFonts w:hint="eastAsia" w:ascii="宋体" w:hAnsi="宋体"/>
                      <w:color w:val="auto"/>
                    </w:rPr>
                    <w:t>按照《全国国土空间规划纲要</w:t>
                  </w:r>
                  <w:r>
                    <w:rPr>
                      <w:rFonts w:hint="eastAsia"/>
                      <w:color w:val="auto"/>
                    </w:rPr>
                    <w:t>(2021-2035</w:t>
                  </w:r>
                  <w:r>
                    <w:rPr>
                      <w:rFonts w:hint="eastAsia" w:ascii="宋体" w:hAnsi="宋体"/>
                      <w:color w:val="auto"/>
                    </w:rPr>
                    <w:t>年</w:t>
                  </w:r>
                  <w:r>
                    <w:rPr>
                      <w:rFonts w:hint="eastAsia"/>
                      <w:color w:val="auto"/>
                    </w:rPr>
                    <w:t>)</w:t>
                  </w:r>
                  <w:r>
                    <w:rPr>
                      <w:rFonts w:hint="eastAsia" w:ascii="宋体" w:hAnsi="宋体"/>
                      <w:color w:val="auto"/>
                    </w:rPr>
                    <w:t>确定的耕地和永久基本农田保护红线任务和《全国“三区三线”划定规则》，完成了“三区三线”划定工作，“三区三线”划定成果符合质检要求，从即日起正式启用，作为建设项目用地用海组卷报批的依据</w:t>
                  </w:r>
                  <w:r>
                    <w:rPr>
                      <w:rFonts w:hint="eastAsia" w:ascii="宋体" w:hAnsi="宋体"/>
                      <w:color w:val="auto"/>
                      <w:lang w:eastAsia="zh-CN"/>
                    </w:rPr>
                    <w:t>。</w:t>
                  </w:r>
                </w:p>
              </w:tc>
              <w:tc>
                <w:tcPr>
                  <w:tcW w:w="1757" w:type="pct"/>
                  <w:vAlign w:val="center"/>
                </w:tcPr>
                <w:p w14:paraId="38DC1956">
                  <w:pPr>
                    <w:keepNext w:val="0"/>
                    <w:keepLines w:val="0"/>
                    <w:suppressLineNumbers w:val="0"/>
                    <w:spacing w:before="0" w:beforeAutospacing="0" w:after="0" w:afterAutospacing="0" w:line="276" w:lineRule="auto"/>
                    <w:ind w:left="0" w:right="0"/>
                    <w:jc w:val="center"/>
                    <w:rPr>
                      <w:rFonts w:hint="default" w:ascii="宋体" w:hAnsi="宋体"/>
                      <w:color w:val="auto"/>
                      <w:szCs w:val="21"/>
                    </w:rPr>
                  </w:pPr>
                  <w:r>
                    <w:rPr>
                      <w:rFonts w:hint="default" w:ascii="Times New Roman" w:hAnsi="Times New Roman" w:cs="Times New Roman"/>
                      <w:color w:val="auto"/>
                      <w:lang w:val="en-US" w:eastAsia="zh-CN"/>
                    </w:rPr>
                    <w:t>本项目位于安徽省淮南市</w:t>
                  </w:r>
                  <w:r>
                    <w:rPr>
                      <w:rFonts w:hint="eastAsia" w:cs="Times New Roman"/>
                      <w:color w:val="auto"/>
                      <w:lang w:val="en-US" w:eastAsia="zh-CN"/>
                    </w:rPr>
                    <w:t>凤台县</w:t>
                  </w:r>
                  <w:r>
                    <w:rPr>
                      <w:rFonts w:hint="default" w:ascii="Times New Roman" w:hAnsi="Times New Roman" w:cs="Times New Roman"/>
                      <w:color w:val="auto"/>
                      <w:lang w:val="en-US" w:eastAsia="zh-CN"/>
                    </w:rPr>
                    <w:t>凤台经济开发区电子智能制造产业园</w:t>
                  </w:r>
                  <w:r>
                    <w:rPr>
                      <w:rFonts w:hint="eastAsia" w:cs="Times New Roman"/>
                      <w:color w:val="auto"/>
                      <w:lang w:val="en-US" w:eastAsia="zh-CN"/>
                    </w:rPr>
                    <w:t>内</w:t>
                  </w:r>
                  <w:r>
                    <w:rPr>
                      <w:rFonts w:hint="default" w:ascii="Times New Roman" w:hAnsi="Times New Roman" w:cs="Times New Roman"/>
                      <w:color w:val="auto"/>
                      <w:lang w:val="en-US" w:eastAsia="zh-CN"/>
                    </w:rPr>
                    <w:t>，根据《安徽凤台经济开发区总体发展规划（2024-2035年）</w:t>
                  </w:r>
                  <w:r>
                    <w:rPr>
                      <w:rFonts w:hint="eastAsia" w:cs="Times New Roman"/>
                      <w:color w:val="auto"/>
                      <w:lang w:val="en-US" w:eastAsia="zh-CN"/>
                    </w:rPr>
                    <w:t>（调区）</w:t>
                  </w:r>
                  <w:r>
                    <w:rPr>
                      <w:rFonts w:hint="default" w:ascii="Times New Roman" w:hAnsi="Times New Roman" w:cs="Times New Roman"/>
                      <w:color w:val="auto"/>
                      <w:lang w:val="en-US" w:eastAsia="zh-CN"/>
                    </w:rPr>
                    <w:t>》用地规划图可知，项目用地性质为工业用地，项目所</w:t>
                  </w:r>
                  <w:r>
                    <w:rPr>
                      <w:rFonts w:hint="eastAsia" w:ascii="宋体" w:hAnsi="宋体"/>
                      <w:color w:val="auto"/>
                      <w:lang w:val="en-US" w:eastAsia="zh-CN"/>
                    </w:rPr>
                    <w:t>在地不</w:t>
                  </w:r>
                  <w:r>
                    <w:rPr>
                      <w:rFonts w:hint="eastAsia" w:ascii="宋体" w:hAnsi="宋体"/>
                      <w:color w:val="auto"/>
                    </w:rPr>
                    <w:t>占用永久基本农田，不涉及生态保护红线。</w:t>
                  </w:r>
                </w:p>
              </w:tc>
              <w:tc>
                <w:tcPr>
                  <w:tcW w:w="616" w:type="pct"/>
                  <w:vAlign w:val="center"/>
                </w:tcPr>
                <w:p w14:paraId="7E8CB040">
                  <w:pPr>
                    <w:keepNext w:val="0"/>
                    <w:keepLines w:val="0"/>
                    <w:suppressLineNumbers w:val="0"/>
                    <w:spacing w:before="0" w:beforeAutospacing="0" w:after="0" w:afterAutospacing="0" w:line="276" w:lineRule="auto"/>
                    <w:ind w:left="0" w:right="0"/>
                    <w:jc w:val="center"/>
                    <w:rPr>
                      <w:rFonts w:hint="default" w:ascii="宋体" w:hAnsi="宋体"/>
                      <w:color w:val="auto"/>
                      <w:szCs w:val="21"/>
                    </w:rPr>
                  </w:pPr>
                  <w:r>
                    <w:rPr>
                      <w:rFonts w:hint="eastAsia" w:ascii="宋体" w:hAnsi="宋体"/>
                      <w:color w:val="auto"/>
                    </w:rPr>
                    <w:t>符合</w:t>
                  </w:r>
                </w:p>
              </w:tc>
            </w:tr>
          </w:tbl>
          <w:p w14:paraId="67DAF58A">
            <w:pPr>
              <w:keepNext w:val="0"/>
              <w:keepLines w:val="0"/>
              <w:suppressLineNumbers w:val="0"/>
              <w:spacing w:before="0" w:beforeAutospacing="0" w:after="0" w:afterAutospacing="0" w:line="360" w:lineRule="auto"/>
              <w:ind w:left="0" w:right="0" w:firstLine="480" w:firstLineChars="200"/>
              <w:rPr>
                <w:rFonts w:hint="default" w:ascii="宋体" w:hAnsi="宋体"/>
                <w:color w:val="auto"/>
                <w:sz w:val="24"/>
                <w:szCs w:val="24"/>
              </w:rPr>
            </w:pPr>
            <w:r>
              <w:rPr>
                <w:rFonts w:hint="eastAsia" w:ascii="宋体" w:hAnsi="宋体"/>
                <w:color w:val="auto"/>
                <w:sz w:val="24"/>
                <w:szCs w:val="24"/>
              </w:rPr>
              <w:t>综上所述，本项目符合“三区三线”的相关要求。</w:t>
            </w:r>
          </w:p>
          <w:p w14:paraId="51B073D8">
            <w:pPr>
              <w:keepNext w:val="0"/>
              <w:keepLines w:val="0"/>
              <w:suppressLineNumbers w:val="0"/>
              <w:autoSpaceDE w:val="0"/>
              <w:autoSpaceDN w:val="0"/>
              <w:adjustRightInd w:val="0"/>
              <w:spacing w:before="0" w:beforeAutospacing="0" w:after="0" w:afterAutospacing="0" w:line="360" w:lineRule="auto"/>
              <w:ind w:left="0" w:right="0" w:firstLine="482" w:firstLineChars="200"/>
              <w:rPr>
                <w:rFonts w:hint="eastAsia"/>
                <w:color w:val="auto"/>
                <w:lang w:val="en-US" w:eastAsia="zh-CN"/>
              </w:rPr>
            </w:pPr>
            <w:r>
              <w:rPr>
                <w:rFonts w:hint="eastAsia"/>
                <w:b/>
                <w:color w:val="auto"/>
                <w:sz w:val="24"/>
                <w:szCs w:val="24"/>
              </w:rPr>
              <w:t>4.</w:t>
            </w:r>
            <w:r>
              <w:rPr>
                <w:rFonts w:hint="default"/>
                <w:b/>
                <w:color w:val="auto"/>
                <w:sz w:val="24"/>
                <w:szCs w:val="24"/>
              </w:rPr>
              <w:t>与相关生态环境保护法律法规政策、生态环境保护规划的符合性分析</w:t>
            </w:r>
          </w:p>
          <w:p w14:paraId="7C17D31B">
            <w:pPr>
              <w:keepNext w:val="0"/>
              <w:keepLines w:val="0"/>
              <w:numPr>
                <w:ilvl w:val="0"/>
                <w:numId w:val="0"/>
              </w:numPr>
              <w:suppressLineNumbers w:val="0"/>
              <w:spacing w:before="0" w:beforeAutospacing="0" w:after="0" w:afterAutospacing="0" w:line="360" w:lineRule="auto"/>
              <w:ind w:left="0" w:right="0" w:firstLine="482" w:firstLineChars="200"/>
              <w:rPr>
                <w:rFonts w:hint="eastAsia" w:cs="Times New Roman"/>
                <w:b/>
                <w:color w:val="auto"/>
                <w:kern w:val="2"/>
                <w:sz w:val="24"/>
                <w:szCs w:val="24"/>
                <w:lang w:val="en-US" w:eastAsia="zh-CN" w:bidi="ar-SA"/>
              </w:rPr>
            </w:pPr>
            <w:r>
              <w:rPr>
                <w:rFonts w:hint="eastAsia" w:cs="Times New Roman"/>
                <w:b/>
                <w:color w:val="auto"/>
                <w:kern w:val="2"/>
                <w:sz w:val="24"/>
                <w:szCs w:val="24"/>
                <w:lang w:val="en-US" w:eastAsia="zh-CN" w:bidi="ar-SA"/>
              </w:rPr>
              <w:t>（1）与《关于印发“十四五”塑料污染治理行动方案的通知》（发改环资[2021]1298号）符合性分析</w:t>
            </w:r>
          </w:p>
          <w:p w14:paraId="5D8872CB">
            <w:pPr>
              <w:keepNext w:val="0"/>
              <w:keepLines w:val="0"/>
              <w:suppressLineNumbers w:val="0"/>
              <w:spacing w:before="0" w:beforeAutospacing="0" w:after="0" w:afterAutospacing="0" w:line="360" w:lineRule="auto"/>
              <w:ind w:left="0" w:right="0"/>
              <w:jc w:val="center"/>
              <w:rPr>
                <w:rFonts w:hint="default" w:eastAsia="黑体"/>
                <w:color w:val="auto"/>
                <w:w w:val="90"/>
                <w:sz w:val="24"/>
                <w:szCs w:val="24"/>
              </w:rPr>
            </w:pPr>
            <w:r>
              <w:rPr>
                <w:rFonts w:hint="default" w:eastAsia="黑体"/>
                <w:color w:val="auto"/>
                <w:sz w:val="24"/>
                <w:szCs w:val="24"/>
              </w:rPr>
              <w:t>表</w:t>
            </w:r>
            <w:r>
              <w:rPr>
                <w:rFonts w:hint="eastAsia" w:eastAsia="黑体"/>
                <w:color w:val="auto"/>
                <w:sz w:val="24"/>
                <w:szCs w:val="24"/>
                <w:lang w:val="en-US" w:eastAsia="zh-CN"/>
              </w:rPr>
              <w:t>1-5</w:t>
            </w:r>
            <w:r>
              <w:rPr>
                <w:rFonts w:hint="eastAsia" w:eastAsia="黑体"/>
                <w:color w:val="auto"/>
                <w:sz w:val="24"/>
                <w:szCs w:val="24"/>
              </w:rPr>
              <w:t xml:space="preserve"> </w:t>
            </w:r>
            <w:r>
              <w:rPr>
                <w:rFonts w:hint="default" w:hAnsi="黑体" w:eastAsia="黑体"/>
                <w:color w:val="auto"/>
                <w:sz w:val="24"/>
                <w:szCs w:val="24"/>
              </w:rPr>
              <w:t>与发改环资[2021]1298号符合性分析</w:t>
            </w:r>
          </w:p>
          <w:tbl>
            <w:tblPr>
              <w:tblStyle w:val="37"/>
              <w:tblW w:w="7849"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18"/>
              <w:gridCol w:w="3577"/>
              <w:gridCol w:w="2796"/>
              <w:gridCol w:w="958"/>
            </w:tblGrid>
            <w:tr w14:paraId="598A4E1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4" w:hRule="atLeast"/>
                <w:jc w:val="center"/>
              </w:trPr>
              <w:tc>
                <w:tcPr>
                  <w:tcW w:w="518" w:type="dxa"/>
                  <w:shd w:val="clear" w:color="auto" w:fill="auto"/>
                  <w:vAlign w:val="center"/>
                </w:tcPr>
                <w:p w14:paraId="035742F5">
                  <w:pPr>
                    <w:keepNext w:val="0"/>
                    <w:keepLines w:val="0"/>
                    <w:suppressLineNumbers w:val="0"/>
                    <w:spacing w:before="0" w:beforeAutospacing="0" w:after="0" w:afterAutospacing="0" w:line="276" w:lineRule="auto"/>
                    <w:ind w:left="0" w:right="0"/>
                    <w:jc w:val="center"/>
                    <w:rPr>
                      <w:rFonts w:hint="default"/>
                      <w:b/>
                      <w:color w:val="auto"/>
                      <w:szCs w:val="21"/>
                    </w:rPr>
                  </w:pPr>
                  <w:r>
                    <w:rPr>
                      <w:rFonts w:hint="default"/>
                      <w:b/>
                      <w:color w:val="auto"/>
                      <w:szCs w:val="21"/>
                    </w:rPr>
                    <w:t>序号</w:t>
                  </w:r>
                </w:p>
              </w:tc>
              <w:tc>
                <w:tcPr>
                  <w:tcW w:w="3577" w:type="dxa"/>
                  <w:shd w:val="clear" w:color="auto" w:fill="auto"/>
                  <w:vAlign w:val="center"/>
                </w:tcPr>
                <w:p w14:paraId="33FEE6E6">
                  <w:pPr>
                    <w:keepNext w:val="0"/>
                    <w:keepLines w:val="0"/>
                    <w:suppressLineNumbers w:val="0"/>
                    <w:spacing w:before="0" w:beforeAutospacing="0" w:after="0" w:afterAutospacing="0" w:line="276" w:lineRule="auto"/>
                    <w:ind w:left="0" w:right="0"/>
                    <w:jc w:val="center"/>
                    <w:rPr>
                      <w:rFonts w:hint="default" w:eastAsia="宋体"/>
                      <w:b/>
                      <w:color w:val="auto"/>
                      <w:szCs w:val="21"/>
                      <w:lang w:val="en-US" w:eastAsia="zh-CN"/>
                    </w:rPr>
                  </w:pPr>
                  <w:r>
                    <w:rPr>
                      <w:rFonts w:hint="eastAsia"/>
                      <w:b/>
                      <w:color w:val="auto"/>
                      <w:szCs w:val="21"/>
                      <w:lang w:val="en-US" w:eastAsia="zh-CN"/>
                    </w:rPr>
                    <w:t>相关内容</w:t>
                  </w:r>
                </w:p>
              </w:tc>
              <w:tc>
                <w:tcPr>
                  <w:tcW w:w="2796" w:type="dxa"/>
                  <w:shd w:val="clear" w:color="auto" w:fill="auto"/>
                  <w:vAlign w:val="center"/>
                </w:tcPr>
                <w:p w14:paraId="22B88B91">
                  <w:pPr>
                    <w:keepNext w:val="0"/>
                    <w:keepLines w:val="0"/>
                    <w:suppressLineNumbers w:val="0"/>
                    <w:spacing w:before="0" w:beforeAutospacing="0" w:after="0" w:afterAutospacing="0" w:line="276" w:lineRule="auto"/>
                    <w:ind w:left="0" w:right="0"/>
                    <w:jc w:val="center"/>
                    <w:rPr>
                      <w:rFonts w:hint="eastAsia" w:eastAsia="宋体"/>
                      <w:b/>
                      <w:color w:val="auto"/>
                      <w:szCs w:val="21"/>
                      <w:lang w:val="en-US" w:eastAsia="zh-CN"/>
                    </w:rPr>
                  </w:pPr>
                  <w:r>
                    <w:rPr>
                      <w:rFonts w:hint="default" w:hAnsi="Calibri"/>
                      <w:b/>
                      <w:color w:val="auto"/>
                      <w:szCs w:val="21"/>
                    </w:rPr>
                    <w:t>本项目</w:t>
                  </w:r>
                  <w:r>
                    <w:rPr>
                      <w:rFonts w:hint="eastAsia" w:hAnsi="Calibri"/>
                      <w:b/>
                      <w:color w:val="auto"/>
                      <w:szCs w:val="21"/>
                      <w:lang w:val="en-US" w:eastAsia="zh-CN"/>
                    </w:rPr>
                    <w:t>情况</w:t>
                  </w:r>
                </w:p>
              </w:tc>
              <w:tc>
                <w:tcPr>
                  <w:tcW w:w="958" w:type="dxa"/>
                  <w:shd w:val="clear" w:color="auto" w:fill="auto"/>
                  <w:vAlign w:val="center"/>
                </w:tcPr>
                <w:p w14:paraId="1BF8B59C">
                  <w:pPr>
                    <w:keepNext w:val="0"/>
                    <w:keepLines w:val="0"/>
                    <w:suppressLineNumbers w:val="0"/>
                    <w:spacing w:before="0" w:beforeAutospacing="0" w:after="0" w:afterAutospacing="0" w:line="276" w:lineRule="auto"/>
                    <w:ind w:left="0" w:right="0"/>
                    <w:jc w:val="center"/>
                    <w:rPr>
                      <w:rFonts w:hint="default"/>
                      <w:b/>
                      <w:color w:val="auto"/>
                      <w:szCs w:val="21"/>
                    </w:rPr>
                  </w:pPr>
                  <w:r>
                    <w:rPr>
                      <w:rFonts w:hint="default" w:hAnsi="Calibri"/>
                      <w:b/>
                      <w:color w:val="auto"/>
                      <w:szCs w:val="21"/>
                    </w:rPr>
                    <w:t>符合性</w:t>
                  </w:r>
                </w:p>
              </w:tc>
            </w:tr>
            <w:tr w14:paraId="29F6D21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4" w:hRule="atLeast"/>
                <w:jc w:val="center"/>
              </w:trPr>
              <w:tc>
                <w:tcPr>
                  <w:tcW w:w="518" w:type="dxa"/>
                  <w:shd w:val="clear" w:color="auto" w:fill="auto"/>
                  <w:vAlign w:val="center"/>
                </w:tcPr>
                <w:p w14:paraId="30713F16">
                  <w:pPr>
                    <w:keepNext w:val="0"/>
                    <w:keepLines w:val="0"/>
                    <w:suppressLineNumbers w:val="0"/>
                    <w:spacing w:before="0" w:beforeAutospacing="0" w:after="0" w:afterAutospacing="0" w:line="276" w:lineRule="auto"/>
                    <w:ind w:left="0" w:right="0"/>
                    <w:jc w:val="center"/>
                    <w:rPr>
                      <w:rFonts w:hint="default"/>
                      <w:color w:val="auto"/>
                      <w:szCs w:val="21"/>
                    </w:rPr>
                  </w:pPr>
                  <w:r>
                    <w:rPr>
                      <w:rFonts w:hint="default"/>
                      <w:color w:val="auto"/>
                      <w:szCs w:val="21"/>
                    </w:rPr>
                    <w:t>1</w:t>
                  </w:r>
                </w:p>
              </w:tc>
              <w:tc>
                <w:tcPr>
                  <w:tcW w:w="3577" w:type="dxa"/>
                  <w:shd w:val="clear" w:color="auto" w:fill="auto"/>
                  <w:vAlign w:val="center"/>
                </w:tcPr>
                <w:p w14:paraId="282A50E7">
                  <w:pPr>
                    <w:keepNext w:val="0"/>
                    <w:keepLines w:val="0"/>
                    <w:suppressLineNumbers w:val="0"/>
                    <w:spacing w:before="0" w:beforeAutospacing="0" w:after="0" w:afterAutospacing="0" w:line="276" w:lineRule="auto"/>
                    <w:ind w:left="0" w:right="0"/>
                    <w:jc w:val="center"/>
                    <w:rPr>
                      <w:rFonts w:hint="eastAsia" w:hAnsi="宋体" w:eastAsia="宋体"/>
                      <w:color w:val="auto"/>
                      <w:szCs w:val="21"/>
                      <w:lang w:eastAsia="zh-CN"/>
                    </w:rPr>
                  </w:pPr>
                  <w:r>
                    <w:rPr>
                      <w:rFonts w:hint="default" w:hAnsi="宋体"/>
                      <w:color w:val="auto"/>
                      <w:szCs w:val="21"/>
                    </w:rPr>
                    <w:t>积极推行塑料制品绿色设计。以一次性塑料制品为重点，制定绿色设计相关标准，优化产品结构设计，减少产品材料设计复杂度，增强塑料制品易回收利用性。禁止生产厚度小于0.025毫米的超薄塑料购物袋、厚度小于0.01毫米的聚乙烯农用地膜、含塑料微珠日化产品等部分危害环境和人体健康的产品。加强限制商品过度包装标准宣贯实施，加强对商品过度包装的执法监管</w:t>
                  </w:r>
                  <w:r>
                    <w:rPr>
                      <w:rFonts w:hint="eastAsia" w:hAnsi="宋体"/>
                      <w:color w:val="auto"/>
                      <w:szCs w:val="21"/>
                      <w:lang w:eastAsia="zh-CN"/>
                    </w:rPr>
                    <w:t>。</w:t>
                  </w:r>
                </w:p>
              </w:tc>
              <w:tc>
                <w:tcPr>
                  <w:tcW w:w="2796" w:type="dxa"/>
                  <w:shd w:val="clear" w:color="auto" w:fill="auto"/>
                  <w:vAlign w:val="center"/>
                </w:tcPr>
                <w:p w14:paraId="63009400">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default"/>
                      <w:color w:val="auto"/>
                      <w:szCs w:val="21"/>
                    </w:rPr>
                    <w:t>本项目</w:t>
                  </w:r>
                  <w:r>
                    <w:rPr>
                      <w:rFonts w:hint="eastAsia"/>
                      <w:color w:val="auto"/>
                      <w:szCs w:val="21"/>
                      <w:lang w:val="en-US" w:eastAsia="zh-CN"/>
                    </w:rPr>
                    <w:t>主要从</w:t>
                  </w:r>
                  <w:r>
                    <w:rPr>
                      <w:rFonts w:hint="eastAsia"/>
                      <w:color w:val="auto"/>
                      <w:sz w:val="21"/>
                      <w:szCs w:val="21"/>
                      <w:lang w:val="en-US" w:eastAsia="zh-CN"/>
                    </w:rPr>
                    <w:t>事</w:t>
                  </w:r>
                  <w:r>
                    <w:rPr>
                      <w:rFonts w:hint="eastAsia"/>
                      <w:color w:val="auto"/>
                      <w:sz w:val="21"/>
                      <w:szCs w:val="21"/>
                    </w:rPr>
                    <w:t>C2927日用塑料制品制造</w:t>
                  </w:r>
                  <w:r>
                    <w:rPr>
                      <w:rFonts w:hint="eastAsia"/>
                      <w:color w:val="auto"/>
                      <w:sz w:val="21"/>
                      <w:szCs w:val="21"/>
                      <w:lang w:eastAsia="zh-CN"/>
                    </w:rPr>
                    <w:t>、</w:t>
                  </w:r>
                  <w:r>
                    <w:rPr>
                      <w:rFonts w:hint="eastAsia"/>
                      <w:color w:val="auto"/>
                      <w:sz w:val="21"/>
                      <w:szCs w:val="21"/>
                      <w:lang w:val="en-US" w:eastAsia="zh-CN"/>
                    </w:rPr>
                    <w:t>C2929塑料零件及其他塑料制品制造，塑料制</w:t>
                  </w:r>
                  <w:r>
                    <w:rPr>
                      <w:rFonts w:hint="eastAsia"/>
                      <w:color w:val="auto"/>
                      <w:szCs w:val="21"/>
                      <w:lang w:val="en-US" w:eastAsia="zh-CN"/>
                    </w:rPr>
                    <w:t>品产品主要包括PS衣架、日常收纳用品、服装辅料配件等，具有回收利用性，不涉及厚度＜0.025mm超薄塑料购物袋、厚度＜0.01mm的聚乙烯农用地膜、含塑料微珠日化产品等产品生产。</w:t>
                  </w:r>
                </w:p>
              </w:tc>
              <w:tc>
                <w:tcPr>
                  <w:tcW w:w="958" w:type="dxa"/>
                  <w:shd w:val="clear" w:color="auto" w:fill="auto"/>
                  <w:vAlign w:val="center"/>
                </w:tcPr>
                <w:p w14:paraId="16D294D9">
                  <w:pPr>
                    <w:keepNext w:val="0"/>
                    <w:keepLines w:val="0"/>
                    <w:suppressLineNumbers w:val="0"/>
                    <w:spacing w:before="0" w:beforeAutospacing="0" w:after="0" w:afterAutospacing="0" w:line="276" w:lineRule="auto"/>
                    <w:ind w:left="0" w:right="0"/>
                    <w:jc w:val="center"/>
                    <w:rPr>
                      <w:rFonts w:hint="default"/>
                      <w:color w:val="auto"/>
                      <w:szCs w:val="21"/>
                    </w:rPr>
                  </w:pPr>
                  <w:r>
                    <w:rPr>
                      <w:rFonts w:hint="default"/>
                      <w:color w:val="auto"/>
                      <w:szCs w:val="21"/>
                    </w:rPr>
                    <w:t>符合</w:t>
                  </w:r>
                </w:p>
              </w:tc>
            </w:tr>
          </w:tbl>
          <w:p w14:paraId="5EE56BE5">
            <w:pPr>
              <w:keepNext w:val="0"/>
              <w:keepLines w:val="0"/>
              <w:numPr>
                <w:ilvl w:val="0"/>
                <w:numId w:val="0"/>
              </w:numPr>
              <w:suppressLineNumbers w:val="0"/>
              <w:spacing w:before="0" w:beforeAutospacing="0" w:after="0" w:afterAutospacing="0" w:line="360" w:lineRule="auto"/>
              <w:ind w:left="0" w:right="0" w:firstLine="482" w:firstLineChars="200"/>
              <w:rPr>
                <w:rFonts w:hint="default" w:ascii="Times New Roman" w:hAnsi="Times New Roman" w:eastAsia="宋体" w:cs="Times New Roman"/>
                <w:b/>
                <w:color w:val="auto"/>
                <w:kern w:val="2"/>
                <w:sz w:val="24"/>
                <w:szCs w:val="24"/>
                <w:lang w:val="en-US" w:eastAsia="zh-CN" w:bidi="ar-SA"/>
              </w:rPr>
            </w:pPr>
            <w:r>
              <w:rPr>
                <w:rFonts w:hint="eastAsia" w:cs="Times New Roman"/>
                <w:b/>
                <w:color w:val="auto"/>
                <w:kern w:val="2"/>
                <w:sz w:val="24"/>
                <w:szCs w:val="24"/>
                <w:lang w:val="en-US" w:eastAsia="zh-CN" w:bidi="ar-SA"/>
              </w:rPr>
              <w:t>（2）与《安徽省进一步加强塑料污染治理实施方案》符合性分析</w:t>
            </w:r>
          </w:p>
          <w:p w14:paraId="7B1D9586">
            <w:pPr>
              <w:keepNext w:val="0"/>
              <w:keepLines w:val="0"/>
              <w:numPr>
                <w:ilvl w:val="0"/>
                <w:numId w:val="0"/>
              </w:numPr>
              <w:suppressLineNumbers w:val="0"/>
              <w:spacing w:before="0" w:beforeAutospacing="0" w:after="0" w:afterAutospacing="0" w:line="360" w:lineRule="auto"/>
              <w:ind w:left="0" w:right="0"/>
              <w:jc w:val="center"/>
              <w:rPr>
                <w:rFonts w:hint="eastAsia" w:ascii="Times New Roman" w:hAnsi="Times New Roman" w:eastAsia="宋体" w:cs="Times New Roman"/>
                <w:b/>
                <w:color w:val="auto"/>
                <w:kern w:val="2"/>
                <w:sz w:val="24"/>
                <w:szCs w:val="24"/>
                <w:lang w:val="en-US" w:eastAsia="zh-CN" w:bidi="ar-SA"/>
              </w:rPr>
            </w:pPr>
            <w:r>
              <w:rPr>
                <w:rFonts w:hint="default" w:eastAsia="黑体"/>
                <w:color w:val="auto"/>
                <w:sz w:val="24"/>
                <w:szCs w:val="24"/>
              </w:rPr>
              <w:t>表</w:t>
            </w:r>
            <w:r>
              <w:rPr>
                <w:rFonts w:hint="eastAsia" w:eastAsia="黑体"/>
                <w:color w:val="auto"/>
                <w:sz w:val="24"/>
                <w:szCs w:val="24"/>
                <w:lang w:val="en-US" w:eastAsia="zh-CN"/>
              </w:rPr>
              <w:t>1-6</w:t>
            </w:r>
            <w:r>
              <w:rPr>
                <w:rFonts w:hint="eastAsia" w:eastAsia="黑体"/>
                <w:color w:val="auto"/>
                <w:sz w:val="24"/>
                <w:szCs w:val="24"/>
              </w:rPr>
              <w:t xml:space="preserve"> </w:t>
            </w:r>
            <w:r>
              <w:rPr>
                <w:rFonts w:hint="default" w:hAnsi="黑体" w:eastAsia="黑体"/>
                <w:color w:val="auto"/>
                <w:sz w:val="24"/>
                <w:szCs w:val="24"/>
              </w:rPr>
              <w:t>与</w:t>
            </w:r>
            <w:r>
              <w:rPr>
                <w:rFonts w:hint="eastAsia" w:hAnsi="黑体" w:eastAsia="黑体"/>
                <w:color w:val="auto"/>
                <w:sz w:val="24"/>
                <w:szCs w:val="24"/>
                <w:lang w:eastAsia="zh-CN"/>
              </w:rPr>
              <w:t>《安徽省进一步加强塑料污染治理实施方案》</w:t>
            </w:r>
            <w:r>
              <w:rPr>
                <w:rFonts w:hint="default" w:hAnsi="黑体" w:eastAsia="黑体"/>
                <w:color w:val="auto"/>
                <w:sz w:val="24"/>
                <w:szCs w:val="24"/>
              </w:rPr>
              <w:t>符合性分析</w:t>
            </w:r>
          </w:p>
          <w:tbl>
            <w:tblPr>
              <w:tblStyle w:val="37"/>
              <w:tblW w:w="7849"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18"/>
              <w:gridCol w:w="882"/>
              <w:gridCol w:w="2952"/>
              <w:gridCol w:w="2539"/>
              <w:gridCol w:w="958"/>
            </w:tblGrid>
            <w:tr w14:paraId="41CC10B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4" w:hRule="atLeast"/>
                <w:jc w:val="center"/>
              </w:trPr>
              <w:tc>
                <w:tcPr>
                  <w:tcW w:w="518" w:type="dxa"/>
                  <w:shd w:val="clear" w:color="auto" w:fill="auto"/>
                  <w:vAlign w:val="center"/>
                </w:tcPr>
                <w:p w14:paraId="7F89A1FA">
                  <w:pPr>
                    <w:keepNext w:val="0"/>
                    <w:keepLines w:val="0"/>
                    <w:suppressLineNumbers w:val="0"/>
                    <w:spacing w:before="0" w:beforeAutospacing="0" w:after="0" w:afterAutospacing="0" w:line="276" w:lineRule="auto"/>
                    <w:ind w:left="0" w:right="0"/>
                    <w:jc w:val="center"/>
                    <w:rPr>
                      <w:rFonts w:hint="default"/>
                      <w:b/>
                      <w:color w:val="auto"/>
                      <w:szCs w:val="21"/>
                    </w:rPr>
                  </w:pPr>
                  <w:r>
                    <w:rPr>
                      <w:rFonts w:hint="default"/>
                      <w:b/>
                      <w:color w:val="auto"/>
                      <w:szCs w:val="21"/>
                    </w:rPr>
                    <w:t>序号</w:t>
                  </w:r>
                </w:p>
              </w:tc>
              <w:tc>
                <w:tcPr>
                  <w:tcW w:w="3834" w:type="dxa"/>
                  <w:gridSpan w:val="2"/>
                  <w:shd w:val="clear" w:color="auto" w:fill="auto"/>
                  <w:vAlign w:val="center"/>
                </w:tcPr>
                <w:p w14:paraId="018D9222">
                  <w:pPr>
                    <w:keepNext w:val="0"/>
                    <w:keepLines w:val="0"/>
                    <w:suppressLineNumbers w:val="0"/>
                    <w:spacing w:before="0" w:beforeAutospacing="0" w:after="0" w:afterAutospacing="0" w:line="276" w:lineRule="auto"/>
                    <w:ind w:left="0" w:right="0"/>
                    <w:jc w:val="center"/>
                    <w:rPr>
                      <w:rFonts w:hint="default" w:eastAsia="宋体"/>
                      <w:b/>
                      <w:color w:val="auto"/>
                      <w:szCs w:val="21"/>
                      <w:lang w:val="en-US" w:eastAsia="zh-CN"/>
                    </w:rPr>
                  </w:pPr>
                  <w:r>
                    <w:rPr>
                      <w:rFonts w:hint="eastAsia"/>
                      <w:b/>
                      <w:color w:val="auto"/>
                      <w:szCs w:val="21"/>
                      <w:lang w:val="en-US" w:eastAsia="zh-CN"/>
                    </w:rPr>
                    <w:t>具体要求</w:t>
                  </w:r>
                </w:p>
              </w:tc>
              <w:tc>
                <w:tcPr>
                  <w:tcW w:w="2539" w:type="dxa"/>
                  <w:shd w:val="clear" w:color="auto" w:fill="auto"/>
                  <w:vAlign w:val="center"/>
                </w:tcPr>
                <w:p w14:paraId="1FB9A5FF">
                  <w:pPr>
                    <w:keepNext w:val="0"/>
                    <w:keepLines w:val="0"/>
                    <w:suppressLineNumbers w:val="0"/>
                    <w:spacing w:before="0" w:beforeAutospacing="0" w:after="0" w:afterAutospacing="0" w:line="276" w:lineRule="auto"/>
                    <w:ind w:left="0" w:right="0"/>
                    <w:jc w:val="center"/>
                    <w:rPr>
                      <w:rFonts w:hint="eastAsia" w:eastAsia="宋体"/>
                      <w:b/>
                      <w:color w:val="auto"/>
                      <w:szCs w:val="21"/>
                      <w:lang w:val="en-US" w:eastAsia="zh-CN"/>
                    </w:rPr>
                  </w:pPr>
                  <w:r>
                    <w:rPr>
                      <w:rFonts w:hint="default" w:hAnsi="Calibri"/>
                      <w:b/>
                      <w:color w:val="auto"/>
                      <w:szCs w:val="21"/>
                    </w:rPr>
                    <w:t>本项目</w:t>
                  </w:r>
                  <w:r>
                    <w:rPr>
                      <w:rFonts w:hint="eastAsia" w:hAnsi="Calibri"/>
                      <w:b/>
                      <w:color w:val="auto"/>
                      <w:szCs w:val="21"/>
                      <w:lang w:val="en-US" w:eastAsia="zh-CN"/>
                    </w:rPr>
                    <w:t>情况</w:t>
                  </w:r>
                </w:p>
              </w:tc>
              <w:tc>
                <w:tcPr>
                  <w:tcW w:w="958" w:type="dxa"/>
                  <w:shd w:val="clear" w:color="auto" w:fill="auto"/>
                  <w:vAlign w:val="center"/>
                </w:tcPr>
                <w:p w14:paraId="72D9419B">
                  <w:pPr>
                    <w:keepNext w:val="0"/>
                    <w:keepLines w:val="0"/>
                    <w:suppressLineNumbers w:val="0"/>
                    <w:spacing w:before="0" w:beforeAutospacing="0" w:after="0" w:afterAutospacing="0" w:line="276" w:lineRule="auto"/>
                    <w:ind w:left="0" w:right="0"/>
                    <w:jc w:val="center"/>
                    <w:rPr>
                      <w:rFonts w:hint="default"/>
                      <w:b/>
                      <w:color w:val="auto"/>
                      <w:szCs w:val="21"/>
                    </w:rPr>
                  </w:pPr>
                  <w:r>
                    <w:rPr>
                      <w:rFonts w:hint="default" w:hAnsi="Calibri"/>
                      <w:b/>
                      <w:color w:val="auto"/>
                      <w:szCs w:val="21"/>
                    </w:rPr>
                    <w:t>符合性</w:t>
                  </w:r>
                </w:p>
              </w:tc>
            </w:tr>
            <w:tr w14:paraId="681159B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4" w:hRule="atLeast"/>
                <w:jc w:val="center"/>
              </w:trPr>
              <w:tc>
                <w:tcPr>
                  <w:tcW w:w="518" w:type="dxa"/>
                  <w:shd w:val="clear" w:color="auto" w:fill="auto"/>
                  <w:vAlign w:val="center"/>
                </w:tcPr>
                <w:p w14:paraId="43714CCB">
                  <w:pPr>
                    <w:keepNext w:val="0"/>
                    <w:keepLines w:val="0"/>
                    <w:suppressLineNumbers w:val="0"/>
                    <w:spacing w:before="0" w:beforeAutospacing="0" w:after="0" w:afterAutospacing="0" w:line="276" w:lineRule="auto"/>
                    <w:ind w:left="0" w:right="0"/>
                    <w:jc w:val="center"/>
                    <w:rPr>
                      <w:rFonts w:hint="default"/>
                      <w:color w:val="auto"/>
                      <w:szCs w:val="21"/>
                    </w:rPr>
                  </w:pPr>
                  <w:r>
                    <w:rPr>
                      <w:rFonts w:hint="default"/>
                      <w:color w:val="auto"/>
                      <w:szCs w:val="21"/>
                    </w:rPr>
                    <w:t>1</w:t>
                  </w:r>
                </w:p>
              </w:tc>
              <w:tc>
                <w:tcPr>
                  <w:tcW w:w="882" w:type="dxa"/>
                  <w:vMerge w:val="restart"/>
                  <w:shd w:val="clear" w:color="auto" w:fill="auto"/>
                  <w:vAlign w:val="center"/>
                </w:tcPr>
                <w:p w14:paraId="600EF60E">
                  <w:pPr>
                    <w:keepNext w:val="0"/>
                    <w:keepLines w:val="0"/>
                    <w:suppressLineNumbers w:val="0"/>
                    <w:spacing w:before="0" w:beforeAutospacing="0" w:after="0" w:afterAutospacing="0" w:line="276" w:lineRule="auto"/>
                    <w:ind w:left="0" w:right="0"/>
                    <w:jc w:val="center"/>
                    <w:rPr>
                      <w:rFonts w:hint="default" w:hAnsi="宋体" w:eastAsia="宋体"/>
                      <w:color w:val="auto"/>
                      <w:szCs w:val="21"/>
                      <w:lang w:val="en-US" w:eastAsia="zh-CN"/>
                    </w:rPr>
                  </w:pPr>
                  <w:r>
                    <w:rPr>
                      <w:rFonts w:hint="eastAsia" w:hAnsi="宋体"/>
                      <w:color w:val="auto"/>
                      <w:szCs w:val="21"/>
                      <w:lang w:val="en-US" w:eastAsia="zh-CN"/>
                    </w:rPr>
                    <w:t>禁止、限制部分塑料制品的生产、销售和使用</w:t>
                  </w:r>
                </w:p>
              </w:tc>
              <w:tc>
                <w:tcPr>
                  <w:tcW w:w="2952" w:type="dxa"/>
                  <w:shd w:val="clear" w:color="auto" w:fill="auto"/>
                  <w:vAlign w:val="center"/>
                </w:tcPr>
                <w:p w14:paraId="166A97EC">
                  <w:pPr>
                    <w:keepNext w:val="0"/>
                    <w:keepLines w:val="0"/>
                    <w:suppressLineNumbers w:val="0"/>
                    <w:spacing w:before="0" w:beforeAutospacing="0" w:after="0" w:afterAutospacing="0" w:line="276" w:lineRule="auto"/>
                    <w:ind w:left="0" w:right="0"/>
                    <w:jc w:val="center"/>
                    <w:rPr>
                      <w:rFonts w:hint="eastAsia" w:hAnsi="宋体" w:eastAsia="宋体"/>
                      <w:color w:val="auto"/>
                      <w:szCs w:val="21"/>
                      <w:lang w:eastAsia="zh-CN"/>
                    </w:rPr>
                  </w:pPr>
                  <w:r>
                    <w:rPr>
                      <w:rFonts w:hint="eastAsia" w:hAnsi="宋体" w:eastAsia="宋体"/>
                      <w:color w:val="auto"/>
                      <w:szCs w:val="21"/>
                      <w:lang w:eastAsia="zh-CN"/>
                    </w:rPr>
                    <w:t>禁止生产和销售的塑料制品。禁止生产和销售厚度小于0.025毫米的超薄塑料购物袋、厚度小于0.01毫米的聚乙烯农用地膜。禁止以医疗废物为原料制造塑料制品。全面禁止废塑料进口。到2020年底，禁止生产和销售一次性发泡塑料餐具、一次性塑料棉签；禁止生产含塑料微珠的日化产品。到2022年底，禁止销售含塑料微珠的日化产品</w:t>
                  </w:r>
                  <w:r>
                    <w:rPr>
                      <w:rFonts w:hint="eastAsia" w:hAnsi="宋体"/>
                      <w:color w:val="auto"/>
                      <w:szCs w:val="21"/>
                      <w:lang w:eastAsia="zh-CN"/>
                    </w:rPr>
                    <w:t>。</w:t>
                  </w:r>
                </w:p>
              </w:tc>
              <w:tc>
                <w:tcPr>
                  <w:tcW w:w="2539" w:type="dxa"/>
                  <w:shd w:val="clear" w:color="auto" w:fill="auto"/>
                  <w:vAlign w:val="center"/>
                </w:tcPr>
                <w:p w14:paraId="37894979">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本项目不生产超薄塑料购物袋、聚乙烯农用地膜、一次性发泡塑料餐具、一次性塑料棉签或含塑料微珠的日化产品；本项目外购原辅材料不涉及医疗废物。</w:t>
                  </w:r>
                </w:p>
              </w:tc>
              <w:tc>
                <w:tcPr>
                  <w:tcW w:w="958" w:type="dxa"/>
                  <w:shd w:val="clear" w:color="auto" w:fill="auto"/>
                  <w:vAlign w:val="center"/>
                </w:tcPr>
                <w:p w14:paraId="1BA62DFE">
                  <w:pPr>
                    <w:keepNext w:val="0"/>
                    <w:keepLines w:val="0"/>
                    <w:suppressLineNumbers w:val="0"/>
                    <w:spacing w:before="0" w:beforeAutospacing="0" w:after="0" w:afterAutospacing="0" w:line="276" w:lineRule="auto"/>
                    <w:ind w:left="0" w:right="0"/>
                    <w:jc w:val="center"/>
                    <w:rPr>
                      <w:rFonts w:hint="default"/>
                      <w:color w:val="auto"/>
                      <w:szCs w:val="21"/>
                    </w:rPr>
                  </w:pPr>
                  <w:r>
                    <w:rPr>
                      <w:rFonts w:hint="default"/>
                      <w:color w:val="auto"/>
                      <w:szCs w:val="21"/>
                    </w:rPr>
                    <w:t>符合</w:t>
                  </w:r>
                </w:p>
              </w:tc>
            </w:tr>
            <w:tr w14:paraId="7779249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4" w:hRule="atLeast"/>
                <w:jc w:val="center"/>
              </w:trPr>
              <w:tc>
                <w:tcPr>
                  <w:tcW w:w="518" w:type="dxa"/>
                  <w:shd w:val="clear" w:color="auto" w:fill="auto"/>
                  <w:vAlign w:val="center"/>
                </w:tcPr>
                <w:p w14:paraId="0FBEA899">
                  <w:pPr>
                    <w:keepNext w:val="0"/>
                    <w:keepLines w:val="0"/>
                    <w:suppressLineNumbers w:val="0"/>
                    <w:spacing w:before="0" w:beforeAutospacing="0" w:after="0" w:afterAutospacing="0" w:line="276" w:lineRule="auto"/>
                    <w:ind w:left="0" w:right="0"/>
                    <w:jc w:val="center"/>
                    <w:rPr>
                      <w:rFonts w:hint="eastAsia" w:eastAsia="宋体"/>
                      <w:color w:val="auto"/>
                      <w:szCs w:val="21"/>
                      <w:lang w:val="en-US" w:eastAsia="zh-CN"/>
                    </w:rPr>
                  </w:pPr>
                  <w:r>
                    <w:rPr>
                      <w:rFonts w:hint="eastAsia"/>
                      <w:color w:val="auto"/>
                      <w:szCs w:val="21"/>
                      <w:lang w:val="en-US" w:eastAsia="zh-CN"/>
                    </w:rPr>
                    <w:t>2</w:t>
                  </w:r>
                </w:p>
              </w:tc>
              <w:tc>
                <w:tcPr>
                  <w:tcW w:w="882" w:type="dxa"/>
                  <w:vMerge w:val="continue"/>
                  <w:shd w:val="clear" w:color="auto" w:fill="auto"/>
                  <w:vAlign w:val="center"/>
                </w:tcPr>
                <w:p w14:paraId="35B7DB23">
                  <w:pPr>
                    <w:keepNext w:val="0"/>
                    <w:keepLines w:val="0"/>
                    <w:suppressLineNumbers w:val="0"/>
                    <w:spacing w:before="0" w:beforeAutospacing="0" w:after="0" w:afterAutospacing="0" w:line="276" w:lineRule="auto"/>
                    <w:ind w:left="0" w:right="0"/>
                    <w:jc w:val="center"/>
                    <w:rPr>
                      <w:rFonts w:hint="eastAsia" w:hAnsi="宋体"/>
                      <w:color w:val="auto"/>
                      <w:szCs w:val="21"/>
                      <w:lang w:val="en-US" w:eastAsia="zh-CN"/>
                    </w:rPr>
                  </w:pPr>
                </w:p>
              </w:tc>
              <w:tc>
                <w:tcPr>
                  <w:tcW w:w="2952" w:type="dxa"/>
                  <w:shd w:val="clear" w:color="auto" w:fill="auto"/>
                  <w:vAlign w:val="center"/>
                </w:tcPr>
                <w:p w14:paraId="1161626D">
                  <w:pPr>
                    <w:keepNext w:val="0"/>
                    <w:keepLines w:val="0"/>
                    <w:suppressLineNumbers w:val="0"/>
                    <w:spacing w:before="0" w:beforeAutospacing="0" w:after="0" w:afterAutospacing="0" w:line="276" w:lineRule="auto"/>
                    <w:ind w:left="0" w:right="0"/>
                    <w:jc w:val="center"/>
                    <w:rPr>
                      <w:rFonts w:hint="eastAsia" w:hAnsi="宋体" w:eastAsia="宋体"/>
                      <w:color w:val="auto"/>
                      <w:szCs w:val="21"/>
                      <w:lang w:eastAsia="zh-CN"/>
                    </w:rPr>
                  </w:pPr>
                  <w:r>
                    <w:rPr>
                      <w:rFonts w:hint="eastAsia" w:hAnsi="宋体" w:eastAsia="宋体"/>
                      <w:color w:val="auto"/>
                      <w:szCs w:val="21"/>
                      <w:lang w:eastAsia="zh-CN"/>
                    </w:rPr>
                    <w:t>塑料制品生产企业要严格执行有关法律法规，生产符合相关标准的塑料制品，不得违规添加对人体、环境有害的化学添加剂。推进工业产品生态(绿色）设计试点，鼓励企业开发绿色设计产品，提升塑料制品安全性和回收利用性能。加强可循环、易回收、可降解替代材料和产品研发，积极采用新型绿色环保功能材料，推广使用符合相关标准和要求的再生塑料</w:t>
                  </w:r>
                  <w:r>
                    <w:rPr>
                      <w:rFonts w:hint="eastAsia" w:hAnsi="宋体"/>
                      <w:color w:val="auto"/>
                      <w:szCs w:val="21"/>
                      <w:lang w:eastAsia="zh-CN"/>
                    </w:rPr>
                    <w:t>。</w:t>
                  </w:r>
                </w:p>
              </w:tc>
              <w:tc>
                <w:tcPr>
                  <w:tcW w:w="2539" w:type="dxa"/>
                  <w:shd w:val="clear" w:color="auto" w:fill="auto"/>
                  <w:vAlign w:val="center"/>
                </w:tcPr>
                <w:p w14:paraId="3AC3E177">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本项目塑料制品生产时不添加对人体、环境有害的化学添加剂，回用于生产的废塑料边角料、不合格品、布袋除尘器收集粉尘均符合相关标准和要求。</w:t>
                  </w:r>
                </w:p>
              </w:tc>
              <w:tc>
                <w:tcPr>
                  <w:tcW w:w="958" w:type="dxa"/>
                  <w:shd w:val="clear" w:color="auto" w:fill="auto"/>
                  <w:vAlign w:val="center"/>
                </w:tcPr>
                <w:p w14:paraId="2E415F79">
                  <w:pPr>
                    <w:keepNext w:val="0"/>
                    <w:keepLines w:val="0"/>
                    <w:suppressLineNumbers w:val="0"/>
                    <w:spacing w:before="0" w:beforeAutospacing="0" w:after="0" w:afterAutospacing="0" w:line="276" w:lineRule="auto"/>
                    <w:ind w:left="0" w:right="0"/>
                    <w:jc w:val="center"/>
                    <w:rPr>
                      <w:rFonts w:hint="eastAsia" w:eastAsia="宋体"/>
                      <w:color w:val="auto"/>
                      <w:szCs w:val="21"/>
                      <w:lang w:val="en-US" w:eastAsia="zh-CN"/>
                    </w:rPr>
                  </w:pPr>
                  <w:r>
                    <w:rPr>
                      <w:rFonts w:hint="eastAsia"/>
                      <w:color w:val="auto"/>
                      <w:szCs w:val="21"/>
                      <w:lang w:val="en-US" w:eastAsia="zh-CN"/>
                    </w:rPr>
                    <w:t>符合</w:t>
                  </w:r>
                </w:p>
              </w:tc>
            </w:tr>
          </w:tbl>
          <w:p w14:paraId="61A9C867">
            <w:pPr>
              <w:keepNext w:val="0"/>
              <w:keepLines w:val="0"/>
              <w:suppressLineNumbers w:val="0"/>
              <w:spacing w:before="0" w:beforeAutospacing="0" w:after="0" w:afterAutospacing="0" w:line="360" w:lineRule="auto"/>
              <w:ind w:left="0" w:right="0" w:firstLine="482" w:firstLineChars="200"/>
              <w:rPr>
                <w:rFonts w:hint="default"/>
                <w:b/>
                <w:color w:val="auto"/>
                <w:sz w:val="24"/>
                <w:szCs w:val="24"/>
              </w:rPr>
            </w:pPr>
          </w:p>
          <w:p w14:paraId="3E2DE292">
            <w:pPr>
              <w:keepNext w:val="0"/>
              <w:keepLines w:val="0"/>
              <w:suppressLineNumbers w:val="0"/>
              <w:spacing w:before="0" w:beforeAutospacing="0" w:after="0" w:afterAutospacing="0" w:line="360" w:lineRule="auto"/>
              <w:ind w:left="0" w:right="0" w:firstLine="482" w:firstLineChars="200"/>
              <w:rPr>
                <w:rFonts w:hint="default"/>
                <w:b/>
                <w:color w:val="auto"/>
                <w:sz w:val="24"/>
                <w:szCs w:val="24"/>
              </w:rPr>
            </w:pPr>
            <w:r>
              <w:rPr>
                <w:rFonts w:hint="default"/>
                <w:b/>
                <w:color w:val="auto"/>
                <w:sz w:val="24"/>
                <w:szCs w:val="24"/>
              </w:rPr>
              <w:t>（</w:t>
            </w:r>
            <w:r>
              <w:rPr>
                <w:rFonts w:hint="eastAsia"/>
                <w:b/>
                <w:color w:val="auto"/>
                <w:sz w:val="24"/>
                <w:szCs w:val="24"/>
                <w:lang w:val="en-US" w:eastAsia="zh-CN"/>
              </w:rPr>
              <w:t>3</w:t>
            </w:r>
            <w:r>
              <w:rPr>
                <w:rFonts w:hint="default"/>
                <w:b/>
                <w:color w:val="auto"/>
                <w:sz w:val="24"/>
                <w:szCs w:val="24"/>
              </w:rPr>
              <w:t>）与《中共中央、国务院关于深入打好污染防治攻坚战的意见》（2021年11月2日公开发布）</w:t>
            </w:r>
            <w:r>
              <w:rPr>
                <w:rFonts w:hint="eastAsia"/>
                <w:b/>
                <w:color w:val="auto"/>
                <w:sz w:val="24"/>
                <w:szCs w:val="24"/>
                <w:lang w:val="en-US" w:eastAsia="zh-CN"/>
              </w:rPr>
              <w:t>符合</w:t>
            </w:r>
            <w:r>
              <w:rPr>
                <w:rFonts w:hint="default"/>
                <w:b/>
                <w:color w:val="auto"/>
                <w:sz w:val="24"/>
                <w:szCs w:val="24"/>
              </w:rPr>
              <w:t>性分析</w:t>
            </w:r>
          </w:p>
          <w:p w14:paraId="0A8E186A">
            <w:pPr>
              <w:keepNext w:val="0"/>
              <w:keepLines w:val="0"/>
              <w:suppressLineNumbers w:val="0"/>
              <w:spacing w:before="0" w:beforeAutospacing="0" w:after="0" w:afterAutospacing="0" w:line="360" w:lineRule="auto"/>
              <w:ind w:left="0" w:right="0"/>
              <w:jc w:val="center"/>
              <w:rPr>
                <w:rFonts w:hint="default" w:eastAsia="黑体"/>
                <w:color w:val="auto"/>
                <w:w w:val="90"/>
                <w:sz w:val="24"/>
                <w:szCs w:val="24"/>
              </w:rPr>
            </w:pPr>
            <w:r>
              <w:rPr>
                <w:rFonts w:hint="default" w:eastAsia="黑体"/>
                <w:color w:val="auto"/>
                <w:sz w:val="24"/>
                <w:szCs w:val="24"/>
              </w:rPr>
              <w:t>表</w:t>
            </w:r>
            <w:r>
              <w:rPr>
                <w:rFonts w:hint="eastAsia" w:eastAsia="黑体"/>
                <w:color w:val="auto"/>
                <w:sz w:val="24"/>
                <w:szCs w:val="24"/>
                <w:lang w:val="en-US" w:eastAsia="zh-CN"/>
              </w:rPr>
              <w:t xml:space="preserve">1-7 </w:t>
            </w:r>
            <w:r>
              <w:rPr>
                <w:rFonts w:hint="default" w:eastAsia="黑体"/>
                <w:color w:val="auto"/>
                <w:spacing w:val="-20"/>
                <w:sz w:val="24"/>
                <w:szCs w:val="24"/>
              </w:rPr>
              <w:t>与《中共中央、国务院关于深入打好污染防治攻坚战的意见》符合性分析</w:t>
            </w:r>
          </w:p>
          <w:tbl>
            <w:tblPr>
              <w:tblStyle w:val="37"/>
              <w:tblW w:w="0" w:type="auto"/>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28"/>
              <w:gridCol w:w="2436"/>
              <w:gridCol w:w="3859"/>
              <w:gridCol w:w="896"/>
            </w:tblGrid>
            <w:tr w14:paraId="7D2B42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28" w:type="dxa"/>
                  <w:shd w:val="clear" w:color="auto" w:fill="auto"/>
                  <w:vAlign w:val="center"/>
                </w:tcPr>
                <w:p w14:paraId="131B86C0">
                  <w:pPr>
                    <w:keepNext w:val="0"/>
                    <w:keepLines w:val="0"/>
                    <w:suppressLineNumbers w:val="0"/>
                    <w:spacing w:before="0" w:beforeAutospacing="0" w:after="0" w:afterAutospacing="0" w:line="276" w:lineRule="auto"/>
                    <w:ind w:left="0" w:right="0"/>
                    <w:jc w:val="center"/>
                    <w:rPr>
                      <w:rFonts w:hint="default"/>
                      <w:b/>
                      <w:color w:val="auto"/>
                      <w:szCs w:val="21"/>
                    </w:rPr>
                  </w:pPr>
                  <w:r>
                    <w:rPr>
                      <w:rFonts w:hint="default"/>
                      <w:b/>
                      <w:color w:val="auto"/>
                      <w:szCs w:val="21"/>
                    </w:rPr>
                    <w:t>序号</w:t>
                  </w:r>
                </w:p>
              </w:tc>
              <w:tc>
                <w:tcPr>
                  <w:tcW w:w="2436" w:type="dxa"/>
                  <w:shd w:val="clear" w:color="auto" w:fill="auto"/>
                  <w:vAlign w:val="center"/>
                </w:tcPr>
                <w:p w14:paraId="00F42750">
                  <w:pPr>
                    <w:keepNext w:val="0"/>
                    <w:keepLines w:val="0"/>
                    <w:suppressLineNumbers w:val="0"/>
                    <w:spacing w:before="0" w:beforeAutospacing="0" w:after="0" w:afterAutospacing="0" w:line="276" w:lineRule="auto"/>
                    <w:ind w:left="0" w:right="0"/>
                    <w:jc w:val="center"/>
                    <w:rPr>
                      <w:rFonts w:hint="eastAsia" w:eastAsia="宋体"/>
                      <w:b/>
                      <w:color w:val="auto"/>
                      <w:szCs w:val="21"/>
                      <w:lang w:eastAsia="zh-CN"/>
                    </w:rPr>
                  </w:pPr>
                  <w:r>
                    <w:rPr>
                      <w:rFonts w:hint="eastAsia"/>
                      <w:b/>
                      <w:color w:val="auto"/>
                      <w:szCs w:val="21"/>
                      <w:lang w:val="en-US" w:eastAsia="zh-CN"/>
                    </w:rPr>
                    <w:t>相关要求</w:t>
                  </w:r>
                </w:p>
              </w:tc>
              <w:tc>
                <w:tcPr>
                  <w:tcW w:w="3859" w:type="dxa"/>
                  <w:shd w:val="clear" w:color="auto" w:fill="auto"/>
                  <w:vAlign w:val="center"/>
                </w:tcPr>
                <w:p w14:paraId="202A4CF8">
                  <w:pPr>
                    <w:keepNext w:val="0"/>
                    <w:keepLines w:val="0"/>
                    <w:suppressLineNumbers w:val="0"/>
                    <w:spacing w:before="0" w:beforeAutospacing="0" w:after="0" w:afterAutospacing="0" w:line="276" w:lineRule="auto"/>
                    <w:ind w:left="0" w:right="0"/>
                    <w:jc w:val="center"/>
                    <w:rPr>
                      <w:rFonts w:hint="eastAsia" w:eastAsia="宋体"/>
                      <w:b/>
                      <w:color w:val="auto"/>
                      <w:szCs w:val="21"/>
                      <w:lang w:val="en-US" w:eastAsia="zh-CN"/>
                    </w:rPr>
                  </w:pPr>
                  <w:r>
                    <w:rPr>
                      <w:rFonts w:hint="default" w:hAnsi="Calibri"/>
                      <w:b/>
                      <w:color w:val="auto"/>
                      <w:szCs w:val="21"/>
                    </w:rPr>
                    <w:t>本项目</w:t>
                  </w:r>
                  <w:r>
                    <w:rPr>
                      <w:rFonts w:hint="eastAsia" w:hAnsi="Calibri"/>
                      <w:b/>
                      <w:color w:val="auto"/>
                      <w:szCs w:val="21"/>
                      <w:lang w:val="en-US" w:eastAsia="zh-CN"/>
                    </w:rPr>
                    <w:t>情况</w:t>
                  </w:r>
                </w:p>
              </w:tc>
              <w:tc>
                <w:tcPr>
                  <w:tcW w:w="896" w:type="dxa"/>
                  <w:shd w:val="clear" w:color="auto" w:fill="auto"/>
                  <w:vAlign w:val="center"/>
                </w:tcPr>
                <w:p w14:paraId="2F47AAC5">
                  <w:pPr>
                    <w:keepNext w:val="0"/>
                    <w:keepLines w:val="0"/>
                    <w:suppressLineNumbers w:val="0"/>
                    <w:spacing w:before="0" w:beforeAutospacing="0" w:after="0" w:afterAutospacing="0" w:line="276" w:lineRule="auto"/>
                    <w:ind w:left="0" w:right="0"/>
                    <w:jc w:val="center"/>
                    <w:rPr>
                      <w:rFonts w:hint="default"/>
                      <w:b/>
                      <w:color w:val="auto"/>
                      <w:szCs w:val="21"/>
                    </w:rPr>
                  </w:pPr>
                  <w:r>
                    <w:rPr>
                      <w:rFonts w:hint="default" w:hAnsi="Calibri"/>
                      <w:b/>
                      <w:color w:val="auto"/>
                      <w:szCs w:val="21"/>
                    </w:rPr>
                    <w:t>符合性</w:t>
                  </w:r>
                </w:p>
              </w:tc>
            </w:tr>
            <w:tr w14:paraId="632E809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28" w:type="dxa"/>
                  <w:shd w:val="clear" w:color="auto" w:fill="auto"/>
                  <w:vAlign w:val="center"/>
                </w:tcPr>
                <w:p w14:paraId="1FCA5857">
                  <w:pPr>
                    <w:keepNext w:val="0"/>
                    <w:keepLines w:val="0"/>
                    <w:suppressLineNumbers w:val="0"/>
                    <w:spacing w:before="0" w:beforeAutospacing="0" w:after="0" w:afterAutospacing="0" w:line="276" w:lineRule="auto"/>
                    <w:ind w:left="0" w:right="0"/>
                    <w:jc w:val="center"/>
                    <w:rPr>
                      <w:rFonts w:hint="default"/>
                      <w:color w:val="auto"/>
                      <w:szCs w:val="21"/>
                    </w:rPr>
                  </w:pPr>
                  <w:r>
                    <w:rPr>
                      <w:rFonts w:hint="default"/>
                      <w:color w:val="auto"/>
                      <w:szCs w:val="21"/>
                    </w:rPr>
                    <w:t>1</w:t>
                  </w:r>
                </w:p>
              </w:tc>
              <w:tc>
                <w:tcPr>
                  <w:tcW w:w="2436" w:type="dxa"/>
                  <w:shd w:val="clear" w:color="auto" w:fill="auto"/>
                  <w:vAlign w:val="center"/>
                </w:tcPr>
                <w:p w14:paraId="21B8B70B">
                  <w:pPr>
                    <w:keepNext w:val="0"/>
                    <w:keepLines w:val="0"/>
                    <w:suppressLineNumbers w:val="0"/>
                    <w:spacing w:before="0" w:beforeAutospacing="0" w:after="0" w:afterAutospacing="0" w:line="276" w:lineRule="auto"/>
                    <w:ind w:left="0" w:right="0"/>
                    <w:jc w:val="center"/>
                    <w:rPr>
                      <w:rFonts w:hint="default"/>
                      <w:color w:val="auto"/>
                      <w:szCs w:val="21"/>
                      <w:highlight w:val="none"/>
                    </w:rPr>
                  </w:pPr>
                  <w:r>
                    <w:rPr>
                      <w:rFonts w:hint="default"/>
                      <w:color w:val="auto"/>
                      <w:szCs w:val="21"/>
                      <w:highlight w:val="none"/>
                      <w:shd w:val="clear" w:color="auto" w:fill="FFFFFF"/>
                    </w:rPr>
                    <w:t>重点区域严禁新增钢铁、焦化、水泥熟料、平板玻璃、电解铝、氧化铝、煤化工产能，合理控制煤制油气产能规模，严控新增炼油产能。</w:t>
                  </w:r>
                </w:p>
              </w:tc>
              <w:tc>
                <w:tcPr>
                  <w:tcW w:w="3859" w:type="dxa"/>
                  <w:shd w:val="clear" w:color="auto" w:fill="auto"/>
                  <w:vAlign w:val="center"/>
                </w:tcPr>
                <w:p w14:paraId="3A94FD72">
                  <w:pPr>
                    <w:keepNext w:val="0"/>
                    <w:keepLines w:val="0"/>
                    <w:suppressLineNumbers w:val="0"/>
                    <w:spacing w:before="0" w:beforeAutospacing="0" w:after="0" w:afterAutospacing="0" w:line="276" w:lineRule="auto"/>
                    <w:ind w:left="0" w:right="0"/>
                    <w:jc w:val="center"/>
                    <w:rPr>
                      <w:rFonts w:hint="default"/>
                      <w:color w:val="auto"/>
                      <w:szCs w:val="21"/>
                      <w:highlight w:val="none"/>
                    </w:rPr>
                  </w:pPr>
                  <w:r>
                    <w:rPr>
                      <w:rFonts w:hint="default"/>
                      <w:color w:val="auto"/>
                      <w:szCs w:val="21"/>
                      <w:highlight w:val="none"/>
                      <w:shd w:val="clear" w:color="auto" w:fill="FFFFFF"/>
                    </w:rPr>
                    <w:t>本项目</w:t>
                  </w:r>
                  <w:r>
                    <w:rPr>
                      <w:rFonts w:hint="default"/>
                      <w:color w:val="auto"/>
                      <w:szCs w:val="21"/>
                      <w:highlight w:val="none"/>
                    </w:rPr>
                    <w:t>为C2927日用塑料制品制造、C2929塑料零件及其他塑料制品制造</w:t>
                  </w:r>
                  <w:r>
                    <w:rPr>
                      <w:rFonts w:hint="eastAsia"/>
                      <w:color w:val="auto"/>
                      <w:szCs w:val="21"/>
                      <w:highlight w:val="none"/>
                      <w:lang w:val="en-US" w:eastAsia="zh-CN"/>
                    </w:rPr>
                    <w:t>，</w:t>
                  </w:r>
                  <w:r>
                    <w:rPr>
                      <w:rFonts w:hint="default"/>
                      <w:color w:val="auto"/>
                      <w:szCs w:val="21"/>
                      <w:highlight w:val="none"/>
                      <w:shd w:val="clear" w:color="auto" w:fill="FFFFFF"/>
                    </w:rPr>
                    <w:t>不属于钢铁、焦化、水泥熟料、平板玻璃、电解铝、氧化铝、煤化工产业。</w:t>
                  </w:r>
                </w:p>
              </w:tc>
              <w:tc>
                <w:tcPr>
                  <w:tcW w:w="896" w:type="dxa"/>
                  <w:shd w:val="clear" w:color="auto" w:fill="auto"/>
                  <w:vAlign w:val="center"/>
                </w:tcPr>
                <w:p w14:paraId="5CD8422B">
                  <w:pPr>
                    <w:keepNext w:val="0"/>
                    <w:keepLines w:val="0"/>
                    <w:suppressLineNumbers w:val="0"/>
                    <w:spacing w:before="0" w:beforeAutospacing="0" w:after="0" w:afterAutospacing="0" w:line="276" w:lineRule="auto"/>
                    <w:ind w:left="0" w:right="0"/>
                    <w:jc w:val="center"/>
                    <w:rPr>
                      <w:rFonts w:hint="default"/>
                      <w:color w:val="auto"/>
                      <w:szCs w:val="21"/>
                    </w:rPr>
                  </w:pPr>
                  <w:r>
                    <w:rPr>
                      <w:rFonts w:hint="default"/>
                      <w:color w:val="auto"/>
                      <w:szCs w:val="21"/>
                    </w:rPr>
                    <w:t>符合</w:t>
                  </w:r>
                </w:p>
              </w:tc>
            </w:tr>
            <w:tr w14:paraId="2F32524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28" w:type="dxa"/>
                  <w:shd w:val="clear" w:color="auto" w:fill="auto"/>
                  <w:vAlign w:val="center"/>
                </w:tcPr>
                <w:p w14:paraId="6F45C196">
                  <w:pPr>
                    <w:keepNext w:val="0"/>
                    <w:keepLines w:val="0"/>
                    <w:suppressLineNumbers w:val="0"/>
                    <w:spacing w:before="0" w:beforeAutospacing="0" w:after="0" w:afterAutospacing="0" w:line="276" w:lineRule="auto"/>
                    <w:ind w:left="0" w:right="0"/>
                    <w:jc w:val="center"/>
                    <w:rPr>
                      <w:rFonts w:hint="default"/>
                      <w:color w:val="auto"/>
                      <w:szCs w:val="21"/>
                    </w:rPr>
                  </w:pPr>
                  <w:r>
                    <w:rPr>
                      <w:rFonts w:hint="default"/>
                      <w:color w:val="auto"/>
                      <w:szCs w:val="21"/>
                    </w:rPr>
                    <w:t>2</w:t>
                  </w:r>
                </w:p>
              </w:tc>
              <w:tc>
                <w:tcPr>
                  <w:tcW w:w="2436" w:type="dxa"/>
                  <w:shd w:val="clear" w:color="auto" w:fill="auto"/>
                  <w:vAlign w:val="center"/>
                </w:tcPr>
                <w:p w14:paraId="433E8C07">
                  <w:pPr>
                    <w:keepNext w:val="0"/>
                    <w:keepLines w:val="0"/>
                    <w:suppressLineNumbers w:val="0"/>
                    <w:spacing w:before="0" w:beforeAutospacing="0" w:after="0" w:afterAutospacing="0" w:line="276" w:lineRule="auto"/>
                    <w:ind w:left="0" w:right="0"/>
                    <w:jc w:val="center"/>
                    <w:rPr>
                      <w:rFonts w:hint="default"/>
                      <w:color w:val="auto"/>
                      <w:szCs w:val="21"/>
                      <w:shd w:val="clear" w:color="auto" w:fill="FFFFFF"/>
                    </w:rPr>
                  </w:pPr>
                  <w:r>
                    <w:rPr>
                      <w:rFonts w:hint="default"/>
                      <w:color w:val="auto"/>
                      <w:szCs w:val="21"/>
                    </w:rPr>
                    <w:t>着力打好臭氧污染防治攻坚战。聚焦夏秋季臭氧污染，大力推进挥发性有机物和氮氧化物协同减排。</w:t>
                  </w:r>
                </w:p>
              </w:tc>
              <w:tc>
                <w:tcPr>
                  <w:tcW w:w="3859" w:type="dxa"/>
                  <w:shd w:val="clear" w:color="auto" w:fill="auto"/>
                  <w:vAlign w:val="center"/>
                </w:tcPr>
                <w:p w14:paraId="41FD321A">
                  <w:pPr>
                    <w:keepNext w:val="0"/>
                    <w:keepLines w:val="0"/>
                    <w:suppressLineNumbers w:val="0"/>
                    <w:adjustRightInd w:val="0"/>
                    <w:spacing w:before="0" w:beforeAutospacing="0" w:after="0" w:afterAutospacing="0" w:line="276" w:lineRule="auto"/>
                    <w:ind w:left="0" w:right="0"/>
                    <w:jc w:val="center"/>
                    <w:rPr>
                      <w:rFonts w:hint="eastAsia"/>
                      <w:color w:val="auto"/>
                      <w:szCs w:val="21"/>
                      <w:highlight w:val="none"/>
                      <w:lang w:val="en-US" w:eastAsia="zh-CN"/>
                    </w:rPr>
                  </w:pPr>
                  <w:r>
                    <w:rPr>
                      <w:rFonts w:hint="default"/>
                      <w:color w:val="auto"/>
                      <w:szCs w:val="21"/>
                      <w:highlight w:val="none"/>
                    </w:rPr>
                    <w:t>本项目</w:t>
                  </w:r>
                  <w:r>
                    <w:rPr>
                      <w:rFonts w:hint="eastAsia"/>
                      <w:color w:val="auto"/>
                      <w:szCs w:val="21"/>
                      <w:highlight w:val="none"/>
                      <w:lang w:val="en-US" w:eastAsia="zh-CN"/>
                    </w:rPr>
                    <w:t>工艺废气主要为投料粉尘、注塑废气，涉及废气</w:t>
                  </w:r>
                  <w:r>
                    <w:rPr>
                      <w:rFonts w:hint="default"/>
                      <w:color w:val="auto"/>
                      <w:szCs w:val="21"/>
                      <w:highlight w:val="none"/>
                    </w:rPr>
                    <w:t>污染物主要为</w:t>
                  </w:r>
                  <w:r>
                    <w:rPr>
                      <w:rFonts w:hint="eastAsia" w:hAnsi="宋体"/>
                      <w:color w:val="auto"/>
                      <w:kern w:val="0"/>
                      <w:szCs w:val="21"/>
                    </w:rPr>
                    <w:t>非甲烷总烃、</w:t>
                  </w:r>
                  <w:r>
                    <w:rPr>
                      <w:rFonts w:hint="eastAsia"/>
                      <w:color w:val="auto"/>
                      <w:szCs w:val="21"/>
                      <w:highlight w:val="none"/>
                      <w:lang w:val="en-US" w:eastAsia="zh-CN"/>
                    </w:rPr>
                    <w:t>苯乙烯、臭气浓度、苯、甲苯、乙苯、二甲苯及颗粒物。</w:t>
                  </w:r>
                </w:p>
                <w:p w14:paraId="019D1CD5">
                  <w:pPr>
                    <w:keepNext w:val="0"/>
                    <w:keepLines w:val="0"/>
                    <w:suppressLineNumbers w:val="0"/>
                    <w:adjustRightInd w:val="0"/>
                    <w:spacing w:before="0" w:beforeAutospacing="0" w:after="0" w:afterAutospacing="0" w:line="276" w:lineRule="auto"/>
                    <w:ind w:left="0" w:right="0"/>
                    <w:jc w:val="center"/>
                    <w:rPr>
                      <w:rFonts w:hint="default"/>
                      <w:color w:val="auto"/>
                      <w:szCs w:val="21"/>
                    </w:rPr>
                  </w:pPr>
                  <w:r>
                    <w:rPr>
                      <w:rFonts w:hint="eastAsia"/>
                      <w:color w:val="auto"/>
                      <w:szCs w:val="21"/>
                      <w:highlight w:val="none"/>
                      <w:lang w:val="en-US" w:eastAsia="zh-CN"/>
                    </w:rPr>
                    <w:t>①塑料制品生产时投料废气经密闭收集后通过配套的布袋除尘器处理后于车间内无组织排放；②注塑废气经设备上方集气罩收集后</w:t>
                  </w:r>
                  <w:r>
                    <w:rPr>
                      <w:rFonts w:hint="eastAsia"/>
                      <w:color w:val="auto"/>
                      <w:sz w:val="21"/>
                      <w:szCs w:val="21"/>
                      <w:highlight w:val="none"/>
                      <w:lang w:val="en-US" w:eastAsia="zh-CN"/>
                    </w:rPr>
                    <w:t>，通过1套“二级活性炭吸附装置”处理，后由1根23m高排气筒DA001排放。</w:t>
                  </w:r>
                  <w:r>
                    <w:rPr>
                      <w:rFonts w:hint="eastAsia" w:hAnsi="宋体"/>
                      <w:color w:val="auto"/>
                      <w:kern w:val="0"/>
                      <w:highlight w:val="none"/>
                      <w:lang w:val="en-US" w:eastAsia="zh-CN"/>
                    </w:rPr>
                    <w:t>废气</w:t>
                  </w:r>
                  <w:r>
                    <w:rPr>
                      <w:rFonts w:hint="default" w:hAnsi="宋体"/>
                      <w:color w:val="auto"/>
                      <w:kern w:val="0"/>
                      <w:highlight w:val="none"/>
                    </w:rPr>
                    <w:t>均可</w:t>
                  </w:r>
                  <w:r>
                    <w:rPr>
                      <w:rFonts w:hint="eastAsia" w:ascii="宋体" w:hAnsi="宋体"/>
                      <w:color w:val="auto"/>
                      <w:kern w:val="0"/>
                      <w:highlight w:val="none"/>
                    </w:rPr>
                    <w:t>做到处理后达标排放</w:t>
                  </w:r>
                  <w:r>
                    <w:rPr>
                      <w:rFonts w:hint="eastAsia"/>
                      <w:color w:val="auto"/>
                      <w:szCs w:val="21"/>
                      <w:highlight w:val="none"/>
                    </w:rPr>
                    <w:t>。</w:t>
                  </w:r>
                </w:p>
              </w:tc>
              <w:tc>
                <w:tcPr>
                  <w:tcW w:w="896" w:type="dxa"/>
                  <w:shd w:val="clear" w:color="auto" w:fill="auto"/>
                  <w:vAlign w:val="center"/>
                </w:tcPr>
                <w:p w14:paraId="5A2F9F9C">
                  <w:pPr>
                    <w:keepNext w:val="0"/>
                    <w:keepLines w:val="0"/>
                    <w:suppressLineNumbers w:val="0"/>
                    <w:spacing w:before="0" w:beforeAutospacing="0" w:after="0" w:afterAutospacing="0" w:line="276" w:lineRule="auto"/>
                    <w:ind w:left="0" w:right="0"/>
                    <w:jc w:val="center"/>
                    <w:rPr>
                      <w:rFonts w:hint="default"/>
                      <w:color w:val="auto"/>
                      <w:szCs w:val="21"/>
                    </w:rPr>
                  </w:pPr>
                  <w:r>
                    <w:rPr>
                      <w:rFonts w:hint="default"/>
                      <w:color w:val="auto"/>
                      <w:szCs w:val="21"/>
                    </w:rPr>
                    <w:t>符合</w:t>
                  </w:r>
                </w:p>
              </w:tc>
            </w:tr>
          </w:tbl>
          <w:p w14:paraId="00C3680A">
            <w:pPr>
              <w:keepNext w:val="0"/>
              <w:keepLines w:val="0"/>
              <w:suppressLineNumbers w:val="0"/>
              <w:autoSpaceDE w:val="0"/>
              <w:autoSpaceDN w:val="0"/>
              <w:adjustRightInd w:val="0"/>
              <w:spacing w:before="0" w:beforeAutospacing="0" w:after="0" w:afterAutospacing="0" w:line="360" w:lineRule="auto"/>
              <w:ind w:left="0" w:right="0" w:firstLine="482" w:firstLineChars="200"/>
              <w:jc w:val="left"/>
              <w:rPr>
                <w:rFonts w:hint="default"/>
                <w:b/>
                <w:color w:val="auto"/>
                <w:sz w:val="24"/>
                <w:szCs w:val="24"/>
              </w:rPr>
            </w:pPr>
            <w:r>
              <w:rPr>
                <w:rFonts w:hint="default"/>
                <w:b/>
                <w:color w:val="auto"/>
                <w:sz w:val="24"/>
                <w:szCs w:val="24"/>
              </w:rPr>
              <w:t>（</w:t>
            </w:r>
            <w:r>
              <w:rPr>
                <w:rFonts w:hint="eastAsia"/>
                <w:b/>
                <w:color w:val="auto"/>
                <w:sz w:val="24"/>
                <w:szCs w:val="24"/>
                <w:lang w:val="en-US" w:eastAsia="zh-CN"/>
              </w:rPr>
              <w:t>4</w:t>
            </w:r>
            <w:r>
              <w:rPr>
                <w:rFonts w:hint="default"/>
                <w:b/>
                <w:color w:val="auto"/>
                <w:sz w:val="24"/>
                <w:szCs w:val="24"/>
              </w:rPr>
              <w:t>）与</w:t>
            </w:r>
            <w:r>
              <w:rPr>
                <w:rFonts w:hint="eastAsia"/>
                <w:b/>
                <w:color w:val="auto"/>
                <w:sz w:val="24"/>
                <w:szCs w:val="24"/>
              </w:rPr>
              <w:t>安徽省</w:t>
            </w:r>
            <w:r>
              <w:rPr>
                <w:rFonts w:hint="default"/>
                <w:b/>
                <w:color w:val="auto"/>
                <w:sz w:val="24"/>
                <w:szCs w:val="24"/>
              </w:rPr>
              <w:t>《</w:t>
            </w:r>
            <w:r>
              <w:rPr>
                <w:rFonts w:hint="eastAsia"/>
                <w:b/>
                <w:color w:val="auto"/>
                <w:sz w:val="24"/>
                <w:szCs w:val="24"/>
              </w:rPr>
              <w:t>重点行业挥发性有机物治理环境管理技术规范 第1部分：通则</w:t>
            </w:r>
            <w:r>
              <w:rPr>
                <w:rFonts w:hint="default"/>
                <w:b/>
                <w:color w:val="auto"/>
                <w:sz w:val="24"/>
                <w:szCs w:val="24"/>
              </w:rPr>
              <w:t>》（</w:t>
            </w:r>
            <w:r>
              <w:rPr>
                <w:rFonts w:hint="eastAsia"/>
                <w:b/>
                <w:color w:val="auto"/>
                <w:sz w:val="24"/>
                <w:szCs w:val="24"/>
              </w:rPr>
              <w:t>DB34/T4230.1-2022</w:t>
            </w:r>
            <w:r>
              <w:rPr>
                <w:rFonts w:hint="default"/>
                <w:b/>
                <w:color w:val="auto"/>
                <w:sz w:val="24"/>
                <w:szCs w:val="24"/>
              </w:rPr>
              <w:t>）</w:t>
            </w:r>
            <w:r>
              <w:rPr>
                <w:rFonts w:hint="eastAsia"/>
                <w:b/>
                <w:color w:val="auto"/>
                <w:sz w:val="24"/>
                <w:szCs w:val="24"/>
                <w:lang w:val="en-US" w:eastAsia="zh-CN"/>
              </w:rPr>
              <w:t>符合</w:t>
            </w:r>
            <w:r>
              <w:rPr>
                <w:rFonts w:hint="default"/>
                <w:b/>
                <w:color w:val="auto"/>
                <w:sz w:val="24"/>
                <w:szCs w:val="24"/>
              </w:rPr>
              <w:t>性分析</w:t>
            </w:r>
          </w:p>
          <w:p w14:paraId="19091605">
            <w:pPr>
              <w:keepNext w:val="0"/>
              <w:keepLines w:val="0"/>
              <w:suppressLineNumbers w:val="0"/>
              <w:spacing w:before="0" w:beforeAutospacing="0" w:after="0" w:afterAutospacing="0" w:line="360" w:lineRule="auto"/>
              <w:ind w:left="0" w:right="0"/>
              <w:jc w:val="center"/>
              <w:rPr>
                <w:rFonts w:hint="default" w:eastAsia="黑体"/>
                <w:color w:val="auto"/>
                <w:w w:val="90"/>
                <w:sz w:val="24"/>
                <w:szCs w:val="24"/>
              </w:rPr>
            </w:pPr>
            <w:r>
              <w:rPr>
                <w:rFonts w:hint="default" w:eastAsia="黑体"/>
                <w:color w:val="auto"/>
                <w:sz w:val="24"/>
                <w:szCs w:val="24"/>
              </w:rPr>
              <w:t>表</w:t>
            </w:r>
            <w:r>
              <w:rPr>
                <w:rFonts w:hint="eastAsia" w:eastAsia="黑体"/>
                <w:color w:val="auto"/>
                <w:sz w:val="24"/>
                <w:szCs w:val="24"/>
                <w:lang w:val="en-US" w:eastAsia="zh-CN"/>
              </w:rPr>
              <w:t>1-8</w:t>
            </w:r>
            <w:r>
              <w:rPr>
                <w:rFonts w:hint="default" w:eastAsia="黑体"/>
                <w:color w:val="auto"/>
                <w:sz w:val="24"/>
                <w:szCs w:val="24"/>
              </w:rPr>
              <w:t xml:space="preserve"> 与</w:t>
            </w:r>
            <w:r>
              <w:rPr>
                <w:rFonts w:hint="default" w:hAnsi="黑体" w:eastAsia="黑体"/>
                <w:color w:val="auto"/>
                <w:sz w:val="24"/>
                <w:szCs w:val="24"/>
              </w:rPr>
              <w:t>DB</w:t>
            </w:r>
            <w:r>
              <w:rPr>
                <w:rFonts w:hint="eastAsia" w:hAnsi="黑体" w:eastAsia="黑体"/>
                <w:color w:val="auto"/>
                <w:sz w:val="24"/>
                <w:szCs w:val="24"/>
              </w:rPr>
              <w:t>34/T4230.1-2022</w:t>
            </w:r>
            <w:r>
              <w:rPr>
                <w:rFonts w:hint="default" w:hAnsi="黑体" w:eastAsia="黑体"/>
                <w:color w:val="auto"/>
                <w:sz w:val="24"/>
                <w:szCs w:val="24"/>
              </w:rPr>
              <w:t>符合性</w:t>
            </w:r>
            <w:r>
              <w:rPr>
                <w:rFonts w:hint="default" w:eastAsia="黑体"/>
                <w:color w:val="auto"/>
                <w:sz w:val="24"/>
                <w:szCs w:val="24"/>
              </w:rPr>
              <w:t>分析</w:t>
            </w:r>
          </w:p>
          <w:tbl>
            <w:tblPr>
              <w:tblStyle w:val="37"/>
              <w:tblW w:w="0" w:type="auto"/>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28"/>
              <w:gridCol w:w="2534"/>
              <w:gridCol w:w="3723"/>
              <w:gridCol w:w="887"/>
            </w:tblGrid>
            <w:tr w14:paraId="0682404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28" w:type="dxa"/>
                  <w:shd w:val="clear" w:color="auto" w:fill="auto"/>
                  <w:vAlign w:val="center"/>
                </w:tcPr>
                <w:p w14:paraId="14B14FDE">
                  <w:pPr>
                    <w:keepNext w:val="0"/>
                    <w:keepLines w:val="0"/>
                    <w:suppressLineNumbers w:val="0"/>
                    <w:spacing w:before="0" w:beforeAutospacing="0" w:after="0" w:afterAutospacing="0" w:line="276" w:lineRule="auto"/>
                    <w:ind w:left="0" w:right="0"/>
                    <w:jc w:val="center"/>
                    <w:rPr>
                      <w:rFonts w:hint="default"/>
                      <w:b/>
                      <w:color w:val="auto"/>
                      <w:szCs w:val="21"/>
                    </w:rPr>
                  </w:pPr>
                  <w:r>
                    <w:rPr>
                      <w:rFonts w:hint="default"/>
                      <w:b/>
                      <w:color w:val="auto"/>
                      <w:szCs w:val="21"/>
                    </w:rPr>
                    <w:t>序号</w:t>
                  </w:r>
                </w:p>
              </w:tc>
              <w:tc>
                <w:tcPr>
                  <w:tcW w:w="2534" w:type="dxa"/>
                  <w:shd w:val="clear" w:color="auto" w:fill="auto"/>
                  <w:vAlign w:val="center"/>
                </w:tcPr>
                <w:p w14:paraId="4AB52932">
                  <w:pPr>
                    <w:keepNext w:val="0"/>
                    <w:keepLines w:val="0"/>
                    <w:suppressLineNumbers w:val="0"/>
                    <w:spacing w:before="0" w:beforeAutospacing="0" w:after="0" w:afterAutospacing="0" w:line="276" w:lineRule="auto"/>
                    <w:ind w:left="0" w:right="0"/>
                    <w:jc w:val="center"/>
                    <w:rPr>
                      <w:rFonts w:hint="default"/>
                      <w:b/>
                      <w:color w:val="auto"/>
                      <w:szCs w:val="21"/>
                    </w:rPr>
                  </w:pPr>
                  <w:r>
                    <w:rPr>
                      <w:rFonts w:hint="default"/>
                      <w:b/>
                      <w:color w:val="auto"/>
                      <w:szCs w:val="21"/>
                    </w:rPr>
                    <w:t>相关要求</w:t>
                  </w:r>
                </w:p>
              </w:tc>
              <w:tc>
                <w:tcPr>
                  <w:tcW w:w="3723" w:type="dxa"/>
                  <w:shd w:val="clear" w:color="auto" w:fill="auto"/>
                  <w:vAlign w:val="center"/>
                </w:tcPr>
                <w:p w14:paraId="42A591A6">
                  <w:pPr>
                    <w:keepNext w:val="0"/>
                    <w:keepLines w:val="0"/>
                    <w:suppressLineNumbers w:val="0"/>
                    <w:spacing w:before="0" w:beforeAutospacing="0" w:after="0" w:afterAutospacing="0" w:line="276" w:lineRule="auto"/>
                    <w:ind w:left="0" w:right="0"/>
                    <w:jc w:val="center"/>
                    <w:rPr>
                      <w:rFonts w:hint="default"/>
                      <w:b/>
                      <w:color w:val="auto"/>
                      <w:szCs w:val="21"/>
                    </w:rPr>
                  </w:pPr>
                  <w:r>
                    <w:rPr>
                      <w:rFonts w:hint="default"/>
                      <w:b/>
                      <w:color w:val="auto"/>
                      <w:szCs w:val="21"/>
                    </w:rPr>
                    <w:t>本项目情况</w:t>
                  </w:r>
                </w:p>
              </w:tc>
              <w:tc>
                <w:tcPr>
                  <w:tcW w:w="887" w:type="dxa"/>
                  <w:shd w:val="clear" w:color="auto" w:fill="auto"/>
                  <w:vAlign w:val="center"/>
                </w:tcPr>
                <w:p w14:paraId="2963E5B4">
                  <w:pPr>
                    <w:keepNext w:val="0"/>
                    <w:keepLines w:val="0"/>
                    <w:suppressLineNumbers w:val="0"/>
                    <w:spacing w:before="0" w:beforeAutospacing="0" w:after="0" w:afterAutospacing="0" w:line="276" w:lineRule="auto"/>
                    <w:ind w:left="0" w:right="0"/>
                    <w:jc w:val="center"/>
                    <w:rPr>
                      <w:rFonts w:hint="default"/>
                      <w:b/>
                      <w:color w:val="auto"/>
                      <w:szCs w:val="21"/>
                    </w:rPr>
                  </w:pPr>
                  <w:r>
                    <w:rPr>
                      <w:rFonts w:hint="default" w:hAnsi="Calibri"/>
                      <w:b/>
                      <w:color w:val="auto"/>
                      <w:szCs w:val="21"/>
                    </w:rPr>
                    <w:t>符合性</w:t>
                  </w:r>
                </w:p>
              </w:tc>
            </w:tr>
            <w:tr w14:paraId="76FB492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28" w:type="dxa"/>
                  <w:shd w:val="clear" w:color="auto" w:fill="auto"/>
                  <w:vAlign w:val="center"/>
                </w:tcPr>
                <w:p w14:paraId="133162D5">
                  <w:pPr>
                    <w:keepNext w:val="0"/>
                    <w:keepLines w:val="0"/>
                    <w:suppressLineNumbers w:val="0"/>
                    <w:spacing w:before="0" w:beforeAutospacing="0" w:after="0" w:afterAutospacing="0" w:line="276" w:lineRule="auto"/>
                    <w:ind w:left="0" w:right="0"/>
                    <w:jc w:val="center"/>
                    <w:rPr>
                      <w:rFonts w:hint="default"/>
                      <w:b/>
                      <w:color w:val="auto"/>
                      <w:szCs w:val="21"/>
                    </w:rPr>
                  </w:pPr>
                  <w:r>
                    <w:rPr>
                      <w:rFonts w:hint="eastAsia"/>
                      <w:b w:val="0"/>
                      <w:bCs/>
                      <w:color w:val="auto"/>
                      <w:szCs w:val="21"/>
                    </w:rPr>
                    <w:t>1</w:t>
                  </w:r>
                </w:p>
              </w:tc>
              <w:tc>
                <w:tcPr>
                  <w:tcW w:w="2534" w:type="dxa"/>
                  <w:shd w:val="clear" w:color="auto" w:fill="auto"/>
                  <w:vAlign w:val="center"/>
                </w:tcPr>
                <w:p w14:paraId="65EA4293">
                  <w:pPr>
                    <w:keepNext w:val="0"/>
                    <w:keepLines w:val="0"/>
                    <w:suppressLineNumbers w:val="0"/>
                    <w:spacing w:before="0" w:beforeAutospacing="0" w:after="0" w:afterAutospacing="0" w:line="276" w:lineRule="auto"/>
                    <w:ind w:left="0" w:right="0"/>
                    <w:jc w:val="center"/>
                    <w:rPr>
                      <w:rFonts w:hint="default"/>
                      <w:color w:val="auto"/>
                      <w:szCs w:val="21"/>
                      <w:highlight w:val="none"/>
                    </w:rPr>
                  </w:pPr>
                  <w:r>
                    <w:rPr>
                      <w:rFonts w:hint="eastAsia"/>
                      <w:color w:val="auto"/>
                      <w:szCs w:val="21"/>
                      <w:highlight w:val="none"/>
                    </w:rPr>
                    <w:t>VOCs</w:t>
                  </w:r>
                  <w:r>
                    <w:rPr>
                      <w:rFonts w:hint="default"/>
                      <w:color w:val="auto"/>
                      <w:szCs w:val="21"/>
                      <w:highlight w:val="none"/>
                    </w:rPr>
                    <w:t>污染物排放应实施全过程控制，主要包括源头削减、过程控制和末端治理三个方面。</w:t>
                  </w:r>
                </w:p>
              </w:tc>
              <w:tc>
                <w:tcPr>
                  <w:tcW w:w="3723" w:type="dxa"/>
                  <w:shd w:val="clear" w:color="auto" w:fill="auto"/>
                  <w:vAlign w:val="center"/>
                </w:tcPr>
                <w:p w14:paraId="7277A173">
                  <w:pPr>
                    <w:keepNext w:val="0"/>
                    <w:keepLines w:val="0"/>
                    <w:suppressLineNumbers w:val="0"/>
                    <w:spacing w:before="0" w:beforeAutospacing="0" w:after="0" w:afterAutospacing="0" w:line="276" w:lineRule="auto"/>
                    <w:ind w:left="0" w:right="0"/>
                    <w:jc w:val="center"/>
                    <w:rPr>
                      <w:rFonts w:hint="eastAsia" w:eastAsia="宋体"/>
                      <w:color w:val="auto"/>
                      <w:szCs w:val="21"/>
                      <w:highlight w:val="none"/>
                      <w:lang w:eastAsia="zh-CN"/>
                    </w:rPr>
                  </w:pPr>
                  <w:r>
                    <w:rPr>
                      <w:rFonts w:hint="default"/>
                      <w:color w:val="auto"/>
                      <w:szCs w:val="21"/>
                      <w:highlight w:val="none"/>
                    </w:rPr>
                    <w:t>本项目</w:t>
                  </w:r>
                  <w:r>
                    <w:rPr>
                      <w:rFonts w:hint="eastAsia"/>
                      <w:color w:val="auto"/>
                      <w:szCs w:val="21"/>
                      <w:highlight w:val="none"/>
                      <w:lang w:val="en-US" w:eastAsia="zh-CN"/>
                    </w:rPr>
                    <w:t>涉及VOCs的废气主要为投料废气及</w:t>
                  </w:r>
                  <w:r>
                    <w:rPr>
                      <w:rFonts w:hint="eastAsia"/>
                      <w:color w:val="auto"/>
                      <w:szCs w:val="21"/>
                      <w:lang w:val="en-US" w:eastAsia="zh-CN"/>
                    </w:rPr>
                    <w:t>注塑废气，投料时产生极少量粉尘经密闭收集后通过配套的布袋除尘器处理后于车间内无组织排放；</w:t>
                  </w:r>
                  <w:r>
                    <w:rPr>
                      <w:rFonts w:hint="eastAsia"/>
                      <w:color w:val="auto"/>
                      <w:szCs w:val="21"/>
                      <w:highlight w:val="none"/>
                      <w:lang w:val="en-US" w:eastAsia="zh-CN"/>
                    </w:rPr>
                    <w:t>注塑废气经设备上方集气罩收集后</w:t>
                  </w:r>
                  <w:r>
                    <w:rPr>
                      <w:rFonts w:hint="eastAsia"/>
                      <w:color w:val="auto"/>
                      <w:sz w:val="21"/>
                      <w:szCs w:val="21"/>
                      <w:highlight w:val="none"/>
                      <w:lang w:val="en-US" w:eastAsia="zh-CN"/>
                    </w:rPr>
                    <w:t>，通过1套“二级活性炭吸附装置”处理，后由1根23m高排气筒DA001排放，</w:t>
                  </w:r>
                  <w:r>
                    <w:rPr>
                      <w:rFonts w:hint="eastAsia" w:hAnsi="宋体"/>
                      <w:color w:val="auto"/>
                      <w:kern w:val="0"/>
                      <w:highlight w:val="none"/>
                      <w:lang w:val="en-US" w:eastAsia="zh-CN"/>
                    </w:rPr>
                    <w:t>废气</w:t>
                  </w:r>
                  <w:r>
                    <w:rPr>
                      <w:rFonts w:hint="default" w:hAnsi="宋体"/>
                      <w:color w:val="auto"/>
                      <w:kern w:val="0"/>
                      <w:highlight w:val="none"/>
                    </w:rPr>
                    <w:t>可</w:t>
                  </w:r>
                  <w:r>
                    <w:rPr>
                      <w:rFonts w:hint="eastAsia" w:ascii="宋体" w:hAnsi="宋体"/>
                      <w:color w:val="auto"/>
                      <w:kern w:val="0"/>
                      <w:highlight w:val="none"/>
                    </w:rPr>
                    <w:t>做到处理后达标排放</w:t>
                  </w:r>
                  <w:r>
                    <w:rPr>
                      <w:rFonts w:hint="eastAsia" w:ascii="宋体" w:hAnsi="宋体"/>
                      <w:color w:val="auto"/>
                      <w:kern w:val="0"/>
                      <w:highlight w:val="none"/>
                      <w:lang w:eastAsia="zh-CN"/>
                    </w:rPr>
                    <w:t>。</w:t>
                  </w:r>
                </w:p>
              </w:tc>
              <w:tc>
                <w:tcPr>
                  <w:tcW w:w="887" w:type="dxa"/>
                  <w:shd w:val="clear" w:color="auto" w:fill="auto"/>
                  <w:vAlign w:val="center"/>
                </w:tcPr>
                <w:p w14:paraId="1742BD5D">
                  <w:pPr>
                    <w:keepNext w:val="0"/>
                    <w:keepLines w:val="0"/>
                    <w:suppressLineNumbers w:val="0"/>
                    <w:spacing w:before="0" w:beforeAutospacing="0" w:after="0" w:afterAutospacing="0" w:line="276" w:lineRule="auto"/>
                    <w:ind w:left="0" w:right="0"/>
                    <w:jc w:val="center"/>
                    <w:rPr>
                      <w:rFonts w:hint="default" w:hAnsi="Calibri"/>
                      <w:color w:val="auto"/>
                      <w:szCs w:val="21"/>
                    </w:rPr>
                  </w:pPr>
                  <w:r>
                    <w:rPr>
                      <w:rFonts w:hint="default" w:hAnsi="Calibri"/>
                      <w:color w:val="auto"/>
                      <w:szCs w:val="21"/>
                    </w:rPr>
                    <w:t>符合</w:t>
                  </w:r>
                </w:p>
              </w:tc>
            </w:tr>
            <w:tr w14:paraId="0001A2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28" w:type="dxa"/>
                  <w:shd w:val="clear" w:color="auto" w:fill="auto"/>
                  <w:vAlign w:val="center"/>
                </w:tcPr>
                <w:p w14:paraId="0F6EDF75">
                  <w:pPr>
                    <w:keepNext w:val="0"/>
                    <w:keepLines w:val="0"/>
                    <w:suppressLineNumbers w:val="0"/>
                    <w:spacing w:before="0" w:beforeAutospacing="0" w:after="0" w:afterAutospacing="0" w:line="276" w:lineRule="auto"/>
                    <w:ind w:left="0" w:right="0"/>
                    <w:jc w:val="center"/>
                    <w:rPr>
                      <w:rFonts w:hint="default"/>
                      <w:color w:val="auto"/>
                      <w:szCs w:val="21"/>
                    </w:rPr>
                  </w:pPr>
                  <w:r>
                    <w:rPr>
                      <w:rFonts w:hint="eastAsia"/>
                      <w:color w:val="auto"/>
                      <w:szCs w:val="21"/>
                    </w:rPr>
                    <w:t>2</w:t>
                  </w:r>
                </w:p>
              </w:tc>
              <w:tc>
                <w:tcPr>
                  <w:tcW w:w="2534" w:type="dxa"/>
                  <w:shd w:val="clear" w:color="auto" w:fill="auto"/>
                  <w:vAlign w:val="center"/>
                </w:tcPr>
                <w:p w14:paraId="0EB8718B">
                  <w:pPr>
                    <w:keepNext w:val="0"/>
                    <w:keepLines w:val="0"/>
                    <w:suppressLineNumbers w:val="0"/>
                    <w:spacing w:before="0" w:beforeAutospacing="0" w:after="0" w:afterAutospacing="0" w:line="276" w:lineRule="auto"/>
                    <w:ind w:left="0" w:right="0"/>
                    <w:jc w:val="center"/>
                    <w:rPr>
                      <w:rFonts w:hint="default"/>
                      <w:color w:val="auto"/>
                      <w:szCs w:val="21"/>
                    </w:rPr>
                  </w:pPr>
                  <w:r>
                    <w:rPr>
                      <w:rFonts w:hint="default"/>
                      <w:color w:val="auto"/>
                      <w:szCs w:val="21"/>
                    </w:rPr>
                    <w:t>提高VOCs收集效率，科学设计废气收集系统，将无组织排放转变为有组织排放进行控制。</w:t>
                  </w:r>
                </w:p>
              </w:tc>
              <w:tc>
                <w:tcPr>
                  <w:tcW w:w="3723" w:type="dxa"/>
                  <w:vMerge w:val="restart"/>
                  <w:shd w:val="clear" w:color="auto" w:fill="auto"/>
                  <w:vAlign w:val="center"/>
                </w:tcPr>
                <w:p w14:paraId="592926D0">
                  <w:pPr>
                    <w:keepNext w:val="0"/>
                    <w:keepLines w:val="0"/>
                    <w:suppressLineNumbers w:val="0"/>
                    <w:spacing w:before="0" w:beforeAutospacing="0" w:after="0" w:afterAutospacing="0" w:line="276" w:lineRule="auto"/>
                    <w:ind w:left="0" w:right="0"/>
                    <w:jc w:val="center"/>
                    <w:rPr>
                      <w:rFonts w:hint="default" w:eastAsia="宋体"/>
                      <w:color w:val="auto"/>
                      <w:szCs w:val="21"/>
                      <w:shd w:val="clear" w:color="auto" w:fill="FFFFFF"/>
                      <w:lang w:val="en-US" w:eastAsia="zh-CN"/>
                    </w:rPr>
                  </w:pPr>
                  <w:r>
                    <w:rPr>
                      <w:rFonts w:hint="default"/>
                      <w:color w:val="auto"/>
                      <w:szCs w:val="21"/>
                      <w:shd w:val="clear" w:color="auto" w:fill="FFFFFF"/>
                    </w:rPr>
                    <w:t>本项目</w:t>
                  </w:r>
                  <w:r>
                    <w:rPr>
                      <w:rFonts w:hint="eastAsia"/>
                      <w:color w:val="auto"/>
                      <w:szCs w:val="21"/>
                      <w:shd w:val="clear" w:color="auto" w:fill="FFFFFF"/>
                      <w:lang w:val="en-US" w:eastAsia="zh-CN"/>
                    </w:rPr>
                    <w:t>含VOCs的注塑</w:t>
                  </w:r>
                  <w:r>
                    <w:rPr>
                      <w:rFonts w:hint="default"/>
                      <w:color w:val="auto"/>
                      <w:szCs w:val="21"/>
                      <w:shd w:val="clear" w:color="auto" w:fill="FFFFFF"/>
                    </w:rPr>
                    <w:t>废气</w:t>
                  </w:r>
                  <w:r>
                    <w:rPr>
                      <w:rFonts w:hint="eastAsia"/>
                      <w:color w:val="auto"/>
                      <w:szCs w:val="21"/>
                      <w:shd w:val="clear" w:color="auto" w:fill="FFFFFF"/>
                      <w:lang w:val="en-US" w:eastAsia="zh-CN"/>
                    </w:rPr>
                    <w:t>采取</w:t>
                  </w:r>
                  <w:r>
                    <w:rPr>
                      <w:rFonts w:hint="default"/>
                      <w:color w:val="auto"/>
                      <w:szCs w:val="21"/>
                      <w:shd w:val="clear" w:color="auto" w:fill="FFFFFF"/>
                    </w:rPr>
                    <w:t>密闭负压收集</w:t>
                  </w:r>
                  <w:r>
                    <w:rPr>
                      <w:rFonts w:hint="eastAsia"/>
                      <w:color w:val="auto"/>
                      <w:szCs w:val="21"/>
                      <w:shd w:val="clear" w:color="auto" w:fill="FFFFFF"/>
                      <w:lang w:val="en-US" w:eastAsia="zh-CN"/>
                    </w:rPr>
                    <w:t>或局部密闭收集方式，收集效率≥90%</w:t>
                  </w:r>
                  <w:r>
                    <w:rPr>
                      <w:rFonts w:hint="eastAsia"/>
                      <w:color w:val="auto"/>
                      <w:szCs w:val="21"/>
                      <w:shd w:val="clear" w:color="auto" w:fill="FFFFFF"/>
                      <w:lang w:eastAsia="zh-CN"/>
                    </w:rPr>
                    <w:t>。</w:t>
                  </w:r>
                  <w:r>
                    <w:rPr>
                      <w:rFonts w:hint="eastAsia"/>
                      <w:color w:val="auto"/>
                      <w:szCs w:val="21"/>
                      <w:highlight w:val="none"/>
                      <w:lang w:val="en-US" w:eastAsia="zh-CN"/>
                    </w:rPr>
                    <w:t>注塑废气经设备上方集气罩收集后</w:t>
                  </w:r>
                  <w:r>
                    <w:rPr>
                      <w:rFonts w:hint="eastAsia"/>
                      <w:color w:val="auto"/>
                      <w:sz w:val="21"/>
                      <w:szCs w:val="21"/>
                      <w:highlight w:val="none"/>
                      <w:lang w:val="en-US" w:eastAsia="zh-CN"/>
                    </w:rPr>
                    <w:t>，通过1套“二级活性炭吸附装置”处理，后由1根23m高排气筒DA001排放；粉碎粉尘经设备上方集气罩收集后通过1套布袋除尘器处理，后由1根23m高排气筒DA002排放；极少量投料废气</w:t>
                  </w:r>
                  <w:r>
                    <w:rPr>
                      <w:rFonts w:hint="eastAsia"/>
                      <w:color w:val="auto"/>
                      <w:szCs w:val="21"/>
                      <w:lang w:val="en-US" w:eastAsia="zh-CN"/>
                    </w:rPr>
                    <w:t>通过配套的布袋除尘器处理后</w:t>
                  </w:r>
                  <w:r>
                    <w:rPr>
                      <w:rFonts w:hint="eastAsia"/>
                      <w:color w:val="auto"/>
                      <w:sz w:val="21"/>
                      <w:szCs w:val="21"/>
                      <w:highlight w:val="none"/>
                      <w:lang w:val="en-US" w:eastAsia="zh-CN"/>
                    </w:rPr>
                    <w:t>于车间内无组织排放</w:t>
                  </w:r>
                  <w:r>
                    <w:rPr>
                      <w:rFonts w:hint="eastAsia" w:hAnsi="宋体"/>
                      <w:color w:val="auto"/>
                      <w:kern w:val="0"/>
                      <w:highlight w:val="none"/>
                      <w:lang w:eastAsia="zh-CN"/>
                    </w:rPr>
                    <w:t>。</w:t>
                  </w:r>
                  <w:r>
                    <w:rPr>
                      <w:rFonts w:hint="eastAsia" w:hAnsi="宋体"/>
                      <w:color w:val="auto"/>
                      <w:kern w:val="0"/>
                      <w:highlight w:val="none"/>
                      <w:lang w:val="en-US" w:eastAsia="zh-CN"/>
                    </w:rPr>
                    <w:t>废气</w:t>
                  </w:r>
                  <w:r>
                    <w:rPr>
                      <w:rFonts w:hint="default" w:hAnsi="宋体"/>
                      <w:color w:val="auto"/>
                      <w:kern w:val="0"/>
                      <w:highlight w:val="none"/>
                    </w:rPr>
                    <w:t>可</w:t>
                  </w:r>
                  <w:r>
                    <w:rPr>
                      <w:rFonts w:hint="eastAsia" w:ascii="宋体" w:hAnsi="宋体"/>
                      <w:color w:val="auto"/>
                      <w:kern w:val="0"/>
                      <w:highlight w:val="none"/>
                    </w:rPr>
                    <w:t>做到处理后达标排放</w:t>
                  </w:r>
                  <w:r>
                    <w:rPr>
                      <w:rFonts w:hint="eastAsia"/>
                      <w:color w:val="auto"/>
                      <w:szCs w:val="21"/>
                      <w:lang w:val="en-US" w:eastAsia="zh-CN"/>
                    </w:rPr>
                    <w:t>，均属于</w:t>
                  </w:r>
                  <w:r>
                    <w:rPr>
                      <w:rFonts w:hint="default"/>
                      <w:color w:val="auto"/>
                      <w:szCs w:val="21"/>
                      <w:shd w:val="clear" w:color="auto" w:fill="FFFFFF"/>
                    </w:rPr>
                    <w:t>有组织排放</w:t>
                  </w:r>
                  <w:r>
                    <w:rPr>
                      <w:rFonts w:hint="eastAsia"/>
                      <w:color w:val="auto"/>
                      <w:szCs w:val="21"/>
                      <w:shd w:val="clear" w:color="auto" w:fill="FFFFFF"/>
                      <w:lang w:eastAsia="zh-CN"/>
                    </w:rPr>
                    <w:t>。</w:t>
                  </w:r>
                  <w:r>
                    <w:rPr>
                      <w:rFonts w:hint="eastAsia"/>
                      <w:color w:val="auto"/>
                      <w:szCs w:val="21"/>
                      <w:shd w:val="clear" w:color="auto" w:fill="FFFFFF"/>
                      <w:lang w:val="en-US" w:eastAsia="zh-CN"/>
                    </w:rPr>
                    <w:t>“二级活性炭吸附装置”为吸附法，工艺技术可行。</w:t>
                  </w:r>
                </w:p>
              </w:tc>
              <w:tc>
                <w:tcPr>
                  <w:tcW w:w="887" w:type="dxa"/>
                  <w:shd w:val="clear" w:color="auto" w:fill="auto"/>
                  <w:vAlign w:val="center"/>
                </w:tcPr>
                <w:p w14:paraId="47852034">
                  <w:pPr>
                    <w:keepNext w:val="0"/>
                    <w:keepLines w:val="0"/>
                    <w:suppressLineNumbers w:val="0"/>
                    <w:spacing w:before="0" w:beforeAutospacing="0" w:after="0" w:afterAutospacing="0" w:line="276" w:lineRule="auto"/>
                    <w:ind w:left="0" w:right="0"/>
                    <w:jc w:val="center"/>
                    <w:rPr>
                      <w:rFonts w:hint="default"/>
                      <w:color w:val="auto"/>
                      <w:szCs w:val="21"/>
                    </w:rPr>
                  </w:pPr>
                  <w:r>
                    <w:rPr>
                      <w:rFonts w:hint="default"/>
                      <w:color w:val="auto"/>
                      <w:szCs w:val="21"/>
                    </w:rPr>
                    <w:t>符合</w:t>
                  </w:r>
                </w:p>
              </w:tc>
            </w:tr>
            <w:tr w14:paraId="4A41C3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528" w:type="dxa"/>
                  <w:shd w:val="clear" w:color="auto" w:fill="auto"/>
                  <w:vAlign w:val="center"/>
                </w:tcPr>
                <w:p w14:paraId="33896951">
                  <w:pPr>
                    <w:keepNext w:val="0"/>
                    <w:keepLines w:val="0"/>
                    <w:suppressLineNumbers w:val="0"/>
                    <w:spacing w:before="0" w:beforeAutospacing="0" w:after="0" w:afterAutospacing="0" w:line="276" w:lineRule="auto"/>
                    <w:ind w:left="0" w:right="0"/>
                    <w:jc w:val="center"/>
                    <w:rPr>
                      <w:rFonts w:hint="default"/>
                      <w:color w:val="auto"/>
                      <w:szCs w:val="21"/>
                    </w:rPr>
                  </w:pPr>
                  <w:r>
                    <w:rPr>
                      <w:rFonts w:hint="eastAsia"/>
                      <w:color w:val="auto"/>
                      <w:szCs w:val="21"/>
                    </w:rPr>
                    <w:t>3</w:t>
                  </w:r>
                </w:p>
              </w:tc>
              <w:tc>
                <w:tcPr>
                  <w:tcW w:w="2534" w:type="dxa"/>
                  <w:shd w:val="clear" w:color="auto" w:fill="auto"/>
                  <w:vAlign w:val="center"/>
                </w:tcPr>
                <w:p w14:paraId="1653B371">
                  <w:pPr>
                    <w:keepNext w:val="0"/>
                    <w:keepLines w:val="0"/>
                    <w:suppressLineNumbers w:val="0"/>
                    <w:spacing w:before="0" w:beforeAutospacing="0" w:after="0" w:afterAutospacing="0" w:line="276" w:lineRule="auto"/>
                    <w:ind w:left="0" w:right="0"/>
                    <w:jc w:val="center"/>
                    <w:rPr>
                      <w:rFonts w:hint="default"/>
                      <w:color w:val="auto"/>
                      <w:szCs w:val="21"/>
                    </w:rPr>
                  </w:pPr>
                  <w:r>
                    <w:rPr>
                      <w:rFonts w:hint="default"/>
                      <w:color w:val="auto"/>
                      <w:szCs w:val="21"/>
                    </w:rPr>
                    <w:t>低浓度VOCs（小于</w:t>
                  </w:r>
                  <w:r>
                    <w:rPr>
                      <w:rFonts w:hint="eastAsia"/>
                      <w:color w:val="auto"/>
                      <w:szCs w:val="21"/>
                    </w:rPr>
                    <w:t>1000ppm</w:t>
                  </w:r>
                  <w:r>
                    <w:rPr>
                      <w:rFonts w:hint="default"/>
                      <w:color w:val="auto"/>
                      <w:szCs w:val="21"/>
                    </w:rPr>
                    <w:t>）宜采用吸附浓缩、生物法、吸收法等处理技术。</w:t>
                  </w:r>
                </w:p>
              </w:tc>
              <w:tc>
                <w:tcPr>
                  <w:tcW w:w="3723" w:type="dxa"/>
                  <w:vMerge w:val="continue"/>
                  <w:shd w:val="clear" w:color="auto" w:fill="auto"/>
                  <w:vAlign w:val="center"/>
                </w:tcPr>
                <w:p w14:paraId="4C697E70">
                  <w:pPr>
                    <w:keepNext w:val="0"/>
                    <w:keepLines w:val="0"/>
                    <w:suppressLineNumbers w:val="0"/>
                    <w:spacing w:before="0" w:beforeAutospacing="0" w:after="0" w:afterAutospacing="0" w:line="276" w:lineRule="auto"/>
                    <w:ind w:left="0" w:right="0"/>
                    <w:jc w:val="center"/>
                    <w:rPr>
                      <w:rFonts w:hint="default"/>
                      <w:snapToGrid w:val="0"/>
                      <w:color w:val="auto"/>
                      <w:szCs w:val="21"/>
                    </w:rPr>
                  </w:pPr>
                </w:p>
              </w:tc>
              <w:tc>
                <w:tcPr>
                  <w:tcW w:w="887" w:type="dxa"/>
                  <w:shd w:val="clear" w:color="auto" w:fill="auto"/>
                  <w:vAlign w:val="center"/>
                </w:tcPr>
                <w:p w14:paraId="6DD7FB05">
                  <w:pPr>
                    <w:keepNext w:val="0"/>
                    <w:keepLines w:val="0"/>
                    <w:suppressLineNumbers w:val="0"/>
                    <w:spacing w:before="0" w:beforeAutospacing="0" w:after="0" w:afterAutospacing="0" w:line="276" w:lineRule="auto"/>
                    <w:ind w:left="0" w:right="0"/>
                    <w:jc w:val="center"/>
                    <w:rPr>
                      <w:rFonts w:hint="default"/>
                      <w:color w:val="auto"/>
                      <w:szCs w:val="21"/>
                    </w:rPr>
                  </w:pPr>
                  <w:r>
                    <w:rPr>
                      <w:rFonts w:hint="default"/>
                      <w:color w:val="auto"/>
                      <w:szCs w:val="21"/>
                    </w:rPr>
                    <w:t>符合</w:t>
                  </w:r>
                </w:p>
              </w:tc>
            </w:tr>
          </w:tbl>
          <w:p w14:paraId="1EFA73DA">
            <w:pPr>
              <w:pStyle w:val="223"/>
              <w:keepNext w:val="0"/>
              <w:keepLines w:val="0"/>
              <w:suppressLineNumbers w:val="0"/>
              <w:spacing w:before="0" w:beforeAutospacing="0" w:after="0" w:afterAutospacing="0"/>
              <w:ind w:left="0" w:right="0" w:firstLine="482" w:firstLineChars="200"/>
              <w:rPr>
                <w:rFonts w:hint="default"/>
                <w:b/>
                <w:color w:val="auto"/>
              </w:rPr>
            </w:pPr>
            <w:r>
              <w:rPr>
                <w:rFonts w:hint="eastAsia"/>
                <w:b/>
                <w:color w:val="auto"/>
              </w:rPr>
              <w:t>（</w:t>
            </w:r>
            <w:r>
              <w:rPr>
                <w:rFonts w:hint="eastAsia"/>
                <w:b/>
                <w:color w:val="auto"/>
                <w:lang w:val="en-US" w:eastAsia="zh-CN"/>
              </w:rPr>
              <w:t>5</w:t>
            </w:r>
            <w:r>
              <w:rPr>
                <w:rFonts w:hint="eastAsia"/>
                <w:b/>
                <w:color w:val="auto"/>
              </w:rPr>
              <w:t>）与《挥发性有机物无组织排放控制标准》（GB37822-2019）相符性分析</w:t>
            </w:r>
          </w:p>
          <w:p w14:paraId="14A309C2">
            <w:pPr>
              <w:pStyle w:val="223"/>
              <w:keepNext w:val="0"/>
              <w:keepLines w:val="0"/>
              <w:suppressLineNumbers w:val="0"/>
              <w:spacing w:before="0" w:beforeAutospacing="0" w:after="0" w:afterAutospacing="0"/>
              <w:ind w:left="0" w:right="0"/>
              <w:jc w:val="center"/>
              <w:rPr>
                <w:rFonts w:hint="default" w:eastAsia="黑体" w:cs="Times New Roman"/>
                <w:color w:val="auto"/>
                <w:szCs w:val="21"/>
              </w:rPr>
            </w:pPr>
            <w:r>
              <w:rPr>
                <w:rFonts w:hint="default" w:eastAsia="黑体" w:cs="Times New Roman"/>
                <w:color w:val="auto"/>
                <w:szCs w:val="24"/>
              </w:rPr>
              <w:t>表</w:t>
            </w:r>
            <w:r>
              <w:rPr>
                <w:rFonts w:hint="eastAsia" w:eastAsia="黑体" w:cs="Times New Roman"/>
                <w:color w:val="auto"/>
                <w:szCs w:val="24"/>
                <w:lang w:val="en-US" w:eastAsia="zh-CN"/>
              </w:rPr>
              <w:t>1-9</w:t>
            </w:r>
            <w:r>
              <w:rPr>
                <w:rFonts w:hint="default" w:eastAsia="黑体" w:cs="Times New Roman"/>
                <w:color w:val="auto"/>
                <w:szCs w:val="24"/>
              </w:rPr>
              <w:t xml:space="preserve"> 项目与GB37822-2019符合性分析</w:t>
            </w:r>
          </w:p>
          <w:tbl>
            <w:tblPr>
              <w:tblStyle w:val="37"/>
              <w:tblW w:w="7655"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570"/>
              <w:gridCol w:w="3606"/>
              <w:gridCol w:w="2574"/>
              <w:gridCol w:w="905"/>
            </w:tblGrid>
            <w:tr w14:paraId="3B84F4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570" w:type="dxa"/>
                  <w:vAlign w:val="center"/>
                </w:tcPr>
                <w:p w14:paraId="61ACF5FA">
                  <w:pPr>
                    <w:keepNext w:val="0"/>
                    <w:keepLines w:val="0"/>
                    <w:suppressLineNumbers w:val="0"/>
                    <w:spacing w:before="0" w:beforeAutospacing="0" w:after="0" w:afterAutospacing="0" w:line="276" w:lineRule="auto"/>
                    <w:ind w:left="0" w:right="0"/>
                    <w:jc w:val="center"/>
                    <w:rPr>
                      <w:rFonts w:hint="default" w:hAnsi="宋体"/>
                      <w:b/>
                      <w:color w:val="auto"/>
                      <w:szCs w:val="21"/>
                    </w:rPr>
                  </w:pPr>
                  <w:r>
                    <w:rPr>
                      <w:rFonts w:hint="eastAsia" w:hAnsi="宋体"/>
                      <w:b/>
                      <w:color w:val="auto"/>
                      <w:szCs w:val="21"/>
                    </w:rPr>
                    <w:t>序号</w:t>
                  </w:r>
                </w:p>
              </w:tc>
              <w:tc>
                <w:tcPr>
                  <w:tcW w:w="3606" w:type="dxa"/>
                  <w:vAlign w:val="center"/>
                </w:tcPr>
                <w:p w14:paraId="344D0E39">
                  <w:pPr>
                    <w:keepNext w:val="0"/>
                    <w:keepLines w:val="0"/>
                    <w:suppressLineNumbers w:val="0"/>
                    <w:spacing w:before="0" w:beforeAutospacing="0" w:after="0" w:afterAutospacing="0" w:line="276" w:lineRule="auto"/>
                    <w:ind w:left="0" w:right="0"/>
                    <w:jc w:val="center"/>
                    <w:rPr>
                      <w:rFonts w:hint="default" w:hAnsi="宋体"/>
                      <w:b/>
                      <w:color w:val="auto"/>
                      <w:szCs w:val="21"/>
                    </w:rPr>
                  </w:pPr>
                  <w:r>
                    <w:rPr>
                      <w:rFonts w:hint="eastAsia" w:hAnsi="宋体"/>
                      <w:b/>
                      <w:color w:val="auto"/>
                      <w:szCs w:val="21"/>
                    </w:rPr>
                    <w:t>相关要求</w:t>
                  </w:r>
                </w:p>
              </w:tc>
              <w:tc>
                <w:tcPr>
                  <w:tcW w:w="2574" w:type="dxa"/>
                  <w:vAlign w:val="center"/>
                </w:tcPr>
                <w:p w14:paraId="11FCAF1F">
                  <w:pPr>
                    <w:keepNext w:val="0"/>
                    <w:keepLines w:val="0"/>
                    <w:suppressLineNumbers w:val="0"/>
                    <w:spacing w:before="0" w:beforeAutospacing="0" w:after="0" w:afterAutospacing="0" w:line="276" w:lineRule="auto"/>
                    <w:ind w:left="0" w:right="0"/>
                    <w:jc w:val="center"/>
                    <w:rPr>
                      <w:rFonts w:hint="default" w:hAnsi="宋体"/>
                      <w:b/>
                      <w:color w:val="auto"/>
                      <w:szCs w:val="21"/>
                    </w:rPr>
                  </w:pPr>
                  <w:r>
                    <w:rPr>
                      <w:rFonts w:hint="eastAsia" w:hAnsi="宋体"/>
                      <w:b/>
                      <w:color w:val="auto"/>
                      <w:szCs w:val="21"/>
                    </w:rPr>
                    <w:t>本项目情况</w:t>
                  </w:r>
                </w:p>
              </w:tc>
              <w:tc>
                <w:tcPr>
                  <w:tcW w:w="905" w:type="dxa"/>
                  <w:vAlign w:val="center"/>
                </w:tcPr>
                <w:p w14:paraId="40DE818B">
                  <w:pPr>
                    <w:keepNext w:val="0"/>
                    <w:keepLines w:val="0"/>
                    <w:suppressLineNumbers w:val="0"/>
                    <w:spacing w:before="0" w:beforeAutospacing="0" w:after="0" w:afterAutospacing="0" w:line="276" w:lineRule="auto"/>
                    <w:ind w:left="0" w:right="0"/>
                    <w:jc w:val="center"/>
                    <w:rPr>
                      <w:rFonts w:hint="default" w:hAnsi="宋体"/>
                      <w:b/>
                      <w:color w:val="auto"/>
                      <w:szCs w:val="21"/>
                    </w:rPr>
                  </w:pPr>
                  <w:r>
                    <w:rPr>
                      <w:rFonts w:hint="eastAsia" w:hAnsi="宋体"/>
                      <w:b/>
                      <w:color w:val="auto"/>
                      <w:szCs w:val="21"/>
                    </w:rPr>
                    <w:t>符合性分析</w:t>
                  </w:r>
                </w:p>
              </w:tc>
            </w:tr>
            <w:tr w14:paraId="5AB8ACD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570" w:type="dxa"/>
                  <w:vAlign w:val="center"/>
                </w:tcPr>
                <w:p w14:paraId="1E0BE982">
                  <w:pPr>
                    <w:keepNext w:val="0"/>
                    <w:keepLines w:val="0"/>
                    <w:suppressLineNumbers w:val="0"/>
                    <w:spacing w:before="0" w:beforeAutospacing="0" w:after="0" w:afterAutospacing="0" w:line="276" w:lineRule="auto"/>
                    <w:ind w:left="0" w:right="0"/>
                    <w:jc w:val="center"/>
                    <w:rPr>
                      <w:rFonts w:hint="default" w:hAnsi="宋体"/>
                      <w:color w:val="auto"/>
                      <w:szCs w:val="21"/>
                    </w:rPr>
                  </w:pPr>
                  <w:r>
                    <w:rPr>
                      <w:rFonts w:hint="eastAsia" w:hAnsi="宋体"/>
                      <w:color w:val="auto"/>
                      <w:szCs w:val="21"/>
                    </w:rPr>
                    <w:t>1</w:t>
                  </w:r>
                </w:p>
              </w:tc>
              <w:tc>
                <w:tcPr>
                  <w:tcW w:w="3606" w:type="dxa"/>
                  <w:vAlign w:val="center"/>
                </w:tcPr>
                <w:p w14:paraId="6BBA7C3A">
                  <w:pPr>
                    <w:keepNext w:val="0"/>
                    <w:keepLines w:val="0"/>
                    <w:suppressLineNumbers w:val="0"/>
                    <w:autoSpaceDE w:val="0"/>
                    <w:autoSpaceDN w:val="0"/>
                    <w:adjustRightInd w:val="0"/>
                    <w:spacing w:before="0" w:beforeAutospacing="0" w:after="0" w:afterAutospacing="0" w:line="276" w:lineRule="auto"/>
                    <w:ind w:left="0" w:right="0"/>
                    <w:jc w:val="center"/>
                    <w:rPr>
                      <w:rFonts w:hint="default" w:hAnsi="宋体"/>
                      <w:color w:val="auto"/>
                      <w:szCs w:val="21"/>
                      <w:shd w:val="clear" w:color="auto" w:fill="FFFFFF"/>
                    </w:rPr>
                  </w:pPr>
                  <w:r>
                    <w:rPr>
                      <w:rFonts w:hint="eastAsia" w:hAnsi="宋体"/>
                      <w:color w:val="auto"/>
                      <w:szCs w:val="21"/>
                      <w:shd w:val="clear" w:color="auto" w:fill="FFFFFF"/>
                    </w:rPr>
                    <w:t>暂存：</w:t>
                  </w:r>
                  <w:r>
                    <w:rPr>
                      <w:rFonts w:hint="default" w:hAnsi="宋体"/>
                      <w:color w:val="auto"/>
                      <w:szCs w:val="21"/>
                      <w:shd w:val="clear" w:color="auto" w:fill="FFFFFF"/>
                    </w:rPr>
                    <w:t>VOCs</w:t>
                  </w:r>
                  <w:r>
                    <w:rPr>
                      <w:rFonts w:hint="eastAsia" w:hAnsi="宋体"/>
                      <w:color w:val="auto"/>
                      <w:szCs w:val="21"/>
                      <w:shd w:val="clear" w:color="auto" w:fill="FFFFFF"/>
                    </w:rPr>
                    <w:t>物料应储存于密闭的储罐、储库中。</w:t>
                  </w:r>
                  <w:r>
                    <w:rPr>
                      <w:rFonts w:hint="default" w:hAnsi="宋体"/>
                      <w:color w:val="auto"/>
                      <w:szCs w:val="21"/>
                      <w:shd w:val="clear" w:color="auto" w:fill="FFFFFF"/>
                    </w:rPr>
                    <w:t>VOCs</w:t>
                  </w:r>
                  <w:r>
                    <w:rPr>
                      <w:rFonts w:hint="eastAsia" w:hAnsi="宋体"/>
                      <w:color w:val="auto"/>
                      <w:szCs w:val="21"/>
                      <w:shd w:val="clear" w:color="auto" w:fill="FFFFFF"/>
                    </w:rPr>
                    <w:t>物料储罐应密封良好，采用固定顶罐，排放的废气应收集处理，处理效率不低于</w:t>
                  </w:r>
                  <w:r>
                    <w:rPr>
                      <w:rFonts w:hint="default" w:hAnsi="宋体"/>
                      <w:color w:val="auto"/>
                      <w:szCs w:val="21"/>
                      <w:shd w:val="clear" w:color="auto" w:fill="FFFFFF"/>
                    </w:rPr>
                    <w:t>90%</w:t>
                  </w:r>
                  <w:r>
                    <w:rPr>
                      <w:rFonts w:hint="eastAsia" w:hAnsi="宋体"/>
                      <w:color w:val="auto"/>
                      <w:szCs w:val="21"/>
                      <w:shd w:val="clear" w:color="auto" w:fill="FFFFFF"/>
                    </w:rPr>
                    <w:t>。</w:t>
                  </w:r>
                  <w:r>
                    <w:rPr>
                      <w:rFonts w:hint="default" w:hAnsi="宋体"/>
                      <w:color w:val="auto"/>
                      <w:szCs w:val="21"/>
                      <w:shd w:val="clear" w:color="auto" w:fill="FFFFFF"/>
                    </w:rPr>
                    <w:t>VOCs</w:t>
                  </w:r>
                  <w:r>
                    <w:rPr>
                      <w:rFonts w:hint="eastAsia" w:hAnsi="宋体"/>
                      <w:color w:val="auto"/>
                      <w:szCs w:val="21"/>
                      <w:shd w:val="clear" w:color="auto" w:fill="FFFFFF"/>
                    </w:rPr>
                    <w:t>物料应利用完整的围护结构将污染物质与周围空间阻隔，该封闭区域除人员、车辆、设备、物料进出时随时保持关闭状态。</w:t>
                  </w:r>
                </w:p>
                <w:p w14:paraId="75983626">
                  <w:pPr>
                    <w:keepNext w:val="0"/>
                    <w:keepLines w:val="0"/>
                    <w:suppressLineNumbers w:val="0"/>
                    <w:spacing w:before="0" w:beforeAutospacing="0" w:after="0" w:afterAutospacing="0" w:line="276" w:lineRule="auto"/>
                    <w:ind w:left="0" w:right="0"/>
                    <w:jc w:val="center"/>
                    <w:rPr>
                      <w:rFonts w:hint="default" w:hAnsi="宋体"/>
                      <w:color w:val="auto"/>
                      <w:szCs w:val="21"/>
                      <w:shd w:val="clear" w:color="auto" w:fill="FFFFFF"/>
                    </w:rPr>
                  </w:pPr>
                  <w:r>
                    <w:rPr>
                      <w:rFonts w:hint="eastAsia" w:hAnsi="宋体"/>
                      <w:color w:val="auto"/>
                      <w:szCs w:val="21"/>
                      <w:shd w:val="clear" w:color="auto" w:fill="FFFFFF"/>
                    </w:rPr>
                    <w:t>盛装</w:t>
                  </w:r>
                  <w:r>
                    <w:rPr>
                      <w:rFonts w:hint="default" w:hAnsi="宋体"/>
                      <w:color w:val="auto"/>
                      <w:szCs w:val="21"/>
                      <w:shd w:val="clear" w:color="auto" w:fill="FFFFFF"/>
                    </w:rPr>
                    <w:t>VOCs</w:t>
                  </w:r>
                  <w:r>
                    <w:rPr>
                      <w:rFonts w:hint="eastAsia" w:hAnsi="宋体"/>
                      <w:color w:val="auto"/>
                      <w:szCs w:val="21"/>
                      <w:shd w:val="clear" w:color="auto" w:fill="FFFFFF"/>
                    </w:rPr>
                    <w:t>物料的容器或包装袋应存放于室内，或存放于设置有雨棚、遮阳和防渗设施的专用场地。盛装</w:t>
                  </w:r>
                  <w:r>
                    <w:rPr>
                      <w:rFonts w:hint="default" w:hAnsi="宋体"/>
                      <w:color w:val="auto"/>
                      <w:szCs w:val="21"/>
                      <w:shd w:val="clear" w:color="auto" w:fill="FFFFFF"/>
                    </w:rPr>
                    <w:t>VOCs</w:t>
                  </w:r>
                  <w:r>
                    <w:rPr>
                      <w:rFonts w:hint="eastAsia" w:hAnsi="宋体"/>
                      <w:color w:val="auto"/>
                      <w:szCs w:val="21"/>
                      <w:shd w:val="clear" w:color="auto" w:fill="FFFFFF"/>
                    </w:rPr>
                    <w:t>物料的容器或包装袋在非取用状态时应加盖、封口，保持密闭。</w:t>
                  </w:r>
                </w:p>
              </w:tc>
              <w:tc>
                <w:tcPr>
                  <w:tcW w:w="2574" w:type="dxa"/>
                  <w:vAlign w:val="center"/>
                </w:tcPr>
                <w:p w14:paraId="6658817D">
                  <w:pPr>
                    <w:keepNext w:val="0"/>
                    <w:keepLines w:val="0"/>
                    <w:suppressLineNumbers w:val="0"/>
                    <w:spacing w:before="0" w:beforeAutospacing="0" w:after="0" w:afterAutospacing="0" w:line="276" w:lineRule="auto"/>
                    <w:ind w:left="0" w:right="0"/>
                    <w:jc w:val="center"/>
                    <w:rPr>
                      <w:rFonts w:hint="default" w:hAnsi="宋体"/>
                      <w:color w:val="auto"/>
                      <w:szCs w:val="21"/>
                    </w:rPr>
                  </w:pPr>
                  <w:r>
                    <w:rPr>
                      <w:rFonts w:hint="default" w:hAnsi="宋体"/>
                      <w:color w:val="auto"/>
                      <w:szCs w:val="21"/>
                    </w:rPr>
                    <w:t>本</w:t>
                  </w:r>
                  <w:r>
                    <w:rPr>
                      <w:rFonts w:hint="eastAsia" w:hAnsi="宋体"/>
                      <w:color w:val="auto"/>
                      <w:szCs w:val="21"/>
                      <w:highlight w:val="none"/>
                      <w:lang w:val="en-US" w:eastAsia="zh-CN"/>
                    </w:rPr>
                    <w:t>项目外购PP、PE、PS等塑料粒子进行生产，不外购低涉VOCs物料，PP、PE、PS等塑料粒子</w:t>
                  </w:r>
                  <w:r>
                    <w:rPr>
                      <w:rFonts w:hint="default" w:hAnsi="宋体"/>
                      <w:color w:val="auto"/>
                      <w:szCs w:val="21"/>
                      <w:highlight w:val="none"/>
                    </w:rPr>
                    <w:t>采取密闭</w:t>
                  </w:r>
                  <w:r>
                    <w:rPr>
                      <w:rFonts w:hint="eastAsia" w:hAnsi="宋体"/>
                      <w:color w:val="auto"/>
                      <w:szCs w:val="21"/>
                      <w:highlight w:val="none"/>
                      <w:lang w:val="en-US" w:eastAsia="zh-CN"/>
                    </w:rPr>
                    <w:t>袋装储存于原材料库内，常温下不会产生VOCs</w:t>
                  </w:r>
                  <w:r>
                    <w:rPr>
                      <w:rFonts w:hint="eastAsia" w:hAnsi="宋体"/>
                      <w:color w:val="auto"/>
                      <w:szCs w:val="21"/>
                    </w:rPr>
                    <w:t>。</w:t>
                  </w:r>
                </w:p>
              </w:tc>
              <w:tc>
                <w:tcPr>
                  <w:tcW w:w="905" w:type="dxa"/>
                  <w:vAlign w:val="center"/>
                </w:tcPr>
                <w:p w14:paraId="0BDC4642">
                  <w:pPr>
                    <w:keepNext w:val="0"/>
                    <w:keepLines w:val="0"/>
                    <w:suppressLineNumbers w:val="0"/>
                    <w:spacing w:before="0" w:beforeAutospacing="0" w:after="0" w:afterAutospacing="0" w:line="276" w:lineRule="auto"/>
                    <w:ind w:left="0" w:right="0"/>
                    <w:jc w:val="center"/>
                    <w:rPr>
                      <w:rFonts w:hint="default" w:hAnsi="宋体"/>
                      <w:color w:val="auto"/>
                      <w:szCs w:val="21"/>
                    </w:rPr>
                  </w:pPr>
                  <w:r>
                    <w:rPr>
                      <w:rFonts w:hint="eastAsia" w:hAnsi="宋体"/>
                      <w:color w:val="auto"/>
                      <w:szCs w:val="21"/>
                    </w:rPr>
                    <w:t>符合</w:t>
                  </w:r>
                </w:p>
              </w:tc>
            </w:tr>
            <w:tr w14:paraId="2E0488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570" w:type="dxa"/>
                  <w:vAlign w:val="center"/>
                </w:tcPr>
                <w:p w14:paraId="66313C8E">
                  <w:pPr>
                    <w:keepNext w:val="0"/>
                    <w:keepLines w:val="0"/>
                    <w:suppressLineNumbers w:val="0"/>
                    <w:spacing w:before="0" w:beforeAutospacing="0" w:after="0" w:afterAutospacing="0" w:line="276" w:lineRule="auto"/>
                    <w:ind w:left="0" w:right="0"/>
                    <w:jc w:val="center"/>
                    <w:rPr>
                      <w:rFonts w:hint="default" w:hAnsi="宋体"/>
                      <w:color w:val="auto"/>
                      <w:szCs w:val="21"/>
                    </w:rPr>
                  </w:pPr>
                  <w:r>
                    <w:rPr>
                      <w:rFonts w:hint="eastAsia" w:hAnsi="宋体"/>
                      <w:color w:val="auto"/>
                      <w:szCs w:val="21"/>
                    </w:rPr>
                    <w:t>2</w:t>
                  </w:r>
                </w:p>
              </w:tc>
              <w:tc>
                <w:tcPr>
                  <w:tcW w:w="3606" w:type="dxa"/>
                  <w:vAlign w:val="center"/>
                </w:tcPr>
                <w:p w14:paraId="7CC49971">
                  <w:pPr>
                    <w:keepNext w:val="0"/>
                    <w:keepLines w:val="0"/>
                    <w:suppressLineNumbers w:val="0"/>
                    <w:autoSpaceDE w:val="0"/>
                    <w:autoSpaceDN w:val="0"/>
                    <w:adjustRightInd w:val="0"/>
                    <w:spacing w:before="0" w:beforeAutospacing="0" w:after="0" w:afterAutospacing="0" w:line="276" w:lineRule="auto"/>
                    <w:ind w:left="0" w:right="0"/>
                    <w:jc w:val="center"/>
                    <w:rPr>
                      <w:rFonts w:hint="default" w:hAnsi="宋体"/>
                      <w:color w:val="auto"/>
                      <w:szCs w:val="21"/>
                      <w:highlight w:val="none"/>
                    </w:rPr>
                  </w:pPr>
                  <w:r>
                    <w:rPr>
                      <w:rFonts w:hint="eastAsia" w:hAnsi="宋体"/>
                      <w:color w:val="auto"/>
                      <w:szCs w:val="21"/>
                      <w:highlight w:val="none"/>
                      <w:shd w:val="clear" w:color="auto" w:fill="FFFFFF"/>
                    </w:rPr>
                    <w:t>生产：</w:t>
                  </w:r>
                  <w:r>
                    <w:rPr>
                      <w:rFonts w:hint="default" w:hAnsi="宋体"/>
                      <w:color w:val="auto"/>
                      <w:szCs w:val="21"/>
                      <w:highlight w:val="none"/>
                      <w:shd w:val="clear" w:color="auto" w:fill="FFFFFF"/>
                    </w:rPr>
                    <w:t>VOCs</w:t>
                  </w:r>
                  <w:r>
                    <w:rPr>
                      <w:rFonts w:hint="eastAsia" w:hAnsi="宋体"/>
                      <w:color w:val="auto"/>
                      <w:szCs w:val="21"/>
                      <w:highlight w:val="none"/>
                      <w:shd w:val="clear" w:color="auto" w:fill="FFFFFF"/>
                    </w:rPr>
                    <w:t>质量占比大于等于</w:t>
                  </w:r>
                  <w:r>
                    <w:rPr>
                      <w:rFonts w:hint="default" w:hAnsi="宋体"/>
                      <w:color w:val="auto"/>
                      <w:szCs w:val="21"/>
                      <w:highlight w:val="none"/>
                      <w:shd w:val="clear" w:color="auto" w:fill="FFFFFF"/>
                    </w:rPr>
                    <w:t>10%</w:t>
                  </w:r>
                  <w:r>
                    <w:rPr>
                      <w:rFonts w:hint="eastAsia" w:hAnsi="宋体"/>
                      <w:color w:val="auto"/>
                      <w:szCs w:val="21"/>
                      <w:highlight w:val="none"/>
                      <w:shd w:val="clear" w:color="auto" w:fill="FFFFFF"/>
                    </w:rPr>
                    <w:t>的含</w:t>
                  </w:r>
                  <w:r>
                    <w:rPr>
                      <w:rFonts w:hint="default" w:hAnsi="宋体"/>
                      <w:color w:val="auto"/>
                      <w:szCs w:val="21"/>
                      <w:highlight w:val="none"/>
                      <w:shd w:val="clear" w:color="auto" w:fill="FFFFFF"/>
                    </w:rPr>
                    <w:t>VOCs</w:t>
                  </w:r>
                  <w:r>
                    <w:rPr>
                      <w:rFonts w:hint="eastAsia" w:hAnsi="宋体"/>
                      <w:color w:val="auto"/>
                      <w:szCs w:val="21"/>
                      <w:highlight w:val="none"/>
                      <w:shd w:val="clear" w:color="auto" w:fill="FFFFFF"/>
                    </w:rPr>
                    <w:t>产品，其使用过程中应采用密闭设备或在密闭空间内操作，废气应排至</w:t>
                  </w:r>
                  <w:r>
                    <w:rPr>
                      <w:rFonts w:hint="default" w:hAnsi="宋体"/>
                      <w:color w:val="auto"/>
                      <w:szCs w:val="21"/>
                      <w:highlight w:val="none"/>
                      <w:shd w:val="clear" w:color="auto" w:fill="FFFFFF"/>
                    </w:rPr>
                    <w:t>VOCs</w:t>
                  </w:r>
                  <w:r>
                    <w:rPr>
                      <w:rFonts w:hint="eastAsia" w:hAnsi="宋体"/>
                      <w:color w:val="auto"/>
                      <w:szCs w:val="21"/>
                      <w:highlight w:val="none"/>
                      <w:shd w:val="clear" w:color="auto" w:fill="FFFFFF"/>
                    </w:rPr>
                    <w:t>废气收集处理系统；无法密闭的，应采取局部气体收集措施，废气应排至</w:t>
                  </w:r>
                  <w:r>
                    <w:rPr>
                      <w:rFonts w:hint="default" w:hAnsi="宋体"/>
                      <w:color w:val="auto"/>
                      <w:szCs w:val="21"/>
                      <w:highlight w:val="none"/>
                      <w:shd w:val="clear" w:color="auto" w:fill="FFFFFF"/>
                    </w:rPr>
                    <w:t>VOCs</w:t>
                  </w:r>
                  <w:r>
                    <w:rPr>
                      <w:rFonts w:hint="eastAsia" w:hAnsi="宋体"/>
                      <w:color w:val="auto"/>
                      <w:szCs w:val="21"/>
                      <w:highlight w:val="none"/>
                      <w:shd w:val="clear" w:color="auto" w:fill="FFFFFF"/>
                    </w:rPr>
                    <w:t>废气收集处理系统。含</w:t>
                  </w:r>
                  <w:r>
                    <w:rPr>
                      <w:rFonts w:hint="default" w:hAnsi="宋体"/>
                      <w:color w:val="auto"/>
                      <w:szCs w:val="21"/>
                      <w:highlight w:val="none"/>
                      <w:shd w:val="clear" w:color="auto" w:fill="FFFFFF"/>
                    </w:rPr>
                    <w:t>VOCs</w:t>
                  </w:r>
                  <w:r>
                    <w:rPr>
                      <w:rFonts w:hint="eastAsia" w:hAnsi="宋体"/>
                      <w:color w:val="auto"/>
                      <w:szCs w:val="21"/>
                      <w:highlight w:val="none"/>
                      <w:shd w:val="clear" w:color="auto" w:fill="FFFFFF"/>
                    </w:rPr>
                    <w:t>产品的使用过程包括但不限于以下作业：</w:t>
                  </w:r>
                  <w:r>
                    <w:rPr>
                      <w:rFonts w:hint="default" w:hAnsi="宋体"/>
                      <w:color w:val="auto"/>
                      <w:szCs w:val="21"/>
                      <w:highlight w:val="none"/>
                      <w:shd w:val="clear" w:color="auto" w:fill="FFFFFF"/>
                    </w:rPr>
                    <w:t>a</w:t>
                  </w:r>
                  <w:r>
                    <w:rPr>
                      <w:rFonts w:hint="eastAsia" w:hAnsi="宋体"/>
                      <w:color w:val="auto"/>
                      <w:szCs w:val="21"/>
                      <w:highlight w:val="none"/>
                      <w:shd w:val="clear" w:color="auto" w:fill="FFFFFF"/>
                    </w:rPr>
                    <w:t>）调配（混合、搅拌等）；</w:t>
                  </w:r>
                  <w:r>
                    <w:rPr>
                      <w:rFonts w:hint="default" w:hAnsi="宋体"/>
                      <w:color w:val="auto"/>
                      <w:szCs w:val="21"/>
                      <w:highlight w:val="none"/>
                      <w:shd w:val="clear" w:color="auto" w:fill="FFFFFF"/>
                    </w:rPr>
                    <w:t>b</w:t>
                  </w:r>
                  <w:r>
                    <w:rPr>
                      <w:rFonts w:hint="eastAsia" w:hAnsi="宋体"/>
                      <w:color w:val="auto"/>
                      <w:szCs w:val="21"/>
                      <w:highlight w:val="none"/>
                      <w:shd w:val="clear" w:color="auto" w:fill="FFFFFF"/>
                    </w:rPr>
                    <w:t>）涂装（喷涂、浸涂、淋涂、辊涂、刷涂、涂布等）。</w:t>
                  </w:r>
                </w:p>
              </w:tc>
              <w:tc>
                <w:tcPr>
                  <w:tcW w:w="2574" w:type="dxa"/>
                  <w:vAlign w:val="center"/>
                </w:tcPr>
                <w:p w14:paraId="765A7CC9">
                  <w:pPr>
                    <w:keepNext w:val="0"/>
                    <w:keepLines w:val="0"/>
                    <w:suppressLineNumbers w:val="0"/>
                    <w:spacing w:before="0" w:beforeAutospacing="0" w:after="0" w:afterAutospacing="0" w:line="276" w:lineRule="auto"/>
                    <w:ind w:left="0" w:right="0"/>
                    <w:jc w:val="center"/>
                    <w:rPr>
                      <w:rFonts w:hint="default" w:hAnsi="宋体" w:eastAsia="宋体"/>
                      <w:color w:val="auto"/>
                      <w:szCs w:val="21"/>
                      <w:highlight w:val="none"/>
                      <w:lang w:val="en-US" w:eastAsia="zh-CN"/>
                    </w:rPr>
                  </w:pPr>
                  <w:r>
                    <w:rPr>
                      <w:rFonts w:hint="eastAsia" w:hAnsi="宋体"/>
                      <w:color w:val="auto"/>
                      <w:szCs w:val="21"/>
                      <w:highlight w:val="none"/>
                    </w:rPr>
                    <w:t>本项目</w:t>
                  </w:r>
                  <w:r>
                    <w:rPr>
                      <w:rFonts w:hint="eastAsia" w:hAnsi="宋体"/>
                      <w:color w:val="auto"/>
                      <w:szCs w:val="21"/>
                      <w:highlight w:val="none"/>
                      <w:lang w:val="en-US" w:eastAsia="zh-CN"/>
                    </w:rPr>
                    <w:t>不</w:t>
                  </w:r>
                  <w:r>
                    <w:rPr>
                      <w:rFonts w:hint="eastAsia" w:hAnsi="宋体"/>
                      <w:color w:val="auto"/>
                      <w:szCs w:val="21"/>
                      <w:highlight w:val="none"/>
                      <w:shd w:val="clear" w:color="auto" w:fill="FFFFFF"/>
                      <w:lang w:val="en-US" w:eastAsia="zh-CN"/>
                    </w:rPr>
                    <w:t>使用</w:t>
                  </w:r>
                  <w:r>
                    <w:rPr>
                      <w:rFonts w:hint="default"/>
                      <w:color w:val="auto"/>
                      <w:szCs w:val="21"/>
                      <w:highlight w:val="none"/>
                      <w:shd w:val="clear" w:color="auto" w:fill="FFFFFF"/>
                    </w:rPr>
                    <w:t>VOCs</w:t>
                  </w:r>
                  <w:r>
                    <w:rPr>
                      <w:rFonts w:hint="eastAsia" w:hAnsi="宋体"/>
                      <w:color w:val="auto"/>
                      <w:szCs w:val="21"/>
                      <w:highlight w:val="none"/>
                      <w:shd w:val="clear" w:color="auto" w:fill="FFFFFF"/>
                    </w:rPr>
                    <w:t>质量占</w:t>
                  </w:r>
                  <w:r>
                    <w:rPr>
                      <w:rFonts w:hint="default"/>
                      <w:color w:val="auto"/>
                      <w:szCs w:val="21"/>
                      <w:highlight w:val="none"/>
                      <w:shd w:val="clear" w:color="auto" w:fill="FFFFFF"/>
                    </w:rPr>
                    <w:t>比</w:t>
                  </w:r>
                  <w:r>
                    <w:rPr>
                      <w:rFonts w:hint="eastAsia"/>
                      <w:color w:val="auto"/>
                      <w:szCs w:val="21"/>
                      <w:highlight w:val="none"/>
                      <w:shd w:val="clear" w:color="auto" w:fill="FFFFFF"/>
                    </w:rPr>
                    <w:t>大于</w:t>
                  </w:r>
                  <w:r>
                    <w:rPr>
                      <w:rFonts w:hint="default"/>
                      <w:color w:val="auto"/>
                      <w:szCs w:val="21"/>
                      <w:highlight w:val="none"/>
                      <w:shd w:val="clear" w:color="auto" w:fill="FFFFFF"/>
                    </w:rPr>
                    <w:t>10%的</w:t>
                  </w:r>
                  <w:r>
                    <w:rPr>
                      <w:rFonts w:hint="eastAsia"/>
                      <w:color w:val="auto"/>
                      <w:szCs w:val="21"/>
                      <w:highlight w:val="none"/>
                      <w:shd w:val="clear" w:color="auto" w:fill="FFFFFF"/>
                      <w:lang w:val="en-US" w:eastAsia="zh-CN"/>
                    </w:rPr>
                    <w:t>含</w:t>
                  </w:r>
                  <w:r>
                    <w:rPr>
                      <w:rFonts w:hint="default" w:hAnsi="宋体"/>
                      <w:color w:val="auto"/>
                      <w:szCs w:val="21"/>
                      <w:highlight w:val="none"/>
                      <w:shd w:val="clear" w:color="auto" w:fill="FFFFFF"/>
                    </w:rPr>
                    <w:t>VOCs</w:t>
                  </w:r>
                  <w:r>
                    <w:rPr>
                      <w:rFonts w:hint="eastAsia" w:hAnsi="宋体"/>
                      <w:color w:val="auto"/>
                      <w:szCs w:val="21"/>
                      <w:highlight w:val="none"/>
                      <w:shd w:val="clear" w:color="auto" w:fill="FFFFFF"/>
                      <w:lang w:val="en-US" w:eastAsia="zh-CN"/>
                    </w:rPr>
                    <w:t>产品；</w:t>
                  </w:r>
                  <w:r>
                    <w:rPr>
                      <w:rFonts w:hint="default"/>
                      <w:color w:val="auto"/>
                      <w:szCs w:val="21"/>
                      <w:shd w:val="clear" w:color="auto" w:fill="FFFFFF"/>
                    </w:rPr>
                    <w:t>本项目</w:t>
                  </w:r>
                  <w:r>
                    <w:rPr>
                      <w:rFonts w:hint="eastAsia"/>
                      <w:color w:val="auto"/>
                      <w:szCs w:val="21"/>
                      <w:shd w:val="clear" w:color="auto" w:fill="FFFFFF"/>
                      <w:lang w:val="en-US" w:eastAsia="zh-CN"/>
                    </w:rPr>
                    <w:t>注塑工序产生的有机</w:t>
                  </w:r>
                  <w:r>
                    <w:rPr>
                      <w:rFonts w:hint="default"/>
                      <w:color w:val="auto"/>
                      <w:szCs w:val="21"/>
                      <w:shd w:val="clear" w:color="auto" w:fill="FFFFFF"/>
                    </w:rPr>
                    <w:t>废气</w:t>
                  </w:r>
                  <w:r>
                    <w:rPr>
                      <w:rFonts w:hint="eastAsia"/>
                      <w:color w:val="auto"/>
                      <w:szCs w:val="21"/>
                      <w:shd w:val="clear" w:color="auto" w:fill="FFFFFF"/>
                      <w:lang w:val="en-US" w:eastAsia="zh-CN"/>
                    </w:rPr>
                    <w:t>采取集气罩收集方式，收集效率≥90%</w:t>
                  </w:r>
                  <w:r>
                    <w:rPr>
                      <w:rFonts w:hint="eastAsia"/>
                      <w:color w:val="auto"/>
                      <w:szCs w:val="21"/>
                      <w:shd w:val="clear" w:color="auto" w:fill="FFFFFF"/>
                      <w:lang w:eastAsia="zh-CN"/>
                    </w:rPr>
                    <w:t>。</w:t>
                  </w:r>
                  <w:r>
                    <w:rPr>
                      <w:rFonts w:hint="eastAsia"/>
                      <w:color w:val="auto"/>
                      <w:szCs w:val="21"/>
                      <w:highlight w:val="none"/>
                      <w:lang w:val="en-US" w:eastAsia="zh-CN"/>
                    </w:rPr>
                    <w:t>注塑废气经各自设备上方集气罩收集后</w:t>
                  </w:r>
                  <w:r>
                    <w:rPr>
                      <w:rFonts w:hint="eastAsia"/>
                      <w:color w:val="auto"/>
                      <w:sz w:val="21"/>
                      <w:szCs w:val="21"/>
                      <w:highlight w:val="none"/>
                      <w:lang w:val="en-US" w:eastAsia="zh-CN"/>
                    </w:rPr>
                    <w:t>，通过1套“二级活性炭吸附装置”处理，后由1根23m高排气筒DA001排放；粉碎粉尘经设备上方集气罩收集后通过1套布袋除尘器处理，后由1根23m高排气筒DA002排放；极少量投料废气通过配套布袋除尘器处理后于车间内无组织排放</w:t>
                  </w:r>
                  <w:r>
                    <w:rPr>
                      <w:rFonts w:hint="eastAsia" w:hAnsi="宋体"/>
                      <w:color w:val="auto"/>
                      <w:kern w:val="0"/>
                      <w:highlight w:val="none"/>
                      <w:lang w:eastAsia="zh-CN"/>
                    </w:rPr>
                    <w:t>。</w:t>
                  </w:r>
                  <w:r>
                    <w:rPr>
                      <w:rFonts w:hint="eastAsia" w:hAnsi="宋体"/>
                      <w:color w:val="auto"/>
                      <w:kern w:val="0"/>
                      <w:highlight w:val="none"/>
                      <w:lang w:val="en-US" w:eastAsia="zh-CN"/>
                    </w:rPr>
                    <w:t>废气</w:t>
                  </w:r>
                  <w:r>
                    <w:rPr>
                      <w:rFonts w:hint="default" w:hAnsi="宋体"/>
                      <w:color w:val="auto"/>
                      <w:kern w:val="0"/>
                      <w:highlight w:val="none"/>
                    </w:rPr>
                    <w:t>可</w:t>
                  </w:r>
                  <w:r>
                    <w:rPr>
                      <w:rFonts w:hint="eastAsia" w:ascii="宋体" w:hAnsi="宋体"/>
                      <w:color w:val="auto"/>
                      <w:kern w:val="0"/>
                      <w:highlight w:val="none"/>
                    </w:rPr>
                    <w:t>做到处理后达标排放</w:t>
                  </w:r>
                  <w:r>
                    <w:rPr>
                      <w:rFonts w:hint="eastAsia"/>
                      <w:color w:val="auto"/>
                      <w:szCs w:val="21"/>
                      <w:lang w:val="en-US" w:eastAsia="zh-CN"/>
                    </w:rPr>
                    <w:t>，属于</w:t>
                  </w:r>
                  <w:r>
                    <w:rPr>
                      <w:rFonts w:hint="default"/>
                      <w:color w:val="auto"/>
                      <w:szCs w:val="21"/>
                      <w:shd w:val="clear" w:color="auto" w:fill="FFFFFF"/>
                    </w:rPr>
                    <w:t>有组织排放</w:t>
                  </w:r>
                  <w:r>
                    <w:rPr>
                      <w:rFonts w:hint="eastAsia"/>
                      <w:color w:val="auto"/>
                      <w:szCs w:val="21"/>
                      <w:shd w:val="clear" w:color="auto" w:fill="FFFFFF"/>
                      <w:lang w:eastAsia="zh-CN"/>
                    </w:rPr>
                    <w:t>。</w:t>
                  </w:r>
                </w:p>
              </w:tc>
              <w:tc>
                <w:tcPr>
                  <w:tcW w:w="905" w:type="dxa"/>
                  <w:vAlign w:val="center"/>
                </w:tcPr>
                <w:p w14:paraId="1FBFB156">
                  <w:pPr>
                    <w:keepNext w:val="0"/>
                    <w:keepLines w:val="0"/>
                    <w:suppressLineNumbers w:val="0"/>
                    <w:spacing w:before="0" w:beforeAutospacing="0" w:after="0" w:afterAutospacing="0" w:line="276" w:lineRule="auto"/>
                    <w:ind w:left="0" w:right="0"/>
                    <w:jc w:val="center"/>
                    <w:rPr>
                      <w:rFonts w:hint="default" w:hAnsi="宋体"/>
                      <w:color w:val="auto"/>
                      <w:szCs w:val="21"/>
                      <w:highlight w:val="none"/>
                    </w:rPr>
                  </w:pPr>
                  <w:r>
                    <w:rPr>
                      <w:rFonts w:hint="eastAsia" w:hAnsi="宋体"/>
                      <w:color w:val="auto"/>
                      <w:szCs w:val="21"/>
                      <w:highlight w:val="none"/>
                    </w:rPr>
                    <w:t>符合</w:t>
                  </w:r>
                </w:p>
              </w:tc>
            </w:tr>
            <w:tr w14:paraId="05B4A37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570" w:type="dxa"/>
                  <w:vAlign w:val="center"/>
                </w:tcPr>
                <w:p w14:paraId="7D5E4834">
                  <w:pPr>
                    <w:keepNext w:val="0"/>
                    <w:keepLines w:val="0"/>
                    <w:suppressLineNumbers w:val="0"/>
                    <w:spacing w:before="0" w:beforeAutospacing="0" w:after="0" w:afterAutospacing="0" w:line="276" w:lineRule="auto"/>
                    <w:ind w:left="0" w:right="0"/>
                    <w:jc w:val="center"/>
                    <w:rPr>
                      <w:rFonts w:hint="default" w:hAnsi="宋体"/>
                      <w:color w:val="auto"/>
                      <w:szCs w:val="21"/>
                    </w:rPr>
                  </w:pPr>
                  <w:r>
                    <w:rPr>
                      <w:rFonts w:hint="eastAsia" w:hAnsi="宋体"/>
                      <w:color w:val="auto"/>
                      <w:szCs w:val="21"/>
                    </w:rPr>
                    <w:t>3</w:t>
                  </w:r>
                </w:p>
              </w:tc>
              <w:tc>
                <w:tcPr>
                  <w:tcW w:w="3606" w:type="dxa"/>
                  <w:vAlign w:val="center"/>
                </w:tcPr>
                <w:p w14:paraId="7FE6BCAF">
                  <w:pPr>
                    <w:keepNext w:val="0"/>
                    <w:keepLines w:val="0"/>
                    <w:suppressLineNumbers w:val="0"/>
                    <w:spacing w:before="0" w:beforeAutospacing="0" w:after="0" w:afterAutospacing="0" w:line="276" w:lineRule="auto"/>
                    <w:ind w:left="0" w:right="0"/>
                    <w:jc w:val="center"/>
                    <w:rPr>
                      <w:rFonts w:hint="default" w:hAnsi="宋体"/>
                      <w:color w:val="auto"/>
                      <w:szCs w:val="21"/>
                    </w:rPr>
                  </w:pPr>
                  <w:r>
                    <w:rPr>
                      <w:rFonts w:hint="eastAsia" w:hAnsi="宋体"/>
                      <w:color w:val="auto"/>
                      <w:szCs w:val="21"/>
                      <w:shd w:val="clear" w:color="auto" w:fill="FFFFFF"/>
                    </w:rPr>
                    <w:t>企业应建立台账，记录含</w:t>
                  </w:r>
                  <w:r>
                    <w:rPr>
                      <w:rFonts w:hint="default" w:hAnsi="宋体"/>
                      <w:color w:val="auto"/>
                      <w:szCs w:val="21"/>
                      <w:shd w:val="clear" w:color="auto" w:fill="FFFFFF"/>
                    </w:rPr>
                    <w:t>VOCs</w:t>
                  </w:r>
                  <w:r>
                    <w:rPr>
                      <w:rFonts w:hint="eastAsia" w:hAnsi="宋体"/>
                      <w:color w:val="auto"/>
                      <w:szCs w:val="21"/>
                      <w:shd w:val="clear" w:color="auto" w:fill="FFFFFF"/>
                    </w:rPr>
                    <w:t>原辅材料和含</w:t>
                  </w:r>
                  <w:r>
                    <w:rPr>
                      <w:rFonts w:hint="default" w:hAnsi="宋体"/>
                      <w:color w:val="auto"/>
                      <w:szCs w:val="21"/>
                      <w:shd w:val="clear" w:color="auto" w:fill="FFFFFF"/>
                    </w:rPr>
                    <w:t>VOCs</w:t>
                  </w:r>
                  <w:r>
                    <w:rPr>
                      <w:rFonts w:hint="eastAsia" w:hAnsi="宋体"/>
                      <w:color w:val="auto"/>
                      <w:szCs w:val="21"/>
                      <w:shd w:val="clear" w:color="auto" w:fill="FFFFFF"/>
                    </w:rPr>
                    <w:t>产品的名称、使用量、回收量、废弃量、去向以及</w:t>
                  </w:r>
                  <w:r>
                    <w:rPr>
                      <w:rFonts w:hint="default" w:hAnsi="宋体"/>
                      <w:color w:val="auto"/>
                      <w:szCs w:val="21"/>
                      <w:shd w:val="clear" w:color="auto" w:fill="FFFFFF"/>
                    </w:rPr>
                    <w:t>VOCs</w:t>
                  </w:r>
                  <w:r>
                    <w:rPr>
                      <w:rFonts w:hint="eastAsia" w:hAnsi="宋体"/>
                      <w:color w:val="auto"/>
                      <w:szCs w:val="21"/>
                      <w:shd w:val="clear" w:color="auto" w:fill="FFFFFF"/>
                    </w:rPr>
                    <w:t>含量等信息。台账保存期限不少于</w:t>
                  </w:r>
                  <w:r>
                    <w:rPr>
                      <w:rFonts w:hint="default" w:hAnsi="宋体"/>
                      <w:color w:val="auto"/>
                      <w:szCs w:val="21"/>
                      <w:shd w:val="clear" w:color="auto" w:fill="FFFFFF"/>
                    </w:rPr>
                    <w:t>3</w:t>
                  </w:r>
                  <w:r>
                    <w:rPr>
                      <w:rFonts w:hint="eastAsia" w:hAnsi="宋体"/>
                      <w:color w:val="auto"/>
                      <w:szCs w:val="21"/>
                      <w:shd w:val="clear" w:color="auto" w:fill="FFFFFF"/>
                    </w:rPr>
                    <w:t>年。</w:t>
                  </w:r>
                </w:p>
              </w:tc>
              <w:tc>
                <w:tcPr>
                  <w:tcW w:w="2574" w:type="dxa"/>
                  <w:vAlign w:val="center"/>
                </w:tcPr>
                <w:p w14:paraId="0016D160">
                  <w:pPr>
                    <w:keepNext w:val="0"/>
                    <w:keepLines w:val="0"/>
                    <w:suppressLineNumbers w:val="0"/>
                    <w:spacing w:before="0" w:beforeAutospacing="0" w:after="0" w:afterAutospacing="0" w:line="276" w:lineRule="auto"/>
                    <w:ind w:left="0" w:right="0"/>
                    <w:jc w:val="center"/>
                    <w:rPr>
                      <w:rFonts w:hint="default" w:hAnsi="宋体"/>
                      <w:color w:val="auto"/>
                      <w:szCs w:val="21"/>
                    </w:rPr>
                  </w:pPr>
                  <w:r>
                    <w:rPr>
                      <w:rFonts w:hint="eastAsia" w:hAnsi="宋体"/>
                      <w:color w:val="auto"/>
                      <w:szCs w:val="21"/>
                    </w:rPr>
                    <w:t>本评价要求企业原辅材料进出</w:t>
                  </w:r>
                  <w:r>
                    <w:rPr>
                      <w:rFonts w:hint="eastAsia" w:hAnsi="宋体"/>
                      <w:color w:val="auto"/>
                      <w:szCs w:val="21"/>
                      <w:highlight w:val="none"/>
                    </w:rPr>
                    <w:t>库均</w:t>
                  </w:r>
                  <w:r>
                    <w:rPr>
                      <w:rFonts w:hint="eastAsia" w:hAnsi="宋体"/>
                      <w:color w:val="auto"/>
                      <w:szCs w:val="21"/>
                      <w:highlight w:val="none"/>
                      <w:lang w:val="en-US" w:eastAsia="zh-CN"/>
                    </w:rPr>
                    <w:t>设置</w:t>
                  </w:r>
                  <w:r>
                    <w:rPr>
                      <w:rFonts w:hint="eastAsia" w:hAnsi="宋体"/>
                      <w:color w:val="auto"/>
                      <w:szCs w:val="21"/>
                      <w:highlight w:val="none"/>
                    </w:rPr>
                    <w:t>台账记录；</w:t>
                  </w:r>
                  <w:r>
                    <w:rPr>
                      <w:rFonts w:hint="eastAsia" w:ascii="宋体" w:hAnsi="宋体"/>
                      <w:color w:val="auto"/>
                      <w:kern w:val="0"/>
                      <w:highlight w:val="none"/>
                    </w:rPr>
                    <w:t>本</w:t>
                  </w:r>
                  <w:r>
                    <w:rPr>
                      <w:rFonts w:hint="eastAsia" w:ascii="宋体" w:hAnsi="宋体"/>
                      <w:color w:val="auto"/>
                      <w:kern w:val="0"/>
                      <w:highlight w:val="none"/>
                      <w:lang w:val="en-US" w:eastAsia="zh-CN"/>
                    </w:rPr>
                    <w:t>项目产生的废活性炭、废机油、废油桶及废弃劳保用品</w:t>
                  </w:r>
                  <w:r>
                    <w:rPr>
                      <w:rFonts w:hint="eastAsia" w:ascii="宋体" w:hAnsi="宋体"/>
                      <w:color w:val="auto"/>
                      <w:kern w:val="0"/>
                      <w:highlight w:val="none"/>
                    </w:rPr>
                    <w:t>等</w:t>
                  </w:r>
                  <w:r>
                    <w:rPr>
                      <w:rFonts w:hint="eastAsia" w:ascii="宋体" w:hAnsi="宋体"/>
                      <w:color w:val="auto"/>
                      <w:kern w:val="0"/>
                      <w:highlight w:val="none"/>
                      <w:lang w:val="en-US" w:eastAsia="zh-CN"/>
                    </w:rPr>
                    <w:t>危险废物均于</w:t>
                  </w:r>
                  <w:r>
                    <w:rPr>
                      <w:rFonts w:hint="eastAsia" w:ascii="宋体" w:hAnsi="宋体"/>
                      <w:color w:val="auto"/>
                      <w:kern w:val="0"/>
                      <w:highlight w:val="none"/>
                    </w:rPr>
                    <w:t>危废暂存间暂存，</w:t>
                  </w:r>
                  <w:r>
                    <w:rPr>
                      <w:rFonts w:hint="eastAsia" w:ascii="宋体" w:hAnsi="宋体"/>
                      <w:color w:val="auto"/>
                      <w:kern w:val="0"/>
                      <w:highlight w:val="none"/>
                      <w:lang w:val="en-US" w:eastAsia="zh-CN"/>
                    </w:rPr>
                    <w:t>并</w:t>
                  </w:r>
                  <w:r>
                    <w:rPr>
                      <w:rFonts w:hint="eastAsia" w:ascii="宋体" w:hAnsi="宋体"/>
                      <w:color w:val="auto"/>
                      <w:kern w:val="0"/>
                      <w:highlight w:val="none"/>
                    </w:rPr>
                    <w:t>定期交由有资质单位处理处置；</w:t>
                  </w:r>
                  <w:r>
                    <w:rPr>
                      <w:rFonts w:hint="eastAsia"/>
                      <w:color w:val="auto"/>
                      <w:sz w:val="21"/>
                      <w:szCs w:val="21"/>
                      <w:lang w:val="en-US" w:eastAsia="zh-CN"/>
                    </w:rPr>
                    <w:t>废包装、废包材质</w:t>
                  </w:r>
                  <w:r>
                    <w:rPr>
                      <w:rFonts w:hint="eastAsia"/>
                      <w:color w:val="auto"/>
                      <w:spacing w:val="-2"/>
                      <w:kern w:val="0"/>
                      <w:sz w:val="21"/>
                      <w:szCs w:val="21"/>
                      <w:highlight w:val="none"/>
                      <w:lang w:val="en-US" w:eastAsia="zh-CN"/>
                    </w:rPr>
                    <w:t>定期外售物资部门综合利用，</w:t>
                  </w:r>
                  <w:r>
                    <w:rPr>
                      <w:rFonts w:hint="eastAsia"/>
                      <w:color w:val="auto"/>
                      <w:sz w:val="21"/>
                      <w:szCs w:val="21"/>
                      <w:lang w:val="en-US" w:eastAsia="zh-CN"/>
                    </w:rPr>
                    <w:t>废塑料边角料、不合格塑料半成品及（粉碎工序）布袋除尘器收集粉尘分类收集后回用于生产。</w:t>
                  </w:r>
                  <w:r>
                    <w:rPr>
                      <w:rFonts w:hint="eastAsia" w:ascii="宋体" w:hAnsi="宋体"/>
                      <w:color w:val="auto"/>
                      <w:kern w:val="0"/>
                    </w:rPr>
                    <w:t>固废均妥善管理</w:t>
                  </w:r>
                  <w:r>
                    <w:rPr>
                      <w:rFonts w:hint="eastAsia" w:ascii="宋体" w:hAnsi="宋体"/>
                      <w:color w:val="auto"/>
                      <w:kern w:val="0"/>
                      <w:lang w:eastAsia="zh-CN"/>
                    </w:rPr>
                    <w:t>、</w:t>
                  </w:r>
                  <w:r>
                    <w:rPr>
                      <w:rFonts w:hint="eastAsia" w:ascii="宋体" w:hAnsi="宋体"/>
                      <w:color w:val="auto"/>
                      <w:kern w:val="0"/>
                      <w:lang w:val="en-US" w:eastAsia="zh-CN"/>
                    </w:rPr>
                    <w:t>合理处置</w:t>
                  </w:r>
                  <w:r>
                    <w:rPr>
                      <w:rFonts w:hint="eastAsia" w:ascii="宋体" w:hAnsi="宋体"/>
                      <w:color w:val="auto"/>
                      <w:kern w:val="0"/>
                    </w:rPr>
                    <w:t>，不会造成二次污染</w:t>
                  </w:r>
                  <w:r>
                    <w:rPr>
                      <w:rFonts w:hint="eastAsia" w:ascii="宋体" w:hAnsi="宋体"/>
                      <w:color w:val="auto"/>
                      <w:kern w:val="0"/>
                      <w:lang w:eastAsia="zh-CN"/>
                    </w:rPr>
                    <w:t>。</w:t>
                  </w:r>
                  <w:r>
                    <w:rPr>
                      <w:rFonts w:hint="eastAsia"/>
                      <w:color w:val="auto"/>
                      <w:szCs w:val="21"/>
                    </w:rPr>
                    <w:t>危险废物</w:t>
                  </w:r>
                  <w:r>
                    <w:rPr>
                      <w:rFonts w:hint="eastAsia"/>
                      <w:color w:val="auto"/>
                      <w:szCs w:val="21"/>
                      <w:lang w:val="en-US" w:eastAsia="zh-CN"/>
                    </w:rPr>
                    <w:t>进出库已按要求登记</w:t>
                  </w:r>
                  <w:r>
                    <w:rPr>
                      <w:rFonts w:hint="eastAsia"/>
                      <w:color w:val="auto"/>
                      <w:szCs w:val="21"/>
                    </w:rPr>
                    <w:t>台账</w:t>
                  </w:r>
                  <w:r>
                    <w:rPr>
                      <w:rFonts w:hint="eastAsia"/>
                      <w:color w:val="auto"/>
                      <w:szCs w:val="21"/>
                      <w:lang w:val="en-US" w:eastAsia="zh-CN"/>
                    </w:rPr>
                    <w:t>信息</w:t>
                  </w:r>
                  <w:r>
                    <w:rPr>
                      <w:rFonts w:hint="eastAsia"/>
                      <w:color w:val="auto"/>
                      <w:szCs w:val="21"/>
                    </w:rPr>
                    <w:t>，台账保存期限不少于</w:t>
                  </w:r>
                  <w:r>
                    <w:rPr>
                      <w:rFonts w:hint="default"/>
                      <w:color w:val="auto"/>
                      <w:szCs w:val="21"/>
                    </w:rPr>
                    <w:t>3</w:t>
                  </w:r>
                  <w:r>
                    <w:rPr>
                      <w:rFonts w:hint="eastAsia"/>
                      <w:color w:val="auto"/>
                      <w:szCs w:val="21"/>
                    </w:rPr>
                    <w:t>年。</w:t>
                  </w:r>
                </w:p>
              </w:tc>
              <w:tc>
                <w:tcPr>
                  <w:tcW w:w="905" w:type="dxa"/>
                  <w:vAlign w:val="center"/>
                </w:tcPr>
                <w:p w14:paraId="3054930A">
                  <w:pPr>
                    <w:keepNext w:val="0"/>
                    <w:keepLines w:val="0"/>
                    <w:suppressLineNumbers w:val="0"/>
                    <w:spacing w:before="0" w:beforeAutospacing="0" w:after="0" w:afterAutospacing="0" w:line="276" w:lineRule="auto"/>
                    <w:ind w:left="0" w:right="0"/>
                    <w:jc w:val="center"/>
                    <w:rPr>
                      <w:rFonts w:hint="default" w:hAnsi="宋体"/>
                      <w:color w:val="auto"/>
                      <w:szCs w:val="21"/>
                    </w:rPr>
                  </w:pPr>
                  <w:r>
                    <w:rPr>
                      <w:rFonts w:hint="eastAsia" w:hAnsi="宋体"/>
                      <w:color w:val="auto"/>
                      <w:szCs w:val="21"/>
                    </w:rPr>
                    <w:t>符合</w:t>
                  </w:r>
                </w:p>
              </w:tc>
            </w:tr>
          </w:tbl>
          <w:p w14:paraId="2D30FB36">
            <w:pPr>
              <w:pStyle w:val="223"/>
              <w:keepNext w:val="0"/>
              <w:keepLines w:val="0"/>
              <w:suppressLineNumbers w:val="0"/>
              <w:spacing w:before="0" w:beforeAutospacing="0" w:after="0" w:afterAutospacing="0"/>
              <w:ind w:left="0" w:right="0" w:firstLine="482" w:firstLineChars="200"/>
              <w:rPr>
                <w:rFonts w:hint="default"/>
                <w:b/>
                <w:color w:val="auto"/>
              </w:rPr>
            </w:pPr>
            <w:r>
              <w:rPr>
                <w:rFonts w:hint="eastAsia"/>
                <w:b/>
                <w:color w:val="auto"/>
              </w:rPr>
              <w:t>（</w:t>
            </w:r>
            <w:r>
              <w:rPr>
                <w:rFonts w:hint="eastAsia"/>
                <w:b/>
                <w:color w:val="auto"/>
                <w:lang w:val="en-US" w:eastAsia="zh-CN"/>
              </w:rPr>
              <w:t>6</w:t>
            </w:r>
            <w:r>
              <w:rPr>
                <w:rFonts w:hint="eastAsia"/>
                <w:b/>
                <w:color w:val="auto"/>
              </w:rPr>
              <w:t>）与《</w:t>
            </w:r>
            <w:r>
              <w:rPr>
                <w:rFonts w:hint="eastAsia"/>
                <w:b/>
                <w:color w:val="auto"/>
                <w:lang w:val="en-US" w:eastAsia="zh-CN"/>
              </w:rPr>
              <w:t>安徽省</w:t>
            </w:r>
            <w:r>
              <w:rPr>
                <w:rFonts w:hint="eastAsia"/>
                <w:b/>
                <w:color w:val="auto"/>
              </w:rPr>
              <w:t>挥发性有机物</w:t>
            </w:r>
            <w:r>
              <w:rPr>
                <w:rFonts w:hint="eastAsia"/>
                <w:b/>
                <w:color w:val="auto"/>
                <w:lang w:val="en-US" w:eastAsia="zh-CN"/>
              </w:rPr>
              <w:t>污染整治工作方案</w:t>
            </w:r>
            <w:r>
              <w:rPr>
                <w:rFonts w:hint="eastAsia"/>
                <w:b/>
                <w:color w:val="auto"/>
              </w:rPr>
              <w:t>》相符性分析</w:t>
            </w:r>
          </w:p>
          <w:p w14:paraId="0A6A92A2">
            <w:pPr>
              <w:pStyle w:val="223"/>
              <w:keepNext w:val="0"/>
              <w:keepLines w:val="0"/>
              <w:suppressLineNumbers w:val="0"/>
              <w:spacing w:before="0" w:beforeAutospacing="0" w:after="0" w:afterAutospacing="0"/>
              <w:ind w:left="0" w:right="0"/>
              <w:jc w:val="center"/>
              <w:rPr>
                <w:rFonts w:hint="default" w:eastAsia="黑体" w:cs="Times New Roman"/>
                <w:color w:val="auto"/>
                <w:szCs w:val="21"/>
              </w:rPr>
            </w:pPr>
            <w:r>
              <w:rPr>
                <w:rFonts w:hint="default" w:eastAsia="黑体" w:cs="Times New Roman"/>
                <w:color w:val="auto"/>
                <w:szCs w:val="24"/>
              </w:rPr>
              <w:t>表</w:t>
            </w:r>
            <w:r>
              <w:rPr>
                <w:rFonts w:hint="eastAsia" w:eastAsia="黑体" w:cs="Times New Roman"/>
                <w:color w:val="auto"/>
                <w:szCs w:val="24"/>
                <w:lang w:val="en-US" w:eastAsia="zh-CN"/>
              </w:rPr>
              <w:t>1-10</w:t>
            </w:r>
            <w:r>
              <w:rPr>
                <w:rFonts w:hint="default" w:eastAsia="黑体" w:cs="Times New Roman"/>
                <w:color w:val="auto"/>
                <w:szCs w:val="24"/>
              </w:rPr>
              <w:t xml:space="preserve"> 项目与</w:t>
            </w:r>
            <w:r>
              <w:rPr>
                <w:rFonts w:hint="eastAsia" w:eastAsia="黑体" w:cs="Times New Roman"/>
                <w:color w:val="auto"/>
                <w:szCs w:val="24"/>
              </w:rPr>
              <w:t>《安徽省挥发性有机物污染整治工作方案》</w:t>
            </w:r>
            <w:r>
              <w:rPr>
                <w:rFonts w:hint="default" w:eastAsia="黑体" w:cs="Times New Roman"/>
                <w:color w:val="auto"/>
                <w:szCs w:val="24"/>
              </w:rPr>
              <w:t>符合性分析</w:t>
            </w:r>
          </w:p>
          <w:tbl>
            <w:tblPr>
              <w:tblStyle w:val="38"/>
              <w:tblW w:w="771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58"/>
              <w:gridCol w:w="743"/>
              <w:gridCol w:w="3097"/>
              <w:gridCol w:w="2353"/>
              <w:gridCol w:w="968"/>
            </w:tblGrid>
            <w:tr w14:paraId="3D1774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l2br w:val="nil"/>
                    <w:tr2bl w:val="nil"/>
                  </w:tcBorders>
                  <w:vAlign w:val="center"/>
                </w:tcPr>
                <w:p w14:paraId="395176A0">
                  <w:pPr>
                    <w:pStyle w:val="2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eastAsia="宋体"/>
                      <w:b/>
                      <w:color w:val="auto"/>
                      <w:sz w:val="21"/>
                      <w:szCs w:val="21"/>
                      <w:vertAlign w:val="baseline"/>
                      <w:lang w:val="en-US" w:eastAsia="zh-CN"/>
                    </w:rPr>
                  </w:pPr>
                  <w:r>
                    <w:rPr>
                      <w:rFonts w:hint="eastAsia"/>
                      <w:b/>
                      <w:color w:val="auto"/>
                      <w:sz w:val="21"/>
                      <w:szCs w:val="21"/>
                      <w:vertAlign w:val="baseline"/>
                      <w:lang w:val="en-US" w:eastAsia="zh-CN"/>
                    </w:rPr>
                    <w:t>序号</w:t>
                  </w:r>
                </w:p>
              </w:tc>
              <w:tc>
                <w:tcPr>
                  <w:tcW w:w="3840" w:type="dxa"/>
                  <w:gridSpan w:val="2"/>
                  <w:tcBorders>
                    <w:tl2br w:val="nil"/>
                    <w:tr2bl w:val="nil"/>
                  </w:tcBorders>
                  <w:vAlign w:val="center"/>
                </w:tcPr>
                <w:p w14:paraId="47640996">
                  <w:pPr>
                    <w:pStyle w:val="2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b/>
                      <w:color w:val="auto"/>
                      <w:sz w:val="21"/>
                      <w:szCs w:val="21"/>
                      <w:vertAlign w:val="baseline"/>
                    </w:rPr>
                  </w:pPr>
                  <w:r>
                    <w:rPr>
                      <w:rFonts w:hint="eastAsia"/>
                      <w:b/>
                      <w:color w:val="auto"/>
                      <w:sz w:val="21"/>
                      <w:szCs w:val="21"/>
                      <w:vertAlign w:val="baseline"/>
                      <w:lang w:val="en-US" w:eastAsia="zh-CN"/>
                    </w:rPr>
                    <w:t>《安徽省挥发性有机物污染整治工作方案》</w:t>
                  </w:r>
                </w:p>
              </w:tc>
              <w:tc>
                <w:tcPr>
                  <w:tcW w:w="2353" w:type="dxa"/>
                  <w:tcBorders>
                    <w:tl2br w:val="nil"/>
                    <w:tr2bl w:val="nil"/>
                  </w:tcBorders>
                  <w:vAlign w:val="center"/>
                </w:tcPr>
                <w:p w14:paraId="0FA08AD0">
                  <w:pPr>
                    <w:pStyle w:val="2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eastAsia="宋体"/>
                      <w:b/>
                      <w:color w:val="auto"/>
                      <w:sz w:val="21"/>
                      <w:szCs w:val="21"/>
                      <w:vertAlign w:val="baseline"/>
                      <w:lang w:val="en-US" w:eastAsia="zh-CN"/>
                    </w:rPr>
                  </w:pPr>
                  <w:r>
                    <w:rPr>
                      <w:rFonts w:hint="eastAsia"/>
                      <w:b/>
                      <w:color w:val="auto"/>
                      <w:sz w:val="21"/>
                      <w:szCs w:val="21"/>
                      <w:vertAlign w:val="baseline"/>
                      <w:lang w:val="en-US" w:eastAsia="zh-CN"/>
                    </w:rPr>
                    <w:t>本项目情况</w:t>
                  </w:r>
                </w:p>
              </w:tc>
              <w:tc>
                <w:tcPr>
                  <w:tcW w:w="968" w:type="dxa"/>
                  <w:tcBorders>
                    <w:tl2br w:val="nil"/>
                    <w:tr2bl w:val="nil"/>
                  </w:tcBorders>
                  <w:vAlign w:val="center"/>
                </w:tcPr>
                <w:p w14:paraId="524C76FA">
                  <w:pPr>
                    <w:pStyle w:val="2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b/>
                      <w:color w:val="auto"/>
                      <w:sz w:val="21"/>
                      <w:szCs w:val="21"/>
                      <w:vertAlign w:val="baseline"/>
                      <w:lang w:val="en-US" w:eastAsia="zh-CN"/>
                    </w:rPr>
                  </w:pPr>
                  <w:r>
                    <w:rPr>
                      <w:rFonts w:hint="eastAsia"/>
                      <w:b/>
                      <w:color w:val="auto"/>
                      <w:sz w:val="21"/>
                      <w:szCs w:val="21"/>
                      <w:vertAlign w:val="baseline"/>
                      <w:lang w:val="en-US" w:eastAsia="zh-CN"/>
                    </w:rPr>
                    <w:t>符合性</w:t>
                  </w:r>
                </w:p>
                <w:p w14:paraId="15F8E5F5">
                  <w:pPr>
                    <w:pStyle w:val="2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eastAsia="宋体"/>
                      <w:b/>
                      <w:color w:val="auto"/>
                      <w:sz w:val="21"/>
                      <w:szCs w:val="21"/>
                      <w:vertAlign w:val="baseline"/>
                      <w:lang w:val="en-US" w:eastAsia="zh-CN"/>
                    </w:rPr>
                  </w:pPr>
                  <w:r>
                    <w:rPr>
                      <w:rFonts w:hint="eastAsia"/>
                      <w:b/>
                      <w:color w:val="auto"/>
                      <w:sz w:val="21"/>
                      <w:szCs w:val="21"/>
                      <w:vertAlign w:val="baseline"/>
                      <w:lang w:val="en-US" w:eastAsia="zh-CN"/>
                    </w:rPr>
                    <w:t>分析</w:t>
                  </w:r>
                </w:p>
              </w:tc>
            </w:tr>
            <w:tr w14:paraId="5FCA1A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l2br w:val="nil"/>
                    <w:tr2bl w:val="nil"/>
                  </w:tcBorders>
                  <w:vAlign w:val="center"/>
                </w:tcPr>
                <w:p w14:paraId="4FCEE03A">
                  <w:pPr>
                    <w:pStyle w:val="2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eastAsia="宋体"/>
                      <w:b w:val="0"/>
                      <w:bCs/>
                      <w:color w:val="auto"/>
                      <w:sz w:val="21"/>
                      <w:szCs w:val="21"/>
                      <w:vertAlign w:val="baseline"/>
                      <w:lang w:val="en-US" w:eastAsia="zh-CN"/>
                    </w:rPr>
                  </w:pPr>
                  <w:r>
                    <w:rPr>
                      <w:rFonts w:hint="eastAsia"/>
                      <w:b w:val="0"/>
                      <w:bCs/>
                      <w:color w:val="auto"/>
                      <w:sz w:val="21"/>
                      <w:szCs w:val="21"/>
                      <w:vertAlign w:val="baseline"/>
                      <w:lang w:val="en-US" w:eastAsia="zh-CN"/>
                    </w:rPr>
                    <w:t>1</w:t>
                  </w:r>
                </w:p>
              </w:tc>
              <w:tc>
                <w:tcPr>
                  <w:tcW w:w="743" w:type="dxa"/>
                  <w:tcBorders>
                    <w:tl2br w:val="nil"/>
                    <w:tr2bl w:val="nil"/>
                  </w:tcBorders>
                  <w:vAlign w:val="center"/>
                </w:tcPr>
                <w:p w14:paraId="7BF827D8">
                  <w:pPr>
                    <w:pStyle w:val="2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eastAsia="宋体"/>
                      <w:b w:val="0"/>
                      <w:bCs/>
                      <w:color w:val="auto"/>
                      <w:sz w:val="21"/>
                      <w:szCs w:val="21"/>
                      <w:vertAlign w:val="baseline"/>
                      <w:lang w:val="en-US" w:eastAsia="zh-CN"/>
                    </w:rPr>
                  </w:pPr>
                  <w:r>
                    <w:rPr>
                      <w:rFonts w:hint="eastAsia"/>
                      <w:b w:val="0"/>
                      <w:bCs/>
                      <w:color w:val="auto"/>
                      <w:sz w:val="21"/>
                      <w:szCs w:val="21"/>
                      <w:vertAlign w:val="baseline"/>
                      <w:lang w:val="en-US" w:eastAsia="zh-CN"/>
                    </w:rPr>
                    <w:t>严格建设项目准入</w:t>
                  </w:r>
                </w:p>
              </w:tc>
              <w:tc>
                <w:tcPr>
                  <w:tcW w:w="3097" w:type="dxa"/>
                  <w:tcBorders>
                    <w:tl2br w:val="nil"/>
                    <w:tr2bl w:val="nil"/>
                  </w:tcBorders>
                  <w:vAlign w:val="center"/>
                </w:tcPr>
                <w:p w14:paraId="4594FE49">
                  <w:pPr>
                    <w:pStyle w:val="2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b w:val="0"/>
                      <w:bCs/>
                      <w:color w:val="auto"/>
                      <w:sz w:val="21"/>
                      <w:szCs w:val="21"/>
                      <w:vertAlign w:val="baseline"/>
                    </w:rPr>
                  </w:pPr>
                  <w:r>
                    <w:rPr>
                      <w:rFonts w:hint="eastAsia"/>
                      <w:b w:val="0"/>
                      <w:bCs/>
                      <w:color w:val="auto"/>
                      <w:sz w:val="21"/>
                      <w:szCs w:val="21"/>
                      <w:vertAlign w:val="baseline"/>
                    </w:rPr>
                    <w:t>将控制挥发性有机物排放列入建设项目环境影响评价重要内容，严格环境准入，严控“两高”行业新增产能，新建、迁建VOCs排放量大的企业应入工业园区并符合规划要求，必须建设挥发性有机物污染治理设施，安装废气收集、回收或净化装置，原则上总净化效率不得低于90%。建立VOCs排放总量控制制度</w:t>
                  </w:r>
                </w:p>
              </w:tc>
              <w:tc>
                <w:tcPr>
                  <w:tcW w:w="2353" w:type="dxa"/>
                  <w:vMerge w:val="restart"/>
                  <w:tcBorders>
                    <w:tl2br w:val="nil"/>
                    <w:tr2bl w:val="nil"/>
                  </w:tcBorders>
                  <w:vAlign w:val="center"/>
                </w:tcPr>
                <w:p w14:paraId="274E4E7E">
                  <w:pPr>
                    <w:pStyle w:val="2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eastAsia="宋体"/>
                      <w:b w:val="0"/>
                      <w:bCs/>
                      <w:color w:val="auto"/>
                      <w:sz w:val="21"/>
                      <w:szCs w:val="21"/>
                      <w:vertAlign w:val="baseline"/>
                      <w:lang w:val="en-US" w:eastAsia="zh-CN"/>
                    </w:rPr>
                  </w:pPr>
                  <w:r>
                    <w:rPr>
                      <w:rFonts w:hint="eastAsia"/>
                      <w:b w:val="0"/>
                      <w:bCs/>
                      <w:color w:val="auto"/>
                      <w:sz w:val="21"/>
                      <w:szCs w:val="21"/>
                      <w:vertAlign w:val="baseline"/>
                      <w:lang w:val="en-US" w:eastAsia="zh-CN"/>
                    </w:rPr>
                    <w:t>本项目位于安徽省淮南市凤台县凤台经济开发区电子智能制造产业园52#标准化厂房一层、二层、三层、四层，项目用地为工业用地，选址合理。</w:t>
                  </w:r>
                  <w:r>
                    <w:rPr>
                      <w:rFonts w:hint="default"/>
                      <w:color w:val="auto"/>
                      <w:sz w:val="21"/>
                      <w:szCs w:val="21"/>
                      <w:shd w:val="clear" w:color="auto" w:fill="FFFFFF"/>
                    </w:rPr>
                    <w:t>本项目</w:t>
                  </w:r>
                  <w:r>
                    <w:rPr>
                      <w:rFonts w:hint="eastAsia"/>
                      <w:color w:val="auto"/>
                      <w:sz w:val="21"/>
                      <w:szCs w:val="21"/>
                      <w:shd w:val="clear" w:color="auto" w:fill="FFFFFF"/>
                      <w:lang w:val="en-US" w:eastAsia="zh-CN"/>
                    </w:rPr>
                    <w:t>含VOCs的注塑废气经集气罩收集</w:t>
                  </w:r>
                  <w:r>
                    <w:rPr>
                      <w:rFonts w:hint="eastAsia" w:hAnsi="宋体"/>
                      <w:color w:val="auto"/>
                      <w:kern w:val="0"/>
                      <w:sz w:val="21"/>
                      <w:szCs w:val="21"/>
                      <w:highlight w:val="none"/>
                      <w:lang w:val="en-US" w:eastAsia="zh-CN"/>
                    </w:rPr>
                    <w:t>后通过“二级活性炭吸附装置”</w:t>
                  </w:r>
                  <w:r>
                    <w:rPr>
                      <w:rFonts w:hint="default" w:hAnsi="宋体"/>
                      <w:color w:val="auto"/>
                      <w:kern w:val="0"/>
                      <w:sz w:val="21"/>
                      <w:szCs w:val="21"/>
                      <w:highlight w:val="none"/>
                    </w:rPr>
                    <w:t>处理</w:t>
                  </w:r>
                  <w:r>
                    <w:rPr>
                      <w:rFonts w:hint="eastAsia" w:hAnsi="宋体"/>
                      <w:color w:val="auto"/>
                      <w:kern w:val="0"/>
                      <w:sz w:val="21"/>
                      <w:szCs w:val="21"/>
                      <w:highlight w:val="none"/>
                      <w:lang w:val="en-US" w:eastAsia="zh-CN"/>
                    </w:rPr>
                    <w:t>达标后排放</w:t>
                  </w:r>
                  <w:r>
                    <w:rPr>
                      <w:rFonts w:hint="eastAsia" w:hAnsi="宋体"/>
                      <w:color w:val="auto"/>
                      <w:kern w:val="0"/>
                      <w:sz w:val="21"/>
                      <w:szCs w:val="21"/>
                      <w:highlight w:val="none"/>
                      <w:lang w:eastAsia="zh-CN"/>
                    </w:rPr>
                    <w:t>。</w:t>
                  </w:r>
                  <w:r>
                    <w:rPr>
                      <w:rFonts w:hint="eastAsia" w:hAnsi="宋体"/>
                      <w:color w:val="auto"/>
                      <w:kern w:val="0"/>
                      <w:sz w:val="21"/>
                      <w:szCs w:val="21"/>
                      <w:highlight w:val="none"/>
                      <w:lang w:val="en-US" w:eastAsia="zh-CN"/>
                    </w:rPr>
                    <w:t>废气</w:t>
                  </w:r>
                  <w:r>
                    <w:rPr>
                      <w:rFonts w:hint="default" w:hAnsi="宋体"/>
                      <w:color w:val="auto"/>
                      <w:kern w:val="0"/>
                      <w:sz w:val="21"/>
                      <w:szCs w:val="21"/>
                      <w:highlight w:val="none"/>
                    </w:rPr>
                    <w:t>可</w:t>
                  </w:r>
                  <w:r>
                    <w:rPr>
                      <w:rFonts w:hint="eastAsia" w:ascii="宋体" w:hAnsi="宋体"/>
                      <w:color w:val="auto"/>
                      <w:kern w:val="0"/>
                      <w:sz w:val="21"/>
                      <w:szCs w:val="21"/>
                      <w:highlight w:val="none"/>
                    </w:rPr>
                    <w:t>做到处理后达标排放</w:t>
                  </w:r>
                  <w:r>
                    <w:rPr>
                      <w:rFonts w:hint="eastAsia" w:ascii="宋体" w:hAnsi="宋体"/>
                      <w:color w:val="auto"/>
                      <w:kern w:val="0"/>
                      <w:sz w:val="21"/>
                      <w:szCs w:val="21"/>
                      <w:highlight w:val="none"/>
                      <w:lang w:eastAsia="zh-CN"/>
                    </w:rPr>
                    <w:t>，</w:t>
                  </w:r>
                  <w:r>
                    <w:rPr>
                      <w:rFonts w:hint="eastAsia"/>
                      <w:b w:val="0"/>
                      <w:bCs/>
                      <w:color w:val="auto"/>
                      <w:sz w:val="21"/>
                      <w:szCs w:val="21"/>
                      <w:vertAlign w:val="baseline"/>
                      <w:lang w:val="en-US" w:eastAsia="zh-CN"/>
                    </w:rPr>
                    <w:t>不属于新建VOCs排放量大的企业。</w:t>
                  </w:r>
                </w:p>
              </w:tc>
              <w:tc>
                <w:tcPr>
                  <w:tcW w:w="968" w:type="dxa"/>
                  <w:tcBorders>
                    <w:tl2br w:val="nil"/>
                    <w:tr2bl w:val="nil"/>
                  </w:tcBorders>
                  <w:vAlign w:val="center"/>
                </w:tcPr>
                <w:p w14:paraId="640CE802">
                  <w:pPr>
                    <w:pStyle w:val="2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eastAsia="宋体"/>
                      <w:b w:val="0"/>
                      <w:bCs/>
                      <w:color w:val="auto"/>
                      <w:sz w:val="21"/>
                      <w:szCs w:val="21"/>
                      <w:vertAlign w:val="baseline"/>
                      <w:lang w:val="en-US" w:eastAsia="zh-CN"/>
                    </w:rPr>
                  </w:pPr>
                  <w:r>
                    <w:rPr>
                      <w:rFonts w:hint="eastAsia"/>
                      <w:b w:val="0"/>
                      <w:bCs/>
                      <w:color w:val="auto"/>
                      <w:sz w:val="21"/>
                      <w:szCs w:val="21"/>
                      <w:vertAlign w:val="baseline"/>
                      <w:lang w:val="en-US" w:eastAsia="zh-CN"/>
                    </w:rPr>
                    <w:t>符合</w:t>
                  </w:r>
                </w:p>
              </w:tc>
            </w:tr>
            <w:tr w14:paraId="2EC0DE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l2br w:val="nil"/>
                    <w:tr2bl w:val="nil"/>
                  </w:tcBorders>
                  <w:vAlign w:val="center"/>
                </w:tcPr>
                <w:p w14:paraId="73CFE9FC">
                  <w:pPr>
                    <w:pStyle w:val="2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eastAsia="宋体"/>
                      <w:b w:val="0"/>
                      <w:bCs/>
                      <w:color w:val="auto"/>
                      <w:sz w:val="21"/>
                      <w:szCs w:val="21"/>
                      <w:vertAlign w:val="baseline"/>
                      <w:lang w:val="en-US" w:eastAsia="zh-CN"/>
                    </w:rPr>
                  </w:pPr>
                  <w:r>
                    <w:rPr>
                      <w:rFonts w:hint="eastAsia"/>
                      <w:b w:val="0"/>
                      <w:bCs/>
                      <w:color w:val="auto"/>
                      <w:sz w:val="21"/>
                      <w:szCs w:val="21"/>
                      <w:vertAlign w:val="baseline"/>
                      <w:lang w:val="en-US" w:eastAsia="zh-CN"/>
                    </w:rPr>
                    <w:t>2</w:t>
                  </w:r>
                </w:p>
              </w:tc>
              <w:tc>
                <w:tcPr>
                  <w:tcW w:w="743" w:type="dxa"/>
                  <w:tcBorders>
                    <w:tl2br w:val="nil"/>
                    <w:tr2bl w:val="nil"/>
                  </w:tcBorders>
                  <w:vAlign w:val="center"/>
                </w:tcPr>
                <w:p w14:paraId="2672C523">
                  <w:pPr>
                    <w:pStyle w:val="2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eastAsia="宋体"/>
                      <w:b w:val="0"/>
                      <w:bCs/>
                      <w:color w:val="auto"/>
                      <w:sz w:val="21"/>
                      <w:szCs w:val="21"/>
                      <w:vertAlign w:val="baseline"/>
                      <w:lang w:val="en-US" w:eastAsia="zh-CN"/>
                    </w:rPr>
                  </w:pPr>
                  <w:r>
                    <w:rPr>
                      <w:rFonts w:hint="eastAsia"/>
                      <w:b w:val="0"/>
                      <w:bCs/>
                      <w:color w:val="auto"/>
                      <w:sz w:val="21"/>
                      <w:szCs w:val="21"/>
                      <w:vertAlign w:val="baseline"/>
                      <w:lang w:val="en-US" w:eastAsia="zh-CN"/>
                    </w:rPr>
                    <w:t>强化污染治理</w:t>
                  </w:r>
                </w:p>
              </w:tc>
              <w:tc>
                <w:tcPr>
                  <w:tcW w:w="3097" w:type="dxa"/>
                  <w:tcBorders>
                    <w:tl2br w:val="nil"/>
                    <w:tr2bl w:val="nil"/>
                  </w:tcBorders>
                  <w:vAlign w:val="center"/>
                </w:tcPr>
                <w:p w14:paraId="3F05EA1C">
                  <w:pPr>
                    <w:pStyle w:val="2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b w:val="0"/>
                      <w:bCs/>
                      <w:color w:val="auto"/>
                      <w:sz w:val="21"/>
                      <w:szCs w:val="21"/>
                      <w:vertAlign w:val="baseline"/>
                    </w:rPr>
                  </w:pPr>
                  <w:r>
                    <w:rPr>
                      <w:rFonts w:hint="eastAsia"/>
                      <w:b w:val="0"/>
                      <w:bCs/>
                      <w:color w:val="auto"/>
                      <w:sz w:val="21"/>
                      <w:szCs w:val="21"/>
                      <w:vertAlign w:val="baseline"/>
                    </w:rPr>
                    <w:t>严格按照挥发性有机物（VOCs）污染防治技术政策要求，科学制定重点行业、重点企业污染防治技术方案。采用密闭式生产和环保型原辅材料、生产工艺和装备，着力从源头控制VOCs废气的产生和无组织排放。加大VOCs废气的回收利用，优先在生产系统内回用。对浓度和性状差异大的废气应根据废气的产生量、污染物的组分和性质、浓度、温度、压力等因素进行综合分析，合理选择废气回收或末端治理工艺路线，科学治理，达标排放。妥善处置次生污染物，防范二次污染</w:t>
                  </w:r>
                </w:p>
              </w:tc>
              <w:tc>
                <w:tcPr>
                  <w:tcW w:w="2353" w:type="dxa"/>
                  <w:vMerge w:val="continue"/>
                  <w:tcBorders>
                    <w:tl2br w:val="nil"/>
                    <w:tr2bl w:val="nil"/>
                  </w:tcBorders>
                  <w:vAlign w:val="center"/>
                </w:tcPr>
                <w:p w14:paraId="2B696E7B">
                  <w:pPr>
                    <w:pStyle w:val="2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b w:val="0"/>
                      <w:bCs/>
                      <w:color w:val="auto"/>
                      <w:sz w:val="21"/>
                      <w:szCs w:val="21"/>
                      <w:vertAlign w:val="baseline"/>
                    </w:rPr>
                  </w:pPr>
                </w:p>
              </w:tc>
              <w:tc>
                <w:tcPr>
                  <w:tcW w:w="968" w:type="dxa"/>
                  <w:tcBorders>
                    <w:tl2br w:val="nil"/>
                    <w:tr2bl w:val="nil"/>
                  </w:tcBorders>
                  <w:vAlign w:val="center"/>
                </w:tcPr>
                <w:p w14:paraId="05F38116">
                  <w:pPr>
                    <w:pStyle w:val="2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eastAsia="宋体"/>
                      <w:b w:val="0"/>
                      <w:bCs/>
                      <w:color w:val="auto"/>
                      <w:sz w:val="21"/>
                      <w:szCs w:val="21"/>
                      <w:vertAlign w:val="baseline"/>
                      <w:lang w:val="en-US" w:eastAsia="zh-CN"/>
                    </w:rPr>
                  </w:pPr>
                  <w:r>
                    <w:rPr>
                      <w:rFonts w:hint="eastAsia"/>
                      <w:b w:val="0"/>
                      <w:bCs/>
                      <w:color w:val="auto"/>
                      <w:sz w:val="21"/>
                      <w:szCs w:val="21"/>
                      <w:vertAlign w:val="baseline"/>
                      <w:lang w:val="en-US" w:eastAsia="zh-CN"/>
                    </w:rPr>
                    <w:t>符合</w:t>
                  </w:r>
                </w:p>
              </w:tc>
            </w:tr>
          </w:tbl>
          <w:p w14:paraId="1C09839C">
            <w:pPr>
              <w:keepNext w:val="0"/>
              <w:keepLines w:val="0"/>
              <w:suppressLineNumbers w:val="0"/>
              <w:spacing w:before="0" w:beforeAutospacing="0" w:after="0" w:afterAutospacing="0" w:line="360" w:lineRule="auto"/>
              <w:ind w:left="0" w:right="0" w:firstLine="482" w:firstLineChars="200"/>
              <w:rPr>
                <w:rFonts w:hint="default" w:ascii="Times New Roman" w:hAnsi="黑体" w:eastAsia="黑体"/>
                <w:color w:val="auto"/>
                <w:sz w:val="24"/>
                <w:szCs w:val="24"/>
              </w:rPr>
            </w:pPr>
            <w:r>
              <w:rPr>
                <w:rFonts w:hint="eastAsia" w:ascii="Times New Roman" w:hAnsi="Times New Roman"/>
                <w:b/>
                <w:color w:val="auto"/>
                <w:sz w:val="24"/>
                <w:szCs w:val="24"/>
                <w:lang w:eastAsia="zh-CN"/>
              </w:rPr>
              <w:t>（</w:t>
            </w:r>
            <w:r>
              <w:rPr>
                <w:rFonts w:hint="eastAsia"/>
                <w:b/>
                <w:color w:val="auto"/>
                <w:sz w:val="24"/>
                <w:szCs w:val="24"/>
                <w:lang w:val="en-US" w:eastAsia="zh-CN"/>
              </w:rPr>
              <w:t>7</w:t>
            </w:r>
            <w:r>
              <w:rPr>
                <w:rFonts w:hint="eastAsia" w:ascii="Times New Roman" w:hAnsi="Times New Roman"/>
                <w:b/>
                <w:color w:val="auto"/>
                <w:sz w:val="24"/>
                <w:szCs w:val="24"/>
                <w:lang w:eastAsia="zh-CN"/>
              </w:rPr>
              <w:t>）</w:t>
            </w:r>
            <w:r>
              <w:rPr>
                <w:rFonts w:hint="default" w:ascii="Times New Roman" w:hAnsi="宋体"/>
                <w:b/>
                <w:color w:val="auto"/>
                <w:sz w:val="24"/>
                <w:szCs w:val="24"/>
              </w:rPr>
              <w:t>与</w:t>
            </w:r>
            <w:r>
              <w:rPr>
                <w:rFonts w:hint="eastAsia" w:ascii="Times New Roman" w:hAnsi="宋体"/>
                <w:b/>
                <w:color w:val="auto"/>
                <w:sz w:val="24"/>
                <w:szCs w:val="24"/>
              </w:rPr>
              <w:t>《安徽省</w:t>
            </w:r>
            <w:r>
              <w:rPr>
                <w:rFonts w:hint="default" w:ascii="Times New Roman" w:hAnsi="宋体"/>
                <w:b/>
                <w:color w:val="auto"/>
                <w:sz w:val="24"/>
                <w:szCs w:val="24"/>
              </w:rPr>
              <w:t>淮河流域水污染防治条例</w:t>
            </w:r>
            <w:r>
              <w:rPr>
                <w:rFonts w:hint="eastAsia" w:ascii="Times New Roman" w:hAnsi="宋体"/>
                <w:b/>
                <w:color w:val="auto"/>
                <w:sz w:val="24"/>
                <w:szCs w:val="24"/>
              </w:rPr>
              <w:t>》（2019年1月1日起施行）符合性</w:t>
            </w:r>
            <w:r>
              <w:rPr>
                <w:rFonts w:hint="default" w:ascii="Times New Roman" w:hAnsi="宋体"/>
                <w:b/>
                <w:color w:val="auto"/>
                <w:sz w:val="24"/>
                <w:szCs w:val="24"/>
              </w:rPr>
              <w:t>分析</w:t>
            </w:r>
          </w:p>
          <w:p w14:paraId="271B1A96">
            <w:pPr>
              <w:keepNext w:val="0"/>
              <w:keepLines w:val="0"/>
              <w:suppressLineNumbers w:val="0"/>
              <w:spacing w:before="0" w:beforeAutospacing="0" w:after="0" w:afterAutospacing="0" w:line="360" w:lineRule="auto"/>
              <w:ind w:left="0" w:right="0"/>
              <w:jc w:val="center"/>
              <w:rPr>
                <w:rFonts w:hint="default" w:ascii="Times New Roman" w:hAnsi="Times New Roman"/>
                <w:color w:val="auto"/>
                <w:kern w:val="0"/>
                <w:sz w:val="24"/>
                <w:szCs w:val="24"/>
              </w:rPr>
            </w:pPr>
            <w:r>
              <w:rPr>
                <w:rFonts w:hint="default" w:ascii="Times New Roman" w:hAnsi="黑体" w:eastAsia="黑体"/>
                <w:color w:val="auto"/>
                <w:sz w:val="24"/>
                <w:szCs w:val="24"/>
              </w:rPr>
              <w:t>表</w:t>
            </w:r>
            <w:r>
              <w:rPr>
                <w:rFonts w:hint="default" w:ascii="Times New Roman" w:hAnsi="Times New Roman" w:eastAsia="黑体"/>
                <w:color w:val="auto"/>
                <w:sz w:val="24"/>
                <w:szCs w:val="24"/>
              </w:rPr>
              <w:t>1-</w:t>
            </w:r>
            <w:r>
              <w:rPr>
                <w:rFonts w:hint="eastAsia" w:eastAsia="黑体"/>
                <w:color w:val="auto"/>
                <w:sz w:val="24"/>
                <w:szCs w:val="24"/>
                <w:lang w:val="en-US" w:eastAsia="zh-CN"/>
              </w:rPr>
              <w:t>11</w:t>
            </w:r>
            <w:r>
              <w:rPr>
                <w:rFonts w:hint="eastAsia" w:ascii="Times New Roman" w:hAnsi="Times New Roman" w:eastAsia="黑体"/>
                <w:color w:val="auto"/>
                <w:sz w:val="24"/>
                <w:szCs w:val="24"/>
              </w:rPr>
              <w:t xml:space="preserve"> </w:t>
            </w:r>
            <w:r>
              <w:rPr>
                <w:rFonts w:hint="default" w:ascii="Times New Roman" w:hAnsi="黑体" w:eastAsia="黑体"/>
                <w:color w:val="auto"/>
                <w:sz w:val="24"/>
              </w:rPr>
              <w:t>与</w:t>
            </w:r>
            <w:r>
              <w:rPr>
                <w:rFonts w:hint="eastAsia" w:ascii="Times New Roman" w:hAnsi="黑体" w:eastAsia="黑体"/>
                <w:color w:val="auto"/>
                <w:sz w:val="24"/>
              </w:rPr>
              <w:t>《安徽省</w:t>
            </w:r>
            <w:r>
              <w:rPr>
                <w:rFonts w:hint="default" w:ascii="Times New Roman" w:hAnsi="黑体" w:eastAsia="黑体"/>
                <w:color w:val="auto"/>
                <w:sz w:val="24"/>
              </w:rPr>
              <w:t>淮河流域水污染防治条例</w:t>
            </w:r>
            <w:r>
              <w:rPr>
                <w:rFonts w:hint="eastAsia" w:ascii="Times New Roman" w:hAnsi="黑体" w:eastAsia="黑体"/>
                <w:color w:val="auto"/>
                <w:sz w:val="24"/>
              </w:rPr>
              <w:t>》符合性</w:t>
            </w:r>
            <w:r>
              <w:rPr>
                <w:rFonts w:hint="default" w:ascii="Times New Roman" w:hAnsi="黑体" w:eastAsia="黑体"/>
                <w:color w:val="auto"/>
                <w:sz w:val="24"/>
              </w:rPr>
              <w:t>分析</w:t>
            </w:r>
          </w:p>
          <w:tbl>
            <w:tblPr>
              <w:tblStyle w:val="37"/>
              <w:tblW w:w="5000" w:type="pct"/>
              <w:tblInd w:w="0" w:type="dxa"/>
              <w:tblBorders>
                <w:top w:val="single" w:color="auto" w:sz="4" w:space="0"/>
                <w:left w:val="none" w:color="auto" w:sz="0" w:space="0"/>
                <w:bottom w:val="single" w:color="auto"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589"/>
              <w:gridCol w:w="3149"/>
              <w:gridCol w:w="3031"/>
              <w:gridCol w:w="996"/>
            </w:tblGrid>
            <w:tr w14:paraId="4227AB0A">
              <w:tblPrEx>
                <w:tblBorders>
                  <w:top w:val="single" w:color="auto" w:sz="4" w:space="0"/>
                  <w:left w:val="none" w:color="auto" w:sz="0" w:space="0"/>
                  <w:bottom w:val="single" w:color="auto" w:sz="4"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379" w:type="pct"/>
                  <w:tcBorders>
                    <w:top w:val="single" w:color="auto" w:sz="12" w:space="0"/>
                  </w:tcBorders>
                  <w:noWrap w:val="0"/>
                  <w:vAlign w:val="center"/>
                </w:tcPr>
                <w:p w14:paraId="7EC4B988">
                  <w:pPr>
                    <w:keepNext w:val="0"/>
                    <w:keepLines w:val="0"/>
                    <w:suppressLineNumbers w:val="0"/>
                    <w:spacing w:before="0" w:beforeAutospacing="0" w:after="0" w:afterAutospacing="0" w:line="276" w:lineRule="auto"/>
                    <w:ind w:left="0" w:right="0"/>
                    <w:jc w:val="center"/>
                    <w:rPr>
                      <w:rFonts w:hint="default" w:ascii="Times New Roman" w:hAnsi="Times New Roman"/>
                      <w:b/>
                      <w:bCs/>
                      <w:color w:val="auto"/>
                      <w:szCs w:val="21"/>
                    </w:rPr>
                  </w:pPr>
                  <w:r>
                    <w:rPr>
                      <w:rFonts w:hint="default" w:ascii="Times New Roman" w:hAnsi="Times New Roman"/>
                      <w:b/>
                      <w:bCs/>
                      <w:color w:val="auto"/>
                      <w:szCs w:val="21"/>
                    </w:rPr>
                    <w:t>序号</w:t>
                  </w:r>
                </w:p>
              </w:tc>
              <w:tc>
                <w:tcPr>
                  <w:tcW w:w="2027" w:type="pct"/>
                  <w:tcBorders>
                    <w:top w:val="single" w:color="auto" w:sz="12" w:space="0"/>
                  </w:tcBorders>
                  <w:noWrap w:val="0"/>
                  <w:vAlign w:val="center"/>
                </w:tcPr>
                <w:p w14:paraId="49AE8540">
                  <w:pPr>
                    <w:keepNext w:val="0"/>
                    <w:keepLines w:val="0"/>
                    <w:suppressLineNumbers w:val="0"/>
                    <w:spacing w:before="0" w:beforeAutospacing="0" w:after="0" w:afterAutospacing="0" w:line="276" w:lineRule="auto"/>
                    <w:ind w:left="0" w:right="0"/>
                    <w:jc w:val="center"/>
                    <w:rPr>
                      <w:rFonts w:hint="default" w:ascii="Times New Roman" w:hAnsi="Times New Roman"/>
                      <w:b/>
                      <w:bCs/>
                      <w:color w:val="auto"/>
                      <w:szCs w:val="21"/>
                    </w:rPr>
                  </w:pPr>
                  <w:r>
                    <w:rPr>
                      <w:rFonts w:hint="default" w:ascii="Times New Roman" w:hAnsi="Times New Roman"/>
                      <w:b/>
                      <w:bCs/>
                      <w:color w:val="auto"/>
                      <w:szCs w:val="21"/>
                    </w:rPr>
                    <w:t>相关规范情况</w:t>
                  </w:r>
                </w:p>
              </w:tc>
              <w:tc>
                <w:tcPr>
                  <w:tcW w:w="1951" w:type="pct"/>
                  <w:tcBorders>
                    <w:top w:val="single" w:color="auto" w:sz="12" w:space="0"/>
                  </w:tcBorders>
                  <w:noWrap w:val="0"/>
                  <w:vAlign w:val="center"/>
                </w:tcPr>
                <w:p w14:paraId="72BD1E0A">
                  <w:pPr>
                    <w:keepNext w:val="0"/>
                    <w:keepLines w:val="0"/>
                    <w:suppressLineNumbers w:val="0"/>
                    <w:spacing w:before="0" w:beforeAutospacing="0" w:after="0" w:afterAutospacing="0" w:line="276" w:lineRule="auto"/>
                    <w:ind w:left="0" w:right="0"/>
                    <w:jc w:val="center"/>
                    <w:rPr>
                      <w:rFonts w:hint="default" w:ascii="Times New Roman" w:hAnsi="Times New Roman"/>
                      <w:b/>
                      <w:bCs/>
                      <w:color w:val="auto"/>
                      <w:szCs w:val="21"/>
                    </w:rPr>
                  </w:pPr>
                  <w:r>
                    <w:rPr>
                      <w:rFonts w:hint="default" w:ascii="Times New Roman" w:hAnsi="Times New Roman"/>
                      <w:b/>
                      <w:bCs/>
                      <w:color w:val="auto"/>
                      <w:szCs w:val="21"/>
                    </w:rPr>
                    <w:t>本项目情况</w:t>
                  </w:r>
                </w:p>
              </w:tc>
              <w:tc>
                <w:tcPr>
                  <w:tcW w:w="641" w:type="pct"/>
                  <w:tcBorders>
                    <w:top w:val="single" w:color="auto" w:sz="12" w:space="0"/>
                  </w:tcBorders>
                  <w:noWrap w:val="0"/>
                  <w:vAlign w:val="center"/>
                </w:tcPr>
                <w:p w14:paraId="3F84988E">
                  <w:pPr>
                    <w:keepNext w:val="0"/>
                    <w:keepLines w:val="0"/>
                    <w:suppressLineNumbers w:val="0"/>
                    <w:spacing w:before="0" w:beforeAutospacing="0" w:after="0" w:afterAutospacing="0" w:line="276" w:lineRule="auto"/>
                    <w:ind w:left="0" w:right="0"/>
                    <w:jc w:val="center"/>
                    <w:rPr>
                      <w:rFonts w:hint="default" w:ascii="Times New Roman" w:hAnsi="Times New Roman"/>
                      <w:b/>
                      <w:bCs/>
                      <w:color w:val="auto"/>
                      <w:szCs w:val="21"/>
                    </w:rPr>
                  </w:pPr>
                  <w:r>
                    <w:rPr>
                      <w:rFonts w:hint="eastAsia" w:ascii="Times New Roman" w:hAnsi="Times New Roman"/>
                      <w:b/>
                      <w:bCs/>
                      <w:color w:val="auto"/>
                      <w:szCs w:val="21"/>
                    </w:rPr>
                    <w:t>符合性</w:t>
                  </w:r>
                </w:p>
              </w:tc>
            </w:tr>
            <w:tr w14:paraId="61AED85E">
              <w:tblPrEx>
                <w:tblBorders>
                  <w:top w:val="single" w:color="auto" w:sz="4" w:space="0"/>
                  <w:left w:val="none" w:color="auto" w:sz="0" w:space="0"/>
                  <w:bottom w:val="single" w:color="auto" w:sz="4"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379" w:type="pct"/>
                  <w:noWrap w:val="0"/>
                  <w:vAlign w:val="center"/>
                </w:tcPr>
                <w:p w14:paraId="07D344C4">
                  <w:pPr>
                    <w:keepNext w:val="0"/>
                    <w:keepLines w:val="0"/>
                    <w:suppressLineNumbers w:val="0"/>
                    <w:spacing w:before="0" w:beforeAutospacing="0" w:after="0" w:afterAutospacing="0" w:line="276" w:lineRule="auto"/>
                    <w:ind w:left="0" w:right="0"/>
                    <w:jc w:val="center"/>
                    <w:rPr>
                      <w:rFonts w:hint="default" w:ascii="Times New Roman" w:hAnsi="Times New Roman"/>
                      <w:color w:val="auto"/>
                      <w:szCs w:val="21"/>
                    </w:rPr>
                  </w:pPr>
                  <w:r>
                    <w:rPr>
                      <w:rFonts w:hint="eastAsia" w:ascii="Times New Roman" w:hAnsi="Times New Roman"/>
                      <w:color w:val="auto"/>
                      <w:szCs w:val="21"/>
                    </w:rPr>
                    <w:t>1</w:t>
                  </w:r>
                </w:p>
              </w:tc>
              <w:tc>
                <w:tcPr>
                  <w:tcW w:w="2027" w:type="pct"/>
                  <w:noWrap w:val="0"/>
                  <w:vAlign w:val="center"/>
                </w:tcPr>
                <w:p w14:paraId="3F68AFCA">
                  <w:pPr>
                    <w:keepNext w:val="0"/>
                    <w:keepLines w:val="0"/>
                    <w:suppressLineNumbers w:val="0"/>
                    <w:spacing w:before="0" w:beforeAutospacing="0" w:after="0" w:afterAutospacing="0" w:line="276" w:lineRule="auto"/>
                    <w:ind w:left="0" w:right="0"/>
                    <w:jc w:val="center"/>
                    <w:rPr>
                      <w:rFonts w:hint="default" w:ascii="Times New Roman" w:hAnsi="Times New Roman"/>
                      <w:color w:val="auto"/>
                      <w:szCs w:val="21"/>
                    </w:rPr>
                  </w:pPr>
                  <w:r>
                    <w:rPr>
                      <w:rFonts w:hint="eastAsia" w:ascii="Times New Roman" w:hAnsi="宋体"/>
                      <w:bCs/>
                      <w:color w:val="auto"/>
                      <w:kern w:val="0"/>
                      <w:szCs w:val="21"/>
                    </w:rPr>
                    <w:t>禁止在淮河流域新建化学制浆造纸企业和印染、制革、化工、电镀、酿造等污染严重的小型企业。严格限制在淮河流域新建印染、制革、化工、电镀、酿造等大中型项目或者其他污染严重的项目；建设该类项目的，应当事前征得省人民政府生态环境行政主管部门的同意，并按照规定办理有关手续</w:t>
                  </w:r>
                </w:p>
              </w:tc>
              <w:tc>
                <w:tcPr>
                  <w:tcW w:w="1951" w:type="pct"/>
                  <w:noWrap w:val="0"/>
                  <w:vAlign w:val="center"/>
                </w:tcPr>
                <w:p w14:paraId="07A74BB8">
                  <w:pPr>
                    <w:keepNext w:val="0"/>
                    <w:keepLines w:val="0"/>
                    <w:suppressLineNumbers w:val="0"/>
                    <w:spacing w:before="0" w:beforeAutospacing="0" w:after="0" w:afterAutospacing="0" w:line="276" w:lineRule="auto"/>
                    <w:ind w:left="0" w:right="0"/>
                    <w:jc w:val="center"/>
                    <w:rPr>
                      <w:rFonts w:hint="default" w:ascii="Times New Roman" w:hAnsi="Times New Roman" w:eastAsia="宋体"/>
                      <w:color w:val="auto"/>
                      <w:szCs w:val="21"/>
                      <w:lang w:val="en-US" w:eastAsia="zh-CN"/>
                    </w:rPr>
                  </w:pPr>
                  <w:r>
                    <w:rPr>
                      <w:rFonts w:hint="eastAsia" w:ascii="Times New Roman" w:hAnsi="宋体"/>
                      <w:bCs/>
                      <w:color w:val="auto"/>
                      <w:kern w:val="0"/>
                      <w:szCs w:val="21"/>
                    </w:rPr>
                    <w:t>本项目属于</w:t>
                  </w:r>
                  <w:r>
                    <w:rPr>
                      <w:rFonts w:hint="eastAsia" w:hAnsi="宋体"/>
                      <w:color w:val="auto"/>
                      <w:szCs w:val="21"/>
                      <w:lang w:val="en-US" w:eastAsia="zh-CN"/>
                    </w:rPr>
                    <w:t>C2927日用塑料制品制造、C2929塑料零件及其他塑料制品制</w:t>
                  </w:r>
                  <w:r>
                    <w:rPr>
                      <w:rFonts w:hint="eastAsia" w:ascii="Times New Roman" w:hAnsi="宋体"/>
                      <w:bCs/>
                      <w:color w:val="auto"/>
                      <w:kern w:val="0"/>
                      <w:szCs w:val="21"/>
                    </w:rPr>
                    <w:t>造，不属于印染、制革、化工、电镀等类型项目，项目已取得凤台县发展和改革委员会备案文件，项目代码为</w:t>
                  </w:r>
                  <w:r>
                    <w:rPr>
                      <w:rFonts w:hint="eastAsia" w:ascii="Times New Roman" w:hAnsi="宋体"/>
                      <w:bCs/>
                      <w:color w:val="auto"/>
                      <w:kern w:val="0"/>
                      <w:szCs w:val="21"/>
                      <w:lang w:val="en-US" w:eastAsia="zh-CN"/>
                    </w:rPr>
                    <w:t>2603-340421-04-03-241021</w:t>
                  </w:r>
                  <w:r>
                    <w:rPr>
                      <w:rFonts w:hint="eastAsia" w:hAnsi="宋体"/>
                      <w:bCs/>
                      <w:color w:val="auto"/>
                      <w:kern w:val="0"/>
                      <w:szCs w:val="21"/>
                      <w:lang w:val="en-US" w:eastAsia="zh-CN"/>
                    </w:rPr>
                    <w:t>。</w:t>
                  </w:r>
                </w:p>
              </w:tc>
              <w:tc>
                <w:tcPr>
                  <w:tcW w:w="641" w:type="pct"/>
                  <w:noWrap w:val="0"/>
                  <w:vAlign w:val="center"/>
                </w:tcPr>
                <w:p w14:paraId="6928E855">
                  <w:pPr>
                    <w:keepNext w:val="0"/>
                    <w:keepLines w:val="0"/>
                    <w:suppressLineNumbers w:val="0"/>
                    <w:spacing w:before="0" w:beforeAutospacing="0" w:after="0" w:afterAutospacing="0" w:line="276" w:lineRule="auto"/>
                    <w:ind w:left="0" w:right="0"/>
                    <w:jc w:val="center"/>
                    <w:rPr>
                      <w:rFonts w:hint="default" w:ascii="Times New Roman" w:hAnsi="Times New Roman"/>
                      <w:color w:val="auto"/>
                      <w:szCs w:val="21"/>
                    </w:rPr>
                  </w:pPr>
                  <w:r>
                    <w:rPr>
                      <w:rFonts w:hint="eastAsia" w:ascii="Times New Roman" w:hAnsi="宋体"/>
                      <w:bCs/>
                      <w:color w:val="auto"/>
                      <w:kern w:val="0"/>
                      <w:szCs w:val="21"/>
                    </w:rPr>
                    <w:t>符合</w:t>
                  </w:r>
                </w:p>
              </w:tc>
            </w:tr>
            <w:tr w14:paraId="2ACD80F5">
              <w:tblPrEx>
                <w:tblBorders>
                  <w:top w:val="single" w:color="auto" w:sz="4" w:space="0"/>
                  <w:left w:val="none" w:color="auto" w:sz="0" w:space="0"/>
                  <w:bottom w:val="single" w:color="auto" w:sz="4"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379" w:type="pct"/>
                  <w:tcBorders>
                    <w:bottom w:val="single" w:color="auto" w:sz="12" w:space="0"/>
                  </w:tcBorders>
                  <w:noWrap w:val="0"/>
                  <w:vAlign w:val="center"/>
                </w:tcPr>
                <w:p w14:paraId="24E095F8">
                  <w:pPr>
                    <w:keepNext w:val="0"/>
                    <w:keepLines w:val="0"/>
                    <w:suppressLineNumbers w:val="0"/>
                    <w:spacing w:before="0" w:beforeAutospacing="0" w:after="0" w:afterAutospacing="0" w:line="276" w:lineRule="auto"/>
                    <w:ind w:left="0" w:right="0"/>
                    <w:jc w:val="center"/>
                    <w:rPr>
                      <w:rFonts w:hint="default" w:ascii="Times New Roman" w:hAnsi="Times New Roman"/>
                      <w:color w:val="auto"/>
                      <w:szCs w:val="21"/>
                    </w:rPr>
                  </w:pPr>
                  <w:r>
                    <w:rPr>
                      <w:rFonts w:hint="eastAsia" w:ascii="Times New Roman" w:hAnsi="Times New Roman"/>
                      <w:color w:val="auto"/>
                      <w:szCs w:val="21"/>
                    </w:rPr>
                    <w:t>2</w:t>
                  </w:r>
                </w:p>
              </w:tc>
              <w:tc>
                <w:tcPr>
                  <w:tcW w:w="2027" w:type="pct"/>
                  <w:tcBorders>
                    <w:bottom w:val="single" w:color="auto" w:sz="12" w:space="0"/>
                  </w:tcBorders>
                  <w:noWrap w:val="0"/>
                  <w:vAlign w:val="center"/>
                </w:tcPr>
                <w:p w14:paraId="2243801C">
                  <w:pPr>
                    <w:keepNext w:val="0"/>
                    <w:keepLines w:val="0"/>
                    <w:suppressLineNumbers w:val="0"/>
                    <w:spacing w:before="0" w:beforeAutospacing="0" w:after="0" w:afterAutospacing="0" w:line="276" w:lineRule="auto"/>
                    <w:ind w:left="0" w:right="0"/>
                    <w:jc w:val="center"/>
                    <w:rPr>
                      <w:rFonts w:hint="default" w:ascii="Times New Roman" w:hAnsi="Times New Roman"/>
                      <w:color w:val="auto"/>
                      <w:szCs w:val="21"/>
                    </w:rPr>
                  </w:pPr>
                  <w:r>
                    <w:rPr>
                      <w:rFonts w:hint="eastAsia" w:ascii="Times New Roman" w:hAnsi="宋体"/>
                      <w:bCs/>
                      <w:color w:val="auto"/>
                      <w:kern w:val="0"/>
                      <w:szCs w:val="21"/>
                    </w:rPr>
                    <w:t>在淮河流域城市公共排水设施覆盖区域内，应当实行雨水、污水分流；排水户应当将雨水、污水分别排入公共雨水、污水管网及其附属设施</w:t>
                  </w:r>
                </w:p>
              </w:tc>
              <w:tc>
                <w:tcPr>
                  <w:tcW w:w="1951" w:type="pct"/>
                  <w:tcBorders>
                    <w:bottom w:val="single" w:color="auto" w:sz="12" w:space="0"/>
                  </w:tcBorders>
                  <w:noWrap w:val="0"/>
                  <w:vAlign w:val="center"/>
                </w:tcPr>
                <w:p w14:paraId="28CBBBDB">
                  <w:pPr>
                    <w:keepNext w:val="0"/>
                    <w:keepLines w:val="0"/>
                    <w:suppressLineNumbers w:val="0"/>
                    <w:spacing w:before="0" w:beforeAutospacing="0" w:after="0" w:afterAutospacing="0" w:line="276" w:lineRule="auto"/>
                    <w:ind w:left="0" w:right="0"/>
                    <w:jc w:val="center"/>
                    <w:rPr>
                      <w:rFonts w:hint="default" w:ascii="Times New Roman" w:hAnsi="Times New Roman" w:eastAsia="宋体"/>
                      <w:color w:val="auto"/>
                      <w:szCs w:val="21"/>
                      <w:lang w:val="en-US" w:eastAsia="zh-CN"/>
                    </w:rPr>
                  </w:pPr>
                  <w:r>
                    <w:rPr>
                      <w:rFonts w:hint="eastAsia" w:ascii="Times New Roman" w:hAnsi="宋体"/>
                      <w:bCs/>
                      <w:color w:val="auto"/>
                      <w:kern w:val="0"/>
                      <w:szCs w:val="21"/>
                    </w:rPr>
                    <w:t>项目实行雨水、污水分流，项目运营期产生的外排废水主要为</w:t>
                  </w:r>
                  <w:r>
                    <w:rPr>
                      <w:rFonts w:hint="eastAsia" w:ascii="Times New Roman" w:hAnsi="宋体"/>
                      <w:bCs/>
                      <w:color w:val="auto"/>
                      <w:kern w:val="0"/>
                      <w:szCs w:val="21"/>
                      <w:lang w:val="en-US" w:eastAsia="zh-CN"/>
                    </w:rPr>
                    <w:t>循环冷却排水</w:t>
                  </w:r>
                  <w:r>
                    <w:rPr>
                      <w:rFonts w:hint="eastAsia" w:hAnsi="宋体"/>
                      <w:bCs/>
                      <w:color w:val="auto"/>
                      <w:kern w:val="0"/>
                      <w:szCs w:val="21"/>
                      <w:lang w:val="en-US" w:eastAsia="zh-CN"/>
                    </w:rPr>
                    <w:t>及</w:t>
                  </w:r>
                  <w:r>
                    <w:rPr>
                      <w:rFonts w:hint="eastAsia" w:ascii="Times New Roman" w:hAnsi="宋体"/>
                      <w:bCs/>
                      <w:color w:val="auto"/>
                      <w:kern w:val="0"/>
                      <w:szCs w:val="21"/>
                      <w:lang w:val="en-US" w:eastAsia="zh-CN"/>
                    </w:rPr>
                    <w:t>生活污水</w:t>
                  </w:r>
                  <w:r>
                    <w:rPr>
                      <w:rFonts w:hint="eastAsia" w:ascii="Times New Roman" w:hAnsi="宋体"/>
                      <w:bCs/>
                      <w:color w:val="auto"/>
                      <w:kern w:val="0"/>
                      <w:szCs w:val="21"/>
                    </w:rPr>
                    <w:t>，</w:t>
                  </w:r>
                  <w:r>
                    <w:rPr>
                      <w:rFonts w:hint="eastAsia" w:ascii="Times New Roman" w:hAnsi="宋体"/>
                      <w:bCs/>
                      <w:color w:val="auto"/>
                      <w:kern w:val="0"/>
                      <w:szCs w:val="21"/>
                      <w:lang w:val="en-US" w:eastAsia="zh-CN"/>
                    </w:rPr>
                    <w:t>循环冷却排水</w:t>
                  </w:r>
                  <w:r>
                    <w:rPr>
                      <w:rFonts w:hint="eastAsia" w:hAnsi="宋体"/>
                      <w:bCs/>
                      <w:color w:val="auto"/>
                      <w:kern w:val="0"/>
                      <w:szCs w:val="21"/>
                      <w:lang w:val="en-US" w:eastAsia="zh-CN"/>
                    </w:rPr>
                    <w:t>与经</w:t>
                  </w:r>
                  <w:r>
                    <w:rPr>
                      <w:rFonts w:hint="default" w:ascii="Times New Roman" w:hAnsi="宋体"/>
                      <w:bCs/>
                      <w:color w:val="auto"/>
                      <w:kern w:val="0"/>
                      <w:szCs w:val="21"/>
                    </w:rPr>
                    <w:t>化粪池</w:t>
                  </w:r>
                  <w:r>
                    <w:rPr>
                      <w:rFonts w:hint="eastAsia" w:ascii="Times New Roman" w:hAnsi="宋体"/>
                      <w:bCs/>
                      <w:color w:val="auto"/>
                      <w:kern w:val="0"/>
                      <w:szCs w:val="21"/>
                      <w:lang w:val="en-US" w:eastAsia="zh-CN"/>
                    </w:rPr>
                    <w:t>处理</w:t>
                  </w:r>
                  <w:r>
                    <w:rPr>
                      <w:rFonts w:hint="default" w:ascii="Times New Roman" w:hAnsi="宋体"/>
                      <w:bCs/>
                      <w:color w:val="auto"/>
                      <w:kern w:val="0"/>
                      <w:szCs w:val="21"/>
                    </w:rPr>
                    <w:t>后</w:t>
                  </w:r>
                  <w:r>
                    <w:rPr>
                      <w:rFonts w:hint="eastAsia" w:ascii="Times New Roman" w:hAnsi="宋体"/>
                      <w:bCs/>
                      <w:color w:val="auto"/>
                      <w:kern w:val="0"/>
                      <w:szCs w:val="21"/>
                      <w:lang w:val="en-US" w:eastAsia="zh-CN"/>
                    </w:rPr>
                    <w:t>的</w:t>
                  </w:r>
                  <w:r>
                    <w:rPr>
                      <w:rFonts w:hint="default" w:ascii="Times New Roman" w:hAnsi="宋体"/>
                      <w:bCs/>
                      <w:color w:val="auto"/>
                      <w:kern w:val="0"/>
                      <w:szCs w:val="21"/>
                    </w:rPr>
                    <w:t>生活污水</w:t>
                  </w:r>
                  <w:r>
                    <w:rPr>
                      <w:rFonts w:hint="eastAsia" w:ascii="Times New Roman" w:hAnsi="宋体"/>
                      <w:bCs/>
                      <w:color w:val="auto"/>
                      <w:kern w:val="0"/>
                      <w:szCs w:val="21"/>
                      <w:lang w:val="en-US" w:eastAsia="zh-CN"/>
                    </w:rPr>
                    <w:t>一并由废水总排口接管至</w:t>
                  </w:r>
                  <w:r>
                    <w:rPr>
                      <w:rFonts w:hint="default" w:ascii="Times New Roman" w:hAnsi="宋体"/>
                      <w:bCs/>
                      <w:color w:val="auto"/>
                      <w:kern w:val="0"/>
                      <w:szCs w:val="21"/>
                    </w:rPr>
                    <w:t>凤台县污水处理厂</w:t>
                  </w:r>
                  <w:r>
                    <w:rPr>
                      <w:rFonts w:hint="eastAsia" w:ascii="Times New Roman" w:hAnsi="宋体"/>
                      <w:bCs/>
                      <w:color w:val="auto"/>
                      <w:kern w:val="0"/>
                      <w:szCs w:val="21"/>
                      <w:lang w:val="en-US" w:eastAsia="zh-CN"/>
                    </w:rPr>
                    <w:t>深度</w:t>
                  </w:r>
                  <w:r>
                    <w:rPr>
                      <w:rFonts w:hint="eastAsia" w:ascii="Times New Roman" w:hAnsi="宋体"/>
                      <w:bCs/>
                      <w:color w:val="auto"/>
                      <w:kern w:val="0"/>
                      <w:szCs w:val="21"/>
                    </w:rPr>
                    <w:t>处理</w:t>
                  </w:r>
                  <w:r>
                    <w:rPr>
                      <w:rFonts w:hint="eastAsia" w:ascii="Times New Roman" w:hAnsi="宋体"/>
                      <w:bCs/>
                      <w:color w:val="auto"/>
                      <w:kern w:val="0"/>
                      <w:szCs w:val="21"/>
                      <w:lang w:eastAsia="zh-CN"/>
                    </w:rPr>
                    <w:t>，</w:t>
                  </w:r>
                  <w:r>
                    <w:rPr>
                      <w:rFonts w:hint="eastAsia" w:ascii="Times New Roman" w:hAnsi="宋体"/>
                      <w:bCs/>
                      <w:color w:val="auto"/>
                      <w:kern w:val="0"/>
                      <w:szCs w:val="21"/>
                      <w:lang w:val="en-US" w:eastAsia="zh-CN"/>
                    </w:rPr>
                    <w:t>处理达标后排入架河，不会对周边地表水环境造成显著影响。</w:t>
                  </w:r>
                </w:p>
              </w:tc>
              <w:tc>
                <w:tcPr>
                  <w:tcW w:w="641" w:type="pct"/>
                  <w:tcBorders>
                    <w:bottom w:val="single" w:color="auto" w:sz="12" w:space="0"/>
                  </w:tcBorders>
                  <w:noWrap w:val="0"/>
                  <w:vAlign w:val="center"/>
                </w:tcPr>
                <w:p w14:paraId="3DAD1A98">
                  <w:pPr>
                    <w:keepNext w:val="0"/>
                    <w:keepLines w:val="0"/>
                    <w:suppressLineNumbers w:val="0"/>
                    <w:spacing w:before="0" w:beforeAutospacing="0" w:after="0" w:afterAutospacing="0" w:line="276" w:lineRule="auto"/>
                    <w:ind w:left="0" w:right="0"/>
                    <w:jc w:val="center"/>
                    <w:rPr>
                      <w:rFonts w:hint="default" w:ascii="Times New Roman" w:hAnsi="Times New Roman"/>
                      <w:color w:val="auto"/>
                      <w:szCs w:val="21"/>
                    </w:rPr>
                  </w:pPr>
                  <w:r>
                    <w:rPr>
                      <w:rFonts w:hint="eastAsia" w:ascii="Times New Roman" w:hAnsi="宋体"/>
                      <w:bCs/>
                      <w:color w:val="auto"/>
                      <w:kern w:val="0"/>
                      <w:szCs w:val="21"/>
                    </w:rPr>
                    <w:t>符合</w:t>
                  </w:r>
                </w:p>
              </w:tc>
            </w:tr>
          </w:tbl>
          <w:p w14:paraId="09EC4EFC">
            <w:pPr>
              <w:keepNext w:val="0"/>
              <w:keepLines w:val="0"/>
              <w:suppressLineNumbers w:val="0"/>
              <w:spacing w:before="0" w:beforeAutospacing="0" w:after="0" w:afterAutospacing="0" w:line="360" w:lineRule="auto"/>
              <w:ind w:left="0" w:right="0" w:firstLine="482" w:firstLineChars="200"/>
              <w:rPr>
                <w:rFonts w:hint="default" w:ascii="Times New Roman" w:hAnsi="黑体" w:eastAsia="黑体"/>
                <w:color w:val="auto"/>
                <w:sz w:val="24"/>
                <w:szCs w:val="24"/>
              </w:rPr>
            </w:pPr>
            <w:r>
              <w:rPr>
                <w:rFonts w:hint="eastAsia" w:ascii="Times New Roman" w:hAnsi="Times New Roman"/>
                <w:b/>
                <w:color w:val="auto"/>
                <w:sz w:val="24"/>
                <w:szCs w:val="24"/>
                <w:lang w:eastAsia="zh-CN"/>
              </w:rPr>
              <w:t>（</w:t>
            </w:r>
            <w:r>
              <w:rPr>
                <w:rFonts w:hint="eastAsia"/>
                <w:b/>
                <w:color w:val="auto"/>
                <w:sz w:val="24"/>
                <w:szCs w:val="24"/>
                <w:lang w:val="en-US" w:eastAsia="zh-CN"/>
              </w:rPr>
              <w:t>8</w:t>
            </w:r>
            <w:r>
              <w:rPr>
                <w:rFonts w:hint="eastAsia" w:ascii="Times New Roman" w:hAnsi="Times New Roman"/>
                <w:b/>
                <w:color w:val="auto"/>
                <w:sz w:val="24"/>
                <w:szCs w:val="24"/>
                <w:lang w:eastAsia="zh-CN"/>
              </w:rPr>
              <w:t>）</w:t>
            </w:r>
            <w:r>
              <w:rPr>
                <w:rFonts w:hint="default" w:ascii="Times New Roman" w:hAnsi="宋体"/>
                <w:b/>
                <w:color w:val="auto"/>
                <w:sz w:val="24"/>
                <w:szCs w:val="24"/>
              </w:rPr>
              <w:t>与安徽省人民政府关于印发《安徽省空气质量持续改善行动方案》的通知</w:t>
            </w:r>
            <w:r>
              <w:rPr>
                <w:rFonts w:hint="eastAsia" w:ascii="Times New Roman" w:hAnsi="宋体"/>
                <w:b/>
                <w:color w:val="auto"/>
                <w:sz w:val="24"/>
                <w:szCs w:val="24"/>
              </w:rPr>
              <w:t>（</w:t>
            </w:r>
            <w:r>
              <w:rPr>
                <w:rFonts w:hint="default" w:ascii="Times New Roman" w:hAnsi="宋体"/>
                <w:b/>
                <w:color w:val="auto"/>
                <w:sz w:val="24"/>
                <w:szCs w:val="24"/>
              </w:rPr>
              <w:t>皖政〔2024〕36号</w:t>
            </w:r>
            <w:r>
              <w:rPr>
                <w:rFonts w:hint="eastAsia" w:ascii="Times New Roman" w:hAnsi="宋体"/>
                <w:b/>
                <w:color w:val="auto"/>
                <w:sz w:val="24"/>
                <w:szCs w:val="24"/>
              </w:rPr>
              <w:t>）符合</w:t>
            </w:r>
            <w:r>
              <w:rPr>
                <w:rFonts w:hint="default" w:ascii="Times New Roman" w:hAnsi="宋体"/>
                <w:b/>
                <w:color w:val="auto"/>
                <w:sz w:val="24"/>
                <w:szCs w:val="24"/>
              </w:rPr>
              <w:t>性分析</w:t>
            </w:r>
          </w:p>
          <w:p w14:paraId="0D1B6A42">
            <w:pPr>
              <w:keepNext w:val="0"/>
              <w:keepLines w:val="0"/>
              <w:suppressLineNumbers w:val="0"/>
              <w:spacing w:before="0" w:beforeAutospacing="0" w:after="0" w:afterAutospacing="0" w:line="360" w:lineRule="auto"/>
              <w:ind w:left="0" w:right="0"/>
              <w:jc w:val="center"/>
              <w:rPr>
                <w:rFonts w:hint="default" w:ascii="Times New Roman" w:hAnsi="黑体" w:eastAsia="黑体"/>
                <w:color w:val="auto"/>
                <w:sz w:val="24"/>
              </w:rPr>
            </w:pPr>
            <w:r>
              <w:rPr>
                <w:rFonts w:hint="default" w:ascii="Times New Roman" w:hAnsi="黑体" w:eastAsia="黑体"/>
                <w:color w:val="auto"/>
                <w:sz w:val="24"/>
                <w:szCs w:val="24"/>
              </w:rPr>
              <w:t>表</w:t>
            </w:r>
            <w:r>
              <w:rPr>
                <w:rFonts w:hint="default" w:ascii="Times New Roman" w:hAnsi="Times New Roman" w:eastAsia="黑体"/>
                <w:color w:val="auto"/>
                <w:sz w:val="24"/>
                <w:szCs w:val="24"/>
              </w:rPr>
              <w:t>1-</w:t>
            </w:r>
            <w:r>
              <w:rPr>
                <w:rFonts w:hint="eastAsia" w:eastAsia="黑体"/>
                <w:color w:val="auto"/>
                <w:sz w:val="24"/>
                <w:szCs w:val="24"/>
                <w:lang w:val="en-US" w:eastAsia="zh-CN"/>
              </w:rPr>
              <w:t>12</w:t>
            </w:r>
            <w:r>
              <w:rPr>
                <w:rFonts w:hint="eastAsia" w:ascii="Times New Roman" w:hAnsi="Times New Roman" w:eastAsia="黑体"/>
                <w:color w:val="auto"/>
                <w:sz w:val="24"/>
                <w:szCs w:val="24"/>
              </w:rPr>
              <w:t xml:space="preserve"> </w:t>
            </w:r>
            <w:r>
              <w:rPr>
                <w:rFonts w:hint="default" w:ascii="Times New Roman" w:hAnsi="黑体" w:eastAsia="黑体"/>
                <w:color w:val="auto"/>
                <w:sz w:val="24"/>
              </w:rPr>
              <w:t>与皖政〔2024〕36号</w:t>
            </w:r>
            <w:r>
              <w:rPr>
                <w:rFonts w:hint="eastAsia" w:hAnsi="黑体" w:eastAsia="黑体"/>
                <w:color w:val="auto"/>
                <w:sz w:val="24"/>
                <w:lang w:val="en-US" w:eastAsia="zh-CN"/>
              </w:rPr>
              <w:t>文</w:t>
            </w:r>
            <w:r>
              <w:rPr>
                <w:rFonts w:hint="eastAsia" w:ascii="Times New Roman" w:hAnsi="黑体" w:eastAsia="黑体"/>
                <w:color w:val="auto"/>
                <w:sz w:val="24"/>
              </w:rPr>
              <w:t>符合</w:t>
            </w:r>
            <w:r>
              <w:rPr>
                <w:rFonts w:hint="default" w:ascii="Times New Roman" w:hAnsi="黑体" w:eastAsia="黑体"/>
                <w:color w:val="auto"/>
                <w:sz w:val="24"/>
              </w:rPr>
              <w:t>性分析</w:t>
            </w:r>
          </w:p>
          <w:tbl>
            <w:tblPr>
              <w:tblStyle w:val="37"/>
              <w:tblW w:w="4998" w:type="pct"/>
              <w:tblInd w:w="0" w:type="dxa"/>
              <w:tblBorders>
                <w:top w:val="single" w:color="auto" w:sz="4" w:space="0"/>
                <w:left w:val="none" w:color="auto" w:sz="0" w:space="0"/>
                <w:bottom w:val="single" w:color="auto"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589"/>
              <w:gridCol w:w="3737"/>
              <w:gridCol w:w="2417"/>
              <w:gridCol w:w="1019"/>
            </w:tblGrid>
            <w:tr w14:paraId="60099B7D">
              <w:tblPrEx>
                <w:tblBorders>
                  <w:top w:val="single" w:color="auto" w:sz="4" w:space="0"/>
                  <w:left w:val="none" w:color="auto" w:sz="0" w:space="0"/>
                  <w:bottom w:val="single" w:color="auto" w:sz="4"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379" w:type="pct"/>
                  <w:tcBorders>
                    <w:top w:val="single" w:color="auto" w:sz="12" w:space="0"/>
                  </w:tcBorders>
                  <w:noWrap w:val="0"/>
                  <w:vAlign w:val="center"/>
                </w:tcPr>
                <w:p w14:paraId="7B6DD5B8">
                  <w:pPr>
                    <w:keepNext w:val="0"/>
                    <w:keepLines w:val="0"/>
                    <w:suppressLineNumbers w:val="0"/>
                    <w:spacing w:before="0" w:beforeAutospacing="0" w:after="0" w:afterAutospacing="0" w:line="276" w:lineRule="auto"/>
                    <w:ind w:left="0" w:right="0"/>
                    <w:jc w:val="center"/>
                    <w:rPr>
                      <w:rFonts w:hint="default" w:ascii="Times New Roman" w:hAnsi="Times New Roman"/>
                      <w:b/>
                      <w:bCs/>
                      <w:color w:val="auto"/>
                      <w:szCs w:val="21"/>
                    </w:rPr>
                  </w:pPr>
                  <w:r>
                    <w:rPr>
                      <w:rFonts w:hint="default" w:ascii="Times New Roman" w:hAnsi="Times New Roman"/>
                      <w:b/>
                      <w:bCs/>
                      <w:color w:val="auto"/>
                      <w:szCs w:val="21"/>
                    </w:rPr>
                    <w:t>序号</w:t>
                  </w:r>
                </w:p>
              </w:tc>
              <w:tc>
                <w:tcPr>
                  <w:tcW w:w="2407" w:type="pct"/>
                  <w:tcBorders>
                    <w:top w:val="single" w:color="auto" w:sz="12" w:space="0"/>
                  </w:tcBorders>
                  <w:noWrap w:val="0"/>
                  <w:vAlign w:val="center"/>
                </w:tcPr>
                <w:p w14:paraId="288EC3AD">
                  <w:pPr>
                    <w:keepNext w:val="0"/>
                    <w:keepLines w:val="0"/>
                    <w:suppressLineNumbers w:val="0"/>
                    <w:spacing w:before="0" w:beforeAutospacing="0" w:after="0" w:afterAutospacing="0" w:line="276" w:lineRule="auto"/>
                    <w:ind w:left="0" w:right="0"/>
                    <w:jc w:val="center"/>
                    <w:rPr>
                      <w:rFonts w:hint="default" w:ascii="Times New Roman" w:hAnsi="Times New Roman"/>
                      <w:b/>
                      <w:bCs/>
                      <w:color w:val="auto"/>
                      <w:szCs w:val="21"/>
                    </w:rPr>
                  </w:pPr>
                  <w:r>
                    <w:rPr>
                      <w:rFonts w:hint="default" w:ascii="Times New Roman" w:hAnsi="Times New Roman"/>
                      <w:b/>
                      <w:bCs/>
                      <w:color w:val="auto"/>
                      <w:szCs w:val="21"/>
                    </w:rPr>
                    <w:t>相关规范情况</w:t>
                  </w:r>
                </w:p>
              </w:tc>
              <w:tc>
                <w:tcPr>
                  <w:tcW w:w="1556" w:type="pct"/>
                  <w:tcBorders>
                    <w:top w:val="single" w:color="auto" w:sz="12" w:space="0"/>
                  </w:tcBorders>
                  <w:noWrap w:val="0"/>
                  <w:vAlign w:val="center"/>
                </w:tcPr>
                <w:p w14:paraId="4BE40143">
                  <w:pPr>
                    <w:keepNext w:val="0"/>
                    <w:keepLines w:val="0"/>
                    <w:suppressLineNumbers w:val="0"/>
                    <w:spacing w:before="0" w:beforeAutospacing="0" w:after="0" w:afterAutospacing="0" w:line="276" w:lineRule="auto"/>
                    <w:ind w:left="0" w:right="0"/>
                    <w:jc w:val="center"/>
                    <w:rPr>
                      <w:rFonts w:hint="default" w:ascii="Times New Roman" w:hAnsi="Times New Roman"/>
                      <w:b/>
                      <w:bCs/>
                      <w:color w:val="auto"/>
                      <w:szCs w:val="21"/>
                    </w:rPr>
                  </w:pPr>
                  <w:r>
                    <w:rPr>
                      <w:rFonts w:hint="default" w:ascii="Times New Roman" w:hAnsi="Times New Roman"/>
                      <w:b/>
                      <w:bCs/>
                      <w:color w:val="auto"/>
                      <w:szCs w:val="21"/>
                    </w:rPr>
                    <w:t>本项目情况</w:t>
                  </w:r>
                </w:p>
              </w:tc>
              <w:tc>
                <w:tcPr>
                  <w:tcW w:w="656" w:type="pct"/>
                  <w:tcBorders>
                    <w:top w:val="single" w:color="auto" w:sz="12" w:space="0"/>
                  </w:tcBorders>
                  <w:noWrap w:val="0"/>
                  <w:vAlign w:val="center"/>
                </w:tcPr>
                <w:p w14:paraId="099490EB">
                  <w:pPr>
                    <w:keepNext w:val="0"/>
                    <w:keepLines w:val="0"/>
                    <w:suppressLineNumbers w:val="0"/>
                    <w:spacing w:before="0" w:beforeAutospacing="0" w:after="0" w:afterAutospacing="0" w:line="276" w:lineRule="auto"/>
                    <w:ind w:left="0" w:right="0"/>
                    <w:jc w:val="center"/>
                    <w:rPr>
                      <w:rFonts w:hint="default" w:ascii="Times New Roman" w:hAnsi="Times New Roman"/>
                      <w:b/>
                      <w:bCs/>
                      <w:color w:val="auto"/>
                      <w:szCs w:val="21"/>
                    </w:rPr>
                  </w:pPr>
                  <w:r>
                    <w:rPr>
                      <w:rFonts w:hint="eastAsia" w:ascii="Times New Roman" w:hAnsi="Times New Roman"/>
                      <w:b/>
                      <w:bCs/>
                      <w:color w:val="auto"/>
                      <w:szCs w:val="21"/>
                    </w:rPr>
                    <w:t>符合</w:t>
                  </w:r>
                  <w:r>
                    <w:rPr>
                      <w:rFonts w:hint="default" w:ascii="Times New Roman" w:hAnsi="Times New Roman"/>
                      <w:b/>
                      <w:bCs/>
                      <w:color w:val="auto"/>
                      <w:szCs w:val="21"/>
                    </w:rPr>
                    <w:t>性</w:t>
                  </w:r>
                </w:p>
              </w:tc>
            </w:tr>
            <w:tr w14:paraId="7EA6EFBB">
              <w:tblPrEx>
                <w:tblBorders>
                  <w:top w:val="single" w:color="auto" w:sz="4" w:space="0"/>
                  <w:left w:val="none" w:color="auto" w:sz="0" w:space="0"/>
                  <w:bottom w:val="single" w:color="auto" w:sz="4"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379" w:type="pct"/>
                  <w:noWrap w:val="0"/>
                  <w:vAlign w:val="center"/>
                </w:tcPr>
                <w:p w14:paraId="14B4F905">
                  <w:pPr>
                    <w:keepNext w:val="0"/>
                    <w:keepLines w:val="0"/>
                    <w:suppressLineNumbers w:val="0"/>
                    <w:spacing w:before="0" w:beforeAutospacing="0" w:after="0" w:afterAutospacing="0" w:line="276" w:lineRule="auto"/>
                    <w:ind w:left="0" w:right="0"/>
                    <w:jc w:val="center"/>
                    <w:rPr>
                      <w:rFonts w:hint="default" w:ascii="Times New Roman" w:hAnsi="Times New Roman"/>
                      <w:color w:val="auto"/>
                      <w:szCs w:val="21"/>
                    </w:rPr>
                  </w:pPr>
                  <w:r>
                    <w:rPr>
                      <w:rFonts w:hint="eastAsia" w:ascii="Times New Roman" w:hAnsi="Times New Roman"/>
                      <w:color w:val="auto"/>
                      <w:szCs w:val="21"/>
                    </w:rPr>
                    <w:t>1</w:t>
                  </w:r>
                </w:p>
              </w:tc>
              <w:tc>
                <w:tcPr>
                  <w:tcW w:w="2407" w:type="pct"/>
                  <w:noWrap w:val="0"/>
                  <w:vAlign w:val="center"/>
                </w:tcPr>
                <w:p w14:paraId="072AC924">
                  <w:pPr>
                    <w:keepNext w:val="0"/>
                    <w:keepLines w:val="0"/>
                    <w:suppressLineNumbers w:val="0"/>
                    <w:spacing w:before="0" w:beforeAutospacing="0" w:after="0" w:afterAutospacing="0" w:line="276" w:lineRule="auto"/>
                    <w:ind w:left="0" w:right="0"/>
                    <w:jc w:val="center"/>
                    <w:rPr>
                      <w:rFonts w:hint="default" w:ascii="Times New Roman" w:hAnsi="Times New Roman"/>
                      <w:color w:val="auto"/>
                      <w:szCs w:val="21"/>
                    </w:rPr>
                  </w:pPr>
                  <w:r>
                    <w:rPr>
                      <w:rFonts w:hint="eastAsia" w:ascii="Times New Roman" w:hAnsi="Times New Roman"/>
                      <w:color w:val="auto"/>
                      <w:szCs w:val="21"/>
                    </w:rPr>
                    <w:t>坚决遏制高耗能、高排放、低水平项目盲目上马。新改扩建项目严格落实国家产业规划、产业政策、生态环境分区管控方案、规划环评、项目环评、节能审查、产能置换、重点污染物总量控制、污染物排放区域削减、碳排放</w:t>
                  </w:r>
                  <w:r>
                    <w:rPr>
                      <w:rFonts w:hint="eastAsia"/>
                      <w:color w:val="auto"/>
                      <w:szCs w:val="21"/>
                      <w:lang w:val="en-US" w:eastAsia="zh-CN"/>
                    </w:rPr>
                    <w:t>碳</w:t>
                  </w:r>
                  <w:r>
                    <w:rPr>
                      <w:rFonts w:hint="eastAsia" w:ascii="Times New Roman" w:hAnsi="Times New Roman"/>
                      <w:color w:val="auto"/>
                      <w:szCs w:val="21"/>
                    </w:rPr>
                    <w:t>达峰目标等相关要求，原则上采用清洁运输方式。实施“高污染、高耗能”项目部门联审，源头管控低水平项目上马。制定实施安徽省加强生态环境分区管控方案。严格落实产能置换要求，不以任何名义、任何方式核准、备案产能严重过剩行业新增产能项目，被置换产能及其配套设施关停后，新建项目方可投产。</w:t>
                  </w:r>
                </w:p>
              </w:tc>
              <w:tc>
                <w:tcPr>
                  <w:tcW w:w="1556" w:type="pct"/>
                  <w:noWrap w:val="0"/>
                  <w:vAlign w:val="center"/>
                </w:tcPr>
                <w:p w14:paraId="10B775FB">
                  <w:pPr>
                    <w:keepNext w:val="0"/>
                    <w:keepLines w:val="0"/>
                    <w:suppressLineNumbers w:val="0"/>
                    <w:spacing w:before="0" w:beforeAutospacing="0" w:after="0" w:afterAutospacing="0" w:line="276" w:lineRule="auto"/>
                    <w:ind w:left="0" w:right="0"/>
                    <w:jc w:val="center"/>
                    <w:rPr>
                      <w:rFonts w:hint="eastAsia" w:ascii="Times New Roman" w:hAnsi="Times New Roman" w:eastAsia="宋体"/>
                      <w:color w:val="auto"/>
                      <w:szCs w:val="21"/>
                      <w:lang w:eastAsia="zh-CN"/>
                    </w:rPr>
                  </w:pPr>
                  <w:r>
                    <w:rPr>
                      <w:rFonts w:hint="eastAsia" w:ascii="Times New Roman" w:hAnsi="Times New Roman"/>
                      <w:bCs/>
                      <w:color w:val="auto"/>
                      <w:szCs w:val="21"/>
                    </w:rPr>
                    <w:t>本项目属于</w:t>
                  </w:r>
                  <w:r>
                    <w:rPr>
                      <w:rFonts w:hint="eastAsia" w:hAnsi="宋体"/>
                      <w:color w:val="auto"/>
                      <w:szCs w:val="21"/>
                      <w:lang w:val="en-US" w:eastAsia="zh-CN"/>
                    </w:rPr>
                    <w:t>C2927日用塑料制品制造、C2929塑料零件及其他塑料制品制</w:t>
                  </w:r>
                  <w:r>
                    <w:rPr>
                      <w:rFonts w:hint="eastAsia" w:ascii="Times New Roman" w:hAnsi="宋体"/>
                      <w:bCs/>
                      <w:color w:val="auto"/>
                      <w:kern w:val="0"/>
                      <w:szCs w:val="21"/>
                    </w:rPr>
                    <w:t>造</w:t>
                  </w:r>
                  <w:r>
                    <w:rPr>
                      <w:rFonts w:hint="eastAsia" w:ascii="Times New Roman" w:hAnsi="Times New Roman"/>
                      <w:color w:val="auto"/>
                      <w:szCs w:val="21"/>
                    </w:rPr>
                    <w:t>，不属于高耗能、高排放、低水平项目。对照《产业结构调整指导目录》（2024年本），</w:t>
                  </w:r>
                  <w:r>
                    <w:rPr>
                      <w:rFonts w:hint="eastAsia" w:ascii="Times New Roman" w:hAnsi="Times New Roman"/>
                      <w:bCs/>
                      <w:color w:val="auto"/>
                      <w:szCs w:val="21"/>
                    </w:rPr>
                    <w:t>本项目不属于其中的鼓励类、限制类或淘汰类，视为允许建设项目</w:t>
                  </w:r>
                  <w:r>
                    <w:rPr>
                      <w:rFonts w:hint="eastAsia" w:ascii="Times New Roman" w:hAnsi="Times New Roman"/>
                      <w:color w:val="auto"/>
                      <w:szCs w:val="21"/>
                    </w:rPr>
                    <w:t>、符合生态环境分区管控要求</w:t>
                  </w:r>
                  <w:r>
                    <w:rPr>
                      <w:rFonts w:hint="eastAsia"/>
                      <w:color w:val="auto"/>
                      <w:szCs w:val="21"/>
                      <w:lang w:eastAsia="zh-CN"/>
                    </w:rPr>
                    <w:t>。</w:t>
                  </w:r>
                </w:p>
              </w:tc>
              <w:tc>
                <w:tcPr>
                  <w:tcW w:w="656" w:type="pct"/>
                  <w:noWrap w:val="0"/>
                  <w:vAlign w:val="center"/>
                </w:tcPr>
                <w:p w14:paraId="69B68D67">
                  <w:pPr>
                    <w:keepNext w:val="0"/>
                    <w:keepLines w:val="0"/>
                    <w:suppressLineNumbers w:val="0"/>
                    <w:spacing w:before="0" w:beforeAutospacing="0" w:after="0" w:afterAutospacing="0" w:line="276" w:lineRule="auto"/>
                    <w:ind w:left="0" w:right="0"/>
                    <w:jc w:val="center"/>
                    <w:rPr>
                      <w:rFonts w:hint="default" w:ascii="Times New Roman" w:hAnsi="Times New Roman"/>
                      <w:color w:val="auto"/>
                      <w:szCs w:val="21"/>
                    </w:rPr>
                  </w:pPr>
                  <w:r>
                    <w:rPr>
                      <w:rFonts w:hint="eastAsia" w:ascii="Times New Roman" w:hAnsi="宋体"/>
                      <w:bCs/>
                      <w:color w:val="auto"/>
                      <w:kern w:val="0"/>
                      <w:szCs w:val="21"/>
                    </w:rPr>
                    <w:t>符合</w:t>
                  </w:r>
                </w:p>
              </w:tc>
            </w:tr>
            <w:tr w14:paraId="08CB41BA">
              <w:tblPrEx>
                <w:tblBorders>
                  <w:top w:val="single" w:color="auto" w:sz="4" w:space="0"/>
                  <w:left w:val="none" w:color="auto" w:sz="0" w:space="0"/>
                  <w:bottom w:val="single" w:color="auto" w:sz="4"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379" w:type="pct"/>
                  <w:noWrap w:val="0"/>
                  <w:vAlign w:val="center"/>
                </w:tcPr>
                <w:p w14:paraId="7B50D1EB">
                  <w:pPr>
                    <w:keepNext w:val="0"/>
                    <w:keepLines w:val="0"/>
                    <w:suppressLineNumbers w:val="0"/>
                    <w:spacing w:before="0" w:beforeAutospacing="0" w:after="0" w:afterAutospacing="0" w:line="276" w:lineRule="auto"/>
                    <w:ind w:left="0" w:right="0"/>
                    <w:jc w:val="center"/>
                    <w:rPr>
                      <w:rFonts w:hint="default" w:ascii="Times New Roman" w:hAnsi="Times New Roman"/>
                      <w:color w:val="auto"/>
                      <w:szCs w:val="21"/>
                    </w:rPr>
                  </w:pPr>
                  <w:r>
                    <w:rPr>
                      <w:rFonts w:hint="eastAsia" w:ascii="Times New Roman" w:hAnsi="Times New Roman"/>
                      <w:color w:val="auto"/>
                      <w:szCs w:val="21"/>
                    </w:rPr>
                    <w:t>2</w:t>
                  </w:r>
                </w:p>
              </w:tc>
              <w:tc>
                <w:tcPr>
                  <w:tcW w:w="2407" w:type="pct"/>
                  <w:noWrap w:val="0"/>
                  <w:vAlign w:val="center"/>
                </w:tcPr>
                <w:p w14:paraId="2770FA0C">
                  <w:pPr>
                    <w:keepNext w:val="0"/>
                    <w:keepLines w:val="0"/>
                    <w:suppressLineNumbers w:val="0"/>
                    <w:spacing w:before="0" w:beforeAutospacing="0" w:after="0" w:afterAutospacing="0" w:line="276" w:lineRule="auto"/>
                    <w:ind w:left="0" w:right="0"/>
                    <w:jc w:val="center"/>
                    <w:rPr>
                      <w:rFonts w:hint="default" w:ascii="Times New Roman" w:hAnsi="Times New Roman"/>
                      <w:color w:val="auto"/>
                      <w:szCs w:val="21"/>
                    </w:rPr>
                  </w:pPr>
                  <w:r>
                    <w:rPr>
                      <w:rFonts w:hint="eastAsia" w:ascii="Times New Roman" w:hAnsi="Times New Roman"/>
                      <w:color w:val="auto"/>
                      <w:szCs w:val="21"/>
                    </w:rPr>
                    <w:t>有序推动落后产能淘汰。严格执行《产业结构调整指导目录》。综合运用能耗、环保、质量、安全、技术等要求，依法依规推动落后产能退出，逐步退出限制类涉气行业工艺和装备。有序推动生产设施老旧、工艺水平落后、环境管理水平低下的独立焦化、烧结、球团、热轧企业和落后煤炭洗选企业退出市场。逐步淘汰步进式烧结机和球团竖炉以及半封闭式硅锰合金、镍铁、高碳铬铁、高碳锰铁电炉。严禁违规新增钢铁、水泥（熟料）、焦化、电解铝、平板玻璃（不含光伏压延玻璃）产能。鼓励钢铁行业龙头企业实施兼并重组，到2025年，短流程炼钢产量占比达15%。</w:t>
                  </w:r>
                </w:p>
              </w:tc>
              <w:tc>
                <w:tcPr>
                  <w:tcW w:w="1556" w:type="pct"/>
                  <w:noWrap w:val="0"/>
                  <w:vAlign w:val="center"/>
                </w:tcPr>
                <w:p w14:paraId="0628FD15">
                  <w:pPr>
                    <w:keepNext w:val="0"/>
                    <w:keepLines w:val="0"/>
                    <w:suppressLineNumbers w:val="0"/>
                    <w:spacing w:before="0" w:beforeAutospacing="0" w:after="0" w:afterAutospacing="0" w:line="276" w:lineRule="auto"/>
                    <w:ind w:left="0" w:right="0"/>
                    <w:jc w:val="center"/>
                    <w:rPr>
                      <w:rFonts w:hint="eastAsia" w:ascii="Times New Roman" w:hAnsi="Times New Roman" w:eastAsia="宋体"/>
                      <w:color w:val="auto"/>
                      <w:szCs w:val="21"/>
                      <w:lang w:eastAsia="zh-CN"/>
                    </w:rPr>
                  </w:pPr>
                  <w:r>
                    <w:rPr>
                      <w:rFonts w:hint="eastAsia" w:ascii="Times New Roman" w:hAnsi="Times New Roman"/>
                      <w:bCs/>
                      <w:color w:val="auto"/>
                      <w:szCs w:val="21"/>
                    </w:rPr>
                    <w:t>对照《产业结构调整指导目录》（</w:t>
                  </w:r>
                  <w:r>
                    <w:rPr>
                      <w:rFonts w:hint="default" w:ascii="Times New Roman" w:hAnsi="Times New Roman"/>
                      <w:bCs/>
                      <w:color w:val="auto"/>
                      <w:szCs w:val="21"/>
                    </w:rPr>
                    <w:t>2024</w:t>
                  </w:r>
                  <w:r>
                    <w:rPr>
                      <w:rFonts w:hint="eastAsia" w:ascii="Times New Roman" w:hAnsi="Times New Roman"/>
                      <w:bCs/>
                      <w:color w:val="auto"/>
                      <w:szCs w:val="21"/>
                    </w:rPr>
                    <w:t>年本），本项目不属于其中的鼓励类、限制类或淘汰类，视为允许建设项目，不属于生产设施老旧、工艺水平落后、环境管理水平低下的独立焦化、烧结、球团、热轧企业和落后煤炭洗选企业，不使用步进式烧结机和球团竖炉以及半封闭式硅锰合金、镍铁、高碳铬铁、高碳锰铁电炉；本项目不新增钢铁、水泥（熟料）、焦化、电解铝、平板玻璃（不含光伏压延玻璃）产能</w:t>
                  </w:r>
                  <w:r>
                    <w:rPr>
                      <w:rFonts w:hint="eastAsia"/>
                      <w:bCs/>
                      <w:color w:val="auto"/>
                      <w:szCs w:val="21"/>
                      <w:lang w:eastAsia="zh-CN"/>
                    </w:rPr>
                    <w:t>。</w:t>
                  </w:r>
                </w:p>
              </w:tc>
              <w:tc>
                <w:tcPr>
                  <w:tcW w:w="656" w:type="pct"/>
                  <w:noWrap w:val="0"/>
                  <w:vAlign w:val="center"/>
                </w:tcPr>
                <w:p w14:paraId="42820D48">
                  <w:pPr>
                    <w:keepNext w:val="0"/>
                    <w:keepLines w:val="0"/>
                    <w:suppressLineNumbers w:val="0"/>
                    <w:spacing w:before="0" w:beforeAutospacing="0" w:after="0" w:afterAutospacing="0" w:line="276" w:lineRule="auto"/>
                    <w:ind w:left="0" w:right="0"/>
                    <w:jc w:val="center"/>
                    <w:rPr>
                      <w:rFonts w:hint="default" w:ascii="Times New Roman" w:hAnsi="宋体"/>
                      <w:bCs/>
                      <w:color w:val="auto"/>
                      <w:kern w:val="0"/>
                      <w:szCs w:val="21"/>
                    </w:rPr>
                  </w:pPr>
                  <w:r>
                    <w:rPr>
                      <w:rFonts w:hint="eastAsia" w:ascii="Times New Roman" w:hAnsi="宋体"/>
                      <w:bCs/>
                      <w:color w:val="auto"/>
                      <w:kern w:val="0"/>
                      <w:szCs w:val="21"/>
                    </w:rPr>
                    <w:t>符合</w:t>
                  </w:r>
                </w:p>
              </w:tc>
            </w:tr>
            <w:tr w14:paraId="2A9070CB">
              <w:tblPrEx>
                <w:tblBorders>
                  <w:top w:val="single" w:color="auto" w:sz="4" w:space="0"/>
                  <w:left w:val="none" w:color="auto" w:sz="0" w:space="0"/>
                  <w:bottom w:val="single" w:color="auto" w:sz="4"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379" w:type="pct"/>
                  <w:noWrap w:val="0"/>
                  <w:vAlign w:val="center"/>
                </w:tcPr>
                <w:p w14:paraId="6E2230C5">
                  <w:pPr>
                    <w:keepNext w:val="0"/>
                    <w:keepLines w:val="0"/>
                    <w:suppressLineNumbers w:val="0"/>
                    <w:spacing w:before="0" w:beforeAutospacing="0" w:after="0" w:afterAutospacing="0" w:line="276" w:lineRule="auto"/>
                    <w:ind w:left="0" w:right="0"/>
                    <w:jc w:val="center"/>
                    <w:rPr>
                      <w:rFonts w:hint="default" w:ascii="Times New Roman" w:hAnsi="Times New Roman"/>
                      <w:color w:val="auto"/>
                      <w:szCs w:val="21"/>
                    </w:rPr>
                  </w:pPr>
                  <w:r>
                    <w:rPr>
                      <w:rFonts w:hint="eastAsia" w:ascii="Times New Roman" w:hAnsi="Times New Roman"/>
                      <w:color w:val="auto"/>
                      <w:szCs w:val="21"/>
                    </w:rPr>
                    <w:t>3</w:t>
                  </w:r>
                </w:p>
              </w:tc>
              <w:tc>
                <w:tcPr>
                  <w:tcW w:w="2407" w:type="pct"/>
                  <w:noWrap w:val="0"/>
                  <w:vAlign w:val="center"/>
                </w:tcPr>
                <w:p w14:paraId="211486C2">
                  <w:pPr>
                    <w:keepNext w:val="0"/>
                    <w:keepLines w:val="0"/>
                    <w:suppressLineNumbers w:val="0"/>
                    <w:spacing w:before="0" w:beforeAutospacing="0" w:after="0" w:afterAutospacing="0" w:line="276" w:lineRule="auto"/>
                    <w:ind w:left="0" w:right="0"/>
                    <w:jc w:val="center"/>
                    <w:rPr>
                      <w:rFonts w:hint="default" w:ascii="Times New Roman" w:hAnsi="Times New Roman"/>
                      <w:color w:val="auto"/>
                      <w:szCs w:val="21"/>
                    </w:rPr>
                  </w:pPr>
                  <w:r>
                    <w:rPr>
                      <w:rFonts w:hint="eastAsia" w:ascii="Times New Roman" w:hAnsi="Times New Roman"/>
                      <w:color w:val="auto"/>
                      <w:szCs w:val="21"/>
                    </w:rPr>
                    <w:t>加强VOCs综合治理。鼓励储罐使用低泄漏的呼吸阀、紧急泄压阀。汽车罐车推广使用密封式快速接头。污水处理场所高浓度有机废气单独收集处理；含VOCs有机废水储罐、装置区集水井（池）有机废气密闭收集处理。石化、化工行业集中的城市和重点工业园区，2024年底前建立统一的泄漏检测与修复信息管理平台。企业开停工、检维修期间，及时收集处理退料、清洗、吹扫等作业产生的VOCs废气，不得将火炬燃烧装置作为日常大气污染处理设施。</w:t>
                  </w:r>
                </w:p>
              </w:tc>
              <w:tc>
                <w:tcPr>
                  <w:tcW w:w="1556" w:type="pct"/>
                  <w:noWrap w:val="0"/>
                  <w:vAlign w:val="center"/>
                </w:tcPr>
                <w:p w14:paraId="5FD9F32C">
                  <w:pPr>
                    <w:keepNext w:val="0"/>
                    <w:keepLines w:val="0"/>
                    <w:suppressLineNumbers w:val="0"/>
                    <w:spacing w:before="0" w:beforeAutospacing="0" w:after="0" w:afterAutospacing="0" w:line="276" w:lineRule="auto"/>
                    <w:ind w:left="0" w:right="0"/>
                    <w:jc w:val="center"/>
                    <w:rPr>
                      <w:rFonts w:hint="eastAsia" w:ascii="Times New Roman" w:hAnsi="Times New Roman" w:eastAsia="宋体"/>
                      <w:color w:val="auto"/>
                      <w:szCs w:val="21"/>
                      <w:lang w:val="en-US" w:eastAsia="zh-CN"/>
                    </w:rPr>
                  </w:pPr>
                  <w:r>
                    <w:rPr>
                      <w:rFonts w:hint="eastAsia" w:ascii="Times New Roman" w:hAnsi="Times New Roman"/>
                      <w:bCs/>
                      <w:color w:val="auto"/>
                      <w:szCs w:val="21"/>
                    </w:rPr>
                    <w:t>本项目</w:t>
                  </w:r>
                  <w:r>
                    <w:rPr>
                      <w:rFonts w:hint="eastAsia" w:ascii="Times New Roman" w:hAnsi="Times New Roman"/>
                      <w:color w:val="auto"/>
                      <w:szCs w:val="21"/>
                      <w:lang w:val="en-US" w:eastAsia="zh-CN"/>
                    </w:rPr>
                    <w:t>含VOCs的注塑</w:t>
                  </w:r>
                  <w:r>
                    <w:rPr>
                      <w:rFonts w:hint="eastAsia" w:ascii="Times New Roman" w:hAnsi="Times New Roman"/>
                      <w:color w:val="auto"/>
                      <w:szCs w:val="21"/>
                    </w:rPr>
                    <w:t>废气经集气罩收集后由“</w:t>
                  </w:r>
                  <w:r>
                    <w:rPr>
                      <w:rFonts w:hint="eastAsia" w:ascii="Times New Roman" w:hAnsi="Times New Roman"/>
                      <w:color w:val="auto"/>
                      <w:szCs w:val="21"/>
                      <w:lang w:val="en-US" w:eastAsia="zh-CN"/>
                    </w:rPr>
                    <w:t>二级</w:t>
                  </w:r>
                  <w:r>
                    <w:rPr>
                      <w:rFonts w:hint="eastAsia" w:ascii="Times New Roman" w:hAnsi="Times New Roman"/>
                      <w:color w:val="auto"/>
                      <w:szCs w:val="21"/>
                    </w:rPr>
                    <w:t>活性炭吸附装置”处理后</w:t>
                  </w:r>
                  <w:r>
                    <w:rPr>
                      <w:rFonts w:hint="eastAsia"/>
                      <w:color w:val="auto"/>
                      <w:szCs w:val="21"/>
                      <w:lang w:val="en-US" w:eastAsia="zh-CN"/>
                    </w:rPr>
                    <w:t>由23m高</w:t>
                  </w:r>
                  <w:r>
                    <w:rPr>
                      <w:rFonts w:hint="eastAsia" w:ascii="Times New Roman" w:hAnsi="Times New Roman"/>
                      <w:color w:val="auto"/>
                      <w:szCs w:val="21"/>
                    </w:rPr>
                    <w:t>排气筒</w:t>
                  </w:r>
                  <w:r>
                    <w:rPr>
                      <w:rFonts w:hint="eastAsia"/>
                      <w:color w:val="auto"/>
                      <w:szCs w:val="21"/>
                      <w:lang w:val="en-US" w:eastAsia="zh-CN"/>
                    </w:rPr>
                    <w:t>DA001</w:t>
                  </w:r>
                  <w:r>
                    <w:rPr>
                      <w:rFonts w:hint="eastAsia" w:ascii="Times New Roman" w:hAnsi="Times New Roman"/>
                      <w:color w:val="auto"/>
                      <w:szCs w:val="21"/>
                    </w:rPr>
                    <w:t>排放</w:t>
                  </w:r>
                  <w:r>
                    <w:rPr>
                      <w:rFonts w:hint="eastAsia"/>
                      <w:color w:val="auto"/>
                      <w:szCs w:val="21"/>
                      <w:lang w:eastAsia="zh-CN"/>
                    </w:rPr>
                    <w:t>。</w:t>
                  </w:r>
                </w:p>
              </w:tc>
              <w:tc>
                <w:tcPr>
                  <w:tcW w:w="656" w:type="pct"/>
                  <w:noWrap w:val="0"/>
                  <w:vAlign w:val="center"/>
                </w:tcPr>
                <w:p w14:paraId="76587847">
                  <w:pPr>
                    <w:keepNext w:val="0"/>
                    <w:keepLines w:val="0"/>
                    <w:suppressLineNumbers w:val="0"/>
                    <w:spacing w:before="0" w:beforeAutospacing="0" w:after="0" w:afterAutospacing="0" w:line="276" w:lineRule="auto"/>
                    <w:ind w:left="0" w:right="0"/>
                    <w:jc w:val="center"/>
                    <w:rPr>
                      <w:rFonts w:hint="default" w:ascii="Times New Roman" w:hAnsi="Times New Roman"/>
                      <w:color w:val="auto"/>
                      <w:szCs w:val="21"/>
                    </w:rPr>
                  </w:pPr>
                  <w:r>
                    <w:rPr>
                      <w:rFonts w:hint="eastAsia" w:ascii="Times New Roman" w:hAnsi="宋体"/>
                      <w:bCs/>
                      <w:color w:val="auto"/>
                      <w:kern w:val="0"/>
                      <w:szCs w:val="21"/>
                    </w:rPr>
                    <w:t>符合</w:t>
                  </w:r>
                </w:p>
              </w:tc>
            </w:tr>
          </w:tbl>
          <w:p w14:paraId="4BBCDC43">
            <w:pPr>
              <w:pStyle w:val="223"/>
              <w:keepNext w:val="0"/>
              <w:keepLines w:val="0"/>
              <w:suppressLineNumbers w:val="0"/>
              <w:spacing w:before="0" w:beforeAutospacing="0" w:after="0" w:afterAutospacing="0"/>
              <w:ind w:left="0" w:right="0"/>
              <w:rPr>
                <w:rFonts w:hint="default"/>
                <w:color w:val="auto"/>
              </w:rPr>
            </w:pPr>
          </w:p>
        </w:tc>
      </w:tr>
    </w:tbl>
    <w:p w14:paraId="51CCD6BC">
      <w:pPr>
        <w:bidi w:val="0"/>
        <w:rPr>
          <w:color w:val="auto"/>
        </w:rPr>
      </w:pPr>
    </w:p>
    <w:p w14:paraId="67C5C480">
      <w:pPr>
        <w:rPr>
          <w:color w:val="auto"/>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1"/>
        <w:gridCol w:w="13418"/>
      </w:tblGrid>
      <w:tr w14:paraId="18FD4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0" w:hRule="atLeast"/>
          <w:jc w:val="center"/>
        </w:trPr>
        <w:tc>
          <w:tcPr>
            <w:tcW w:w="601" w:type="dxa"/>
            <w:vAlign w:val="center"/>
          </w:tcPr>
          <w:p w14:paraId="535FE7D4">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60" w:lineRule="auto"/>
              <w:ind w:left="0" w:right="0"/>
              <w:jc w:val="center"/>
              <w:textAlignment w:val="auto"/>
              <w:rPr>
                <w:rFonts w:hint="default" w:eastAsia="宋体"/>
                <w:color w:val="auto"/>
                <w:sz w:val="24"/>
                <w:szCs w:val="24"/>
                <w:vertAlign w:val="baseline"/>
                <w:lang w:val="en-US" w:eastAsia="zh-CN"/>
              </w:rPr>
            </w:pPr>
            <w:r>
              <w:rPr>
                <w:rFonts w:hint="eastAsia"/>
                <w:color w:val="auto"/>
                <w:sz w:val="24"/>
                <w:szCs w:val="24"/>
                <w:vertAlign w:val="baseline"/>
                <w:lang w:val="en-US" w:eastAsia="zh-CN"/>
              </w:rPr>
              <w:t>其他符合性分析</w:t>
            </w:r>
          </w:p>
        </w:tc>
        <w:tc>
          <w:tcPr>
            <w:tcW w:w="13418" w:type="dxa"/>
          </w:tcPr>
          <w:p w14:paraId="05A6B582">
            <w:pPr>
              <w:keepNext w:val="0"/>
              <w:keepLines w:val="0"/>
              <w:suppressLineNumbers w:val="0"/>
              <w:spacing w:before="0" w:beforeAutospacing="0" w:after="0" w:afterAutospacing="0" w:line="360" w:lineRule="auto"/>
              <w:ind w:left="0" w:right="0" w:firstLine="482" w:firstLineChars="200"/>
              <w:rPr>
                <w:rFonts w:hint="default" w:hAnsi="宋体"/>
                <w:color w:val="auto"/>
                <w:sz w:val="24"/>
              </w:rPr>
            </w:pPr>
            <w:r>
              <w:rPr>
                <w:rFonts w:hint="eastAsia" w:hAnsi="宋体"/>
                <w:b/>
                <w:bCs/>
                <w:color w:val="auto"/>
                <w:sz w:val="24"/>
              </w:rPr>
              <w:t>（</w:t>
            </w:r>
            <w:r>
              <w:rPr>
                <w:rFonts w:hint="eastAsia" w:hAnsi="宋体"/>
                <w:b/>
                <w:bCs/>
                <w:color w:val="auto"/>
                <w:sz w:val="24"/>
                <w:lang w:val="en-US" w:eastAsia="zh-CN"/>
              </w:rPr>
              <w:t>9</w:t>
            </w:r>
            <w:r>
              <w:rPr>
                <w:rFonts w:hint="eastAsia" w:hAnsi="宋体"/>
                <w:b/>
                <w:bCs/>
                <w:color w:val="auto"/>
                <w:sz w:val="24"/>
              </w:rPr>
              <w:t>）与《淮南市涉气建设项目环评审批负面清单》的相符性分析</w:t>
            </w:r>
          </w:p>
          <w:p w14:paraId="06C0C798">
            <w:pPr>
              <w:keepNext w:val="0"/>
              <w:keepLines w:val="0"/>
              <w:suppressLineNumbers w:val="0"/>
              <w:spacing w:before="0" w:beforeAutospacing="0" w:after="0" w:afterAutospacing="0" w:line="360" w:lineRule="auto"/>
              <w:ind w:left="0" w:right="0"/>
              <w:jc w:val="center"/>
              <w:rPr>
                <w:rFonts w:hint="default" w:eastAsia="黑体"/>
                <w:color w:val="auto"/>
                <w:sz w:val="24"/>
              </w:rPr>
            </w:pPr>
            <w:r>
              <w:rPr>
                <w:rFonts w:hint="default" w:hAnsi="黑体" w:eastAsia="黑体"/>
                <w:color w:val="auto"/>
                <w:sz w:val="24"/>
                <w:szCs w:val="24"/>
              </w:rPr>
              <w:t>表</w:t>
            </w:r>
            <w:r>
              <w:rPr>
                <w:rFonts w:hint="eastAsia" w:eastAsia="黑体"/>
                <w:color w:val="auto"/>
                <w:sz w:val="24"/>
                <w:szCs w:val="24"/>
                <w:lang w:val="en-US" w:eastAsia="zh-CN"/>
              </w:rPr>
              <w:t>1-13</w:t>
            </w:r>
            <w:r>
              <w:rPr>
                <w:rFonts w:hint="default" w:eastAsia="黑体"/>
                <w:color w:val="auto"/>
                <w:sz w:val="24"/>
                <w:szCs w:val="24"/>
              </w:rPr>
              <w:t xml:space="preserve"> </w:t>
            </w:r>
            <w:r>
              <w:rPr>
                <w:rFonts w:hint="default" w:hAnsi="黑体" w:eastAsia="黑体"/>
                <w:color w:val="auto"/>
                <w:sz w:val="24"/>
                <w:szCs w:val="24"/>
              </w:rPr>
              <w:t>项目与《</w:t>
            </w:r>
            <w:r>
              <w:rPr>
                <w:rFonts w:hint="default" w:hAnsi="黑体" w:eastAsia="黑体"/>
                <w:color w:val="auto"/>
                <w:sz w:val="24"/>
              </w:rPr>
              <w:t>淮南市涉气建设项目环评审批负面清单</w:t>
            </w:r>
            <w:r>
              <w:rPr>
                <w:rFonts w:hint="default" w:hAnsi="黑体" w:eastAsia="黑体"/>
                <w:color w:val="auto"/>
                <w:sz w:val="24"/>
                <w:szCs w:val="24"/>
              </w:rPr>
              <w:t>》符合性分析</w:t>
            </w:r>
          </w:p>
          <w:tbl>
            <w:tblPr>
              <w:tblStyle w:val="38"/>
              <w:tblW w:w="5000" w:type="pct"/>
              <w:jc w:val="center"/>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34"/>
              <w:gridCol w:w="1595"/>
              <w:gridCol w:w="3219"/>
              <w:gridCol w:w="3443"/>
              <w:gridCol w:w="2741"/>
              <w:gridCol w:w="1370"/>
            </w:tblGrid>
            <w:tr w14:paraId="3DBFDCCE">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16" w:type="pct"/>
                  <w:vAlign w:val="center"/>
                </w:tcPr>
                <w:p w14:paraId="7A728EFA">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default" w:eastAsiaTheme="minorEastAsia"/>
                      <w:b/>
                      <w:color w:val="auto"/>
                      <w:szCs w:val="21"/>
                    </w:rPr>
                    <w:t>序号</w:t>
                  </w:r>
                </w:p>
              </w:tc>
              <w:tc>
                <w:tcPr>
                  <w:tcW w:w="604" w:type="pct"/>
                  <w:vAlign w:val="center"/>
                </w:tcPr>
                <w:p w14:paraId="044FE0C1">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default" w:eastAsiaTheme="minorEastAsia"/>
                      <w:b/>
                      <w:color w:val="auto"/>
                      <w:szCs w:val="21"/>
                    </w:rPr>
                    <w:t>重点工作任务</w:t>
                  </w:r>
                </w:p>
              </w:tc>
              <w:tc>
                <w:tcPr>
                  <w:tcW w:w="1219" w:type="pct"/>
                  <w:vAlign w:val="center"/>
                </w:tcPr>
                <w:p w14:paraId="2BE26D63">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default" w:eastAsiaTheme="minorEastAsia"/>
                      <w:b/>
                      <w:color w:val="auto"/>
                      <w:szCs w:val="21"/>
                    </w:rPr>
                    <w:t>推进举措</w:t>
                  </w:r>
                </w:p>
              </w:tc>
              <w:tc>
                <w:tcPr>
                  <w:tcW w:w="1304" w:type="pct"/>
                  <w:vAlign w:val="center"/>
                </w:tcPr>
                <w:p w14:paraId="36FD4C85">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default" w:eastAsiaTheme="minorEastAsia"/>
                      <w:b/>
                      <w:color w:val="auto"/>
                      <w:szCs w:val="21"/>
                    </w:rPr>
                    <w:t>环评审批的负面清单</w:t>
                  </w:r>
                </w:p>
              </w:tc>
              <w:tc>
                <w:tcPr>
                  <w:tcW w:w="1038" w:type="pct"/>
                  <w:vAlign w:val="center"/>
                </w:tcPr>
                <w:p w14:paraId="76A30D01">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default" w:eastAsiaTheme="minorEastAsia"/>
                      <w:b/>
                      <w:color w:val="auto"/>
                      <w:szCs w:val="21"/>
                    </w:rPr>
                    <w:t>本项目情况</w:t>
                  </w:r>
                </w:p>
              </w:tc>
              <w:tc>
                <w:tcPr>
                  <w:tcW w:w="515" w:type="pct"/>
                  <w:vAlign w:val="center"/>
                </w:tcPr>
                <w:p w14:paraId="62BCBB76">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default" w:eastAsiaTheme="minorEastAsia"/>
                      <w:b/>
                      <w:color w:val="auto"/>
                      <w:szCs w:val="21"/>
                    </w:rPr>
                    <w:t>是否属于负面清单情形</w:t>
                  </w:r>
                </w:p>
              </w:tc>
            </w:tr>
            <w:tr w14:paraId="6DA02E9E">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00" w:type="pct"/>
                  <w:gridSpan w:val="6"/>
                  <w:vAlign w:val="center"/>
                </w:tcPr>
                <w:p w14:paraId="5368F430">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default" w:hAnsiTheme="minorEastAsia" w:eastAsiaTheme="minorEastAsia"/>
                      <w:color w:val="auto"/>
                      <w:szCs w:val="21"/>
                    </w:rPr>
                    <w:t>（一）坚决遏制高耗能、高排放、低水平项目盲目上马</w:t>
                  </w:r>
                </w:p>
              </w:tc>
            </w:tr>
            <w:tr w14:paraId="4B6EA6C6">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16" w:type="pct"/>
                  <w:vAlign w:val="center"/>
                </w:tcPr>
                <w:p w14:paraId="63788EE9">
                  <w:pPr>
                    <w:keepNext w:val="0"/>
                    <w:keepLines w:val="0"/>
                    <w:suppressLineNumbers w:val="0"/>
                    <w:autoSpaceDE w:val="0"/>
                    <w:autoSpaceDN w:val="0"/>
                    <w:spacing w:before="0" w:beforeAutospacing="0" w:after="0" w:afterAutospacing="0" w:line="276" w:lineRule="auto"/>
                    <w:ind w:left="0" w:right="0"/>
                    <w:jc w:val="center"/>
                    <w:rPr>
                      <w:rFonts w:hint="default" w:eastAsiaTheme="minorEastAsia"/>
                      <w:color w:val="auto"/>
                      <w:szCs w:val="21"/>
                    </w:rPr>
                  </w:pPr>
                  <w:r>
                    <w:rPr>
                      <w:rFonts w:hint="default" w:eastAsiaTheme="minorEastAsia"/>
                      <w:color w:val="auto"/>
                      <w:szCs w:val="21"/>
                    </w:rPr>
                    <w:t>1</w:t>
                  </w:r>
                </w:p>
              </w:tc>
              <w:tc>
                <w:tcPr>
                  <w:tcW w:w="604" w:type="pct"/>
                  <w:vAlign w:val="center"/>
                </w:tcPr>
                <w:p w14:paraId="1AB2D559">
                  <w:pPr>
                    <w:keepNext w:val="0"/>
                    <w:keepLines w:val="0"/>
                    <w:suppressLineNumbers w:val="0"/>
                    <w:autoSpaceDE w:val="0"/>
                    <w:autoSpaceDN w:val="0"/>
                    <w:spacing w:before="0" w:beforeAutospacing="0" w:after="0" w:afterAutospacing="0" w:line="276" w:lineRule="auto"/>
                    <w:ind w:left="0" w:right="0"/>
                    <w:jc w:val="center"/>
                    <w:rPr>
                      <w:rFonts w:hint="default" w:eastAsiaTheme="minorEastAsia"/>
                      <w:color w:val="auto"/>
                      <w:szCs w:val="21"/>
                    </w:rPr>
                  </w:pPr>
                  <w:r>
                    <w:rPr>
                      <w:rFonts w:hint="default" w:eastAsiaTheme="minorEastAsia"/>
                      <w:color w:val="auto"/>
                      <w:szCs w:val="21"/>
                    </w:rPr>
                    <w:t>新改扩建项目严格落实国家产业政策</w:t>
                  </w:r>
                  <w:r>
                    <w:rPr>
                      <w:rFonts w:hint="default" w:ascii="宋体" w:hAnsi="宋体"/>
                      <w:color w:val="auto"/>
                      <w:szCs w:val="21"/>
                    </w:rPr>
                    <w:t>要求，严把“两高”项</w:t>
                  </w:r>
                  <w:r>
                    <w:rPr>
                      <w:rFonts w:hint="default" w:eastAsiaTheme="minorEastAsia"/>
                      <w:color w:val="auto"/>
                      <w:szCs w:val="21"/>
                    </w:rPr>
                    <w:t>目审批</w:t>
                  </w:r>
                </w:p>
              </w:tc>
              <w:tc>
                <w:tcPr>
                  <w:tcW w:w="1219" w:type="pct"/>
                  <w:vAlign w:val="center"/>
                </w:tcPr>
                <w:p w14:paraId="167DE1AB">
                  <w:pPr>
                    <w:keepNext w:val="0"/>
                    <w:keepLines w:val="0"/>
                    <w:suppressLineNumbers w:val="0"/>
                    <w:autoSpaceDE w:val="0"/>
                    <w:autoSpaceDN w:val="0"/>
                    <w:spacing w:before="0" w:beforeAutospacing="0" w:after="0" w:afterAutospacing="0" w:line="276" w:lineRule="auto"/>
                    <w:ind w:left="0" w:right="0"/>
                    <w:jc w:val="center"/>
                    <w:rPr>
                      <w:rFonts w:hint="default" w:eastAsiaTheme="minorEastAsia"/>
                      <w:color w:val="auto"/>
                      <w:szCs w:val="21"/>
                    </w:rPr>
                  </w:pPr>
                  <w:r>
                    <w:rPr>
                      <w:rFonts w:hint="default" w:eastAsiaTheme="minorEastAsia"/>
                      <w:color w:val="auto"/>
                      <w:szCs w:val="21"/>
                    </w:rPr>
                    <w:t>新改扩建项目严格落实国家产业规划、产业政策、生态环境分区管控方案、规划环评、项目环评、节能审查、产能置换、重点污染物总量控制、污染物排放区域削减、碳排放达峰目标等相关要求，原则上采用清洁运输方式。实</w:t>
                  </w:r>
                  <w:r>
                    <w:rPr>
                      <w:rFonts w:hint="default" w:ascii="宋体" w:hAnsi="宋体"/>
                      <w:color w:val="auto"/>
                      <w:szCs w:val="21"/>
                    </w:rPr>
                    <w:t>施“高污染、高耗能”项</w:t>
                  </w:r>
                  <w:r>
                    <w:rPr>
                      <w:rFonts w:hint="default" w:eastAsiaTheme="minorEastAsia"/>
                      <w:color w:val="auto"/>
                      <w:szCs w:val="21"/>
                    </w:rPr>
                    <w:t>目部门联审，严格论证项目建设必要性、可行性，推动行业集约发展和绿色转型</w:t>
                  </w:r>
                </w:p>
              </w:tc>
              <w:tc>
                <w:tcPr>
                  <w:tcW w:w="1304" w:type="pct"/>
                  <w:vAlign w:val="center"/>
                </w:tcPr>
                <w:p w14:paraId="3F4C1646">
                  <w:pPr>
                    <w:keepNext w:val="0"/>
                    <w:keepLines w:val="0"/>
                    <w:suppressLineNumbers w:val="0"/>
                    <w:autoSpaceDE w:val="0"/>
                    <w:autoSpaceDN w:val="0"/>
                    <w:spacing w:before="0" w:beforeAutospacing="0" w:after="0" w:afterAutospacing="0" w:line="276" w:lineRule="auto"/>
                    <w:ind w:left="0" w:right="0"/>
                    <w:jc w:val="center"/>
                    <w:rPr>
                      <w:rFonts w:hint="default" w:eastAsiaTheme="minorEastAsia"/>
                      <w:color w:val="auto"/>
                      <w:szCs w:val="21"/>
                    </w:rPr>
                  </w:pPr>
                  <w:r>
                    <w:rPr>
                      <w:rFonts w:hint="default" w:eastAsiaTheme="minorEastAsia"/>
                      <w:color w:val="auto"/>
                      <w:szCs w:val="21"/>
                    </w:rPr>
                    <w:t>1、新改扩建项目严格落实国家产业规划、产业政策、生态环境分区管控方案、规划环评、项目环评、节能审查、产能置换、重点污染物总量控制、污染物排放区域削减、碳排放达峰目标等相关要求；</w:t>
                  </w:r>
                </w:p>
                <w:p w14:paraId="5C31A597">
                  <w:pPr>
                    <w:keepNext w:val="0"/>
                    <w:keepLines w:val="0"/>
                    <w:suppressLineNumbers w:val="0"/>
                    <w:autoSpaceDE w:val="0"/>
                    <w:autoSpaceDN w:val="0"/>
                    <w:spacing w:before="0" w:beforeAutospacing="0" w:after="0" w:afterAutospacing="0" w:line="276" w:lineRule="auto"/>
                    <w:ind w:left="0" w:right="0"/>
                    <w:jc w:val="center"/>
                    <w:rPr>
                      <w:rFonts w:hint="default" w:eastAsiaTheme="minorEastAsia"/>
                      <w:color w:val="auto"/>
                      <w:szCs w:val="21"/>
                    </w:rPr>
                  </w:pPr>
                  <w:r>
                    <w:rPr>
                      <w:rFonts w:hint="default" w:eastAsiaTheme="minorEastAsia"/>
                      <w:color w:val="auto"/>
                      <w:szCs w:val="21"/>
                    </w:rPr>
                    <w:t>2、两高项目应实施部门联审</w:t>
                  </w:r>
                </w:p>
              </w:tc>
              <w:tc>
                <w:tcPr>
                  <w:tcW w:w="1038" w:type="pct"/>
                  <w:vAlign w:val="center"/>
                </w:tcPr>
                <w:p w14:paraId="348EA19B">
                  <w:pPr>
                    <w:keepNext w:val="0"/>
                    <w:keepLines w:val="0"/>
                    <w:suppressLineNumbers w:val="0"/>
                    <w:autoSpaceDE w:val="0"/>
                    <w:autoSpaceDN w:val="0"/>
                    <w:spacing w:before="0" w:beforeAutospacing="0" w:after="0" w:afterAutospacing="0" w:line="276" w:lineRule="auto"/>
                    <w:ind w:left="0" w:right="0"/>
                    <w:jc w:val="center"/>
                    <w:rPr>
                      <w:rFonts w:hint="eastAsia" w:eastAsiaTheme="minorEastAsia"/>
                      <w:color w:val="auto"/>
                      <w:szCs w:val="21"/>
                      <w:lang w:eastAsia="zh-CN"/>
                    </w:rPr>
                  </w:pPr>
                  <w:r>
                    <w:rPr>
                      <w:rFonts w:hint="eastAsia" w:hAnsi="宋体"/>
                      <w:color w:val="auto"/>
                      <w:szCs w:val="21"/>
                      <w:lang w:val="en-US" w:eastAsia="zh-CN"/>
                    </w:rPr>
                    <w:t>本项目主要从事塑料制品制造</w:t>
                  </w:r>
                  <w:r>
                    <w:rPr>
                      <w:rFonts w:hint="eastAsia" w:eastAsiaTheme="minorEastAsia"/>
                      <w:color w:val="auto"/>
                      <w:szCs w:val="21"/>
                    </w:rPr>
                    <w:t>，</w:t>
                  </w:r>
                  <w:r>
                    <w:rPr>
                      <w:rFonts w:hint="default" w:eastAsiaTheme="minorEastAsia"/>
                      <w:color w:val="auto"/>
                      <w:szCs w:val="21"/>
                    </w:rPr>
                    <w:t>对照《产业结构调整指导目录</w:t>
                  </w:r>
                  <w:r>
                    <w:rPr>
                      <w:rFonts w:hint="eastAsia" w:eastAsiaTheme="minorEastAsia"/>
                      <w:color w:val="auto"/>
                      <w:szCs w:val="21"/>
                    </w:rPr>
                    <w:t>（</w:t>
                  </w:r>
                  <w:r>
                    <w:rPr>
                      <w:rFonts w:hint="default" w:eastAsiaTheme="minorEastAsia"/>
                      <w:color w:val="auto"/>
                      <w:szCs w:val="21"/>
                    </w:rPr>
                    <w:t>20</w:t>
                  </w:r>
                  <w:r>
                    <w:rPr>
                      <w:rFonts w:hint="eastAsia" w:eastAsiaTheme="minorEastAsia"/>
                      <w:color w:val="auto"/>
                      <w:szCs w:val="21"/>
                    </w:rPr>
                    <w:t>24</w:t>
                  </w:r>
                  <w:r>
                    <w:rPr>
                      <w:rFonts w:hint="default" w:eastAsiaTheme="minorEastAsia"/>
                      <w:color w:val="auto"/>
                      <w:szCs w:val="21"/>
                    </w:rPr>
                    <w:t>年本</w:t>
                  </w:r>
                  <w:r>
                    <w:rPr>
                      <w:rFonts w:hint="eastAsia" w:eastAsiaTheme="minorEastAsia"/>
                      <w:color w:val="auto"/>
                      <w:szCs w:val="21"/>
                    </w:rPr>
                    <w:t>）</w:t>
                  </w:r>
                  <w:r>
                    <w:rPr>
                      <w:rFonts w:hint="default" w:eastAsiaTheme="minorEastAsia"/>
                      <w:color w:val="auto"/>
                      <w:szCs w:val="21"/>
                    </w:rPr>
                    <w:t>》，本项目不属于限制类或淘汰类项目</w:t>
                  </w:r>
                  <w:r>
                    <w:rPr>
                      <w:rFonts w:hint="eastAsia" w:eastAsiaTheme="minorEastAsia"/>
                      <w:color w:val="auto"/>
                      <w:szCs w:val="21"/>
                    </w:rPr>
                    <w:t>，视为允许建设项目，本项目建设符合国家产业政策要求；对照</w:t>
                  </w:r>
                  <w:r>
                    <w:rPr>
                      <w:rFonts w:hint="default" w:eastAsiaTheme="minorEastAsia"/>
                      <w:color w:val="auto"/>
                      <w:szCs w:val="21"/>
                    </w:rPr>
                    <w:t>《安徽</w:t>
                  </w:r>
                  <w:r>
                    <w:rPr>
                      <w:rFonts w:hint="eastAsia" w:ascii="宋体" w:hAnsi="宋体" w:eastAsia="宋体" w:cs="宋体"/>
                      <w:color w:val="auto"/>
                      <w:szCs w:val="21"/>
                    </w:rPr>
                    <w:t>省“两高”项目重点管理范围(</w:t>
                  </w:r>
                  <w:r>
                    <w:rPr>
                      <w:rFonts w:hint="default" w:ascii="Times New Roman" w:hAnsi="Times New Roman" w:eastAsia="宋体" w:cs="Times New Roman"/>
                      <w:color w:val="auto"/>
                      <w:szCs w:val="21"/>
                    </w:rPr>
                    <w:t>2025</w:t>
                  </w:r>
                  <w:r>
                    <w:rPr>
                      <w:rFonts w:hint="eastAsia" w:ascii="宋体" w:hAnsi="宋体" w:eastAsia="宋体" w:cs="宋体"/>
                      <w:color w:val="auto"/>
                      <w:szCs w:val="21"/>
                    </w:rPr>
                    <w:t>年版)</w:t>
                  </w:r>
                  <w:r>
                    <w:rPr>
                      <w:rFonts w:hint="default" w:eastAsiaTheme="minorEastAsia"/>
                      <w:color w:val="auto"/>
                      <w:szCs w:val="21"/>
                    </w:rPr>
                    <w:t>》</w:t>
                  </w:r>
                  <w:r>
                    <w:rPr>
                      <w:rFonts w:hint="eastAsia" w:eastAsiaTheme="minorEastAsia"/>
                      <w:color w:val="auto"/>
                      <w:szCs w:val="21"/>
                    </w:rPr>
                    <w:t>，</w:t>
                  </w:r>
                  <w:r>
                    <w:rPr>
                      <w:rFonts w:hint="default" w:eastAsiaTheme="minorEastAsia"/>
                      <w:color w:val="auto"/>
                      <w:szCs w:val="21"/>
                    </w:rPr>
                    <w:t>本项目不属于</w:t>
                  </w:r>
                  <w:r>
                    <w:rPr>
                      <w:rFonts w:hint="eastAsia" w:eastAsiaTheme="minorEastAsia"/>
                      <w:color w:val="auto"/>
                      <w:szCs w:val="21"/>
                    </w:rPr>
                    <w:t>高</w:t>
                  </w:r>
                  <w:r>
                    <w:rPr>
                      <w:rFonts w:hint="default" w:eastAsiaTheme="minorEastAsia"/>
                      <w:color w:val="auto"/>
                      <w:szCs w:val="21"/>
                    </w:rPr>
                    <w:t>耗能</w:t>
                  </w:r>
                  <w:r>
                    <w:rPr>
                      <w:rFonts w:hint="eastAsia" w:eastAsiaTheme="minorEastAsia"/>
                      <w:color w:val="auto"/>
                      <w:szCs w:val="21"/>
                    </w:rPr>
                    <w:t>、</w:t>
                  </w:r>
                  <w:r>
                    <w:rPr>
                      <w:rFonts w:hint="default" w:eastAsiaTheme="minorEastAsia"/>
                      <w:color w:val="auto"/>
                      <w:szCs w:val="21"/>
                    </w:rPr>
                    <w:t>高排放项目</w:t>
                  </w:r>
                  <w:r>
                    <w:rPr>
                      <w:rFonts w:hint="eastAsia" w:eastAsiaTheme="minorEastAsia"/>
                      <w:color w:val="auto"/>
                      <w:szCs w:val="21"/>
                      <w:lang w:eastAsia="zh-CN"/>
                    </w:rPr>
                    <w:t>。</w:t>
                  </w:r>
                </w:p>
              </w:tc>
              <w:tc>
                <w:tcPr>
                  <w:tcW w:w="515" w:type="pct"/>
                  <w:vAlign w:val="center"/>
                </w:tcPr>
                <w:p w14:paraId="030366C6">
                  <w:pPr>
                    <w:keepNext w:val="0"/>
                    <w:keepLines w:val="0"/>
                    <w:suppressLineNumbers w:val="0"/>
                    <w:autoSpaceDE w:val="0"/>
                    <w:autoSpaceDN w:val="0"/>
                    <w:spacing w:before="0" w:beforeAutospacing="0" w:after="0" w:afterAutospacing="0" w:line="276" w:lineRule="auto"/>
                    <w:ind w:left="0" w:right="0"/>
                    <w:jc w:val="center"/>
                    <w:rPr>
                      <w:rFonts w:hint="default" w:eastAsiaTheme="minorEastAsia"/>
                      <w:color w:val="auto"/>
                      <w:szCs w:val="21"/>
                    </w:rPr>
                  </w:pPr>
                  <w:r>
                    <w:rPr>
                      <w:rFonts w:hint="eastAsia" w:eastAsiaTheme="minorEastAsia"/>
                      <w:color w:val="auto"/>
                      <w:szCs w:val="21"/>
                    </w:rPr>
                    <w:t>不属于</w:t>
                  </w:r>
                </w:p>
              </w:tc>
            </w:tr>
            <w:tr w14:paraId="4B94EAE9">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16" w:type="pct"/>
                  <w:vMerge w:val="restart"/>
                  <w:vAlign w:val="center"/>
                </w:tcPr>
                <w:p w14:paraId="26BD8427">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eastAsiaTheme="minorEastAsia"/>
                      <w:color w:val="auto"/>
                      <w:szCs w:val="21"/>
                    </w:rPr>
                    <w:t>2</w:t>
                  </w:r>
                </w:p>
              </w:tc>
              <w:tc>
                <w:tcPr>
                  <w:tcW w:w="604" w:type="pct"/>
                  <w:vMerge w:val="restart"/>
                  <w:vAlign w:val="center"/>
                </w:tcPr>
                <w:p w14:paraId="79E9C2C0">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hAnsiTheme="minorEastAsia" w:eastAsiaTheme="minorEastAsia"/>
                      <w:color w:val="auto"/>
                      <w:szCs w:val="21"/>
                    </w:rPr>
                    <w:t>严格落实产能置换要求</w:t>
                  </w:r>
                </w:p>
              </w:tc>
              <w:tc>
                <w:tcPr>
                  <w:tcW w:w="1219" w:type="pct"/>
                  <w:vAlign w:val="center"/>
                </w:tcPr>
                <w:p w14:paraId="03B38B59">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hAnsiTheme="minorEastAsia" w:eastAsiaTheme="minorEastAsia"/>
                      <w:color w:val="auto"/>
                      <w:szCs w:val="21"/>
                    </w:rPr>
                    <w:t>推动产能过剩行业减量发展、优化布局。不以任何名义、任何方式核准、备案产能严重过剩行业新增产能项目</w:t>
                  </w:r>
                </w:p>
              </w:tc>
              <w:tc>
                <w:tcPr>
                  <w:tcW w:w="1304" w:type="pct"/>
                  <w:vAlign w:val="center"/>
                </w:tcPr>
                <w:p w14:paraId="6E51035F">
                  <w:pPr>
                    <w:keepNext w:val="0"/>
                    <w:keepLines w:val="0"/>
                    <w:suppressLineNumbers w:val="0"/>
                    <w:adjustRightInd w:val="0"/>
                    <w:snapToGrid w:val="0"/>
                    <w:spacing w:before="0" w:beforeAutospacing="0" w:after="0" w:afterAutospacing="0" w:line="276" w:lineRule="auto"/>
                    <w:ind w:left="0" w:right="0"/>
                    <w:jc w:val="center"/>
                    <w:rPr>
                      <w:rFonts w:hint="default" w:hAnsiTheme="minorEastAsia" w:eastAsiaTheme="minorEastAsia"/>
                      <w:color w:val="auto"/>
                      <w:szCs w:val="21"/>
                    </w:rPr>
                  </w:pPr>
                  <w:r>
                    <w:rPr>
                      <w:rFonts w:hint="default" w:hAnsiTheme="minorEastAsia" w:eastAsiaTheme="minorEastAsia"/>
                      <w:color w:val="auto"/>
                      <w:szCs w:val="21"/>
                    </w:rPr>
                    <w:t>严重过剩行业新增产能项目环评不予审批</w:t>
                  </w:r>
                </w:p>
              </w:tc>
              <w:tc>
                <w:tcPr>
                  <w:tcW w:w="1038" w:type="pct"/>
                  <w:vAlign w:val="center"/>
                </w:tcPr>
                <w:p w14:paraId="2D8AF185">
                  <w:pPr>
                    <w:keepNext w:val="0"/>
                    <w:keepLines w:val="0"/>
                    <w:suppressLineNumbers w:val="0"/>
                    <w:spacing w:before="0" w:beforeAutospacing="0" w:after="0" w:afterAutospacing="0" w:line="276" w:lineRule="auto"/>
                    <w:ind w:left="0" w:right="0"/>
                    <w:jc w:val="center"/>
                    <w:rPr>
                      <w:rFonts w:hint="default" w:hAnsiTheme="minorEastAsia" w:eastAsiaTheme="minorEastAsia"/>
                      <w:color w:val="auto"/>
                      <w:szCs w:val="21"/>
                    </w:rPr>
                  </w:pPr>
                  <w:r>
                    <w:rPr>
                      <w:rFonts w:hint="default" w:hAnsiTheme="minorEastAsia" w:eastAsiaTheme="minorEastAsia"/>
                      <w:color w:val="auto"/>
                      <w:szCs w:val="21"/>
                    </w:rPr>
                    <w:t>本项目</w:t>
                  </w:r>
                  <w:r>
                    <w:rPr>
                      <w:rFonts w:hint="eastAsia" w:hAnsiTheme="minorEastAsia" w:eastAsiaTheme="minorEastAsia"/>
                      <w:color w:val="auto"/>
                      <w:szCs w:val="21"/>
                    </w:rPr>
                    <w:t>不属于产能过剩行业</w:t>
                  </w:r>
                </w:p>
              </w:tc>
              <w:tc>
                <w:tcPr>
                  <w:tcW w:w="515" w:type="pct"/>
                  <w:vAlign w:val="center"/>
                </w:tcPr>
                <w:p w14:paraId="13060E79">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eastAsia" w:eastAsiaTheme="minorEastAsia"/>
                      <w:color w:val="auto"/>
                      <w:szCs w:val="21"/>
                    </w:rPr>
                    <w:t>不属于</w:t>
                  </w:r>
                </w:p>
              </w:tc>
            </w:tr>
            <w:tr w14:paraId="2B71E313">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3" w:hRule="atLeast"/>
                <w:jc w:val="center"/>
              </w:trPr>
              <w:tc>
                <w:tcPr>
                  <w:tcW w:w="316" w:type="pct"/>
                  <w:vMerge w:val="continue"/>
                  <w:vAlign w:val="center"/>
                </w:tcPr>
                <w:p w14:paraId="44CCAD79">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p>
              </w:tc>
              <w:tc>
                <w:tcPr>
                  <w:tcW w:w="604" w:type="pct"/>
                  <w:vMerge w:val="continue"/>
                  <w:vAlign w:val="center"/>
                </w:tcPr>
                <w:p w14:paraId="1A2FE94C">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p>
              </w:tc>
              <w:tc>
                <w:tcPr>
                  <w:tcW w:w="1219" w:type="pct"/>
                  <w:vAlign w:val="center"/>
                </w:tcPr>
                <w:p w14:paraId="319E6339">
                  <w:pPr>
                    <w:keepNext w:val="0"/>
                    <w:keepLines w:val="0"/>
                    <w:suppressLineNumbers w:val="0"/>
                    <w:spacing w:before="0" w:beforeAutospacing="0" w:after="0" w:afterAutospacing="0" w:line="276" w:lineRule="auto"/>
                    <w:ind w:left="0" w:right="0"/>
                    <w:jc w:val="center"/>
                    <w:rPr>
                      <w:rFonts w:hint="default" w:hAnsiTheme="minorEastAsia" w:eastAsiaTheme="minorEastAsia"/>
                      <w:color w:val="auto"/>
                      <w:szCs w:val="21"/>
                    </w:rPr>
                  </w:pPr>
                  <w:r>
                    <w:rPr>
                      <w:rFonts w:hint="default" w:hAnsiTheme="minorEastAsia" w:eastAsiaTheme="minorEastAsia"/>
                      <w:color w:val="auto"/>
                      <w:szCs w:val="21"/>
                    </w:rPr>
                    <w:t>被置换产能及其配套设施关停后，新建项目方可投产</w:t>
                  </w:r>
                </w:p>
              </w:tc>
              <w:tc>
                <w:tcPr>
                  <w:tcW w:w="1304" w:type="pct"/>
                  <w:vAlign w:val="center"/>
                </w:tcPr>
                <w:p w14:paraId="1292C5A4">
                  <w:pPr>
                    <w:keepNext w:val="0"/>
                    <w:keepLines w:val="0"/>
                    <w:suppressLineNumbers w:val="0"/>
                    <w:spacing w:before="0" w:beforeAutospacing="0" w:after="0" w:afterAutospacing="0" w:line="276" w:lineRule="auto"/>
                    <w:ind w:left="0" w:right="0"/>
                    <w:jc w:val="center"/>
                    <w:rPr>
                      <w:rFonts w:hint="default" w:hAnsiTheme="minorEastAsia" w:eastAsiaTheme="minorEastAsia"/>
                      <w:color w:val="auto"/>
                      <w:szCs w:val="21"/>
                    </w:rPr>
                  </w:pPr>
                  <w:r>
                    <w:rPr>
                      <w:rFonts w:hint="default" w:hAnsiTheme="minorEastAsia" w:eastAsiaTheme="minorEastAsia"/>
                      <w:color w:val="auto"/>
                      <w:szCs w:val="21"/>
                    </w:rPr>
                    <w:t>涉及产能置换项目环评阶段应取得置换产能</w:t>
                  </w:r>
                </w:p>
              </w:tc>
              <w:tc>
                <w:tcPr>
                  <w:tcW w:w="1038" w:type="pct"/>
                  <w:vAlign w:val="center"/>
                </w:tcPr>
                <w:p w14:paraId="17978E4A">
                  <w:pPr>
                    <w:keepNext w:val="0"/>
                    <w:keepLines w:val="0"/>
                    <w:suppressLineNumbers w:val="0"/>
                    <w:spacing w:before="0" w:beforeAutospacing="0" w:after="0" w:afterAutospacing="0" w:line="276" w:lineRule="auto"/>
                    <w:ind w:left="0" w:right="0"/>
                    <w:jc w:val="center"/>
                    <w:rPr>
                      <w:rFonts w:hint="default" w:hAnsiTheme="minorEastAsia" w:eastAsiaTheme="minorEastAsia"/>
                      <w:color w:val="auto"/>
                      <w:szCs w:val="21"/>
                    </w:rPr>
                  </w:pPr>
                  <w:r>
                    <w:rPr>
                      <w:rFonts w:hint="default" w:hAnsiTheme="minorEastAsia" w:eastAsiaTheme="minorEastAsia"/>
                      <w:color w:val="auto"/>
                      <w:szCs w:val="21"/>
                    </w:rPr>
                    <w:t>不涉及</w:t>
                  </w:r>
                </w:p>
              </w:tc>
              <w:tc>
                <w:tcPr>
                  <w:tcW w:w="515" w:type="pct"/>
                  <w:vAlign w:val="center"/>
                </w:tcPr>
                <w:p w14:paraId="55BD8A48">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eastAsia" w:eastAsiaTheme="minorEastAsia"/>
                      <w:color w:val="auto"/>
                      <w:szCs w:val="21"/>
                    </w:rPr>
                    <w:t>不属于</w:t>
                  </w:r>
                </w:p>
              </w:tc>
            </w:tr>
            <w:tr w14:paraId="49B342E5">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00" w:type="pct"/>
                  <w:gridSpan w:val="6"/>
                  <w:vAlign w:val="center"/>
                </w:tcPr>
                <w:p w14:paraId="4A4732B7">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default" w:hAnsiTheme="minorEastAsia" w:eastAsiaTheme="minorEastAsia"/>
                      <w:color w:val="auto"/>
                      <w:szCs w:val="21"/>
                    </w:rPr>
                    <w:t>（二）有序推动落后产能淘汰</w:t>
                  </w:r>
                </w:p>
              </w:tc>
            </w:tr>
            <w:tr w14:paraId="47F62836">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16" w:type="pct"/>
                  <w:vMerge w:val="restart"/>
                  <w:vAlign w:val="center"/>
                </w:tcPr>
                <w:p w14:paraId="5FA35E43">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eastAsiaTheme="minorEastAsia"/>
                      <w:color w:val="auto"/>
                      <w:szCs w:val="21"/>
                    </w:rPr>
                    <w:t>5</w:t>
                  </w:r>
                </w:p>
              </w:tc>
              <w:tc>
                <w:tcPr>
                  <w:tcW w:w="604" w:type="pct"/>
                  <w:vMerge w:val="restart"/>
                  <w:vAlign w:val="center"/>
                </w:tcPr>
                <w:p w14:paraId="2F5EE0A0">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hAnsiTheme="minorEastAsia" w:eastAsiaTheme="minorEastAsia"/>
                      <w:color w:val="auto"/>
                      <w:szCs w:val="21"/>
                    </w:rPr>
                    <w:t>有序推动生产设施老旧、工艺水平落后、环境管理水平低下等企业退出市场</w:t>
                  </w:r>
                </w:p>
              </w:tc>
              <w:tc>
                <w:tcPr>
                  <w:tcW w:w="1219" w:type="pct"/>
                  <w:vAlign w:val="center"/>
                </w:tcPr>
                <w:p w14:paraId="24A2C410">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hAnsiTheme="minorEastAsia" w:eastAsiaTheme="minorEastAsia"/>
                      <w:color w:val="auto"/>
                      <w:szCs w:val="21"/>
                    </w:rPr>
                    <w:t>逐步淘汰步进式烧结机和球团竖炉以及半封闭式硅锰合金、镍铁、高碳铬铁、高碳锰铁电炉。</w:t>
                  </w:r>
                </w:p>
                <w:p w14:paraId="6CAFB41D">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hAnsiTheme="minorEastAsia" w:eastAsiaTheme="minorEastAsia"/>
                      <w:color w:val="auto"/>
                      <w:szCs w:val="21"/>
                    </w:rPr>
                    <w:t>有序推动落后煤炭洗选企业退出市场。</w:t>
                  </w:r>
                </w:p>
                <w:p w14:paraId="3D90BF59">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hAnsiTheme="minorEastAsia" w:eastAsiaTheme="minorEastAsia"/>
                      <w:color w:val="auto"/>
                      <w:szCs w:val="21"/>
                    </w:rPr>
                    <w:t>禁止铝加工（深井铸造）企业新改扩建项目采用固定式保温炉组、钢丝绳铸造机</w:t>
                  </w:r>
                </w:p>
              </w:tc>
              <w:tc>
                <w:tcPr>
                  <w:tcW w:w="1304" w:type="pct"/>
                  <w:vAlign w:val="center"/>
                </w:tcPr>
                <w:p w14:paraId="4068E93B">
                  <w:pPr>
                    <w:keepNext w:val="0"/>
                    <w:keepLines w:val="0"/>
                    <w:suppressLineNumbers w:val="0"/>
                    <w:adjustRightInd w:val="0"/>
                    <w:snapToGrid w:val="0"/>
                    <w:spacing w:before="0" w:beforeAutospacing="0" w:after="0" w:afterAutospacing="0" w:line="276" w:lineRule="auto"/>
                    <w:ind w:left="0" w:right="0"/>
                    <w:jc w:val="center"/>
                    <w:rPr>
                      <w:rFonts w:hint="default" w:hAnsiTheme="minorEastAsia" w:eastAsiaTheme="minorEastAsia"/>
                      <w:color w:val="auto"/>
                      <w:szCs w:val="21"/>
                    </w:rPr>
                  </w:pPr>
                  <w:r>
                    <w:rPr>
                      <w:rFonts w:hint="default" w:hAnsiTheme="minorEastAsia" w:eastAsiaTheme="minorEastAsia"/>
                      <w:color w:val="auto"/>
                      <w:szCs w:val="21"/>
                    </w:rPr>
                    <w:t>采用步进式烧结机和球团竖炉以及半封闭式硅锰合金、镍铁、高碳铬铁、高碳锰铁电炉新建项目环评不予审批</w:t>
                  </w:r>
                </w:p>
              </w:tc>
              <w:tc>
                <w:tcPr>
                  <w:tcW w:w="1038" w:type="pct"/>
                  <w:vAlign w:val="center"/>
                </w:tcPr>
                <w:p w14:paraId="55D526EA">
                  <w:pPr>
                    <w:keepNext w:val="0"/>
                    <w:keepLines w:val="0"/>
                    <w:suppressLineNumbers w:val="0"/>
                    <w:spacing w:before="0" w:beforeAutospacing="0" w:after="0" w:afterAutospacing="0" w:line="276" w:lineRule="auto"/>
                    <w:ind w:left="0" w:right="0"/>
                    <w:jc w:val="center"/>
                    <w:rPr>
                      <w:rFonts w:hint="default" w:hAnsiTheme="minorEastAsia" w:eastAsiaTheme="minorEastAsia"/>
                      <w:color w:val="auto"/>
                      <w:szCs w:val="21"/>
                    </w:rPr>
                  </w:pPr>
                  <w:r>
                    <w:rPr>
                      <w:rFonts w:hint="default" w:hAnsiTheme="minorEastAsia" w:eastAsiaTheme="minorEastAsia"/>
                      <w:color w:val="auto"/>
                      <w:szCs w:val="21"/>
                    </w:rPr>
                    <w:t>不涉及</w:t>
                  </w:r>
                </w:p>
              </w:tc>
              <w:tc>
                <w:tcPr>
                  <w:tcW w:w="515" w:type="pct"/>
                  <w:vAlign w:val="center"/>
                </w:tcPr>
                <w:p w14:paraId="7F1B641A">
                  <w:pPr>
                    <w:keepNext w:val="0"/>
                    <w:keepLines w:val="0"/>
                    <w:suppressLineNumbers w:val="0"/>
                    <w:autoSpaceDE w:val="0"/>
                    <w:autoSpaceDN w:val="0"/>
                    <w:spacing w:before="0" w:beforeAutospacing="0" w:after="0" w:afterAutospacing="0" w:line="276" w:lineRule="auto"/>
                    <w:ind w:left="0" w:right="0"/>
                    <w:jc w:val="center"/>
                    <w:rPr>
                      <w:rFonts w:hint="default" w:eastAsiaTheme="minorEastAsia"/>
                      <w:color w:val="auto"/>
                      <w:szCs w:val="21"/>
                    </w:rPr>
                  </w:pPr>
                  <w:r>
                    <w:rPr>
                      <w:rFonts w:hint="eastAsia" w:eastAsiaTheme="minorEastAsia"/>
                      <w:color w:val="auto"/>
                      <w:szCs w:val="21"/>
                    </w:rPr>
                    <w:t>不属于</w:t>
                  </w:r>
                </w:p>
              </w:tc>
            </w:tr>
            <w:tr w14:paraId="79EEB152">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16" w:type="pct"/>
                  <w:vMerge w:val="continue"/>
                  <w:vAlign w:val="center"/>
                </w:tcPr>
                <w:p w14:paraId="70C1B3F3">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p>
              </w:tc>
              <w:tc>
                <w:tcPr>
                  <w:tcW w:w="604" w:type="pct"/>
                  <w:vMerge w:val="continue"/>
                  <w:vAlign w:val="center"/>
                </w:tcPr>
                <w:p w14:paraId="57CE863E">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p>
              </w:tc>
              <w:tc>
                <w:tcPr>
                  <w:tcW w:w="1219" w:type="pct"/>
                  <w:vAlign w:val="center"/>
                </w:tcPr>
                <w:p w14:paraId="13FC3515">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default" w:hAnsiTheme="minorEastAsia" w:eastAsiaTheme="minorEastAsia"/>
                      <w:color w:val="auto"/>
                      <w:szCs w:val="21"/>
                    </w:rPr>
                    <w:t>落后煤炭洗选项目不予审批</w:t>
                  </w:r>
                </w:p>
              </w:tc>
              <w:tc>
                <w:tcPr>
                  <w:tcW w:w="1304" w:type="pct"/>
                  <w:vAlign w:val="center"/>
                </w:tcPr>
                <w:p w14:paraId="73F00C71">
                  <w:pPr>
                    <w:keepNext w:val="0"/>
                    <w:keepLines w:val="0"/>
                    <w:suppressLineNumbers w:val="0"/>
                    <w:adjustRightInd w:val="0"/>
                    <w:snapToGrid w:val="0"/>
                    <w:spacing w:before="0" w:beforeAutospacing="0" w:after="0" w:afterAutospacing="0" w:line="276" w:lineRule="auto"/>
                    <w:ind w:left="0" w:right="0"/>
                    <w:jc w:val="center"/>
                    <w:rPr>
                      <w:rFonts w:hint="default" w:hAnsiTheme="minorEastAsia" w:eastAsiaTheme="minorEastAsia"/>
                      <w:color w:val="auto"/>
                      <w:szCs w:val="21"/>
                    </w:rPr>
                  </w:pPr>
                  <w:r>
                    <w:rPr>
                      <w:rFonts w:hint="default" w:hAnsiTheme="minorEastAsia" w:eastAsiaTheme="minorEastAsia"/>
                      <w:color w:val="auto"/>
                      <w:szCs w:val="21"/>
                    </w:rPr>
                    <w:t>落后煤炭洗选项目不予审批</w:t>
                  </w:r>
                </w:p>
              </w:tc>
              <w:tc>
                <w:tcPr>
                  <w:tcW w:w="1038" w:type="pct"/>
                  <w:vAlign w:val="center"/>
                </w:tcPr>
                <w:p w14:paraId="69669647">
                  <w:pPr>
                    <w:keepNext w:val="0"/>
                    <w:keepLines w:val="0"/>
                    <w:suppressLineNumbers w:val="0"/>
                    <w:spacing w:before="0" w:beforeAutospacing="0" w:after="0" w:afterAutospacing="0" w:line="276" w:lineRule="auto"/>
                    <w:ind w:left="0" w:right="0"/>
                    <w:jc w:val="center"/>
                    <w:rPr>
                      <w:rFonts w:hint="eastAsia" w:hAnsiTheme="minorEastAsia" w:eastAsiaTheme="minorEastAsia"/>
                      <w:color w:val="auto"/>
                      <w:szCs w:val="21"/>
                      <w:lang w:eastAsia="zh-CN"/>
                    </w:rPr>
                  </w:pPr>
                  <w:r>
                    <w:rPr>
                      <w:rFonts w:hint="eastAsia" w:hAnsiTheme="minorEastAsia" w:eastAsiaTheme="minorEastAsia"/>
                      <w:color w:val="auto"/>
                      <w:szCs w:val="21"/>
                      <w:lang w:val="en-US" w:eastAsia="zh-CN"/>
                    </w:rPr>
                    <w:t>不涉及</w:t>
                  </w:r>
                </w:p>
              </w:tc>
              <w:tc>
                <w:tcPr>
                  <w:tcW w:w="515" w:type="pct"/>
                  <w:vAlign w:val="center"/>
                </w:tcPr>
                <w:p w14:paraId="1BDD2695">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eastAsia" w:eastAsiaTheme="minorEastAsia"/>
                      <w:color w:val="auto"/>
                      <w:szCs w:val="21"/>
                    </w:rPr>
                    <w:t>不属于</w:t>
                  </w:r>
                </w:p>
              </w:tc>
            </w:tr>
            <w:tr w14:paraId="53E15027">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16" w:type="pct"/>
                  <w:vMerge w:val="continue"/>
                  <w:vAlign w:val="center"/>
                </w:tcPr>
                <w:p w14:paraId="6FC48A22">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p>
              </w:tc>
              <w:tc>
                <w:tcPr>
                  <w:tcW w:w="604" w:type="pct"/>
                  <w:vMerge w:val="continue"/>
                  <w:vAlign w:val="center"/>
                </w:tcPr>
                <w:p w14:paraId="5DD8F586">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p>
              </w:tc>
              <w:tc>
                <w:tcPr>
                  <w:tcW w:w="1219" w:type="pct"/>
                  <w:vAlign w:val="center"/>
                </w:tcPr>
                <w:p w14:paraId="3B4F3F99">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default" w:hAnsiTheme="minorEastAsia" w:eastAsiaTheme="minorEastAsia"/>
                      <w:color w:val="auto"/>
                      <w:szCs w:val="21"/>
                    </w:rPr>
                    <w:t>采用固定式保温炉组、钢丝绳铸造机的新改扩建铝加工（深井铸造）项目环评不予审批</w:t>
                  </w:r>
                </w:p>
              </w:tc>
              <w:tc>
                <w:tcPr>
                  <w:tcW w:w="1304" w:type="pct"/>
                  <w:vAlign w:val="center"/>
                </w:tcPr>
                <w:p w14:paraId="3CC67408">
                  <w:pPr>
                    <w:keepNext w:val="0"/>
                    <w:keepLines w:val="0"/>
                    <w:suppressLineNumbers w:val="0"/>
                    <w:adjustRightInd w:val="0"/>
                    <w:snapToGrid w:val="0"/>
                    <w:spacing w:before="0" w:beforeAutospacing="0" w:after="0" w:afterAutospacing="0" w:line="276" w:lineRule="auto"/>
                    <w:ind w:left="0" w:right="0"/>
                    <w:jc w:val="center"/>
                    <w:rPr>
                      <w:rFonts w:hint="default" w:hAnsiTheme="minorEastAsia" w:eastAsiaTheme="minorEastAsia"/>
                      <w:color w:val="auto"/>
                      <w:szCs w:val="21"/>
                    </w:rPr>
                  </w:pPr>
                  <w:r>
                    <w:rPr>
                      <w:rFonts w:hint="default" w:hAnsiTheme="minorEastAsia" w:eastAsiaTheme="minorEastAsia"/>
                      <w:color w:val="auto"/>
                      <w:szCs w:val="21"/>
                    </w:rPr>
                    <w:t>采用固定式保温炉组、钢丝绳铸造机的新改扩建铝加工（深井铸造）项目环评不予审批</w:t>
                  </w:r>
                </w:p>
              </w:tc>
              <w:tc>
                <w:tcPr>
                  <w:tcW w:w="1038" w:type="pct"/>
                  <w:vAlign w:val="center"/>
                </w:tcPr>
                <w:p w14:paraId="21B4C0B7">
                  <w:pPr>
                    <w:keepNext w:val="0"/>
                    <w:keepLines w:val="0"/>
                    <w:suppressLineNumbers w:val="0"/>
                    <w:spacing w:before="0" w:beforeAutospacing="0" w:after="0" w:afterAutospacing="0" w:line="276" w:lineRule="auto"/>
                    <w:ind w:left="0" w:right="0"/>
                    <w:jc w:val="center"/>
                    <w:rPr>
                      <w:rFonts w:hint="default" w:hAnsiTheme="minorEastAsia" w:eastAsiaTheme="minorEastAsia"/>
                      <w:color w:val="auto"/>
                      <w:szCs w:val="21"/>
                    </w:rPr>
                  </w:pPr>
                  <w:r>
                    <w:rPr>
                      <w:rFonts w:hint="default" w:hAnsiTheme="minorEastAsia" w:eastAsiaTheme="minorEastAsia"/>
                      <w:color w:val="auto"/>
                      <w:szCs w:val="21"/>
                    </w:rPr>
                    <w:t>不涉及</w:t>
                  </w:r>
                </w:p>
              </w:tc>
              <w:tc>
                <w:tcPr>
                  <w:tcW w:w="515" w:type="pct"/>
                  <w:vAlign w:val="center"/>
                </w:tcPr>
                <w:p w14:paraId="51DB30CA">
                  <w:pPr>
                    <w:keepNext w:val="0"/>
                    <w:keepLines w:val="0"/>
                    <w:suppressLineNumbers w:val="0"/>
                    <w:autoSpaceDE w:val="0"/>
                    <w:autoSpaceDN w:val="0"/>
                    <w:spacing w:before="0" w:beforeAutospacing="0" w:after="0" w:afterAutospacing="0" w:line="276" w:lineRule="auto"/>
                    <w:ind w:left="0" w:right="0"/>
                    <w:jc w:val="center"/>
                    <w:rPr>
                      <w:rFonts w:hint="default" w:eastAsiaTheme="minorEastAsia"/>
                      <w:color w:val="auto"/>
                      <w:szCs w:val="21"/>
                    </w:rPr>
                  </w:pPr>
                  <w:r>
                    <w:rPr>
                      <w:rFonts w:hint="eastAsia" w:eastAsiaTheme="minorEastAsia"/>
                      <w:color w:val="auto"/>
                      <w:szCs w:val="21"/>
                    </w:rPr>
                    <w:t>不属于</w:t>
                  </w:r>
                </w:p>
              </w:tc>
            </w:tr>
            <w:tr w14:paraId="23B8B4D6">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16" w:type="pct"/>
                  <w:vAlign w:val="center"/>
                </w:tcPr>
                <w:p w14:paraId="264BE112">
                  <w:pPr>
                    <w:keepNext w:val="0"/>
                    <w:keepLines w:val="0"/>
                    <w:suppressLineNumbers w:val="0"/>
                    <w:spacing w:before="0" w:beforeAutospacing="0" w:after="0" w:afterAutospacing="0" w:line="276" w:lineRule="auto"/>
                    <w:ind w:left="0" w:right="0"/>
                    <w:jc w:val="center"/>
                    <w:rPr>
                      <w:rFonts w:hint="default" w:eastAsiaTheme="minorEastAsia"/>
                      <w:color w:val="auto"/>
                      <w:szCs w:val="21"/>
                    </w:rPr>
                  </w:pPr>
                  <w:r>
                    <w:rPr>
                      <w:rFonts w:hint="default" w:eastAsiaTheme="minorEastAsia"/>
                      <w:color w:val="auto"/>
                      <w:szCs w:val="21"/>
                    </w:rPr>
                    <w:t>6</w:t>
                  </w:r>
                </w:p>
              </w:tc>
              <w:tc>
                <w:tcPr>
                  <w:tcW w:w="604" w:type="pct"/>
                  <w:vAlign w:val="center"/>
                </w:tcPr>
                <w:p w14:paraId="73BE1183">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hAnsiTheme="minorEastAsia" w:eastAsiaTheme="minorEastAsia"/>
                      <w:color w:val="auto"/>
                      <w:szCs w:val="21"/>
                    </w:rPr>
                    <w:t>严禁违规新增产能</w:t>
                  </w:r>
                </w:p>
              </w:tc>
              <w:tc>
                <w:tcPr>
                  <w:tcW w:w="1219" w:type="pct"/>
                  <w:vAlign w:val="center"/>
                </w:tcPr>
                <w:p w14:paraId="4B55CCB3">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hAnsiTheme="minorEastAsia" w:eastAsiaTheme="minorEastAsia"/>
                      <w:color w:val="auto"/>
                      <w:szCs w:val="21"/>
                    </w:rPr>
                    <w:t>严禁违规新增钢铁、水泥（熟料）、焦化、电解铝、平板玻璃（不含光伏压延玻璃）产能</w:t>
                  </w:r>
                </w:p>
              </w:tc>
              <w:tc>
                <w:tcPr>
                  <w:tcW w:w="1304" w:type="pct"/>
                  <w:vAlign w:val="center"/>
                </w:tcPr>
                <w:p w14:paraId="5443223E">
                  <w:pPr>
                    <w:keepNext w:val="0"/>
                    <w:keepLines w:val="0"/>
                    <w:suppressLineNumbers w:val="0"/>
                    <w:adjustRightInd w:val="0"/>
                    <w:snapToGrid w:val="0"/>
                    <w:spacing w:before="0" w:beforeAutospacing="0" w:after="0" w:afterAutospacing="0" w:line="276" w:lineRule="auto"/>
                    <w:ind w:left="0" w:right="0"/>
                    <w:jc w:val="center"/>
                    <w:rPr>
                      <w:rFonts w:hint="default" w:hAnsiTheme="minorEastAsia" w:eastAsiaTheme="minorEastAsia"/>
                      <w:color w:val="auto"/>
                      <w:szCs w:val="21"/>
                    </w:rPr>
                  </w:pPr>
                  <w:r>
                    <w:rPr>
                      <w:rFonts w:hint="default" w:hAnsiTheme="minorEastAsia" w:eastAsiaTheme="minorEastAsia"/>
                      <w:color w:val="auto"/>
                      <w:szCs w:val="21"/>
                    </w:rPr>
                    <w:t>违规新增钢铁、水泥（熟料）、焦化、电解铝、平板玻璃（不含光伏压延玻璃）产能项目环评不予审批</w:t>
                  </w:r>
                </w:p>
              </w:tc>
              <w:tc>
                <w:tcPr>
                  <w:tcW w:w="1038" w:type="pct"/>
                  <w:vAlign w:val="center"/>
                </w:tcPr>
                <w:p w14:paraId="35085EB5">
                  <w:pPr>
                    <w:keepNext w:val="0"/>
                    <w:keepLines w:val="0"/>
                    <w:suppressLineNumbers w:val="0"/>
                    <w:spacing w:before="0" w:beforeAutospacing="0" w:after="0" w:afterAutospacing="0" w:line="276" w:lineRule="auto"/>
                    <w:ind w:left="0" w:right="0"/>
                    <w:jc w:val="center"/>
                    <w:rPr>
                      <w:rFonts w:hint="default" w:hAnsiTheme="minorEastAsia" w:eastAsiaTheme="minorEastAsia"/>
                      <w:color w:val="auto"/>
                      <w:szCs w:val="21"/>
                    </w:rPr>
                  </w:pPr>
                  <w:r>
                    <w:rPr>
                      <w:rFonts w:hint="default" w:hAnsiTheme="minorEastAsia" w:eastAsiaTheme="minorEastAsia"/>
                      <w:color w:val="auto"/>
                      <w:szCs w:val="21"/>
                    </w:rPr>
                    <w:t>本项目不新增产能</w:t>
                  </w:r>
                  <w:r>
                    <w:rPr>
                      <w:rFonts w:hint="eastAsia" w:hAnsiTheme="minorEastAsia" w:eastAsiaTheme="minorEastAsia"/>
                      <w:color w:val="auto"/>
                      <w:szCs w:val="21"/>
                    </w:rPr>
                    <w:t>，</w:t>
                  </w:r>
                  <w:r>
                    <w:rPr>
                      <w:rFonts w:hint="default" w:hAnsiTheme="minorEastAsia" w:eastAsiaTheme="minorEastAsia"/>
                      <w:color w:val="auto"/>
                      <w:szCs w:val="21"/>
                    </w:rPr>
                    <w:t>且不属于钢铁、水泥（熟料）、焦化、电解铝、平板玻璃（不含光伏压延玻璃）行业</w:t>
                  </w:r>
                </w:p>
              </w:tc>
              <w:tc>
                <w:tcPr>
                  <w:tcW w:w="515" w:type="pct"/>
                  <w:vAlign w:val="center"/>
                </w:tcPr>
                <w:p w14:paraId="1F9053BB">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eastAsia" w:eastAsiaTheme="minorEastAsia"/>
                      <w:color w:val="auto"/>
                      <w:szCs w:val="21"/>
                    </w:rPr>
                    <w:t>不属于</w:t>
                  </w:r>
                </w:p>
              </w:tc>
            </w:tr>
            <w:tr w14:paraId="39B61C8A">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00" w:type="pct"/>
                  <w:gridSpan w:val="6"/>
                  <w:vAlign w:val="center"/>
                </w:tcPr>
                <w:p w14:paraId="6C6D29E2">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default" w:hAnsiTheme="minorEastAsia" w:eastAsiaTheme="minorEastAsia"/>
                      <w:color w:val="auto"/>
                      <w:szCs w:val="21"/>
                    </w:rPr>
                    <w:t>（六）推动煤炭消费减量替代</w:t>
                  </w:r>
                </w:p>
              </w:tc>
            </w:tr>
            <w:tr w14:paraId="733E95BC">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23" w:hRule="atLeast"/>
                <w:jc w:val="center"/>
              </w:trPr>
              <w:tc>
                <w:tcPr>
                  <w:tcW w:w="316" w:type="pct"/>
                  <w:vAlign w:val="center"/>
                </w:tcPr>
                <w:p w14:paraId="789618D5">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eastAsiaTheme="minorEastAsia"/>
                      <w:color w:val="auto"/>
                      <w:szCs w:val="21"/>
                    </w:rPr>
                    <w:t>16</w:t>
                  </w:r>
                </w:p>
              </w:tc>
              <w:tc>
                <w:tcPr>
                  <w:tcW w:w="604" w:type="pct"/>
                  <w:vAlign w:val="center"/>
                </w:tcPr>
                <w:p w14:paraId="59981B9B">
                  <w:pPr>
                    <w:keepNext w:val="0"/>
                    <w:keepLines w:val="0"/>
                    <w:suppressLineNumbers w:val="0"/>
                    <w:spacing w:before="0" w:beforeAutospacing="0" w:after="0" w:afterAutospacing="0" w:line="276" w:lineRule="auto"/>
                    <w:ind w:left="0" w:right="0"/>
                    <w:jc w:val="center"/>
                    <w:rPr>
                      <w:rFonts w:hint="default" w:eastAsiaTheme="minorEastAsia"/>
                      <w:color w:val="auto"/>
                      <w:szCs w:val="21"/>
                    </w:rPr>
                  </w:pPr>
                  <w:r>
                    <w:rPr>
                      <w:rFonts w:hint="default" w:hAnsiTheme="minorEastAsia" w:eastAsiaTheme="minorEastAsia"/>
                      <w:color w:val="auto"/>
                      <w:szCs w:val="21"/>
                    </w:rPr>
                    <w:t>推动煤炭等量或减量替代</w:t>
                  </w:r>
                </w:p>
              </w:tc>
              <w:tc>
                <w:tcPr>
                  <w:tcW w:w="1219" w:type="pct"/>
                  <w:vAlign w:val="center"/>
                </w:tcPr>
                <w:p w14:paraId="7E132319">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hAnsiTheme="minorEastAsia" w:eastAsiaTheme="minorEastAsia"/>
                      <w:color w:val="auto"/>
                      <w:szCs w:val="21"/>
                    </w:rPr>
                    <w:t>重点区域新改扩建用煤项目，依法实行煤炭等量或减量替代，替代方案不完善的能评、环评等不予审批；不得使用石油焦、焦炭、兰炭等高污染燃料作为煤炭减量替代措施</w:t>
                  </w:r>
                </w:p>
              </w:tc>
              <w:tc>
                <w:tcPr>
                  <w:tcW w:w="1304" w:type="pct"/>
                  <w:vAlign w:val="center"/>
                </w:tcPr>
                <w:p w14:paraId="49C90847">
                  <w:pPr>
                    <w:keepNext w:val="0"/>
                    <w:keepLines w:val="0"/>
                    <w:suppressLineNumbers w:val="0"/>
                    <w:adjustRightInd w:val="0"/>
                    <w:snapToGrid w:val="0"/>
                    <w:spacing w:before="0" w:beforeAutospacing="0" w:after="0" w:afterAutospacing="0" w:line="276" w:lineRule="auto"/>
                    <w:ind w:left="0" w:right="0"/>
                    <w:jc w:val="center"/>
                    <w:rPr>
                      <w:rFonts w:hint="default" w:hAnsiTheme="minorEastAsia" w:eastAsiaTheme="minorEastAsia"/>
                      <w:color w:val="auto"/>
                      <w:szCs w:val="21"/>
                    </w:rPr>
                  </w:pPr>
                  <w:r>
                    <w:rPr>
                      <w:rFonts w:hint="default" w:hAnsiTheme="minorEastAsia" w:eastAsiaTheme="minorEastAsia"/>
                      <w:color w:val="auto"/>
                      <w:szCs w:val="21"/>
                    </w:rPr>
                    <w:t>重点区域新改扩建用煤项目，依法实行煤炭等量或减量替代，替代方案不完善的环评不予审批；不得使用石油焦、焦炭、兰炭等高污染燃料作为煤炭减量替代措施</w:t>
                  </w:r>
                </w:p>
              </w:tc>
              <w:tc>
                <w:tcPr>
                  <w:tcW w:w="1038" w:type="pct"/>
                  <w:vAlign w:val="center"/>
                </w:tcPr>
                <w:p w14:paraId="52610587">
                  <w:pPr>
                    <w:keepNext w:val="0"/>
                    <w:keepLines w:val="0"/>
                    <w:suppressLineNumbers w:val="0"/>
                    <w:spacing w:before="0" w:beforeAutospacing="0" w:after="0" w:afterAutospacing="0" w:line="276" w:lineRule="auto"/>
                    <w:ind w:left="0" w:right="0"/>
                    <w:jc w:val="center"/>
                    <w:rPr>
                      <w:rFonts w:hint="default" w:hAnsiTheme="minorEastAsia" w:eastAsiaTheme="minorEastAsia"/>
                      <w:color w:val="auto"/>
                      <w:szCs w:val="21"/>
                    </w:rPr>
                  </w:pPr>
                  <w:r>
                    <w:rPr>
                      <w:rFonts w:hint="default" w:hAnsiTheme="minorEastAsia" w:eastAsiaTheme="minorEastAsia"/>
                      <w:color w:val="auto"/>
                      <w:szCs w:val="21"/>
                    </w:rPr>
                    <w:t>本项目不使用煤</w:t>
                  </w:r>
                  <w:r>
                    <w:rPr>
                      <w:rFonts w:hint="eastAsia" w:hAnsiTheme="minorEastAsia" w:eastAsiaTheme="minorEastAsia"/>
                      <w:color w:val="auto"/>
                      <w:szCs w:val="21"/>
                    </w:rPr>
                    <w:t>，</w:t>
                  </w:r>
                  <w:r>
                    <w:rPr>
                      <w:rFonts w:hint="default" w:hAnsiTheme="minorEastAsia" w:eastAsiaTheme="minorEastAsia"/>
                      <w:color w:val="auto"/>
                      <w:szCs w:val="21"/>
                    </w:rPr>
                    <w:t>不使用石油焦、焦炭、兰炭等高污染燃料</w:t>
                  </w:r>
                </w:p>
              </w:tc>
              <w:tc>
                <w:tcPr>
                  <w:tcW w:w="515" w:type="pct"/>
                  <w:vAlign w:val="center"/>
                </w:tcPr>
                <w:p w14:paraId="2C93CEA4">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eastAsia" w:eastAsiaTheme="minorEastAsia"/>
                      <w:color w:val="auto"/>
                      <w:szCs w:val="21"/>
                    </w:rPr>
                    <w:t>不属于</w:t>
                  </w:r>
                </w:p>
              </w:tc>
            </w:tr>
            <w:tr w14:paraId="51638B81">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00" w:type="pct"/>
                  <w:gridSpan w:val="6"/>
                  <w:vAlign w:val="center"/>
                </w:tcPr>
                <w:p w14:paraId="0C91AC8F">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default" w:hAnsiTheme="minorEastAsia" w:eastAsiaTheme="minorEastAsia"/>
                      <w:color w:val="auto"/>
                      <w:szCs w:val="21"/>
                    </w:rPr>
                    <w:t>（七）加快推动燃煤锅炉机组升级改造</w:t>
                  </w:r>
                </w:p>
              </w:tc>
            </w:tr>
            <w:tr w14:paraId="796BE4CF">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16" w:type="pct"/>
                  <w:vAlign w:val="center"/>
                </w:tcPr>
                <w:p w14:paraId="107881F3">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eastAsiaTheme="minorEastAsia"/>
                      <w:color w:val="auto"/>
                      <w:szCs w:val="21"/>
                    </w:rPr>
                    <w:t>19</w:t>
                  </w:r>
                </w:p>
              </w:tc>
              <w:tc>
                <w:tcPr>
                  <w:tcW w:w="604" w:type="pct"/>
                  <w:vAlign w:val="center"/>
                </w:tcPr>
                <w:p w14:paraId="463A57D6">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hAnsiTheme="minorEastAsia" w:eastAsiaTheme="minorEastAsia"/>
                      <w:color w:val="auto"/>
                      <w:szCs w:val="21"/>
                    </w:rPr>
                    <w:t>严控热源性燃煤设施建设</w:t>
                  </w:r>
                </w:p>
              </w:tc>
              <w:tc>
                <w:tcPr>
                  <w:tcW w:w="1219" w:type="pct"/>
                  <w:vAlign w:val="center"/>
                </w:tcPr>
                <w:p w14:paraId="55982559">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hAnsiTheme="minorEastAsia" w:eastAsiaTheme="minorEastAsia"/>
                      <w:color w:val="auto"/>
                      <w:szCs w:val="21"/>
                    </w:rPr>
                    <w:t>重点区域原则上不再新建除集中供暖外的燃煤锅炉</w:t>
                  </w:r>
                </w:p>
              </w:tc>
              <w:tc>
                <w:tcPr>
                  <w:tcW w:w="1304" w:type="pct"/>
                  <w:vAlign w:val="center"/>
                </w:tcPr>
                <w:p w14:paraId="33C73573">
                  <w:pPr>
                    <w:keepNext w:val="0"/>
                    <w:keepLines w:val="0"/>
                    <w:suppressLineNumbers w:val="0"/>
                    <w:adjustRightInd w:val="0"/>
                    <w:snapToGrid w:val="0"/>
                    <w:spacing w:before="0" w:beforeAutospacing="0" w:after="0" w:afterAutospacing="0" w:line="276" w:lineRule="auto"/>
                    <w:ind w:left="0" w:right="0"/>
                    <w:jc w:val="center"/>
                    <w:rPr>
                      <w:rFonts w:hint="default" w:hAnsiTheme="minorEastAsia" w:eastAsiaTheme="minorEastAsia"/>
                      <w:color w:val="auto"/>
                      <w:szCs w:val="21"/>
                    </w:rPr>
                  </w:pPr>
                  <w:r>
                    <w:rPr>
                      <w:rFonts w:hint="default" w:hAnsiTheme="minorEastAsia" w:eastAsiaTheme="minorEastAsia"/>
                      <w:color w:val="auto"/>
                      <w:szCs w:val="21"/>
                    </w:rPr>
                    <w:t>原则上不得审批除集中供暖外的燃煤锅炉</w:t>
                  </w:r>
                </w:p>
              </w:tc>
              <w:tc>
                <w:tcPr>
                  <w:tcW w:w="1038" w:type="pct"/>
                  <w:vAlign w:val="center"/>
                </w:tcPr>
                <w:p w14:paraId="1E3C1429">
                  <w:pPr>
                    <w:keepNext w:val="0"/>
                    <w:keepLines w:val="0"/>
                    <w:suppressLineNumbers w:val="0"/>
                    <w:spacing w:before="0" w:beforeAutospacing="0" w:after="0" w:afterAutospacing="0" w:line="276" w:lineRule="auto"/>
                    <w:ind w:left="0" w:right="0"/>
                    <w:jc w:val="center"/>
                    <w:rPr>
                      <w:rFonts w:hint="default" w:hAnsiTheme="minorEastAsia" w:eastAsiaTheme="minorEastAsia"/>
                      <w:color w:val="auto"/>
                      <w:szCs w:val="21"/>
                    </w:rPr>
                  </w:pPr>
                  <w:r>
                    <w:rPr>
                      <w:rFonts w:hint="default" w:hAnsiTheme="minorEastAsia" w:eastAsiaTheme="minorEastAsia"/>
                      <w:color w:val="auto"/>
                      <w:szCs w:val="21"/>
                    </w:rPr>
                    <w:t>不涉及</w:t>
                  </w:r>
                </w:p>
              </w:tc>
              <w:tc>
                <w:tcPr>
                  <w:tcW w:w="515" w:type="pct"/>
                  <w:vAlign w:val="center"/>
                </w:tcPr>
                <w:p w14:paraId="4721C751">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eastAsia" w:eastAsiaTheme="minorEastAsia"/>
                      <w:color w:val="auto"/>
                      <w:szCs w:val="21"/>
                    </w:rPr>
                    <w:t>不属于</w:t>
                  </w:r>
                </w:p>
              </w:tc>
            </w:tr>
            <w:tr w14:paraId="5C67DC24">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16" w:type="pct"/>
                  <w:vAlign w:val="center"/>
                </w:tcPr>
                <w:p w14:paraId="5F3F2832">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eastAsiaTheme="minorEastAsia"/>
                      <w:color w:val="auto"/>
                      <w:szCs w:val="21"/>
                    </w:rPr>
                    <w:t>21</w:t>
                  </w:r>
                </w:p>
              </w:tc>
              <w:tc>
                <w:tcPr>
                  <w:tcW w:w="604" w:type="pct"/>
                  <w:vAlign w:val="center"/>
                </w:tcPr>
                <w:p w14:paraId="3EBB8C8D">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hAnsiTheme="minorEastAsia" w:eastAsiaTheme="minorEastAsia"/>
                      <w:color w:val="auto"/>
                      <w:szCs w:val="21"/>
                    </w:rPr>
                    <w:t>推动现有燃煤机组升级改造</w:t>
                  </w:r>
                </w:p>
              </w:tc>
              <w:tc>
                <w:tcPr>
                  <w:tcW w:w="1219" w:type="pct"/>
                  <w:vAlign w:val="center"/>
                </w:tcPr>
                <w:p w14:paraId="779BD951">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hAnsiTheme="minorEastAsia" w:eastAsiaTheme="minorEastAsia"/>
                      <w:color w:val="auto"/>
                      <w:szCs w:val="21"/>
                    </w:rPr>
                    <w:t>禁止新建自备燃煤机组，鼓励自备燃煤机组积极开展清洁能源替代。大力推动现有煤电机组开展节能降碳改造、灵活性改造、供热改造</w:t>
                  </w:r>
                  <w:r>
                    <w:rPr>
                      <w:rFonts w:hint="default" w:eastAsiaTheme="minorEastAsia"/>
                      <w:color w:val="auto"/>
                      <w:szCs w:val="21"/>
                    </w:rPr>
                    <w:t>“</w:t>
                  </w:r>
                  <w:r>
                    <w:rPr>
                      <w:rFonts w:hint="default" w:hAnsiTheme="minorEastAsia" w:eastAsiaTheme="minorEastAsia"/>
                      <w:color w:val="auto"/>
                      <w:szCs w:val="21"/>
                    </w:rPr>
                    <w:t>三改联动</w:t>
                  </w:r>
                  <w:r>
                    <w:rPr>
                      <w:rFonts w:hint="default" w:eastAsiaTheme="minorEastAsia"/>
                      <w:color w:val="auto"/>
                      <w:szCs w:val="21"/>
                    </w:rPr>
                    <w:t>”</w:t>
                  </w:r>
                </w:p>
              </w:tc>
              <w:tc>
                <w:tcPr>
                  <w:tcW w:w="1304" w:type="pct"/>
                  <w:vAlign w:val="center"/>
                </w:tcPr>
                <w:p w14:paraId="01282C2D">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hAnsiTheme="minorEastAsia" w:eastAsiaTheme="minorEastAsia"/>
                      <w:color w:val="auto"/>
                      <w:szCs w:val="21"/>
                    </w:rPr>
                    <w:t>新建自备燃煤机组环评项目不予审批</w:t>
                  </w:r>
                </w:p>
              </w:tc>
              <w:tc>
                <w:tcPr>
                  <w:tcW w:w="1038" w:type="pct"/>
                  <w:vAlign w:val="center"/>
                </w:tcPr>
                <w:p w14:paraId="3C1E4BDF">
                  <w:pPr>
                    <w:keepNext w:val="0"/>
                    <w:keepLines w:val="0"/>
                    <w:suppressLineNumbers w:val="0"/>
                    <w:spacing w:before="0" w:beforeAutospacing="0" w:after="0" w:afterAutospacing="0" w:line="276" w:lineRule="auto"/>
                    <w:ind w:left="0" w:right="0"/>
                    <w:jc w:val="center"/>
                    <w:rPr>
                      <w:rFonts w:hint="default" w:eastAsiaTheme="minorEastAsia"/>
                      <w:color w:val="auto"/>
                      <w:szCs w:val="21"/>
                    </w:rPr>
                  </w:pPr>
                  <w:r>
                    <w:rPr>
                      <w:rFonts w:hint="default" w:eastAsiaTheme="minorEastAsia"/>
                      <w:color w:val="auto"/>
                      <w:szCs w:val="21"/>
                    </w:rPr>
                    <w:t>本项目不</w:t>
                  </w:r>
                  <w:r>
                    <w:rPr>
                      <w:rFonts w:hint="default" w:hAnsiTheme="minorEastAsia" w:eastAsiaTheme="minorEastAsia"/>
                      <w:color w:val="auto"/>
                      <w:szCs w:val="21"/>
                    </w:rPr>
                    <w:t>新建自备燃煤机组</w:t>
                  </w:r>
                </w:p>
              </w:tc>
              <w:tc>
                <w:tcPr>
                  <w:tcW w:w="515" w:type="pct"/>
                  <w:vAlign w:val="center"/>
                </w:tcPr>
                <w:p w14:paraId="5F972E46">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eastAsia" w:eastAsiaTheme="minorEastAsia"/>
                      <w:color w:val="auto"/>
                      <w:szCs w:val="21"/>
                    </w:rPr>
                    <w:t>不属于</w:t>
                  </w:r>
                </w:p>
              </w:tc>
            </w:tr>
            <w:tr w14:paraId="43D7D5C5">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00" w:type="pct"/>
                  <w:gridSpan w:val="6"/>
                  <w:vAlign w:val="center"/>
                </w:tcPr>
                <w:p w14:paraId="6EBBF47E">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default" w:hAnsiTheme="minorEastAsia" w:eastAsiaTheme="minorEastAsia"/>
                      <w:color w:val="auto"/>
                      <w:szCs w:val="21"/>
                    </w:rPr>
                    <w:t>（八）推动工业炉窑清洁能源替代</w:t>
                  </w:r>
                </w:p>
              </w:tc>
            </w:tr>
            <w:tr w14:paraId="4A72EBA5">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16" w:type="pct"/>
                  <w:vAlign w:val="center"/>
                </w:tcPr>
                <w:p w14:paraId="2113E8FC">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eastAsiaTheme="minorEastAsia"/>
                      <w:color w:val="auto"/>
                      <w:szCs w:val="21"/>
                    </w:rPr>
                    <w:t>23</w:t>
                  </w:r>
                </w:p>
              </w:tc>
              <w:tc>
                <w:tcPr>
                  <w:tcW w:w="604" w:type="pct"/>
                  <w:vAlign w:val="center"/>
                </w:tcPr>
                <w:p w14:paraId="7DEAEEC3">
                  <w:pPr>
                    <w:keepNext w:val="0"/>
                    <w:keepLines w:val="0"/>
                    <w:suppressLineNumbers w:val="0"/>
                    <w:spacing w:before="0" w:beforeAutospacing="0" w:after="0" w:afterAutospacing="0" w:line="276" w:lineRule="auto"/>
                    <w:ind w:left="0" w:right="0"/>
                    <w:jc w:val="center"/>
                    <w:rPr>
                      <w:rFonts w:hint="default" w:eastAsiaTheme="minorEastAsia"/>
                      <w:color w:val="auto"/>
                      <w:szCs w:val="21"/>
                    </w:rPr>
                  </w:pPr>
                  <w:r>
                    <w:rPr>
                      <w:rFonts w:hint="default" w:hAnsiTheme="minorEastAsia" w:eastAsiaTheme="minorEastAsia"/>
                      <w:color w:val="auto"/>
                      <w:szCs w:val="21"/>
                    </w:rPr>
                    <w:t>推动煤气发生炉清洁能源替代</w:t>
                  </w:r>
                </w:p>
              </w:tc>
              <w:tc>
                <w:tcPr>
                  <w:tcW w:w="1219" w:type="pct"/>
                  <w:vAlign w:val="center"/>
                </w:tcPr>
                <w:p w14:paraId="29F01290">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hAnsiTheme="minorEastAsia" w:eastAsiaTheme="minorEastAsia"/>
                      <w:color w:val="auto"/>
                      <w:szCs w:val="21"/>
                    </w:rPr>
                    <w:t>重点区域不再新增燃料类煤气发生炉</w:t>
                  </w:r>
                </w:p>
              </w:tc>
              <w:tc>
                <w:tcPr>
                  <w:tcW w:w="1304" w:type="pct"/>
                  <w:vAlign w:val="center"/>
                </w:tcPr>
                <w:p w14:paraId="555CB612">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hAnsiTheme="minorEastAsia" w:eastAsiaTheme="minorEastAsia"/>
                      <w:color w:val="auto"/>
                      <w:szCs w:val="21"/>
                    </w:rPr>
                    <w:t>新增燃煤类煤气发生炉项目不予审批</w:t>
                  </w:r>
                </w:p>
              </w:tc>
              <w:tc>
                <w:tcPr>
                  <w:tcW w:w="1038" w:type="pct"/>
                  <w:vAlign w:val="center"/>
                </w:tcPr>
                <w:p w14:paraId="05704F51">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default" w:hAnsiTheme="minorEastAsia" w:eastAsiaTheme="minorEastAsia"/>
                      <w:color w:val="auto"/>
                      <w:szCs w:val="21"/>
                    </w:rPr>
                    <w:t>本项目不新增燃煤类煤气发生炉</w:t>
                  </w:r>
                </w:p>
              </w:tc>
              <w:tc>
                <w:tcPr>
                  <w:tcW w:w="515" w:type="pct"/>
                  <w:vAlign w:val="center"/>
                </w:tcPr>
                <w:p w14:paraId="02A60474">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eastAsia" w:eastAsiaTheme="minorEastAsia"/>
                      <w:color w:val="auto"/>
                      <w:szCs w:val="21"/>
                    </w:rPr>
                    <w:t>不属于</w:t>
                  </w:r>
                </w:p>
              </w:tc>
            </w:tr>
            <w:tr w14:paraId="3682D196">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00" w:type="pct"/>
                  <w:gridSpan w:val="6"/>
                  <w:vAlign w:val="center"/>
                </w:tcPr>
                <w:p w14:paraId="0E2D5EB6">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default" w:hAnsiTheme="minorEastAsia" w:eastAsiaTheme="minorEastAsia"/>
                      <w:color w:val="auto"/>
                      <w:szCs w:val="21"/>
                    </w:rPr>
                    <w:t>（九）推动货物运输清洁化</w:t>
                  </w:r>
                </w:p>
              </w:tc>
            </w:tr>
            <w:tr w14:paraId="421D8F4E">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16" w:type="pct"/>
                  <w:vAlign w:val="center"/>
                </w:tcPr>
                <w:p w14:paraId="7C67AA45">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eastAsiaTheme="minorEastAsia"/>
                      <w:color w:val="auto"/>
                      <w:szCs w:val="21"/>
                    </w:rPr>
                    <w:t>27</w:t>
                  </w:r>
                </w:p>
              </w:tc>
              <w:tc>
                <w:tcPr>
                  <w:tcW w:w="604" w:type="pct"/>
                  <w:vAlign w:val="center"/>
                </w:tcPr>
                <w:p w14:paraId="4DDAD7DF">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hAnsiTheme="minorEastAsia" w:eastAsiaTheme="minorEastAsia"/>
                      <w:color w:val="auto"/>
                      <w:szCs w:val="21"/>
                    </w:rPr>
                    <w:t>提高重点行业清洁运输比例</w:t>
                  </w:r>
                </w:p>
              </w:tc>
              <w:tc>
                <w:tcPr>
                  <w:tcW w:w="1219" w:type="pct"/>
                  <w:vAlign w:val="center"/>
                </w:tcPr>
                <w:p w14:paraId="54F6D88F">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default" w:hAnsiTheme="minorEastAsia" w:eastAsiaTheme="minorEastAsia"/>
                      <w:color w:val="auto"/>
                      <w:szCs w:val="21"/>
                    </w:rPr>
                    <w:t>将清洁运输作为煤矿、钢铁、火电、水泥、有色、焦化、煤化工等行业新改扩建项目审核和监管重点</w:t>
                  </w:r>
                </w:p>
              </w:tc>
              <w:tc>
                <w:tcPr>
                  <w:tcW w:w="1304" w:type="pct"/>
                  <w:vAlign w:val="center"/>
                </w:tcPr>
                <w:p w14:paraId="4D858703">
                  <w:pPr>
                    <w:keepNext w:val="0"/>
                    <w:keepLines w:val="0"/>
                    <w:suppressLineNumbers w:val="0"/>
                    <w:adjustRightInd w:val="0"/>
                    <w:snapToGrid w:val="0"/>
                    <w:spacing w:before="0" w:beforeAutospacing="0" w:after="0" w:afterAutospacing="0" w:line="276" w:lineRule="auto"/>
                    <w:ind w:left="0" w:right="0"/>
                    <w:jc w:val="center"/>
                    <w:rPr>
                      <w:rFonts w:hint="default" w:hAnsiTheme="minorEastAsia" w:eastAsiaTheme="minorEastAsia"/>
                      <w:color w:val="auto"/>
                      <w:szCs w:val="21"/>
                    </w:rPr>
                  </w:pPr>
                  <w:r>
                    <w:rPr>
                      <w:rFonts w:hint="default" w:hAnsiTheme="minorEastAsia" w:eastAsiaTheme="minorEastAsia"/>
                      <w:color w:val="auto"/>
                      <w:szCs w:val="21"/>
                    </w:rPr>
                    <w:t>煤矿、钢铁、火电、水泥、有色、焦化、煤化工等行业新改扩建项目环评审核中重点关注清洁运输</w:t>
                  </w:r>
                </w:p>
              </w:tc>
              <w:tc>
                <w:tcPr>
                  <w:tcW w:w="1038" w:type="pct"/>
                  <w:vAlign w:val="center"/>
                </w:tcPr>
                <w:p w14:paraId="2828950E">
                  <w:pPr>
                    <w:keepNext w:val="0"/>
                    <w:keepLines w:val="0"/>
                    <w:suppressLineNumbers w:val="0"/>
                    <w:spacing w:before="0" w:beforeAutospacing="0" w:after="0" w:afterAutospacing="0" w:line="276" w:lineRule="auto"/>
                    <w:ind w:left="0" w:right="0"/>
                    <w:jc w:val="center"/>
                    <w:rPr>
                      <w:rFonts w:hint="default" w:hAnsiTheme="minorEastAsia" w:eastAsiaTheme="minorEastAsia"/>
                      <w:color w:val="auto"/>
                      <w:szCs w:val="21"/>
                      <w:lang w:val="en-US" w:eastAsia="zh-CN"/>
                    </w:rPr>
                  </w:pPr>
                  <w:r>
                    <w:rPr>
                      <w:rFonts w:hint="default" w:hAnsiTheme="minorEastAsia" w:eastAsiaTheme="minorEastAsia"/>
                      <w:color w:val="auto"/>
                      <w:szCs w:val="21"/>
                    </w:rPr>
                    <w:t>本项目</w:t>
                  </w:r>
                  <w:r>
                    <w:rPr>
                      <w:rFonts w:hint="eastAsia" w:hAnsiTheme="minorEastAsia" w:eastAsiaTheme="minorEastAsia"/>
                      <w:color w:val="auto"/>
                      <w:szCs w:val="21"/>
                      <w:lang w:val="en-US" w:eastAsia="zh-CN"/>
                    </w:rPr>
                    <w:t>将加强运输管理，保证厂内外清洁运输</w:t>
                  </w:r>
                </w:p>
              </w:tc>
              <w:tc>
                <w:tcPr>
                  <w:tcW w:w="515" w:type="pct"/>
                  <w:vAlign w:val="center"/>
                </w:tcPr>
                <w:p w14:paraId="6002B3E9">
                  <w:pPr>
                    <w:keepNext w:val="0"/>
                    <w:keepLines w:val="0"/>
                    <w:suppressLineNumbers w:val="0"/>
                    <w:spacing w:before="0" w:beforeAutospacing="0" w:after="0" w:afterAutospacing="0" w:line="276" w:lineRule="auto"/>
                    <w:ind w:left="0" w:right="0"/>
                    <w:jc w:val="center"/>
                    <w:rPr>
                      <w:rFonts w:hint="default" w:eastAsiaTheme="minorEastAsia"/>
                      <w:b/>
                      <w:color w:val="auto"/>
                      <w:szCs w:val="21"/>
                    </w:rPr>
                  </w:pPr>
                  <w:r>
                    <w:rPr>
                      <w:rFonts w:hint="eastAsia" w:eastAsiaTheme="minorEastAsia"/>
                      <w:color w:val="auto"/>
                      <w:szCs w:val="21"/>
                    </w:rPr>
                    <w:t>不属于</w:t>
                  </w:r>
                </w:p>
              </w:tc>
            </w:tr>
            <w:tr w14:paraId="79D2295F">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00" w:type="pct"/>
                  <w:gridSpan w:val="6"/>
                  <w:vAlign w:val="center"/>
                </w:tcPr>
                <w:p w14:paraId="7FDE50C8">
                  <w:pPr>
                    <w:keepNext w:val="0"/>
                    <w:keepLines w:val="0"/>
                    <w:suppressLineNumbers w:val="0"/>
                    <w:spacing w:before="0" w:beforeAutospacing="0" w:after="0" w:afterAutospacing="0" w:line="276" w:lineRule="auto"/>
                    <w:ind w:left="0" w:right="0"/>
                    <w:jc w:val="center"/>
                    <w:rPr>
                      <w:rFonts w:hint="default" w:eastAsiaTheme="minorEastAsia"/>
                      <w:color w:val="auto"/>
                      <w:szCs w:val="21"/>
                    </w:rPr>
                  </w:pPr>
                  <w:r>
                    <w:rPr>
                      <w:rFonts w:hint="eastAsia" w:eastAsiaTheme="minorEastAsia"/>
                      <w:color w:val="auto"/>
                      <w:szCs w:val="21"/>
                    </w:rPr>
                    <w:t>（十七）加快低（无）VOCs原辅材料替代</w:t>
                  </w:r>
                </w:p>
              </w:tc>
            </w:tr>
            <w:tr w14:paraId="085EE7D0">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16" w:type="pct"/>
                  <w:vAlign w:val="center"/>
                </w:tcPr>
                <w:p w14:paraId="384BD475">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eastAsia" w:eastAsiaTheme="minorEastAsia"/>
                      <w:color w:val="auto"/>
                      <w:szCs w:val="21"/>
                    </w:rPr>
                    <w:t>52</w:t>
                  </w:r>
                </w:p>
              </w:tc>
              <w:tc>
                <w:tcPr>
                  <w:tcW w:w="604" w:type="pct"/>
                  <w:vAlign w:val="center"/>
                </w:tcPr>
                <w:p w14:paraId="2B603F2A">
                  <w:pPr>
                    <w:keepNext w:val="0"/>
                    <w:keepLines w:val="0"/>
                    <w:suppressLineNumbers w:val="0"/>
                    <w:adjustRightInd w:val="0"/>
                    <w:snapToGrid w:val="0"/>
                    <w:spacing w:before="0" w:beforeAutospacing="0" w:after="0" w:afterAutospacing="0" w:line="276" w:lineRule="auto"/>
                    <w:ind w:left="0" w:right="0"/>
                    <w:jc w:val="center"/>
                    <w:rPr>
                      <w:rFonts w:hint="default" w:hAnsiTheme="minorEastAsia" w:eastAsiaTheme="minorEastAsia"/>
                      <w:color w:val="auto"/>
                      <w:szCs w:val="21"/>
                    </w:rPr>
                  </w:pPr>
                  <w:r>
                    <w:rPr>
                      <w:rFonts w:hint="default" w:hAnsiTheme="minorEastAsia" w:eastAsiaTheme="minorEastAsia"/>
                      <w:color w:val="auto"/>
                      <w:szCs w:val="21"/>
                    </w:rPr>
                    <w:t>严格控制生产和使用高</w:t>
                  </w:r>
                  <w:r>
                    <w:rPr>
                      <w:rFonts w:hint="eastAsia" w:hAnsiTheme="minorEastAsia" w:eastAsiaTheme="minorEastAsia"/>
                      <w:color w:val="auto"/>
                      <w:szCs w:val="21"/>
                    </w:rPr>
                    <w:t>VOCs含量建设项目</w:t>
                  </w:r>
                </w:p>
              </w:tc>
              <w:tc>
                <w:tcPr>
                  <w:tcW w:w="1219" w:type="pct"/>
                  <w:vAlign w:val="center"/>
                </w:tcPr>
                <w:p w14:paraId="000AA911">
                  <w:pPr>
                    <w:keepNext w:val="0"/>
                    <w:keepLines w:val="0"/>
                    <w:suppressLineNumbers w:val="0"/>
                    <w:adjustRightInd w:val="0"/>
                    <w:snapToGrid w:val="0"/>
                    <w:spacing w:before="0" w:beforeAutospacing="0" w:after="0" w:afterAutospacing="0" w:line="276" w:lineRule="auto"/>
                    <w:ind w:left="0" w:right="0"/>
                    <w:jc w:val="center"/>
                    <w:rPr>
                      <w:rFonts w:hint="default" w:hAnsiTheme="minorEastAsia" w:eastAsiaTheme="minorEastAsia"/>
                      <w:color w:val="auto"/>
                      <w:szCs w:val="21"/>
                    </w:rPr>
                  </w:pPr>
                  <w:r>
                    <w:rPr>
                      <w:rFonts w:hint="eastAsia" w:hAnsiTheme="minorEastAsia" w:eastAsiaTheme="minorEastAsia"/>
                      <w:color w:val="auto"/>
                      <w:szCs w:val="21"/>
                    </w:rPr>
                    <w:t>实施安徽省低挥发性有机物原辅材料源头替代工作方案，严格控制生产和使用高VOCs含量涂料、油墨、胶粘剂、清洗剂等建设项目</w:t>
                  </w:r>
                </w:p>
              </w:tc>
              <w:tc>
                <w:tcPr>
                  <w:tcW w:w="1304" w:type="pct"/>
                  <w:vAlign w:val="center"/>
                </w:tcPr>
                <w:p w14:paraId="6E6AB1E1">
                  <w:pPr>
                    <w:keepNext w:val="0"/>
                    <w:keepLines w:val="0"/>
                    <w:suppressLineNumbers w:val="0"/>
                    <w:adjustRightInd w:val="0"/>
                    <w:snapToGrid w:val="0"/>
                    <w:spacing w:before="0" w:beforeAutospacing="0" w:after="0" w:afterAutospacing="0" w:line="276" w:lineRule="auto"/>
                    <w:ind w:left="0" w:right="0"/>
                    <w:jc w:val="center"/>
                    <w:rPr>
                      <w:rFonts w:hint="default" w:hAnsiTheme="minorEastAsia" w:eastAsiaTheme="minorEastAsia"/>
                      <w:color w:val="auto"/>
                      <w:szCs w:val="21"/>
                    </w:rPr>
                  </w:pPr>
                  <w:r>
                    <w:rPr>
                      <w:rFonts w:hint="eastAsia" w:hAnsiTheme="minorEastAsia" w:eastAsiaTheme="minorEastAsia"/>
                      <w:color w:val="auto"/>
                      <w:szCs w:val="21"/>
                    </w:rPr>
                    <w:t>严格控制审批生产和使用高VOCs含量涂料、油墨、胶粘剂、清洗剂等建设项目环评</w:t>
                  </w:r>
                </w:p>
              </w:tc>
              <w:tc>
                <w:tcPr>
                  <w:tcW w:w="1038" w:type="pct"/>
                  <w:vAlign w:val="center"/>
                </w:tcPr>
                <w:p w14:paraId="3EE5F956">
                  <w:pPr>
                    <w:keepNext w:val="0"/>
                    <w:keepLines w:val="0"/>
                    <w:suppressLineNumbers w:val="0"/>
                    <w:spacing w:before="0" w:beforeAutospacing="0" w:after="0" w:afterAutospacing="0" w:line="276" w:lineRule="auto"/>
                    <w:ind w:left="0" w:right="0"/>
                    <w:jc w:val="center"/>
                    <w:rPr>
                      <w:rFonts w:hint="default" w:hAnsiTheme="minorEastAsia" w:eastAsiaTheme="minorEastAsia"/>
                      <w:color w:val="auto"/>
                      <w:szCs w:val="21"/>
                      <w:lang w:val="en-US" w:eastAsia="zh-CN"/>
                    </w:rPr>
                  </w:pPr>
                  <w:r>
                    <w:rPr>
                      <w:rFonts w:hint="eastAsia" w:hAnsiTheme="minorEastAsia" w:eastAsiaTheme="minorEastAsia"/>
                      <w:color w:val="auto"/>
                      <w:szCs w:val="21"/>
                      <w:lang w:val="en-US" w:eastAsia="zh-CN"/>
                    </w:rPr>
                    <w:t>不涉及</w:t>
                  </w:r>
                </w:p>
              </w:tc>
              <w:tc>
                <w:tcPr>
                  <w:tcW w:w="515" w:type="pct"/>
                  <w:vAlign w:val="center"/>
                </w:tcPr>
                <w:p w14:paraId="5CF51061">
                  <w:pPr>
                    <w:keepNext w:val="0"/>
                    <w:keepLines w:val="0"/>
                    <w:suppressLineNumbers w:val="0"/>
                    <w:spacing w:before="0" w:beforeAutospacing="0" w:after="0" w:afterAutospacing="0" w:line="276" w:lineRule="auto"/>
                    <w:ind w:left="0" w:right="0"/>
                    <w:jc w:val="center"/>
                    <w:rPr>
                      <w:rFonts w:hint="default" w:eastAsiaTheme="minorEastAsia"/>
                      <w:color w:val="auto"/>
                      <w:szCs w:val="21"/>
                    </w:rPr>
                  </w:pPr>
                  <w:r>
                    <w:rPr>
                      <w:rFonts w:hint="eastAsia" w:eastAsiaTheme="minorEastAsia"/>
                      <w:color w:val="auto"/>
                      <w:szCs w:val="21"/>
                    </w:rPr>
                    <w:t>不属于</w:t>
                  </w:r>
                </w:p>
              </w:tc>
            </w:tr>
            <w:tr w14:paraId="227A0096">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16" w:type="pct"/>
                  <w:vAlign w:val="center"/>
                </w:tcPr>
                <w:p w14:paraId="0D848BEC">
                  <w:pPr>
                    <w:keepNext w:val="0"/>
                    <w:keepLines w:val="0"/>
                    <w:suppressLineNumbers w:val="0"/>
                    <w:adjustRightInd w:val="0"/>
                    <w:snapToGrid w:val="0"/>
                    <w:spacing w:before="0" w:beforeAutospacing="0" w:after="0" w:afterAutospacing="0" w:line="276" w:lineRule="auto"/>
                    <w:ind w:left="0" w:right="0"/>
                    <w:jc w:val="center"/>
                    <w:rPr>
                      <w:rFonts w:hint="default" w:eastAsiaTheme="minorEastAsia"/>
                      <w:color w:val="auto"/>
                      <w:szCs w:val="21"/>
                    </w:rPr>
                  </w:pPr>
                  <w:r>
                    <w:rPr>
                      <w:rFonts w:hint="eastAsia" w:eastAsiaTheme="minorEastAsia"/>
                      <w:color w:val="auto"/>
                      <w:szCs w:val="21"/>
                    </w:rPr>
                    <w:t>53</w:t>
                  </w:r>
                </w:p>
              </w:tc>
              <w:tc>
                <w:tcPr>
                  <w:tcW w:w="604" w:type="pct"/>
                  <w:vAlign w:val="center"/>
                </w:tcPr>
                <w:p w14:paraId="37A07B6B">
                  <w:pPr>
                    <w:keepNext w:val="0"/>
                    <w:keepLines w:val="0"/>
                    <w:suppressLineNumbers w:val="0"/>
                    <w:adjustRightInd w:val="0"/>
                    <w:snapToGrid w:val="0"/>
                    <w:spacing w:before="0" w:beforeAutospacing="0" w:after="0" w:afterAutospacing="0" w:line="276" w:lineRule="auto"/>
                    <w:ind w:left="0" w:right="0"/>
                    <w:jc w:val="center"/>
                    <w:rPr>
                      <w:rFonts w:hint="default" w:hAnsiTheme="minorEastAsia" w:eastAsiaTheme="minorEastAsia"/>
                      <w:color w:val="auto"/>
                      <w:szCs w:val="21"/>
                    </w:rPr>
                  </w:pPr>
                  <w:r>
                    <w:rPr>
                      <w:rFonts w:hint="default" w:hAnsiTheme="minorEastAsia" w:eastAsiaTheme="minorEastAsia"/>
                      <w:color w:val="auto"/>
                      <w:szCs w:val="21"/>
                    </w:rPr>
                    <w:t>推动低</w:t>
                  </w:r>
                  <w:r>
                    <w:rPr>
                      <w:rFonts w:hint="eastAsia" w:hAnsiTheme="minorEastAsia" w:eastAsiaTheme="minorEastAsia"/>
                      <w:color w:val="auto"/>
                      <w:szCs w:val="21"/>
                    </w:rPr>
                    <w:t>（无）VOCs原辅材料源头替代</w:t>
                  </w:r>
                </w:p>
              </w:tc>
              <w:tc>
                <w:tcPr>
                  <w:tcW w:w="1219" w:type="pct"/>
                  <w:vAlign w:val="center"/>
                </w:tcPr>
                <w:p w14:paraId="650C81E0">
                  <w:pPr>
                    <w:keepNext w:val="0"/>
                    <w:keepLines w:val="0"/>
                    <w:suppressLineNumbers w:val="0"/>
                    <w:adjustRightInd w:val="0"/>
                    <w:snapToGrid w:val="0"/>
                    <w:spacing w:before="0" w:beforeAutospacing="0" w:after="0" w:afterAutospacing="0" w:line="276" w:lineRule="auto"/>
                    <w:ind w:left="0" w:right="0"/>
                    <w:jc w:val="center"/>
                    <w:rPr>
                      <w:rFonts w:hint="default" w:hAnsiTheme="minorEastAsia" w:eastAsiaTheme="minorEastAsia"/>
                      <w:color w:val="auto"/>
                      <w:szCs w:val="21"/>
                    </w:rPr>
                  </w:pPr>
                  <w:r>
                    <w:rPr>
                      <w:rFonts w:hint="eastAsia" w:hAnsiTheme="minorEastAsia" w:eastAsiaTheme="minorEastAsia"/>
                      <w:color w:val="auto"/>
                      <w:szCs w:val="21"/>
                    </w:rPr>
                    <w:t>加大汽车整车制造、汽车修理、木质家具制造、汽车零部件、工程机械、钢结构、船舶制造等工业涂装行业、包装印刷行业及电子行业低（无）VOCs含量原辅材料的替代力度</w:t>
                  </w:r>
                </w:p>
              </w:tc>
              <w:tc>
                <w:tcPr>
                  <w:tcW w:w="1304" w:type="pct"/>
                  <w:vAlign w:val="center"/>
                </w:tcPr>
                <w:p w14:paraId="2DBA10B9">
                  <w:pPr>
                    <w:keepNext w:val="0"/>
                    <w:keepLines w:val="0"/>
                    <w:suppressLineNumbers w:val="0"/>
                    <w:adjustRightInd w:val="0"/>
                    <w:snapToGrid w:val="0"/>
                    <w:spacing w:before="0" w:beforeAutospacing="0" w:after="0" w:afterAutospacing="0" w:line="276" w:lineRule="auto"/>
                    <w:ind w:left="0" w:right="0"/>
                    <w:jc w:val="center"/>
                    <w:rPr>
                      <w:rFonts w:hint="default" w:hAnsiTheme="minorEastAsia" w:eastAsiaTheme="minorEastAsia"/>
                      <w:color w:val="auto"/>
                      <w:szCs w:val="21"/>
                    </w:rPr>
                  </w:pPr>
                  <w:r>
                    <w:rPr>
                      <w:rFonts w:hint="eastAsia" w:hAnsiTheme="minorEastAsia" w:eastAsiaTheme="minorEastAsia"/>
                      <w:color w:val="auto"/>
                      <w:szCs w:val="21"/>
                    </w:rPr>
                    <w:t>汽车整车制造、汽车修理、木质家具制造、汽车零部件、工程机械、钢结构、船舶制造等工业涂装行业、包装印刷行业及电子行业环评审批中要求加大低（无）VOCs含量原辅材料的替代力度</w:t>
                  </w:r>
                </w:p>
              </w:tc>
              <w:tc>
                <w:tcPr>
                  <w:tcW w:w="1038" w:type="pct"/>
                  <w:vAlign w:val="center"/>
                </w:tcPr>
                <w:p w14:paraId="41AC0BBD">
                  <w:pPr>
                    <w:keepNext w:val="0"/>
                    <w:keepLines w:val="0"/>
                    <w:suppressLineNumbers w:val="0"/>
                    <w:spacing w:before="0" w:beforeAutospacing="0" w:after="0" w:afterAutospacing="0" w:line="276" w:lineRule="auto"/>
                    <w:ind w:left="0" w:right="0"/>
                    <w:jc w:val="center"/>
                    <w:rPr>
                      <w:rFonts w:hint="eastAsia" w:hAnsiTheme="minorEastAsia" w:eastAsiaTheme="minorEastAsia"/>
                      <w:color w:val="auto"/>
                      <w:szCs w:val="21"/>
                      <w:lang w:eastAsia="zh-CN"/>
                    </w:rPr>
                  </w:pPr>
                  <w:r>
                    <w:rPr>
                      <w:rFonts w:hint="eastAsia" w:hAnsiTheme="minorEastAsia" w:eastAsiaTheme="minorEastAsia"/>
                      <w:color w:val="auto"/>
                      <w:szCs w:val="21"/>
                      <w:lang w:val="en-US" w:eastAsia="zh-CN"/>
                    </w:rPr>
                    <w:t>不涉及</w:t>
                  </w:r>
                </w:p>
              </w:tc>
              <w:tc>
                <w:tcPr>
                  <w:tcW w:w="515" w:type="pct"/>
                  <w:vAlign w:val="center"/>
                </w:tcPr>
                <w:p w14:paraId="2E3356AA">
                  <w:pPr>
                    <w:keepNext w:val="0"/>
                    <w:keepLines w:val="0"/>
                    <w:suppressLineNumbers w:val="0"/>
                    <w:spacing w:before="0" w:beforeAutospacing="0" w:after="0" w:afterAutospacing="0" w:line="276" w:lineRule="auto"/>
                    <w:ind w:left="0" w:right="0"/>
                    <w:jc w:val="center"/>
                    <w:rPr>
                      <w:rFonts w:hint="default" w:eastAsiaTheme="minorEastAsia"/>
                      <w:color w:val="auto"/>
                      <w:szCs w:val="21"/>
                    </w:rPr>
                  </w:pPr>
                  <w:r>
                    <w:rPr>
                      <w:rFonts w:hint="eastAsia" w:eastAsiaTheme="minorEastAsia"/>
                      <w:color w:val="auto"/>
                      <w:szCs w:val="21"/>
                    </w:rPr>
                    <w:t>不属于</w:t>
                  </w:r>
                </w:p>
              </w:tc>
            </w:tr>
          </w:tbl>
          <w:p w14:paraId="4DCE2C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hAnsi="宋体"/>
                <w:color w:val="auto"/>
                <w:sz w:val="24"/>
              </w:rPr>
            </w:pPr>
          </w:p>
          <w:p w14:paraId="5E2F2E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hAnsi="宋体"/>
                <w:color w:val="auto"/>
                <w:sz w:val="24"/>
              </w:rPr>
            </w:pPr>
          </w:p>
          <w:p w14:paraId="5051FC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hAnsi="宋体"/>
                <w:color w:val="auto"/>
                <w:sz w:val="24"/>
              </w:rPr>
            </w:pPr>
          </w:p>
          <w:p w14:paraId="5CA0AD0C">
            <w:pPr>
              <w:pStyle w:val="11"/>
              <w:keepNext w:val="0"/>
              <w:keepLines w:val="0"/>
              <w:suppressLineNumbers w:val="0"/>
              <w:spacing w:before="0" w:beforeAutospacing="0" w:afterAutospacing="0"/>
              <w:ind w:left="0" w:right="0"/>
              <w:rPr>
                <w:rFonts w:hint="default"/>
                <w:color w:val="auto"/>
                <w:vertAlign w:val="baseline"/>
              </w:rPr>
            </w:pPr>
          </w:p>
          <w:p w14:paraId="5516BDD8">
            <w:pPr>
              <w:pStyle w:val="11"/>
              <w:keepNext w:val="0"/>
              <w:keepLines w:val="0"/>
              <w:suppressLineNumbers w:val="0"/>
              <w:spacing w:before="0" w:beforeAutospacing="0" w:afterAutospacing="0"/>
              <w:ind w:left="0" w:right="0"/>
              <w:rPr>
                <w:rFonts w:hint="default"/>
                <w:color w:val="auto"/>
                <w:vertAlign w:val="baseline"/>
              </w:rPr>
            </w:pPr>
          </w:p>
          <w:p w14:paraId="2AC971F3">
            <w:pPr>
              <w:pStyle w:val="11"/>
              <w:keepNext w:val="0"/>
              <w:keepLines w:val="0"/>
              <w:suppressLineNumbers w:val="0"/>
              <w:spacing w:before="0" w:beforeAutospacing="0" w:afterAutospacing="0"/>
              <w:ind w:left="0" w:right="0"/>
              <w:rPr>
                <w:rFonts w:hint="default"/>
                <w:color w:val="auto"/>
                <w:vertAlign w:val="baseline"/>
              </w:rPr>
            </w:pPr>
          </w:p>
          <w:p w14:paraId="7BF0BDBD">
            <w:pPr>
              <w:pStyle w:val="11"/>
              <w:keepNext w:val="0"/>
              <w:keepLines w:val="0"/>
              <w:suppressLineNumbers w:val="0"/>
              <w:spacing w:before="0" w:beforeAutospacing="0" w:afterAutospacing="0"/>
              <w:ind w:left="0" w:right="0"/>
              <w:rPr>
                <w:rFonts w:hint="default"/>
                <w:color w:val="auto"/>
                <w:vertAlign w:val="baseline"/>
              </w:rPr>
            </w:pPr>
          </w:p>
          <w:p w14:paraId="07A6FD9F">
            <w:pPr>
              <w:pStyle w:val="11"/>
              <w:keepNext w:val="0"/>
              <w:keepLines w:val="0"/>
              <w:suppressLineNumbers w:val="0"/>
              <w:spacing w:before="0" w:beforeAutospacing="0" w:afterAutospacing="0"/>
              <w:ind w:left="0" w:right="0"/>
              <w:rPr>
                <w:rFonts w:hint="default"/>
                <w:color w:val="auto"/>
                <w:vertAlign w:val="baseline"/>
              </w:rPr>
            </w:pPr>
          </w:p>
          <w:p w14:paraId="295B7CA5">
            <w:pPr>
              <w:pStyle w:val="11"/>
              <w:keepNext w:val="0"/>
              <w:keepLines w:val="0"/>
              <w:suppressLineNumbers w:val="0"/>
              <w:spacing w:before="0" w:beforeAutospacing="0" w:afterAutospacing="0"/>
              <w:ind w:left="0" w:right="0"/>
              <w:rPr>
                <w:rFonts w:hint="default"/>
                <w:color w:val="auto"/>
                <w:vertAlign w:val="baseline"/>
              </w:rPr>
            </w:pPr>
          </w:p>
          <w:p w14:paraId="7477E034">
            <w:pPr>
              <w:pStyle w:val="11"/>
              <w:keepNext w:val="0"/>
              <w:keepLines w:val="0"/>
              <w:suppressLineNumbers w:val="0"/>
              <w:spacing w:before="0" w:beforeAutospacing="0" w:afterAutospacing="0"/>
              <w:ind w:left="0" w:right="0"/>
              <w:rPr>
                <w:rFonts w:hint="default"/>
                <w:color w:val="auto"/>
                <w:vertAlign w:val="baseline"/>
              </w:rPr>
            </w:pPr>
          </w:p>
        </w:tc>
      </w:tr>
    </w:tbl>
    <w:p w14:paraId="7233A046">
      <w:pPr>
        <w:rPr>
          <w:color w:val="auto"/>
        </w:rPr>
      </w:pPr>
    </w:p>
    <w:p w14:paraId="7D8BC0DE">
      <w:pPr>
        <w:rPr>
          <w:color w:val="auto"/>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8012"/>
      </w:tblGrid>
      <w:tr w14:paraId="1CEE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7" w:hRule="atLeast"/>
          <w:jc w:val="center"/>
        </w:trPr>
        <w:tc>
          <w:tcPr>
            <w:tcW w:w="510" w:type="dxa"/>
            <w:vAlign w:val="center"/>
          </w:tcPr>
          <w:p w14:paraId="235C5DE3">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eastAsia="宋体"/>
                <w:color w:val="auto"/>
                <w:sz w:val="24"/>
                <w:szCs w:val="24"/>
                <w:vertAlign w:val="baseline"/>
                <w:lang w:val="en-US" w:eastAsia="zh-CN"/>
              </w:rPr>
            </w:pPr>
            <w:r>
              <w:rPr>
                <w:rFonts w:hint="eastAsia"/>
                <w:color w:val="auto"/>
                <w:sz w:val="24"/>
                <w:szCs w:val="24"/>
                <w:vertAlign w:val="baseline"/>
                <w:lang w:val="en-US" w:eastAsia="zh-CN"/>
              </w:rPr>
              <w:t>其他符合性分析</w:t>
            </w:r>
          </w:p>
        </w:tc>
        <w:tc>
          <w:tcPr>
            <w:tcW w:w="8012" w:type="dxa"/>
          </w:tcPr>
          <w:p w14:paraId="6DEF80E2">
            <w:pPr>
              <w:pStyle w:val="223"/>
              <w:keepNext w:val="0"/>
              <w:keepLines w:val="0"/>
              <w:suppressLineNumbers w:val="0"/>
              <w:spacing w:before="0" w:beforeAutospacing="0" w:after="0" w:afterAutospacing="0"/>
              <w:ind w:left="0" w:right="0" w:firstLine="480"/>
              <w:rPr>
                <w:rFonts w:hint="default"/>
                <w:b/>
                <w:color w:val="auto"/>
              </w:rPr>
            </w:pPr>
            <w:r>
              <w:rPr>
                <w:rFonts w:hint="eastAsia"/>
                <w:b/>
                <w:color w:val="auto"/>
                <w:lang w:val="en-US" w:eastAsia="zh-CN"/>
              </w:rPr>
              <w:t>4</w:t>
            </w:r>
            <w:r>
              <w:rPr>
                <w:rFonts w:hint="eastAsia"/>
                <w:b/>
                <w:color w:val="auto"/>
              </w:rPr>
              <w:t>.</w:t>
            </w:r>
            <w:r>
              <w:rPr>
                <w:rFonts w:hint="eastAsia"/>
                <w:b/>
                <w:color w:val="auto"/>
                <w:lang w:val="en-US" w:eastAsia="zh-CN"/>
              </w:rPr>
              <w:t>淮南</w:t>
            </w:r>
            <w:r>
              <w:rPr>
                <w:rFonts w:hint="eastAsia"/>
                <w:b/>
                <w:color w:val="auto"/>
              </w:rPr>
              <w:t>市“三线一单”及生态环境分区管控方案符合性分析</w:t>
            </w:r>
          </w:p>
          <w:p w14:paraId="5EEE5843">
            <w:pPr>
              <w:pStyle w:val="223"/>
              <w:keepNext w:val="0"/>
              <w:keepLines w:val="0"/>
              <w:suppressLineNumbers w:val="0"/>
              <w:spacing w:before="0" w:beforeAutospacing="0" w:after="0" w:afterAutospacing="0"/>
              <w:ind w:left="0" w:right="0" w:firstLine="480"/>
              <w:rPr>
                <w:rFonts w:hint="eastAsia" w:eastAsia="宋体" w:cs="Times New Roman"/>
                <w:b/>
                <w:bCs w:val="0"/>
                <w:color w:val="auto"/>
                <w:lang w:eastAsia="zh-CN"/>
              </w:rPr>
            </w:pPr>
            <w:r>
              <w:rPr>
                <w:rFonts w:hint="eastAsia" w:cs="Times New Roman"/>
                <w:b/>
                <w:bCs w:val="0"/>
                <w:color w:val="auto"/>
                <w:lang w:eastAsia="zh-CN"/>
              </w:rPr>
              <w:t>（</w:t>
            </w:r>
            <w:r>
              <w:rPr>
                <w:rFonts w:hint="eastAsia" w:cs="Times New Roman"/>
                <w:b/>
                <w:bCs w:val="0"/>
                <w:color w:val="auto"/>
                <w:lang w:val="en-US" w:eastAsia="zh-CN"/>
              </w:rPr>
              <w:t>1</w:t>
            </w:r>
            <w:r>
              <w:rPr>
                <w:rFonts w:hint="eastAsia" w:cs="Times New Roman"/>
                <w:b/>
                <w:bCs w:val="0"/>
                <w:color w:val="auto"/>
                <w:lang w:eastAsia="zh-CN"/>
              </w:rPr>
              <w:t>）“</w:t>
            </w:r>
            <w:r>
              <w:rPr>
                <w:rFonts w:hint="eastAsia" w:cs="Times New Roman"/>
                <w:b/>
                <w:bCs w:val="0"/>
                <w:color w:val="auto"/>
                <w:lang w:val="en-US" w:eastAsia="zh-CN"/>
              </w:rPr>
              <w:t>三线一单</w:t>
            </w:r>
            <w:r>
              <w:rPr>
                <w:rFonts w:hint="eastAsia" w:cs="Times New Roman"/>
                <w:b/>
                <w:bCs w:val="0"/>
                <w:color w:val="auto"/>
                <w:lang w:eastAsia="zh-CN"/>
              </w:rPr>
              <w:t>”</w:t>
            </w:r>
          </w:p>
          <w:p w14:paraId="6DE43FB8">
            <w:pPr>
              <w:pStyle w:val="223"/>
              <w:keepNext w:val="0"/>
              <w:keepLines w:val="0"/>
              <w:suppressLineNumbers w:val="0"/>
              <w:spacing w:before="0" w:beforeAutospacing="0" w:after="0" w:afterAutospacing="0"/>
              <w:ind w:left="0" w:right="0" w:firstLine="480"/>
              <w:rPr>
                <w:rFonts w:hint="eastAsia" w:cs="Times New Roman"/>
                <w:bCs/>
                <w:color w:val="auto"/>
              </w:rPr>
            </w:pPr>
            <w:r>
              <w:rPr>
                <w:rFonts w:hint="default" w:cs="Times New Roman"/>
                <w:bCs/>
                <w:color w:val="auto"/>
              </w:rPr>
              <w:t>根据原环境保护部《关于以改善环境质量为核心加强环境影响评价管理的通知》（环环评〔2016〕150号）、安徽省人民政府《安徽省人民政府关于发布安徽省生态保护红线的通知》（皖政秘〔2018〕120号）</w:t>
            </w:r>
            <w:r>
              <w:rPr>
                <w:rFonts w:hint="eastAsia"/>
                <w:color w:val="auto"/>
                <w:sz w:val="24"/>
              </w:rPr>
              <w:t>、《长江经济带战略环境评价—淮南市“三线一单”文本》等文件要求</w:t>
            </w:r>
            <w:r>
              <w:rPr>
                <w:rFonts w:hint="eastAsia" w:cs="Times New Roman"/>
                <w:bCs/>
                <w:color w:val="auto"/>
              </w:rPr>
              <w:t>，项目“三线一单”符合性分析见下表。</w:t>
            </w:r>
          </w:p>
          <w:p w14:paraId="55E1A27A">
            <w:pPr>
              <w:pStyle w:val="223"/>
              <w:keepNext w:val="0"/>
              <w:keepLines w:val="0"/>
              <w:suppressLineNumbers w:val="0"/>
              <w:spacing w:before="0" w:beforeAutospacing="0" w:after="0" w:afterAutospacing="0"/>
              <w:ind w:left="0" w:right="0"/>
              <w:jc w:val="center"/>
              <w:rPr>
                <w:rFonts w:hint="default" w:hAnsi="黑体" w:eastAsia="黑体"/>
                <w:color w:val="auto"/>
                <w:szCs w:val="21"/>
              </w:rPr>
            </w:pPr>
            <w:r>
              <w:rPr>
                <w:rFonts w:hint="eastAsia" w:hAnsi="黑体" w:eastAsia="黑体"/>
                <w:color w:val="auto"/>
                <w:szCs w:val="24"/>
              </w:rPr>
              <w:t>表</w:t>
            </w:r>
            <w:r>
              <w:rPr>
                <w:rFonts w:hint="eastAsia" w:hAnsi="黑体" w:eastAsia="黑体"/>
                <w:color w:val="auto"/>
                <w:szCs w:val="24"/>
                <w:lang w:val="en-US" w:eastAsia="zh-CN"/>
              </w:rPr>
              <w:t>1-14</w:t>
            </w:r>
            <w:r>
              <w:rPr>
                <w:rFonts w:hint="eastAsia" w:hAnsi="黑体" w:eastAsia="黑体"/>
                <w:color w:val="auto"/>
                <w:szCs w:val="24"/>
              </w:rPr>
              <w:t xml:space="preserve"> 与长江经济带战略环境评价</w:t>
            </w:r>
            <w:r>
              <w:rPr>
                <w:rFonts w:hint="eastAsia" w:hAnsi="黑体" w:eastAsia="黑体"/>
                <w:color w:val="auto"/>
                <w:szCs w:val="24"/>
                <w:lang w:val="en-US" w:eastAsia="zh-CN"/>
              </w:rPr>
              <w:t>淮南</w:t>
            </w:r>
            <w:r>
              <w:rPr>
                <w:rFonts w:hint="eastAsia" w:hAnsi="黑体" w:eastAsia="黑体"/>
                <w:color w:val="auto"/>
                <w:szCs w:val="24"/>
              </w:rPr>
              <w:t>市“三线一单”文本符合性分析</w:t>
            </w:r>
          </w:p>
          <w:tbl>
            <w:tblPr>
              <w:tblStyle w:val="3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3927"/>
              <w:gridCol w:w="3162"/>
            </w:tblGrid>
            <w:tr w14:paraId="2777EE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52" w:type="pct"/>
                  <w:tcBorders>
                    <w:top w:val="single" w:color="auto" w:sz="12" w:space="0"/>
                    <w:left w:val="nil"/>
                    <w:bottom w:val="single" w:color="auto" w:sz="4" w:space="0"/>
                    <w:right w:val="single" w:color="auto" w:sz="4" w:space="0"/>
                  </w:tcBorders>
                  <w:vAlign w:val="center"/>
                </w:tcPr>
                <w:p w14:paraId="657D737D">
                  <w:pPr>
                    <w:keepNext w:val="0"/>
                    <w:keepLines w:val="0"/>
                    <w:suppressLineNumbers w:val="0"/>
                    <w:spacing w:before="0" w:beforeAutospacing="0" w:after="0" w:afterAutospacing="0" w:line="273" w:lineRule="auto"/>
                    <w:ind w:left="0" w:right="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内容</w:t>
                  </w:r>
                </w:p>
              </w:tc>
              <w:tc>
                <w:tcPr>
                  <w:tcW w:w="2519" w:type="pct"/>
                  <w:tcBorders>
                    <w:top w:val="single" w:color="auto" w:sz="12" w:space="0"/>
                    <w:left w:val="single" w:color="auto" w:sz="4" w:space="0"/>
                    <w:bottom w:val="single" w:color="auto" w:sz="4" w:space="0"/>
                    <w:right w:val="single" w:color="auto" w:sz="4" w:space="0"/>
                  </w:tcBorders>
                  <w:vAlign w:val="center"/>
                </w:tcPr>
                <w:p w14:paraId="214016CA">
                  <w:pPr>
                    <w:keepNext w:val="0"/>
                    <w:keepLines w:val="0"/>
                    <w:suppressLineNumbers w:val="0"/>
                    <w:spacing w:before="0" w:beforeAutospacing="0" w:after="0" w:afterAutospacing="0" w:line="273" w:lineRule="auto"/>
                    <w:ind w:left="0" w:right="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环环评〔2016〕150号、皖政秘〔2018〕120号相关要求</w:t>
                  </w:r>
                </w:p>
              </w:tc>
              <w:tc>
                <w:tcPr>
                  <w:tcW w:w="2028" w:type="pct"/>
                  <w:tcBorders>
                    <w:top w:val="single" w:color="auto" w:sz="12" w:space="0"/>
                    <w:left w:val="single" w:color="auto" w:sz="4" w:space="0"/>
                    <w:bottom w:val="single" w:color="auto" w:sz="4" w:space="0"/>
                    <w:right w:val="nil"/>
                  </w:tcBorders>
                  <w:vAlign w:val="center"/>
                </w:tcPr>
                <w:p w14:paraId="65460F9D">
                  <w:pPr>
                    <w:keepNext w:val="0"/>
                    <w:keepLines w:val="0"/>
                    <w:suppressLineNumbers w:val="0"/>
                    <w:spacing w:before="0" w:beforeAutospacing="0" w:after="0" w:afterAutospacing="0" w:line="273" w:lineRule="auto"/>
                    <w:ind w:left="0" w:right="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项目符合性分析</w:t>
                  </w:r>
                </w:p>
              </w:tc>
            </w:tr>
            <w:tr w14:paraId="4C558E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52" w:type="pct"/>
                  <w:tcBorders>
                    <w:top w:val="single" w:color="auto" w:sz="4" w:space="0"/>
                    <w:left w:val="nil"/>
                    <w:bottom w:val="single" w:color="auto" w:sz="4" w:space="0"/>
                    <w:right w:val="single" w:color="auto" w:sz="4" w:space="0"/>
                  </w:tcBorders>
                  <w:vAlign w:val="center"/>
                </w:tcPr>
                <w:p w14:paraId="2E913CC5">
                  <w:pPr>
                    <w:keepNext w:val="0"/>
                    <w:keepLines w:val="0"/>
                    <w:suppressLineNumbers w:val="0"/>
                    <w:spacing w:before="0" w:beforeAutospacing="0" w:after="0" w:afterAutospacing="0" w:line="273"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生态保护红线</w:t>
                  </w:r>
                </w:p>
              </w:tc>
              <w:tc>
                <w:tcPr>
                  <w:tcW w:w="2519" w:type="pct"/>
                  <w:tcBorders>
                    <w:top w:val="single" w:color="auto" w:sz="4" w:space="0"/>
                    <w:left w:val="single" w:color="auto" w:sz="4" w:space="0"/>
                    <w:bottom w:val="single" w:color="auto" w:sz="4" w:space="0"/>
                    <w:right w:val="single" w:color="auto" w:sz="4" w:space="0"/>
                  </w:tcBorders>
                  <w:vAlign w:val="center"/>
                </w:tcPr>
                <w:p w14:paraId="39E54842">
                  <w:pPr>
                    <w:keepNext w:val="0"/>
                    <w:keepLines w:val="0"/>
                    <w:suppressLineNumbers w:val="0"/>
                    <w:spacing w:before="0" w:beforeAutospacing="0" w:after="0" w:afterAutospacing="0" w:line="273"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态保护红线是生态空间范围内具有特殊重要生态功能必须实行强制性严格保护的区域。相关规划环评应将生态空间管控作为重要内容，规划区域设计生态保护红线的，在规划环评结论和审查意见中应落实生态保护红线的管理要求，提出相应对策措施。除受自然条件限制、确实无法避让的铁路、公路、航道、防洪、管道、干渠、通讯、输变电等重要基础设施项目外，在生态保护红线范围内，严控各类开发建设活动，依法不予审批新建工业项目和矿产开发项目的环评文件。</w:t>
                  </w:r>
                </w:p>
              </w:tc>
              <w:tc>
                <w:tcPr>
                  <w:tcW w:w="2028" w:type="pct"/>
                  <w:tcBorders>
                    <w:top w:val="single" w:color="auto" w:sz="4" w:space="0"/>
                    <w:left w:val="single" w:color="auto" w:sz="4" w:space="0"/>
                    <w:bottom w:val="single" w:color="auto" w:sz="4" w:space="0"/>
                    <w:right w:val="nil"/>
                  </w:tcBorders>
                  <w:vAlign w:val="center"/>
                </w:tcPr>
                <w:p w14:paraId="4B1C151C">
                  <w:pPr>
                    <w:keepNext w:val="0"/>
                    <w:keepLines w:val="0"/>
                    <w:widowControl/>
                    <w:suppressLineNumbers w:val="0"/>
                    <w:spacing w:before="0" w:beforeAutospacing="0" w:after="0" w:afterAutospacing="0" w:line="273" w:lineRule="auto"/>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sz w:val="21"/>
                      <w:szCs w:val="21"/>
                    </w:rPr>
                    <w:t>本项目位于</w:t>
                  </w:r>
                  <w:r>
                    <w:rPr>
                      <w:rFonts w:hint="eastAsia" w:cs="Times New Roman"/>
                      <w:color w:val="auto"/>
                      <w:sz w:val="21"/>
                      <w:szCs w:val="21"/>
                      <w:lang w:eastAsia="zh-CN"/>
                    </w:rPr>
                    <w:t>安徽省淮南市</w:t>
                  </w:r>
                  <w:r>
                    <w:rPr>
                      <w:rFonts w:hint="eastAsia" w:cs="Times New Roman"/>
                      <w:color w:val="auto"/>
                      <w:sz w:val="21"/>
                      <w:szCs w:val="21"/>
                      <w:lang w:val="en-US" w:eastAsia="zh-CN"/>
                    </w:rPr>
                    <w:t>凤台县</w:t>
                  </w:r>
                  <w:r>
                    <w:rPr>
                      <w:rFonts w:hint="eastAsia" w:cs="Times New Roman"/>
                      <w:color w:val="auto"/>
                      <w:sz w:val="21"/>
                      <w:szCs w:val="21"/>
                      <w:lang w:eastAsia="zh-CN"/>
                    </w:rPr>
                    <w:t>凤台经济开发区电子智能制造产业园52#标准化厂房一层、二层、三层、四层</w:t>
                  </w:r>
                  <w:r>
                    <w:rPr>
                      <w:rFonts w:hint="default" w:ascii="Times New Roman" w:hAnsi="Times New Roman" w:cs="Times New Roman"/>
                      <w:color w:val="auto"/>
                      <w:sz w:val="21"/>
                      <w:szCs w:val="21"/>
                    </w:rPr>
                    <w:t>，根据淮南市“三线一单”成果文件中生态保护红线管控要求，项目不位于生态保护红线内的风景名胜区、森林公园、地质公园、湿地公园、饮用水水源保护区、生态公益林等各类保护地，不属于生态保护红线管控的区域，符合生态保护红线要求，项目区域生态红线图见附图6。</w:t>
                  </w:r>
                </w:p>
              </w:tc>
            </w:tr>
            <w:tr w14:paraId="25CF27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52" w:type="pct"/>
                  <w:tcBorders>
                    <w:top w:val="single" w:color="auto" w:sz="4" w:space="0"/>
                    <w:left w:val="nil"/>
                    <w:bottom w:val="single" w:color="auto" w:sz="4" w:space="0"/>
                    <w:right w:val="single" w:color="auto" w:sz="4" w:space="0"/>
                  </w:tcBorders>
                  <w:vAlign w:val="center"/>
                </w:tcPr>
                <w:p w14:paraId="01632EBD">
                  <w:pPr>
                    <w:keepNext w:val="0"/>
                    <w:keepLines w:val="0"/>
                    <w:suppressLineNumbers w:val="0"/>
                    <w:spacing w:before="0" w:beforeAutospacing="0" w:after="0" w:afterAutospacing="0" w:line="273"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环境质量底线</w:t>
                  </w:r>
                </w:p>
              </w:tc>
              <w:tc>
                <w:tcPr>
                  <w:tcW w:w="2519" w:type="pct"/>
                  <w:tcBorders>
                    <w:top w:val="single" w:color="auto" w:sz="4" w:space="0"/>
                    <w:left w:val="single" w:color="auto" w:sz="4" w:space="0"/>
                    <w:bottom w:val="single" w:color="auto" w:sz="4" w:space="0"/>
                    <w:right w:val="single" w:color="auto" w:sz="4" w:space="0"/>
                  </w:tcBorders>
                  <w:vAlign w:val="center"/>
                </w:tcPr>
                <w:p w14:paraId="030EE4FC">
                  <w:pPr>
                    <w:keepNext w:val="0"/>
                    <w:keepLines w:val="0"/>
                    <w:suppressLineNumbers w:val="0"/>
                    <w:spacing w:before="0" w:beforeAutospacing="0" w:after="0" w:afterAutospacing="0" w:line="273"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质量底线是国家和地方设置的大气、水和土壤环境质量目标，也是改善环境质量的基准线。有关规划环评应落实区域环境质量目标管理要求，提出区域或者行业污染物排放总量管控建议以及优化落实区域环境质量目标管理要求，提出区域或者行业污染物排放总量管控建议以及优化区域或行业发展布局、结构和规模的对策措施。项目环评应对照区域环境质量目标，深入分析预测项目建设对环境质量的影响，强化污染防治措施和污染物排放控制要求。</w:t>
                  </w:r>
                </w:p>
              </w:tc>
              <w:tc>
                <w:tcPr>
                  <w:tcW w:w="2028" w:type="pct"/>
                  <w:tcBorders>
                    <w:top w:val="single" w:color="auto" w:sz="4" w:space="0"/>
                    <w:left w:val="single" w:color="auto" w:sz="4" w:space="0"/>
                    <w:bottom w:val="single" w:color="auto" w:sz="4" w:space="0"/>
                    <w:right w:val="nil"/>
                  </w:tcBorders>
                  <w:vAlign w:val="center"/>
                </w:tcPr>
                <w:p w14:paraId="7F5586EC">
                  <w:pPr>
                    <w:pStyle w:val="183"/>
                    <w:keepNext w:val="0"/>
                    <w:keepLines w:val="0"/>
                    <w:suppressLineNumbers w:val="0"/>
                    <w:spacing w:before="0" w:beforeAutospacing="0" w:after="0" w:afterAutospacing="0" w:line="273" w:lineRule="auto"/>
                    <w:ind w:left="0" w:right="0" w:firstLine="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①根据淮南市生态环境局发布的《20</w:t>
                  </w:r>
                  <w:r>
                    <w:rPr>
                      <w:rFonts w:hint="eastAsia" w:cs="Times New Roman"/>
                      <w:color w:val="auto"/>
                      <w:sz w:val="21"/>
                      <w:szCs w:val="21"/>
                      <w:lang w:val="en-US" w:eastAsia="zh-CN"/>
                    </w:rPr>
                    <w:t>25</w:t>
                  </w:r>
                  <w:r>
                    <w:rPr>
                      <w:rFonts w:hint="default" w:ascii="Times New Roman" w:hAnsi="Times New Roman" w:cs="Times New Roman"/>
                      <w:color w:val="auto"/>
                      <w:sz w:val="21"/>
                      <w:szCs w:val="21"/>
                    </w:rPr>
                    <w:t>年淮南市生态环境质量状况公报》可知：项目所在区SO</w:t>
                  </w:r>
                  <w:r>
                    <w:rPr>
                      <w:rFonts w:hint="default" w:ascii="Times New Roman" w:hAnsi="Times New Roman" w:cs="Times New Roman"/>
                      <w:color w:val="auto"/>
                      <w:sz w:val="21"/>
                      <w:szCs w:val="21"/>
                      <w:vertAlign w:val="subscript"/>
                    </w:rPr>
                    <w:t>2</w:t>
                  </w:r>
                  <w:r>
                    <w:rPr>
                      <w:rFonts w:hint="default" w:ascii="Times New Roman" w:hAnsi="Times New Roman" w:cs="Times New Roman"/>
                      <w:color w:val="auto"/>
                      <w:sz w:val="21"/>
                      <w:szCs w:val="21"/>
                    </w:rPr>
                    <w:t>、NO</w:t>
                  </w:r>
                  <w:r>
                    <w:rPr>
                      <w:rFonts w:hint="default" w:ascii="Times New Roman" w:hAnsi="Times New Roman" w:cs="Times New Roman"/>
                      <w:color w:val="auto"/>
                      <w:sz w:val="21"/>
                      <w:szCs w:val="21"/>
                      <w:vertAlign w:val="subscript"/>
                    </w:rPr>
                    <w:t>2</w:t>
                  </w:r>
                  <w:r>
                    <w:rPr>
                      <w:rFonts w:hint="default" w:ascii="Times New Roman" w:hAnsi="Times New Roman" w:cs="Times New Roman"/>
                      <w:color w:val="auto"/>
                      <w:sz w:val="21"/>
                      <w:szCs w:val="21"/>
                    </w:rPr>
                    <w:t>、CO、</w:t>
                  </w:r>
                  <w:r>
                    <w:rPr>
                      <w:rFonts w:hint="default" w:ascii="Times New Roman" w:hAnsi="Times New Roman" w:cs="Times New Roman"/>
                      <w:bCs/>
                      <w:color w:val="auto"/>
                      <w:sz w:val="21"/>
                      <w:szCs w:val="21"/>
                    </w:rPr>
                    <w:t>O</w:t>
                  </w:r>
                  <w:r>
                    <w:rPr>
                      <w:rFonts w:hint="default" w:ascii="Times New Roman" w:hAnsi="Times New Roman" w:cs="Times New Roman"/>
                      <w:bCs/>
                      <w:color w:val="auto"/>
                      <w:sz w:val="21"/>
                      <w:szCs w:val="21"/>
                      <w:vertAlign w:val="subscript"/>
                    </w:rPr>
                    <w:t>3</w:t>
                  </w:r>
                  <w:r>
                    <w:rPr>
                      <w:rFonts w:hint="default" w:ascii="Times New Roman" w:hAnsi="Times New Roman" w:cs="Times New Roman"/>
                      <w:color w:val="auto"/>
                      <w:sz w:val="21"/>
                      <w:szCs w:val="21"/>
                    </w:rPr>
                    <w:t>均符合《环境空气质量标准》（GB3095-2026）中过渡阶段二级浓度限值；PM</w:t>
                  </w:r>
                  <w:r>
                    <w:rPr>
                      <w:rFonts w:hint="default" w:ascii="Times New Roman" w:hAnsi="Times New Roman" w:cs="Times New Roman"/>
                      <w:color w:val="auto"/>
                      <w:sz w:val="21"/>
                      <w:szCs w:val="21"/>
                      <w:vertAlign w:val="subscript"/>
                    </w:rPr>
                    <w:t>10</w:t>
                  </w:r>
                  <w:r>
                    <w:rPr>
                      <w:rFonts w:hint="default" w:ascii="Times New Roman" w:hAnsi="Times New Roman" w:cs="Times New Roman"/>
                      <w:color w:val="auto"/>
                      <w:sz w:val="21"/>
                      <w:szCs w:val="21"/>
                    </w:rPr>
                    <w:t>、PM</w:t>
                  </w:r>
                  <w:r>
                    <w:rPr>
                      <w:rFonts w:hint="default" w:ascii="Times New Roman" w:hAnsi="Times New Roman" w:cs="Times New Roman"/>
                      <w:color w:val="auto"/>
                      <w:sz w:val="21"/>
                      <w:szCs w:val="21"/>
                      <w:vertAlign w:val="subscript"/>
                    </w:rPr>
                    <w:t>2.5</w:t>
                  </w:r>
                  <w:r>
                    <w:rPr>
                      <w:rFonts w:hint="default" w:ascii="Times New Roman" w:hAnsi="Times New Roman" w:cs="Times New Roman"/>
                      <w:color w:val="auto"/>
                      <w:sz w:val="21"/>
                      <w:szCs w:val="21"/>
                    </w:rPr>
                    <w:t>年均浓度值不满足《环境空气质量标准》（GB3095-2026）中过渡阶段二级浓度限值，项目位于环境空气质量不达标区</w:t>
                  </w:r>
                  <w:r>
                    <w:rPr>
                      <w:rFonts w:hint="default" w:ascii="Times New Roman" w:hAnsi="Times New Roman" w:cs="Times New Roman"/>
                      <w:color w:val="auto"/>
                      <w:kern w:val="2"/>
                      <w:sz w:val="21"/>
                      <w:szCs w:val="21"/>
                    </w:rPr>
                    <w:t>。</w:t>
                  </w:r>
                </w:p>
                <w:p w14:paraId="7AE0E891">
                  <w:pPr>
                    <w:pStyle w:val="183"/>
                    <w:keepNext w:val="0"/>
                    <w:keepLines w:val="0"/>
                    <w:suppressLineNumbers w:val="0"/>
                    <w:spacing w:before="0" w:beforeAutospacing="0" w:after="0" w:afterAutospacing="0" w:line="273" w:lineRule="auto"/>
                    <w:ind w:left="0" w:right="0" w:firstLine="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②根据20</w:t>
                  </w:r>
                  <w:r>
                    <w:rPr>
                      <w:rFonts w:hint="eastAsia" w:ascii="Times New Roman" w:hAnsi="Times New Roman" w:cs="Times New Roman"/>
                      <w:color w:val="auto"/>
                      <w:sz w:val="21"/>
                      <w:szCs w:val="21"/>
                      <w:lang w:val="en-US" w:eastAsia="zh-CN"/>
                    </w:rPr>
                    <w:t>26</w:t>
                  </w:r>
                  <w:r>
                    <w:rPr>
                      <w:rFonts w:hint="default" w:ascii="Times New Roman" w:hAnsi="Times New Roman" w:cs="Times New Roman"/>
                      <w:color w:val="auto"/>
                      <w:sz w:val="21"/>
                      <w:szCs w:val="21"/>
                    </w:rPr>
                    <w:t>年淮南市生态环境监测中心统计数据，</w:t>
                  </w:r>
                  <w:r>
                    <w:rPr>
                      <w:rFonts w:hint="eastAsia" w:ascii="Times New Roman" w:hAnsi="Times New Roman" w:cs="Times New Roman"/>
                      <w:color w:val="auto"/>
                      <w:sz w:val="21"/>
                      <w:szCs w:val="21"/>
                      <w:lang w:val="en-US" w:eastAsia="zh-CN"/>
                    </w:rPr>
                    <w:t>2026年</w:t>
                  </w:r>
                  <w:r>
                    <w:rPr>
                      <w:rFonts w:hint="eastAsia" w:cs="Times New Roman"/>
                      <w:color w:val="auto"/>
                      <w:sz w:val="21"/>
                      <w:szCs w:val="21"/>
                      <w:lang w:val="en-US" w:eastAsia="zh-CN"/>
                    </w:rPr>
                    <w:t>4</w:t>
                  </w:r>
                  <w:r>
                    <w:rPr>
                      <w:rFonts w:hint="eastAsia" w:ascii="Times New Roman" w:hAnsi="Times New Roman" w:cs="Times New Roman"/>
                      <w:color w:val="auto"/>
                      <w:sz w:val="21"/>
                      <w:szCs w:val="21"/>
                      <w:lang w:val="en-US" w:eastAsia="zh-CN"/>
                    </w:rPr>
                    <w:t>月环境质量月报，</w:t>
                  </w:r>
                  <w:r>
                    <w:rPr>
                      <w:rFonts w:hint="eastAsia" w:cs="Times New Roman"/>
                      <w:color w:val="auto"/>
                      <w:sz w:val="21"/>
                      <w:szCs w:val="21"/>
                      <w:lang w:val="en-US" w:eastAsia="zh-CN"/>
                    </w:rPr>
                    <w:t>架</w:t>
                  </w:r>
                  <w:r>
                    <w:rPr>
                      <w:rFonts w:hint="eastAsia" w:ascii="Times New Roman" w:hAnsi="Times New Roman" w:cs="Times New Roman"/>
                      <w:color w:val="auto"/>
                      <w:sz w:val="21"/>
                      <w:szCs w:val="21"/>
                      <w:lang w:val="en-US" w:eastAsia="zh-CN"/>
                    </w:rPr>
                    <w:t>河</w:t>
                  </w:r>
                  <w:r>
                    <w:rPr>
                      <w:rFonts w:hint="default" w:ascii="Times New Roman" w:hAnsi="Times New Roman" w:cs="Times New Roman"/>
                      <w:color w:val="auto"/>
                      <w:sz w:val="21"/>
                      <w:szCs w:val="21"/>
                    </w:rPr>
                    <w:t>水质满足《地表水环境质量标准》（GB3838-</w:t>
                  </w:r>
                  <w:r>
                    <w:rPr>
                      <w:rFonts w:hint="default" w:ascii="Times New Roman" w:hAnsi="Times New Roman" w:cs="Times New Roman"/>
                      <w:color w:val="auto"/>
                      <w:spacing w:val="-8"/>
                      <w:sz w:val="21"/>
                      <w:szCs w:val="21"/>
                    </w:rPr>
                    <w:t>2002）中Ⅲ类标准要求</w:t>
                  </w:r>
                  <w:r>
                    <w:rPr>
                      <w:rFonts w:hint="default" w:ascii="Times New Roman" w:hAnsi="Times New Roman" w:cs="Times New Roman"/>
                      <w:color w:val="auto"/>
                      <w:sz w:val="21"/>
                      <w:szCs w:val="21"/>
                    </w:rPr>
                    <w:t>。本项目</w:t>
                  </w:r>
                  <w:r>
                    <w:rPr>
                      <w:rFonts w:hint="eastAsia" w:cs="Times New Roman"/>
                      <w:color w:val="auto"/>
                      <w:sz w:val="21"/>
                      <w:szCs w:val="21"/>
                      <w:lang w:val="en-US" w:eastAsia="zh-CN"/>
                    </w:rPr>
                    <w:t>循环冷却排水与经化粪池预处理的</w:t>
                  </w:r>
                  <w:r>
                    <w:rPr>
                      <w:rFonts w:hint="eastAsia" w:ascii="Times New Roman" w:hAnsi="Times New Roman" w:cs="Times New Roman"/>
                      <w:color w:val="auto"/>
                      <w:sz w:val="21"/>
                      <w:szCs w:val="21"/>
                      <w:lang w:val="en-US" w:eastAsia="zh-CN"/>
                    </w:rPr>
                    <w:t>生活污水</w:t>
                  </w:r>
                  <w:r>
                    <w:rPr>
                      <w:rFonts w:hint="eastAsia" w:cs="Times New Roman"/>
                      <w:color w:val="auto"/>
                      <w:sz w:val="21"/>
                      <w:szCs w:val="21"/>
                      <w:lang w:val="en-US" w:eastAsia="zh-CN"/>
                    </w:rPr>
                    <w:t>一并</w:t>
                  </w:r>
                  <w:r>
                    <w:rPr>
                      <w:rFonts w:hint="eastAsia" w:ascii="Times New Roman" w:hAnsi="Times New Roman" w:cs="Times New Roman"/>
                      <w:color w:val="auto"/>
                      <w:sz w:val="21"/>
                      <w:szCs w:val="21"/>
                      <w:lang w:val="en-US" w:eastAsia="zh-CN"/>
                    </w:rPr>
                    <w:t>接管至</w:t>
                  </w:r>
                  <w:r>
                    <w:rPr>
                      <w:rFonts w:hint="eastAsia" w:cs="Times New Roman"/>
                      <w:color w:val="auto"/>
                      <w:sz w:val="21"/>
                      <w:szCs w:val="21"/>
                      <w:lang w:val="en-US" w:eastAsia="zh-CN"/>
                    </w:rPr>
                    <w:t>凤台县污水处理厂</w:t>
                  </w:r>
                  <w:r>
                    <w:rPr>
                      <w:rFonts w:hint="eastAsia" w:ascii="Times New Roman" w:hAnsi="Times New Roman" w:cs="Times New Roman"/>
                      <w:color w:val="auto"/>
                      <w:sz w:val="21"/>
                      <w:szCs w:val="21"/>
                      <w:lang w:val="en-US" w:eastAsia="zh-CN"/>
                    </w:rPr>
                    <w:t>处理达标后排放</w:t>
                  </w:r>
                  <w:r>
                    <w:rPr>
                      <w:rFonts w:hint="default" w:ascii="Times New Roman" w:hAnsi="Times New Roman" w:cs="Times New Roman"/>
                      <w:color w:val="auto"/>
                      <w:sz w:val="21"/>
                      <w:szCs w:val="21"/>
                    </w:rPr>
                    <w:t>，不会降低地表水环境现状。</w:t>
                  </w:r>
                </w:p>
                <w:p w14:paraId="3F774A07">
                  <w:pPr>
                    <w:pStyle w:val="183"/>
                    <w:keepNext w:val="0"/>
                    <w:keepLines w:val="0"/>
                    <w:suppressLineNumbers w:val="0"/>
                    <w:spacing w:before="0" w:beforeAutospacing="0" w:after="0" w:afterAutospacing="0" w:line="273" w:lineRule="auto"/>
                    <w:ind w:left="0" w:right="0" w:firstLine="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本项目废气</w:t>
                  </w:r>
                  <w:r>
                    <w:rPr>
                      <w:rFonts w:hint="eastAsia" w:cs="Times New Roman"/>
                      <w:color w:val="auto"/>
                      <w:sz w:val="21"/>
                      <w:szCs w:val="21"/>
                      <w:lang w:eastAsia="zh-CN"/>
                    </w:rPr>
                    <w:t>、</w:t>
                  </w:r>
                  <w:r>
                    <w:rPr>
                      <w:rFonts w:hint="eastAsia" w:cs="Times New Roman"/>
                      <w:color w:val="auto"/>
                      <w:sz w:val="21"/>
                      <w:szCs w:val="21"/>
                      <w:lang w:val="en-US" w:eastAsia="zh-CN"/>
                    </w:rPr>
                    <w:t>废水、噪声、固废均</w:t>
                  </w:r>
                  <w:r>
                    <w:rPr>
                      <w:rFonts w:hint="default" w:ascii="Times New Roman" w:hAnsi="Times New Roman" w:cs="Times New Roman"/>
                      <w:color w:val="auto"/>
                      <w:sz w:val="21"/>
                      <w:szCs w:val="21"/>
                    </w:rPr>
                    <w:t>可得到合理处置，噪声对周边影响较小，不会突破项目所在地的环境质量底线。因此项目的建设符合环境质量底线标准。</w:t>
                  </w:r>
                </w:p>
              </w:tc>
            </w:tr>
            <w:tr w14:paraId="68B5D8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52" w:type="pct"/>
                  <w:tcBorders>
                    <w:top w:val="single" w:color="auto" w:sz="4" w:space="0"/>
                    <w:left w:val="nil"/>
                    <w:bottom w:val="single" w:color="auto" w:sz="4" w:space="0"/>
                    <w:right w:val="single" w:color="auto" w:sz="4" w:space="0"/>
                  </w:tcBorders>
                  <w:vAlign w:val="center"/>
                </w:tcPr>
                <w:p w14:paraId="26F90BCF">
                  <w:pPr>
                    <w:keepNext w:val="0"/>
                    <w:keepLines w:val="0"/>
                    <w:suppressLineNumbers w:val="0"/>
                    <w:spacing w:before="0" w:beforeAutospacing="0" w:after="0" w:afterAutospacing="0" w:line="273"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资源利用上线</w:t>
                  </w:r>
                </w:p>
              </w:tc>
              <w:tc>
                <w:tcPr>
                  <w:tcW w:w="2519" w:type="pct"/>
                  <w:tcBorders>
                    <w:top w:val="single" w:color="auto" w:sz="4" w:space="0"/>
                    <w:left w:val="single" w:color="auto" w:sz="4" w:space="0"/>
                    <w:bottom w:val="single" w:color="auto" w:sz="4" w:space="0"/>
                    <w:right w:val="single" w:color="auto" w:sz="4" w:space="0"/>
                  </w:tcBorders>
                  <w:vAlign w:val="center"/>
                </w:tcPr>
                <w:p w14:paraId="2CD6972C">
                  <w:pPr>
                    <w:keepNext w:val="0"/>
                    <w:keepLines w:val="0"/>
                    <w:suppressLineNumbers w:val="0"/>
                    <w:spacing w:before="0" w:beforeAutospacing="0" w:after="0" w:afterAutospacing="0" w:line="273"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资源是环境的载体，资源利用上限是各地区能源、水、土地等资源消耗不得突破的“天花板”。相关规划环评应依据有关资源利用上限，对规划实施以及规划内项目的资源开发利用，区分不同行业，从能源资源开发等量或减量替代、开采方式和规模控制、利用效率和保护措施等方面提出建议，为规划编制和审批决策提供重要依据。</w:t>
                  </w:r>
                </w:p>
              </w:tc>
              <w:tc>
                <w:tcPr>
                  <w:tcW w:w="2028" w:type="pct"/>
                  <w:tcBorders>
                    <w:top w:val="single" w:color="auto" w:sz="4" w:space="0"/>
                    <w:left w:val="single" w:color="auto" w:sz="4" w:space="0"/>
                    <w:bottom w:val="single" w:color="auto" w:sz="4" w:space="0"/>
                    <w:right w:val="nil"/>
                  </w:tcBorders>
                  <w:vAlign w:val="center"/>
                </w:tcPr>
                <w:p w14:paraId="0B0AFF42">
                  <w:pPr>
                    <w:keepNext w:val="0"/>
                    <w:keepLines w:val="0"/>
                    <w:suppressLineNumbers w:val="0"/>
                    <w:spacing w:before="0" w:beforeAutospacing="0" w:after="0" w:afterAutospacing="0" w:line="273"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本项目运营期生产使用的资源主要为电能，不使用</w:t>
                  </w:r>
                  <w:r>
                    <w:rPr>
                      <w:rFonts w:hint="eastAsia" w:ascii="Times New Roman" w:hAnsi="Times New Roman" w:cs="Times New Roman"/>
                      <w:color w:val="auto"/>
                      <w:sz w:val="21"/>
                      <w:szCs w:val="21"/>
                      <w:lang w:val="en-US" w:eastAsia="zh-CN"/>
                    </w:rPr>
                    <w:t>煤炭等</w:t>
                  </w:r>
                  <w:r>
                    <w:rPr>
                      <w:rFonts w:hint="default" w:ascii="Times New Roman" w:hAnsi="Times New Roman" w:cs="Times New Roman"/>
                      <w:color w:val="auto"/>
                      <w:sz w:val="21"/>
                      <w:szCs w:val="21"/>
                    </w:rPr>
                    <w:t>高能耗能源。项目消耗量相对区域资源利用总量不显著。本项目</w:t>
                  </w:r>
                  <w:r>
                    <w:rPr>
                      <w:rFonts w:hint="eastAsia" w:ascii="Times New Roman" w:hAnsi="Times New Roman" w:cs="Times New Roman"/>
                      <w:color w:val="auto"/>
                      <w:sz w:val="21"/>
                      <w:szCs w:val="21"/>
                      <w:lang w:val="en-US" w:eastAsia="zh-CN"/>
                    </w:rPr>
                    <w:t>位于二类</w:t>
                  </w:r>
                  <w:r>
                    <w:rPr>
                      <w:rFonts w:hint="default" w:ascii="Times New Roman" w:hAnsi="Times New Roman" w:cs="Times New Roman"/>
                      <w:color w:val="auto"/>
                      <w:sz w:val="21"/>
                      <w:szCs w:val="21"/>
                    </w:rPr>
                    <w:t>工业用地</w:t>
                  </w: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符合规划用地要求</w:t>
                  </w:r>
                  <w:r>
                    <w:rPr>
                      <w:rFonts w:hint="default" w:ascii="Times New Roman" w:hAnsi="Times New Roman" w:cs="Times New Roman"/>
                      <w:color w:val="auto"/>
                      <w:sz w:val="21"/>
                      <w:szCs w:val="21"/>
                    </w:rPr>
                    <w:t>。因此，本项目建设不会突破资源利用上线。</w:t>
                  </w:r>
                </w:p>
              </w:tc>
            </w:tr>
            <w:tr w14:paraId="06A739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52" w:type="pct"/>
                  <w:tcBorders>
                    <w:top w:val="single" w:color="auto" w:sz="4" w:space="0"/>
                    <w:left w:val="nil"/>
                    <w:bottom w:val="single" w:color="auto" w:sz="12" w:space="0"/>
                    <w:right w:val="single" w:color="auto" w:sz="4" w:space="0"/>
                  </w:tcBorders>
                  <w:vAlign w:val="center"/>
                </w:tcPr>
                <w:p w14:paraId="73915A33">
                  <w:pPr>
                    <w:keepNext w:val="0"/>
                    <w:keepLines w:val="0"/>
                    <w:suppressLineNumbers w:val="0"/>
                    <w:spacing w:before="0" w:beforeAutospacing="0" w:after="0" w:afterAutospacing="0" w:line="273"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生态环境准入负面清单</w:t>
                  </w:r>
                </w:p>
              </w:tc>
              <w:tc>
                <w:tcPr>
                  <w:tcW w:w="2519" w:type="pct"/>
                  <w:tcBorders>
                    <w:top w:val="single" w:color="auto" w:sz="4" w:space="0"/>
                    <w:left w:val="single" w:color="auto" w:sz="4" w:space="0"/>
                    <w:bottom w:val="single" w:color="auto" w:sz="12" w:space="0"/>
                    <w:right w:val="single" w:color="auto" w:sz="4" w:space="0"/>
                  </w:tcBorders>
                  <w:vAlign w:val="center"/>
                </w:tcPr>
                <w:p w14:paraId="5F31D17C">
                  <w:pPr>
                    <w:keepNext w:val="0"/>
                    <w:keepLines w:val="0"/>
                    <w:suppressLineNumbers w:val="0"/>
                    <w:spacing w:before="0" w:beforeAutospacing="0" w:after="0" w:afterAutospacing="0" w:line="273"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准入负面清单是基于生态保护红线、环境质量底线、资源利用上限，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tc>
              <w:tc>
                <w:tcPr>
                  <w:tcW w:w="2028" w:type="pct"/>
                  <w:tcBorders>
                    <w:top w:val="single" w:color="auto" w:sz="4" w:space="0"/>
                    <w:left w:val="single" w:color="auto" w:sz="4" w:space="0"/>
                    <w:bottom w:val="single" w:color="auto" w:sz="12" w:space="0"/>
                    <w:right w:val="nil"/>
                  </w:tcBorders>
                  <w:vAlign w:val="center"/>
                </w:tcPr>
                <w:p w14:paraId="3B0E47E3">
                  <w:pPr>
                    <w:keepNext w:val="0"/>
                    <w:keepLines w:val="0"/>
                    <w:suppressLineNumbers w:val="0"/>
                    <w:spacing w:before="0" w:beforeAutospacing="0" w:after="0" w:afterAutospacing="0" w:line="273" w:lineRule="auto"/>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w:t>
                  </w:r>
                  <w:r>
                    <w:rPr>
                      <w:rFonts w:hint="eastAsia" w:ascii="Times New Roman" w:hAnsi="Times New Roman" w:cs="Times New Roman"/>
                      <w:color w:val="auto"/>
                      <w:sz w:val="21"/>
                      <w:szCs w:val="21"/>
                      <w:lang w:val="en-US" w:eastAsia="zh-CN"/>
                    </w:rPr>
                    <w:t>主要从事</w:t>
                  </w:r>
                  <w:r>
                    <w:rPr>
                      <w:rFonts w:hint="eastAsia" w:hAnsi="宋体"/>
                      <w:color w:val="auto"/>
                      <w:szCs w:val="21"/>
                      <w:lang w:val="en-US" w:eastAsia="zh-CN"/>
                    </w:rPr>
                    <w:t>塑料制品制造</w:t>
                  </w:r>
                  <w:r>
                    <w:rPr>
                      <w:rFonts w:hint="default" w:ascii="Times New Roman" w:hAnsi="Times New Roman" w:cs="Times New Roman"/>
                      <w:color w:val="auto"/>
                      <w:sz w:val="21"/>
                      <w:szCs w:val="21"/>
                    </w:rPr>
                    <w:t>，根据《产业结构调整指导目录（2024年本）》，本项目不属于其中限制类和淘汰类，视为允许建设类，并已取得项目建设备案文件。因此，该项目符合国家、地方产业政策。</w:t>
                  </w:r>
                </w:p>
              </w:tc>
            </w:tr>
          </w:tbl>
          <w:p w14:paraId="62FBBDB9">
            <w:pPr>
              <w:keepNext w:val="0"/>
              <w:keepLines w:val="0"/>
              <w:widowControl w:val="0"/>
              <w:suppressLineNumbers w:val="0"/>
              <w:autoSpaceDE w:val="0"/>
              <w:autoSpaceDN w:val="0"/>
              <w:adjustRightInd/>
              <w:spacing w:before="0" w:beforeAutospacing="0" w:after="0" w:afterAutospacing="0" w:line="360" w:lineRule="auto"/>
              <w:ind w:left="0" w:right="0" w:firstLine="482" w:firstLineChars="200"/>
              <w:rPr>
                <w:rFonts w:hint="default" w:ascii="Times New Roman" w:hAnsi="Times New Roman" w:eastAsia="宋体" w:cs="Times New Roman"/>
                <w:b/>
                <w:color w:val="auto"/>
                <w:sz w:val="24"/>
                <w:szCs w:val="24"/>
                <w:lang w:val="en-US" w:eastAsia="zh-CN" w:bidi="ar-SA"/>
              </w:rPr>
            </w:pPr>
            <w:r>
              <w:rPr>
                <w:rFonts w:hint="eastAsia" w:cs="Times New Roman"/>
                <w:b/>
                <w:color w:val="auto"/>
                <w:sz w:val="24"/>
                <w:szCs w:val="24"/>
                <w:lang w:val="en-US" w:eastAsia="zh-CN" w:bidi="ar-SA"/>
              </w:rPr>
              <w:t>（2）</w:t>
            </w:r>
            <w:r>
              <w:rPr>
                <w:rFonts w:hint="eastAsia" w:ascii="Times New Roman" w:hAnsi="Times New Roman" w:eastAsia="宋体" w:cs="Times New Roman"/>
                <w:b/>
                <w:color w:val="auto"/>
                <w:sz w:val="24"/>
                <w:szCs w:val="24"/>
                <w:lang w:val="en-US" w:eastAsia="zh-CN" w:bidi="ar-SA"/>
              </w:rPr>
              <w:t>与</w:t>
            </w:r>
            <w:r>
              <w:rPr>
                <w:rFonts w:hint="eastAsia" w:cs="Times New Roman"/>
                <w:b/>
                <w:color w:val="auto"/>
                <w:sz w:val="24"/>
                <w:szCs w:val="24"/>
                <w:lang w:val="en-US" w:eastAsia="zh-CN" w:bidi="ar-SA"/>
              </w:rPr>
              <w:t>安徽省分区防控管控单元符合</w:t>
            </w:r>
            <w:r>
              <w:rPr>
                <w:rFonts w:hint="eastAsia" w:ascii="Times New Roman" w:hAnsi="Times New Roman" w:eastAsia="宋体" w:cs="Times New Roman"/>
                <w:b/>
                <w:color w:val="auto"/>
                <w:sz w:val="24"/>
                <w:szCs w:val="24"/>
                <w:lang w:val="en-US" w:eastAsia="zh-CN" w:bidi="ar-SA"/>
              </w:rPr>
              <w:t>性分析</w:t>
            </w:r>
          </w:p>
          <w:p w14:paraId="3DBCAF28">
            <w:pPr>
              <w:keepNext w:val="0"/>
              <w:keepLines w:val="0"/>
              <w:widowControl w:val="0"/>
              <w:suppressLineNumbers w:val="0"/>
              <w:autoSpaceDE w:val="0"/>
              <w:autoSpaceDN w:val="0"/>
              <w:adjustRightInd/>
              <w:spacing w:before="0" w:beforeAutospacing="0" w:after="0" w:afterAutospacing="0" w:line="360" w:lineRule="auto"/>
              <w:ind w:left="0" w:right="0" w:firstLine="480" w:firstLineChars="200"/>
              <w:rPr>
                <w:rFonts w:hint="default"/>
                <w:color w:val="auto"/>
                <w:vertAlign w:val="baseline"/>
              </w:rPr>
            </w:pPr>
            <w:r>
              <w:rPr>
                <w:rFonts w:hint="eastAsia" w:ascii="Times New Roman" w:hAnsi="Times New Roman" w:eastAsia="宋体" w:cs="Times New Roman"/>
                <w:color w:val="auto"/>
                <w:sz w:val="24"/>
                <w:szCs w:val="24"/>
                <w:lang w:val="en-US" w:eastAsia="zh-CN" w:bidi="ar-SA"/>
              </w:rPr>
              <w:t>根据安徽省“三线一单”公众服务平台套合图（网址：</w:t>
            </w:r>
            <w:r>
              <w:rPr>
                <w:rFonts w:hint="default" w:ascii="Times New Roman" w:hAnsi="Times New Roman" w:eastAsia="宋体" w:cs="Times New Roman"/>
                <w:color w:val="auto"/>
                <w:sz w:val="24"/>
                <w:szCs w:val="24"/>
                <w:lang w:val="en-US" w:eastAsia="zh-CN" w:bidi="ar-SA"/>
              </w:rPr>
              <w:fldChar w:fldCharType="begin"/>
            </w:r>
            <w:r>
              <w:rPr>
                <w:rFonts w:hint="default" w:ascii="Times New Roman" w:hAnsi="Times New Roman" w:eastAsia="宋体" w:cs="Times New Roman"/>
                <w:color w:val="auto"/>
                <w:sz w:val="24"/>
                <w:szCs w:val="24"/>
                <w:lang w:val="en-US" w:eastAsia="zh-CN" w:bidi="ar-SA"/>
              </w:rPr>
              <w:instrText xml:space="preserve"> HYPERLINK "http://39.145.8.156:1509/ah/public/" \l "/home），本项目所在地存在0个优先管控单元、1" </w:instrText>
            </w:r>
            <w:r>
              <w:rPr>
                <w:rFonts w:hint="default" w:ascii="Times New Roman" w:hAnsi="Times New Roman" w:eastAsia="宋体" w:cs="Times New Roman"/>
                <w:color w:val="auto"/>
                <w:sz w:val="24"/>
                <w:szCs w:val="24"/>
                <w:lang w:val="en-US" w:eastAsia="zh-CN" w:bidi="ar-SA"/>
              </w:rPr>
              <w:fldChar w:fldCharType="separate"/>
            </w:r>
            <w:r>
              <w:rPr>
                <w:rStyle w:val="47"/>
                <w:rFonts w:hint="default" w:ascii="Times New Roman" w:hAnsi="Times New Roman" w:eastAsia="宋体" w:cs="Times New Roman"/>
                <w:color w:val="auto"/>
                <w:kern w:val="2"/>
                <w:sz w:val="24"/>
                <w:szCs w:val="24"/>
                <w:lang w:val="en-US" w:eastAsia="zh-CN" w:bidi="ar-SA"/>
              </w:rPr>
              <w:t>http://39.145.8.156:1509/ah/public/#/home</w:t>
            </w:r>
            <w:r>
              <w:rPr>
                <w:rStyle w:val="47"/>
                <w:rFonts w:hint="eastAsia" w:ascii="Times New Roman" w:hAnsi="Times New Roman" w:eastAsia="宋体" w:cs="Times New Roman"/>
                <w:color w:val="auto"/>
                <w:kern w:val="2"/>
                <w:sz w:val="24"/>
                <w:szCs w:val="24"/>
                <w:lang w:val="en-US" w:eastAsia="zh-CN" w:bidi="ar-SA"/>
              </w:rPr>
              <w:t>），本项目所在地存在0个优先管控单元、1</w:t>
            </w:r>
            <w:r>
              <w:rPr>
                <w:rStyle w:val="47"/>
                <w:rFonts w:hint="eastAsia" w:ascii="Times New Roman" w:hAnsi="Times New Roman" w:eastAsia="宋体" w:cs="Times New Roman"/>
                <w:color w:val="auto"/>
                <w:kern w:val="2"/>
                <w:sz w:val="24"/>
                <w:szCs w:val="24"/>
                <w:lang w:val="en-US" w:eastAsia="zh-CN" w:bidi="ar-SA"/>
              </w:rPr>
              <w:fldChar w:fldCharType="end"/>
            </w:r>
            <w:r>
              <w:rPr>
                <w:rFonts w:hint="eastAsia" w:ascii="Times New Roman" w:hAnsi="Times New Roman" w:eastAsia="宋体" w:cs="Times New Roman"/>
                <w:color w:val="auto"/>
                <w:sz w:val="24"/>
                <w:szCs w:val="24"/>
                <w:lang w:val="en-US" w:eastAsia="zh-CN" w:bidi="ar-SA"/>
              </w:rPr>
              <w:t>个重点管控单元、0个一般管控单元，属于重点管控单元（大气重点/水重点），编码为ZH</w:t>
            </w:r>
            <w:r>
              <w:rPr>
                <w:rFonts w:hint="eastAsia" w:cs="Times New Roman"/>
                <w:color w:val="auto"/>
                <w:sz w:val="24"/>
                <w:szCs w:val="24"/>
                <w:lang w:val="en-US" w:eastAsia="zh-CN" w:bidi="ar-SA"/>
              </w:rPr>
              <w:t>34042120010</w:t>
            </w:r>
            <w:r>
              <w:rPr>
                <w:rFonts w:hint="eastAsia" w:ascii="Times New Roman" w:hAnsi="Times New Roman" w:eastAsia="宋体" w:cs="Times New Roman"/>
                <w:color w:val="auto"/>
                <w:sz w:val="24"/>
                <w:szCs w:val="24"/>
                <w:lang w:val="en-US" w:eastAsia="zh-CN" w:bidi="ar-SA"/>
              </w:rPr>
              <w:t>（具体见附图</w:t>
            </w:r>
            <w:r>
              <w:rPr>
                <w:rFonts w:hint="eastAsia" w:cs="Times New Roman"/>
                <w:color w:val="auto"/>
                <w:sz w:val="24"/>
                <w:szCs w:val="24"/>
                <w:lang w:val="en-US" w:eastAsia="zh-CN" w:bidi="ar-SA"/>
              </w:rPr>
              <w:t>7</w:t>
            </w:r>
            <w:r>
              <w:rPr>
                <w:rFonts w:hint="eastAsia" w:ascii="Times New Roman" w:hAnsi="Times New Roman" w:eastAsia="宋体" w:cs="Times New Roman"/>
                <w:color w:val="auto"/>
                <w:sz w:val="24"/>
                <w:szCs w:val="24"/>
                <w:lang w:val="en-US" w:eastAsia="zh-CN" w:bidi="ar-SA"/>
              </w:rPr>
              <w:t>）。本项目与所在环境管控单元空间布局约束、污染物排放管控、环境风险防控、资源开发效率要求、区域总体管控要求协调性分析如下表。</w:t>
            </w:r>
          </w:p>
        </w:tc>
      </w:tr>
    </w:tbl>
    <w:p w14:paraId="64515444">
      <w:pPr>
        <w:rPr>
          <w:color w:val="auto"/>
        </w:rPr>
      </w:pPr>
    </w:p>
    <w:p w14:paraId="059941B7">
      <w:pPr>
        <w:bidi w:val="0"/>
        <w:rPr>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tbl>
      <w:tblPr>
        <w:tblStyle w:val="3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26"/>
        <w:gridCol w:w="13616"/>
      </w:tblGrid>
      <w:tr w14:paraId="51248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6" w:type="dxa"/>
            <w:vAlign w:val="center"/>
          </w:tcPr>
          <w:p w14:paraId="715D1F7A">
            <w:pPr>
              <w:keepNext w:val="0"/>
              <w:keepLines w:val="0"/>
              <w:widowControl/>
              <w:suppressLineNumbers w:val="0"/>
              <w:spacing w:before="0" w:beforeAutospacing="0" w:after="0" w:afterAutospacing="0" w:line="360" w:lineRule="auto"/>
              <w:ind w:left="0" w:right="0"/>
              <w:jc w:val="center"/>
              <w:rPr>
                <w:rFonts w:hint="default" w:ascii="宋体" w:hAnsi="宋体"/>
                <w:bCs/>
                <w:color w:val="auto"/>
                <w:kern w:val="0"/>
                <w:sz w:val="24"/>
                <w:szCs w:val="24"/>
              </w:rPr>
            </w:pPr>
            <w:r>
              <w:rPr>
                <w:rFonts w:hint="eastAsia" w:ascii="宋体" w:hAnsi="宋体"/>
                <w:bCs/>
                <w:color w:val="auto"/>
                <w:kern w:val="0"/>
                <w:sz w:val="24"/>
                <w:szCs w:val="24"/>
              </w:rPr>
              <w:t>其他符合性分析</w:t>
            </w:r>
          </w:p>
        </w:tc>
        <w:tc>
          <w:tcPr>
            <w:tcW w:w="13616" w:type="dxa"/>
          </w:tcPr>
          <w:p w14:paraId="0CE501D1">
            <w:pPr>
              <w:pStyle w:val="223"/>
              <w:keepNext w:val="0"/>
              <w:keepLines w:val="0"/>
              <w:suppressLineNumbers w:val="0"/>
              <w:spacing w:before="0" w:beforeAutospacing="0" w:after="0" w:afterAutospacing="0"/>
              <w:ind w:left="0" w:right="0"/>
              <w:jc w:val="center"/>
              <w:rPr>
                <w:rFonts w:hint="default" w:eastAsia="黑体" w:cs="Times New Roman"/>
                <w:color w:val="auto"/>
              </w:rPr>
            </w:pPr>
            <w:r>
              <w:rPr>
                <w:rFonts w:hint="default" w:hAnsi="黑体" w:eastAsia="黑体" w:cs="Times New Roman"/>
                <w:color w:val="auto"/>
              </w:rPr>
              <w:t>表</w:t>
            </w:r>
            <w:r>
              <w:rPr>
                <w:rFonts w:hint="eastAsia" w:eastAsia="黑体" w:cs="Times New Roman"/>
                <w:color w:val="auto"/>
                <w:lang w:val="en-US" w:eastAsia="zh-CN"/>
              </w:rPr>
              <w:t>1-15</w:t>
            </w:r>
            <w:r>
              <w:rPr>
                <w:rFonts w:hint="default" w:eastAsia="黑体" w:cs="Times New Roman"/>
                <w:color w:val="auto"/>
              </w:rPr>
              <w:t xml:space="preserve"> </w:t>
            </w:r>
            <w:r>
              <w:rPr>
                <w:rFonts w:hint="default" w:hAnsi="黑体" w:eastAsia="黑体" w:cs="Times New Roman"/>
                <w:color w:val="auto"/>
              </w:rPr>
              <w:t>本项目与环境管控单元要求协调性分析</w:t>
            </w:r>
          </w:p>
          <w:tbl>
            <w:tblPr>
              <w:tblStyle w:val="37"/>
              <w:tblW w:w="0" w:type="auto"/>
              <w:jc w:val="center"/>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88"/>
              <w:gridCol w:w="684"/>
              <w:gridCol w:w="779"/>
              <w:gridCol w:w="6558"/>
              <w:gridCol w:w="3826"/>
              <w:gridCol w:w="765"/>
            </w:tblGrid>
            <w:tr w14:paraId="7D65D974">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516FB66">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b/>
                      <w:color w:val="auto"/>
                      <w:szCs w:val="21"/>
                    </w:rPr>
                  </w:pPr>
                  <w:r>
                    <w:rPr>
                      <w:rFonts w:hint="default" w:eastAsiaTheme="majorEastAsia"/>
                      <w:b/>
                      <w:color w:val="auto"/>
                      <w:szCs w:val="21"/>
                    </w:rPr>
                    <w:t>环境管控单元分类</w:t>
                  </w:r>
                </w:p>
              </w:tc>
              <w:tc>
                <w:tcPr>
                  <w:tcW w:w="0" w:type="auto"/>
                  <w:vAlign w:val="center"/>
                </w:tcPr>
                <w:p w14:paraId="02C8A85C">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b/>
                      <w:color w:val="auto"/>
                      <w:szCs w:val="21"/>
                    </w:rPr>
                  </w:pPr>
                  <w:r>
                    <w:rPr>
                      <w:rFonts w:hint="default" w:eastAsiaTheme="majorEastAsia"/>
                      <w:b/>
                      <w:color w:val="auto"/>
                      <w:szCs w:val="21"/>
                    </w:rPr>
                    <w:t>区域名称</w:t>
                  </w:r>
                </w:p>
              </w:tc>
              <w:tc>
                <w:tcPr>
                  <w:tcW w:w="779" w:type="dxa"/>
                  <w:vAlign w:val="center"/>
                </w:tcPr>
                <w:p w14:paraId="213C429C">
                  <w:pPr>
                    <w:keepNext w:val="0"/>
                    <w:keepLines w:val="0"/>
                    <w:suppressLineNumbers w:val="0"/>
                    <w:spacing w:before="0" w:beforeAutospacing="0" w:after="0" w:afterAutospacing="0" w:line="276" w:lineRule="auto"/>
                    <w:ind w:left="0" w:right="0"/>
                    <w:jc w:val="center"/>
                    <w:rPr>
                      <w:rFonts w:hint="default" w:eastAsiaTheme="majorEastAsia"/>
                      <w:b/>
                      <w:color w:val="auto"/>
                      <w:szCs w:val="21"/>
                    </w:rPr>
                  </w:pPr>
                  <w:r>
                    <w:rPr>
                      <w:rFonts w:hint="default" w:eastAsiaTheme="majorEastAsia"/>
                      <w:b/>
                      <w:color w:val="auto"/>
                      <w:szCs w:val="21"/>
                    </w:rPr>
                    <w:t>管控</w:t>
                  </w:r>
                </w:p>
                <w:p w14:paraId="5906A565">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b/>
                      <w:color w:val="auto"/>
                      <w:szCs w:val="21"/>
                    </w:rPr>
                  </w:pPr>
                  <w:r>
                    <w:rPr>
                      <w:rFonts w:hint="default" w:eastAsiaTheme="majorEastAsia"/>
                      <w:b/>
                      <w:color w:val="auto"/>
                      <w:szCs w:val="21"/>
                    </w:rPr>
                    <w:t>类别</w:t>
                  </w:r>
                </w:p>
              </w:tc>
              <w:tc>
                <w:tcPr>
                  <w:tcW w:w="6558" w:type="dxa"/>
                  <w:vAlign w:val="center"/>
                </w:tcPr>
                <w:p w14:paraId="337725E0">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b/>
                      <w:color w:val="auto"/>
                      <w:szCs w:val="21"/>
                    </w:rPr>
                  </w:pPr>
                  <w:r>
                    <w:rPr>
                      <w:rFonts w:hint="default" w:eastAsiaTheme="majorEastAsia"/>
                      <w:b/>
                      <w:color w:val="auto"/>
                      <w:szCs w:val="21"/>
                    </w:rPr>
                    <w:t>管控要求</w:t>
                  </w:r>
                </w:p>
              </w:tc>
              <w:tc>
                <w:tcPr>
                  <w:tcW w:w="3826" w:type="dxa"/>
                  <w:vAlign w:val="center"/>
                </w:tcPr>
                <w:p w14:paraId="1449FCA5">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b/>
                      <w:color w:val="auto"/>
                      <w:szCs w:val="21"/>
                    </w:rPr>
                  </w:pPr>
                  <w:r>
                    <w:rPr>
                      <w:rFonts w:hint="default" w:eastAsiaTheme="majorEastAsia"/>
                      <w:b/>
                      <w:color w:val="auto"/>
                      <w:szCs w:val="21"/>
                    </w:rPr>
                    <w:t>协调性分析</w:t>
                  </w:r>
                </w:p>
              </w:tc>
              <w:tc>
                <w:tcPr>
                  <w:tcW w:w="765" w:type="dxa"/>
                  <w:vAlign w:val="center"/>
                </w:tcPr>
                <w:p w14:paraId="02EA6D72">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b/>
                      <w:color w:val="auto"/>
                      <w:szCs w:val="21"/>
                    </w:rPr>
                  </w:pPr>
                  <w:r>
                    <w:rPr>
                      <w:rFonts w:hint="default" w:eastAsiaTheme="majorEastAsia"/>
                      <w:b/>
                      <w:color w:val="auto"/>
                      <w:szCs w:val="21"/>
                    </w:rPr>
                    <w:t>符合性分析</w:t>
                  </w:r>
                </w:p>
              </w:tc>
            </w:tr>
            <w:tr w14:paraId="16947A3E">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65" w:hRule="atLeast"/>
                <w:jc w:val="center"/>
              </w:trPr>
              <w:tc>
                <w:tcPr>
                  <w:tcW w:w="0" w:type="auto"/>
                  <w:vMerge w:val="restart"/>
                  <w:vAlign w:val="center"/>
                </w:tcPr>
                <w:p w14:paraId="4CDFA52D">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color w:val="auto"/>
                      <w:szCs w:val="21"/>
                    </w:rPr>
                  </w:pPr>
                  <w:r>
                    <w:rPr>
                      <w:rFonts w:hint="default" w:eastAsiaTheme="majorEastAsia"/>
                      <w:color w:val="auto"/>
                      <w:szCs w:val="21"/>
                    </w:rPr>
                    <w:t>重点管控单元</w:t>
                  </w:r>
                </w:p>
              </w:tc>
              <w:tc>
                <w:tcPr>
                  <w:tcW w:w="0" w:type="auto"/>
                  <w:vMerge w:val="restart"/>
                  <w:vAlign w:val="center"/>
                </w:tcPr>
                <w:p w14:paraId="4EB0EF24">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color w:val="auto"/>
                      <w:szCs w:val="21"/>
                    </w:rPr>
                  </w:pPr>
                  <w:r>
                    <w:rPr>
                      <w:rFonts w:hint="default" w:eastAsiaTheme="majorEastAsia"/>
                      <w:color w:val="auto"/>
                      <w:szCs w:val="21"/>
                    </w:rPr>
                    <w:t>重点管控单元</w:t>
                  </w:r>
                </w:p>
                <w:p w14:paraId="41A86BCF">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color w:val="auto"/>
                      <w:szCs w:val="21"/>
                      <w:lang w:val="en-US" w:eastAsia="zh-CN"/>
                    </w:rPr>
                  </w:pPr>
                  <w:r>
                    <w:rPr>
                      <w:rFonts w:hint="eastAsia" w:eastAsiaTheme="majorEastAsia"/>
                      <w:color w:val="auto"/>
                      <w:szCs w:val="21"/>
                      <w:lang w:val="en-US" w:eastAsia="zh-CN"/>
                    </w:rPr>
                    <w:t>20</w:t>
                  </w:r>
                </w:p>
              </w:tc>
              <w:tc>
                <w:tcPr>
                  <w:tcW w:w="779" w:type="dxa"/>
                  <w:vMerge w:val="restart"/>
                  <w:vAlign w:val="center"/>
                </w:tcPr>
                <w:p w14:paraId="42074E70">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color w:val="auto"/>
                      <w:szCs w:val="21"/>
                    </w:rPr>
                  </w:pPr>
                  <w:r>
                    <w:rPr>
                      <w:rFonts w:hint="eastAsia" w:eastAsiaTheme="majorEastAsia"/>
                      <w:color w:val="auto"/>
                      <w:szCs w:val="21"/>
                    </w:rPr>
                    <w:t>空间布局</w:t>
                  </w:r>
                  <w:r>
                    <w:rPr>
                      <w:rFonts w:hint="default" w:eastAsiaTheme="majorEastAsia"/>
                      <w:color w:val="auto"/>
                      <w:szCs w:val="21"/>
                    </w:rPr>
                    <w:t>约束</w:t>
                  </w:r>
                </w:p>
              </w:tc>
              <w:tc>
                <w:tcPr>
                  <w:tcW w:w="6558" w:type="dxa"/>
                  <w:shd w:val="clear" w:color="auto" w:fill="auto"/>
                  <w:vAlign w:val="center"/>
                </w:tcPr>
                <w:p w14:paraId="67294B10">
                  <w:pPr>
                    <w:keepNext w:val="0"/>
                    <w:keepLines w:val="0"/>
                    <w:suppressLineNumbers w:val="0"/>
                    <w:autoSpaceDE w:val="0"/>
                    <w:autoSpaceDN w:val="0"/>
                    <w:spacing w:before="0" w:beforeAutospacing="0" w:after="0" w:afterAutospacing="0" w:line="276" w:lineRule="auto"/>
                    <w:ind w:left="0" w:right="0"/>
                    <w:jc w:val="center"/>
                    <w:rPr>
                      <w:rFonts w:hint="default" w:ascii="Times New Roman" w:hAnsi="Times New Roman" w:eastAsia="宋体" w:cs="Times New Roman"/>
                      <w:color w:val="auto"/>
                      <w:kern w:val="2"/>
                      <w:sz w:val="21"/>
                      <w:szCs w:val="21"/>
                      <w:shd w:val="clear" w:color="auto" w:fill="FFFFFF"/>
                      <w:lang w:val="en-US" w:eastAsia="zh-CN" w:bidi="ar-SA"/>
                    </w:rPr>
                  </w:pPr>
                  <w:r>
                    <w:rPr>
                      <w:rFonts w:hint="default"/>
                      <w:color w:val="auto"/>
                      <w:szCs w:val="21"/>
                      <w:shd w:val="clear" w:color="auto" w:fill="FFFFFF"/>
                    </w:rPr>
                    <w:t>1.</w:t>
                  </w:r>
                  <w:r>
                    <w:rPr>
                      <w:rFonts w:hint="default" w:hAnsi="宋体"/>
                      <w:color w:val="auto"/>
                      <w:szCs w:val="21"/>
                      <w:shd w:val="clear" w:color="auto" w:fill="FFFFFF"/>
                    </w:rPr>
                    <w:t>在城市城区及其近郊禁止新建、扩建钢铁、有色、石化、水泥、化工等重污染企业。</w:t>
                  </w:r>
                  <w:r>
                    <w:rPr>
                      <w:rFonts w:hint="default"/>
                      <w:color w:val="auto"/>
                      <w:szCs w:val="21"/>
                      <w:shd w:val="clear" w:color="auto" w:fill="FFFFFF"/>
                    </w:rPr>
                    <w:t>2.</w:t>
                  </w:r>
                  <w:r>
                    <w:rPr>
                      <w:rFonts w:hint="default" w:hAnsi="宋体"/>
                      <w:color w:val="auto"/>
                      <w:szCs w:val="21"/>
                      <w:shd w:val="clear" w:color="auto" w:fill="FFFFFF"/>
                    </w:rPr>
                    <w:t>禁止新建燃料类煤气发生炉（园区现有企业统一建设的清洁煤制气中心除外）。</w:t>
                  </w:r>
                  <w:r>
                    <w:rPr>
                      <w:rFonts w:hint="default"/>
                      <w:color w:val="auto"/>
                      <w:szCs w:val="21"/>
                      <w:shd w:val="clear" w:color="auto" w:fill="FFFFFF"/>
                    </w:rPr>
                    <w:t>3.</w:t>
                  </w:r>
                  <w:r>
                    <w:rPr>
                      <w:rFonts w:hint="default" w:hAnsi="宋体"/>
                      <w:color w:val="auto"/>
                      <w:szCs w:val="21"/>
                      <w:shd w:val="clear" w:color="auto" w:fill="FFFFFF"/>
                    </w:rPr>
                    <w:t>严禁新增钢铁、焦化、电解铝、铸造、水泥和平板玻璃等产能；严格执行钢铁、水泥、平板玻璃等行业产能置换实施办法。</w:t>
                  </w:r>
                  <w:r>
                    <w:rPr>
                      <w:rFonts w:hint="default"/>
                      <w:color w:val="auto"/>
                      <w:szCs w:val="21"/>
                      <w:shd w:val="clear" w:color="auto" w:fill="FFFFFF"/>
                    </w:rPr>
                    <w:t>4.</w:t>
                  </w:r>
                  <w:r>
                    <w:rPr>
                      <w:rFonts w:hint="default" w:hAnsi="宋体"/>
                      <w:color w:val="auto"/>
                      <w:szCs w:val="21"/>
                      <w:shd w:val="clear" w:color="auto" w:fill="FFFFFF"/>
                    </w:rPr>
                    <w:t>严格执行国家关于</w:t>
                  </w:r>
                  <w:r>
                    <w:rPr>
                      <w:rFonts w:hint="default"/>
                      <w:color w:val="auto"/>
                      <w:szCs w:val="21"/>
                      <w:shd w:val="clear" w:color="auto" w:fill="FFFFFF"/>
                    </w:rPr>
                    <w:t>“</w:t>
                  </w:r>
                  <w:r>
                    <w:rPr>
                      <w:rFonts w:hint="default" w:hAnsi="宋体"/>
                      <w:color w:val="auto"/>
                      <w:szCs w:val="21"/>
                      <w:shd w:val="clear" w:color="auto" w:fill="FFFFFF"/>
                    </w:rPr>
                    <w:t>两高</w:t>
                  </w:r>
                  <w:r>
                    <w:rPr>
                      <w:rFonts w:hint="default"/>
                      <w:color w:val="auto"/>
                      <w:szCs w:val="21"/>
                      <w:shd w:val="clear" w:color="auto" w:fill="FFFFFF"/>
                    </w:rPr>
                    <w:t>”</w:t>
                  </w:r>
                  <w:r>
                    <w:rPr>
                      <w:rFonts w:hint="default" w:hAnsi="宋体"/>
                      <w:color w:val="auto"/>
                      <w:szCs w:val="21"/>
                      <w:shd w:val="clear" w:color="auto" w:fill="FFFFFF"/>
                    </w:rPr>
                    <w:t>产业准入目录和产能总量控制政策措施。严禁新增钢铁、焦化、电解铝、铸造、水泥和平板玻璃等产能；新、改、扩建涉及大宗物料运输的建设项目，原则上不得采用公路运输。</w:t>
                  </w:r>
                  <w:r>
                    <w:rPr>
                      <w:rFonts w:hint="eastAsia" w:hAnsi="宋体"/>
                      <w:color w:val="auto"/>
                      <w:szCs w:val="21"/>
                      <w:shd w:val="clear" w:color="auto" w:fill="FFFFFF"/>
                      <w:lang w:val="en-US" w:eastAsia="zh-CN"/>
                    </w:rPr>
                    <w:t>10.</w:t>
                  </w:r>
                  <w:r>
                    <w:rPr>
                      <w:rFonts w:hint="default" w:hAnsi="宋体"/>
                      <w:color w:val="auto"/>
                      <w:szCs w:val="21"/>
                      <w:shd w:val="clear" w:color="auto" w:fill="FFFFFF"/>
                    </w:rPr>
                    <w:t>禁止建设生产和使用高挥发性有机物含量涂料、油墨、胶粘剂、清洗剂等项目。11</w:t>
                  </w:r>
                  <w:r>
                    <w:rPr>
                      <w:rFonts w:hint="eastAsia" w:hAnsi="宋体"/>
                      <w:color w:val="auto"/>
                      <w:szCs w:val="21"/>
                      <w:shd w:val="clear" w:color="auto" w:fill="FFFFFF"/>
                      <w:lang w:val="en-US" w:eastAsia="zh-CN"/>
                    </w:rPr>
                    <w:t>.</w:t>
                  </w:r>
                  <w:r>
                    <w:rPr>
                      <w:rFonts w:hint="default" w:hAnsi="宋体"/>
                      <w:color w:val="auto"/>
                      <w:szCs w:val="21"/>
                      <w:shd w:val="clear" w:color="auto" w:fill="FFFFFF"/>
                    </w:rPr>
                    <w:t>禁止新建不符合国家规定的燃煤发电机组、燃油发电机组和燃煤热电机组。12</w:t>
                  </w:r>
                  <w:r>
                    <w:rPr>
                      <w:rFonts w:hint="eastAsia" w:hAnsi="宋体"/>
                      <w:color w:val="auto"/>
                      <w:szCs w:val="21"/>
                      <w:shd w:val="clear" w:color="auto" w:fill="FFFFFF"/>
                      <w:lang w:val="en-US" w:eastAsia="zh-CN"/>
                    </w:rPr>
                    <w:t>.</w:t>
                  </w:r>
                  <w:r>
                    <w:rPr>
                      <w:rFonts w:hint="default" w:hAnsi="宋体"/>
                      <w:color w:val="auto"/>
                      <w:szCs w:val="21"/>
                      <w:shd w:val="clear" w:color="auto" w:fill="FFFFFF"/>
                    </w:rPr>
                    <w:t>禁止新建、扩建分散燃煤供热锅炉。</w:t>
                  </w:r>
                </w:p>
              </w:tc>
              <w:tc>
                <w:tcPr>
                  <w:tcW w:w="3826" w:type="dxa"/>
                  <w:shd w:val="clear" w:color="auto" w:fill="auto"/>
                  <w:vAlign w:val="center"/>
                </w:tcPr>
                <w:p w14:paraId="256528AD">
                  <w:pPr>
                    <w:keepNext w:val="0"/>
                    <w:keepLines w:val="0"/>
                    <w:suppressLineNumbers w:val="0"/>
                    <w:autoSpaceDE w:val="0"/>
                    <w:autoSpaceDN w:val="0"/>
                    <w:spacing w:before="0" w:beforeAutospacing="0" w:after="0" w:afterAutospacing="0" w:line="276" w:lineRule="auto"/>
                    <w:ind w:left="0" w:right="0"/>
                    <w:jc w:val="center"/>
                    <w:rPr>
                      <w:rFonts w:hint="default" w:ascii="Times New Roman" w:hAnsi="Times New Roman" w:eastAsia="宋体" w:cs="Times New Roman"/>
                      <w:color w:val="auto"/>
                      <w:kern w:val="2"/>
                      <w:sz w:val="21"/>
                      <w:szCs w:val="21"/>
                      <w:lang w:val="en-US" w:eastAsia="zh-CN" w:bidi="ar-SA"/>
                    </w:rPr>
                  </w:pPr>
                  <w:r>
                    <w:rPr>
                      <w:rFonts w:hint="default" w:hAnsi="宋体"/>
                      <w:color w:val="auto"/>
                      <w:szCs w:val="21"/>
                    </w:rPr>
                    <w:t>本项目不属于</w:t>
                  </w:r>
                  <w:r>
                    <w:rPr>
                      <w:rFonts w:hint="default" w:hAnsi="宋体"/>
                      <w:color w:val="auto"/>
                      <w:szCs w:val="21"/>
                      <w:shd w:val="clear" w:color="auto" w:fill="FFFFFF"/>
                    </w:rPr>
                    <w:t>新建、扩建钢铁、有色、石化、水泥、化工等重污染企业</w:t>
                  </w:r>
                  <w:r>
                    <w:rPr>
                      <w:rFonts w:hint="eastAsia" w:hAnsi="宋体"/>
                      <w:color w:val="auto"/>
                      <w:szCs w:val="21"/>
                      <w:shd w:val="clear" w:color="auto" w:fill="FFFFFF"/>
                      <w:lang w:eastAsia="zh-CN"/>
                    </w:rPr>
                    <w:t>，</w:t>
                  </w:r>
                  <w:r>
                    <w:rPr>
                      <w:rFonts w:hint="default" w:hAnsi="宋体"/>
                      <w:color w:val="auto"/>
                      <w:szCs w:val="21"/>
                    </w:rPr>
                    <w:t>不属于两高项目</w:t>
                  </w:r>
                  <w:r>
                    <w:rPr>
                      <w:rFonts w:hint="eastAsia" w:hAnsi="宋体"/>
                      <w:color w:val="auto"/>
                      <w:szCs w:val="21"/>
                      <w:lang w:eastAsia="zh-CN"/>
                    </w:rPr>
                    <w:t>；</w:t>
                  </w:r>
                  <w:r>
                    <w:rPr>
                      <w:rFonts w:hint="default" w:hAnsi="宋体"/>
                      <w:color w:val="auto"/>
                      <w:szCs w:val="21"/>
                    </w:rPr>
                    <w:t>本项目符合相关产业政策、产业规划、</w:t>
                  </w:r>
                  <w:r>
                    <w:rPr>
                      <w:rFonts w:hint="eastAsia" w:hAnsi="宋体"/>
                      <w:color w:val="auto"/>
                      <w:szCs w:val="21"/>
                      <w:lang w:eastAsia="zh-CN"/>
                    </w:rPr>
                    <w:t>“</w:t>
                  </w:r>
                  <w:r>
                    <w:rPr>
                      <w:rFonts w:hint="default" w:hAnsi="宋体"/>
                      <w:color w:val="auto"/>
                      <w:szCs w:val="21"/>
                    </w:rPr>
                    <w:t>三线一单</w:t>
                  </w:r>
                  <w:r>
                    <w:rPr>
                      <w:rFonts w:hint="eastAsia" w:hAnsi="宋体"/>
                      <w:color w:val="auto"/>
                      <w:szCs w:val="21"/>
                      <w:lang w:eastAsia="zh-CN"/>
                    </w:rPr>
                    <w:t>”</w:t>
                  </w:r>
                  <w:r>
                    <w:rPr>
                      <w:rFonts w:hint="default" w:hAnsi="宋体"/>
                      <w:color w:val="auto"/>
                      <w:szCs w:val="21"/>
                    </w:rPr>
                    <w:t>、规划、</w:t>
                  </w:r>
                  <w:r>
                    <w:rPr>
                      <w:rFonts w:hint="eastAsia" w:hAnsi="宋体"/>
                      <w:color w:val="auto"/>
                      <w:szCs w:val="21"/>
                      <w:lang w:val="en-US" w:eastAsia="zh-CN"/>
                    </w:rPr>
                    <w:t>生态环境</w:t>
                  </w:r>
                  <w:r>
                    <w:rPr>
                      <w:rFonts w:hint="default" w:hAnsi="宋体"/>
                      <w:color w:val="auto"/>
                      <w:szCs w:val="21"/>
                    </w:rPr>
                    <w:t>分区管控等要求；本项目不属于落后产能项目；本项目不使用高挥发性有机物含量涂料、油墨、胶粘剂、清洗剂等</w:t>
                  </w:r>
                  <w:r>
                    <w:rPr>
                      <w:rFonts w:hint="eastAsia" w:hAnsi="宋体"/>
                      <w:color w:val="auto"/>
                      <w:szCs w:val="21"/>
                      <w:lang w:eastAsia="zh-CN"/>
                    </w:rPr>
                    <w:t>；</w:t>
                  </w:r>
                  <w:r>
                    <w:rPr>
                      <w:rFonts w:hint="eastAsia" w:hAnsi="宋体"/>
                      <w:color w:val="auto"/>
                      <w:szCs w:val="21"/>
                      <w:lang w:val="en-US" w:eastAsia="zh-CN"/>
                    </w:rPr>
                    <w:t>本项目不涉及使用不符合国家规定的燃煤</w:t>
                  </w:r>
                  <w:r>
                    <w:rPr>
                      <w:rFonts w:hint="default" w:hAnsi="宋体"/>
                      <w:color w:val="auto"/>
                      <w:szCs w:val="21"/>
                      <w:shd w:val="clear" w:color="auto" w:fill="FFFFFF"/>
                    </w:rPr>
                    <w:t>发电机组、燃油发电机组和燃煤热电机组</w:t>
                  </w:r>
                  <w:r>
                    <w:rPr>
                      <w:rFonts w:hint="eastAsia" w:hAnsi="宋体"/>
                      <w:color w:val="auto"/>
                      <w:szCs w:val="21"/>
                      <w:shd w:val="clear" w:color="auto" w:fill="FFFFFF"/>
                      <w:lang w:eastAsia="zh-CN"/>
                    </w:rPr>
                    <w:t>，</w:t>
                  </w:r>
                  <w:r>
                    <w:rPr>
                      <w:rFonts w:hint="eastAsia" w:hAnsi="宋体"/>
                      <w:color w:val="auto"/>
                      <w:szCs w:val="21"/>
                      <w:shd w:val="clear" w:color="auto" w:fill="FFFFFF"/>
                      <w:lang w:val="en-US" w:eastAsia="zh-CN"/>
                    </w:rPr>
                    <w:t>不涉及新建、扩建分散燃煤供热锅炉。</w:t>
                  </w:r>
                </w:p>
              </w:tc>
              <w:tc>
                <w:tcPr>
                  <w:tcW w:w="765" w:type="dxa"/>
                  <w:shd w:val="clear" w:color="auto" w:fill="auto"/>
                  <w:vAlign w:val="center"/>
                </w:tcPr>
                <w:p w14:paraId="531AD14E">
                  <w:pPr>
                    <w:keepNext w:val="0"/>
                    <w:keepLines w:val="0"/>
                    <w:suppressLineNumbers w:val="0"/>
                    <w:autoSpaceDE w:val="0"/>
                    <w:autoSpaceDN w:val="0"/>
                    <w:spacing w:before="0" w:beforeAutospacing="0" w:after="0" w:afterAutospacing="0" w:line="276" w:lineRule="auto"/>
                    <w:ind w:left="0" w:right="0"/>
                    <w:jc w:val="center"/>
                    <w:rPr>
                      <w:rFonts w:hint="default" w:ascii="Times New Roman" w:hAnsi="Times New Roman" w:cs="Times New Roman" w:eastAsiaTheme="majorEastAsia"/>
                      <w:color w:val="auto"/>
                      <w:kern w:val="2"/>
                      <w:sz w:val="21"/>
                      <w:szCs w:val="21"/>
                      <w:lang w:val="en-US" w:eastAsia="zh-CN" w:bidi="ar-SA"/>
                    </w:rPr>
                  </w:pPr>
                  <w:r>
                    <w:rPr>
                      <w:rFonts w:hint="default" w:eastAsiaTheme="majorEastAsia"/>
                      <w:color w:val="auto"/>
                      <w:szCs w:val="21"/>
                    </w:rPr>
                    <w:t>符合</w:t>
                  </w:r>
                </w:p>
              </w:tc>
            </w:tr>
            <w:tr w14:paraId="4CF8F5BF">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65" w:hRule="atLeast"/>
                <w:jc w:val="center"/>
              </w:trPr>
              <w:tc>
                <w:tcPr>
                  <w:tcW w:w="0" w:type="auto"/>
                  <w:vMerge w:val="continue"/>
                  <w:vAlign w:val="center"/>
                </w:tcPr>
                <w:p w14:paraId="0522C4E1">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color w:val="auto"/>
                      <w:szCs w:val="21"/>
                    </w:rPr>
                  </w:pPr>
                </w:p>
              </w:tc>
              <w:tc>
                <w:tcPr>
                  <w:tcW w:w="0" w:type="auto"/>
                  <w:vMerge w:val="continue"/>
                  <w:vAlign w:val="center"/>
                </w:tcPr>
                <w:p w14:paraId="1DDC5DB3">
                  <w:pPr>
                    <w:keepNext w:val="0"/>
                    <w:keepLines w:val="0"/>
                    <w:suppressLineNumbers w:val="0"/>
                    <w:autoSpaceDE w:val="0"/>
                    <w:autoSpaceDN w:val="0"/>
                    <w:spacing w:before="0" w:beforeAutospacing="0" w:after="0" w:afterAutospacing="0" w:line="276" w:lineRule="auto"/>
                    <w:ind w:left="0" w:right="0"/>
                    <w:jc w:val="center"/>
                    <w:rPr>
                      <w:rFonts w:hint="eastAsia" w:eastAsiaTheme="majorEastAsia"/>
                      <w:color w:val="auto"/>
                      <w:szCs w:val="21"/>
                    </w:rPr>
                  </w:pPr>
                </w:p>
              </w:tc>
              <w:tc>
                <w:tcPr>
                  <w:tcW w:w="779" w:type="dxa"/>
                  <w:vMerge w:val="continue"/>
                  <w:vAlign w:val="center"/>
                </w:tcPr>
                <w:p w14:paraId="7607E289">
                  <w:pPr>
                    <w:keepNext w:val="0"/>
                    <w:keepLines w:val="0"/>
                    <w:suppressLineNumbers w:val="0"/>
                    <w:autoSpaceDE w:val="0"/>
                    <w:autoSpaceDN w:val="0"/>
                    <w:spacing w:before="0" w:beforeAutospacing="0" w:after="0" w:afterAutospacing="0" w:line="276" w:lineRule="auto"/>
                    <w:ind w:left="0" w:right="0"/>
                    <w:jc w:val="center"/>
                    <w:rPr>
                      <w:rFonts w:hint="eastAsia" w:eastAsiaTheme="majorEastAsia"/>
                      <w:color w:val="auto"/>
                      <w:szCs w:val="21"/>
                    </w:rPr>
                  </w:pPr>
                </w:p>
              </w:tc>
              <w:tc>
                <w:tcPr>
                  <w:tcW w:w="6558" w:type="dxa"/>
                  <w:shd w:val="clear" w:color="auto" w:fill="auto"/>
                  <w:vAlign w:val="center"/>
                </w:tcPr>
                <w:p w14:paraId="07389322">
                  <w:pPr>
                    <w:keepNext w:val="0"/>
                    <w:keepLines w:val="0"/>
                    <w:suppressLineNumbers w:val="0"/>
                    <w:autoSpaceDE w:val="0"/>
                    <w:autoSpaceDN w:val="0"/>
                    <w:spacing w:before="0" w:beforeAutospacing="0" w:after="0" w:afterAutospacing="0" w:line="276" w:lineRule="auto"/>
                    <w:ind w:left="0" w:right="0"/>
                    <w:jc w:val="center"/>
                    <w:rPr>
                      <w:rFonts w:hint="default" w:eastAsia="宋体"/>
                      <w:color w:val="auto"/>
                      <w:lang w:val="en-US" w:eastAsia="zh-CN"/>
                    </w:rPr>
                  </w:pPr>
                  <w:r>
                    <w:rPr>
                      <w:rFonts w:hint="eastAsia"/>
                      <w:color w:val="auto"/>
                      <w:lang w:val="en-US" w:eastAsia="zh-CN"/>
                    </w:rPr>
                    <w:t>15.</w:t>
                  </w:r>
                  <w:r>
                    <w:rPr>
                      <w:rFonts w:hint="eastAsia"/>
                      <w:color w:val="auto"/>
                    </w:rPr>
                    <w:t>禁止建设生产和使用VOCs含量限值不符合国家标准的涂料、油墨、胶黏剂、清洗剂等项目</w:t>
                  </w:r>
                  <w:r>
                    <w:rPr>
                      <w:rFonts w:hint="eastAsia"/>
                      <w:color w:val="auto"/>
                      <w:lang w:eastAsia="zh-CN"/>
                    </w:rPr>
                    <w:t>；</w:t>
                  </w:r>
                  <w:r>
                    <w:rPr>
                      <w:rFonts w:hint="eastAsia"/>
                      <w:color w:val="auto"/>
                    </w:rPr>
                    <w:t>16</w:t>
                  </w:r>
                  <w:r>
                    <w:rPr>
                      <w:rFonts w:hint="eastAsia"/>
                      <w:color w:val="auto"/>
                      <w:lang w:val="en-US" w:eastAsia="zh-CN"/>
                    </w:rPr>
                    <w:t>.</w:t>
                  </w:r>
                  <w:r>
                    <w:rPr>
                      <w:rFonts w:hint="eastAsia"/>
                      <w:color w:val="auto"/>
                    </w:rPr>
                    <w:t>严格城市规划蓝线管理，城市规划区范围内应保留一定比例的水域面积。新建项目一律不得违规占用水域。</w:t>
                  </w:r>
                  <w:r>
                    <w:rPr>
                      <w:rFonts w:hint="eastAsia"/>
                      <w:color w:val="auto"/>
                      <w:lang w:val="en-US" w:eastAsia="zh-CN"/>
                    </w:rPr>
                    <w:t>17.禁止新建焦化、有色金属、制革、农药等行业企业。</w:t>
                  </w:r>
                </w:p>
              </w:tc>
              <w:tc>
                <w:tcPr>
                  <w:tcW w:w="3826" w:type="dxa"/>
                  <w:shd w:val="clear" w:color="auto" w:fill="auto"/>
                  <w:vAlign w:val="center"/>
                </w:tcPr>
                <w:p w14:paraId="594CD0B6">
                  <w:pPr>
                    <w:keepNext w:val="0"/>
                    <w:keepLines w:val="0"/>
                    <w:suppressLineNumbers w:val="0"/>
                    <w:autoSpaceDE w:val="0"/>
                    <w:autoSpaceDN w:val="0"/>
                    <w:spacing w:before="0" w:beforeAutospacing="0" w:after="0" w:afterAutospacing="0" w:line="276" w:lineRule="auto"/>
                    <w:ind w:left="0" w:right="0"/>
                    <w:jc w:val="center"/>
                    <w:rPr>
                      <w:rFonts w:hint="default" w:hAnsi="宋体"/>
                      <w:color w:val="auto"/>
                      <w:szCs w:val="21"/>
                      <w:lang w:val="en-US" w:eastAsia="zh-CN"/>
                    </w:rPr>
                  </w:pPr>
                  <w:r>
                    <w:rPr>
                      <w:rFonts w:hint="eastAsia" w:hAnsi="宋体"/>
                      <w:color w:val="auto"/>
                      <w:szCs w:val="21"/>
                      <w:lang w:val="en-US" w:eastAsia="zh-CN"/>
                    </w:rPr>
                    <w:t>15.本项目不涉及生产和使用涉VOCs的涂料、油墨、胶黏剂、清洗剂等。</w:t>
                  </w:r>
                  <w:r>
                    <w:rPr>
                      <w:rFonts w:hint="eastAsia"/>
                      <w:color w:val="auto"/>
                      <w:szCs w:val="21"/>
                      <w:lang w:val="en-US" w:eastAsia="zh-CN"/>
                    </w:rPr>
                    <w:t>16.本项目位于规划工业用地范围，不占用水域。17.本项目主要从事塑料制品制造，不属于新建焦化、有色金属、制革、农药等行业。</w:t>
                  </w:r>
                </w:p>
              </w:tc>
              <w:tc>
                <w:tcPr>
                  <w:tcW w:w="765" w:type="dxa"/>
                  <w:shd w:val="clear" w:color="auto" w:fill="auto"/>
                  <w:vAlign w:val="center"/>
                </w:tcPr>
                <w:p w14:paraId="186AF282">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color w:val="auto"/>
                      <w:szCs w:val="21"/>
                      <w:lang w:val="en-US" w:eastAsia="zh-CN"/>
                    </w:rPr>
                  </w:pPr>
                  <w:r>
                    <w:rPr>
                      <w:rFonts w:hint="eastAsia" w:eastAsiaTheme="majorEastAsia"/>
                      <w:color w:val="auto"/>
                      <w:szCs w:val="21"/>
                      <w:lang w:val="en-US" w:eastAsia="zh-CN"/>
                    </w:rPr>
                    <w:t>符合</w:t>
                  </w:r>
                </w:p>
              </w:tc>
            </w:tr>
            <w:tr w14:paraId="490B7F74">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65" w:hRule="atLeast"/>
                <w:jc w:val="center"/>
              </w:trPr>
              <w:tc>
                <w:tcPr>
                  <w:tcW w:w="0" w:type="auto"/>
                  <w:vMerge w:val="continue"/>
                  <w:vAlign w:val="center"/>
                </w:tcPr>
                <w:p w14:paraId="53ABCD4E">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color w:val="auto"/>
                      <w:szCs w:val="21"/>
                    </w:rPr>
                  </w:pPr>
                </w:p>
              </w:tc>
              <w:tc>
                <w:tcPr>
                  <w:tcW w:w="0" w:type="auto"/>
                  <w:vMerge w:val="continue"/>
                  <w:vAlign w:val="center"/>
                </w:tcPr>
                <w:p w14:paraId="066161B3">
                  <w:pPr>
                    <w:keepNext w:val="0"/>
                    <w:keepLines w:val="0"/>
                    <w:suppressLineNumbers w:val="0"/>
                    <w:autoSpaceDE w:val="0"/>
                    <w:autoSpaceDN w:val="0"/>
                    <w:spacing w:before="0" w:beforeAutospacing="0" w:after="0" w:afterAutospacing="0" w:line="276" w:lineRule="auto"/>
                    <w:ind w:left="0" w:right="0"/>
                    <w:jc w:val="center"/>
                    <w:rPr>
                      <w:rFonts w:hint="eastAsia" w:eastAsiaTheme="majorEastAsia"/>
                      <w:color w:val="auto"/>
                      <w:szCs w:val="21"/>
                    </w:rPr>
                  </w:pPr>
                </w:p>
              </w:tc>
              <w:tc>
                <w:tcPr>
                  <w:tcW w:w="779" w:type="dxa"/>
                  <w:vMerge w:val="continue"/>
                  <w:vAlign w:val="center"/>
                </w:tcPr>
                <w:p w14:paraId="23B47A33">
                  <w:pPr>
                    <w:keepNext w:val="0"/>
                    <w:keepLines w:val="0"/>
                    <w:suppressLineNumbers w:val="0"/>
                    <w:autoSpaceDE w:val="0"/>
                    <w:autoSpaceDN w:val="0"/>
                    <w:spacing w:before="0" w:beforeAutospacing="0" w:after="0" w:afterAutospacing="0" w:line="276" w:lineRule="auto"/>
                    <w:ind w:left="0" w:right="0"/>
                    <w:jc w:val="center"/>
                    <w:rPr>
                      <w:rFonts w:hint="eastAsia" w:eastAsiaTheme="majorEastAsia"/>
                      <w:color w:val="auto"/>
                      <w:szCs w:val="21"/>
                    </w:rPr>
                  </w:pPr>
                </w:p>
              </w:tc>
              <w:tc>
                <w:tcPr>
                  <w:tcW w:w="6558" w:type="dxa"/>
                  <w:shd w:val="clear" w:color="auto" w:fill="auto"/>
                  <w:vAlign w:val="center"/>
                </w:tcPr>
                <w:p w14:paraId="64B802DE">
                  <w:pPr>
                    <w:keepNext w:val="0"/>
                    <w:keepLines w:val="0"/>
                    <w:suppressLineNumbers w:val="0"/>
                    <w:autoSpaceDE w:val="0"/>
                    <w:autoSpaceDN w:val="0"/>
                    <w:spacing w:before="0" w:beforeAutospacing="0" w:after="0" w:afterAutospacing="0" w:line="276" w:lineRule="auto"/>
                    <w:ind w:left="0" w:right="0"/>
                    <w:jc w:val="center"/>
                    <w:rPr>
                      <w:rFonts w:hint="default"/>
                      <w:color w:val="auto"/>
                      <w:szCs w:val="21"/>
                      <w:shd w:val="clear" w:color="auto" w:fill="FFFFFF"/>
                    </w:rPr>
                  </w:pPr>
                  <w:r>
                    <w:rPr>
                      <w:rFonts w:hint="eastAsia"/>
                      <w:color w:val="auto"/>
                    </w:rPr>
                    <w:t>28</w:t>
                  </w:r>
                  <w:r>
                    <w:rPr>
                      <w:rFonts w:hint="eastAsia"/>
                      <w:color w:val="auto"/>
                      <w:lang w:val="en-US" w:eastAsia="zh-CN"/>
                    </w:rPr>
                    <w:t>.</w:t>
                  </w:r>
                  <w:r>
                    <w:rPr>
                      <w:rFonts w:hint="eastAsia"/>
                      <w:color w:val="auto"/>
                    </w:rPr>
                    <w:t>重点区域钢铁、水泥、焦化、石化、化工、有色等行业，二氧化硫、氮氧化物、颗粒物、挥发性有机物（VOCs）排放全面执行大气污染物特别排放限值。29</w:t>
                  </w:r>
                  <w:r>
                    <w:rPr>
                      <w:rFonts w:hint="eastAsia"/>
                      <w:color w:val="auto"/>
                      <w:lang w:val="en-US" w:eastAsia="zh-CN"/>
                    </w:rPr>
                    <w:t>.</w:t>
                  </w:r>
                  <w:r>
                    <w:rPr>
                      <w:rFonts w:hint="eastAsia"/>
                      <w:color w:val="auto"/>
                    </w:rPr>
                    <w:t>加大工业涂装、包装印刷等行业低挥发性有机物含量原辅材料替代力度，严格执行涂料、油墨、胶粘剂、清洗剂挥发性有机物含量限值标准，确保生产、销售、进口、使用符合标准的产品。</w:t>
                  </w:r>
                </w:p>
              </w:tc>
              <w:tc>
                <w:tcPr>
                  <w:tcW w:w="3826" w:type="dxa"/>
                  <w:shd w:val="clear" w:color="auto" w:fill="auto"/>
                  <w:vAlign w:val="center"/>
                </w:tcPr>
                <w:p w14:paraId="72228E5E">
                  <w:pPr>
                    <w:keepNext w:val="0"/>
                    <w:keepLines w:val="0"/>
                    <w:suppressLineNumbers w:val="0"/>
                    <w:autoSpaceDE w:val="0"/>
                    <w:autoSpaceDN w:val="0"/>
                    <w:spacing w:before="0" w:beforeAutospacing="0" w:after="0" w:afterAutospacing="0" w:line="276" w:lineRule="auto"/>
                    <w:ind w:left="0" w:right="0"/>
                    <w:jc w:val="center"/>
                    <w:rPr>
                      <w:rFonts w:hint="default" w:hAnsi="宋体" w:eastAsia="宋体"/>
                      <w:color w:val="auto"/>
                      <w:szCs w:val="21"/>
                      <w:lang w:val="en-US" w:eastAsia="zh-CN"/>
                    </w:rPr>
                  </w:pPr>
                  <w:r>
                    <w:rPr>
                      <w:rFonts w:hint="eastAsia" w:hAnsi="宋体"/>
                      <w:color w:val="auto"/>
                      <w:szCs w:val="21"/>
                      <w:lang w:val="en-US" w:eastAsia="zh-CN"/>
                    </w:rPr>
                    <w:t>本项目不属于重点区域钢铁、水泥、焦化、石化、化工、有色等行业，塑料制品生产时极少量投料废气经配套布袋除尘器收集处理后于车间内无组织排放；含VOCs的注塑废气经集气罩收集后通过“二级活性炭吸附装置”处理达标后由23m高排气筒DA001排放，VOCs根据大气污染物特别排放限值、合成树脂工业污染物排放标准以及安徽省固定源挥发性有机物综合排放标准等限值从严执行</w:t>
                  </w:r>
                  <w:r>
                    <w:rPr>
                      <w:rFonts w:hint="eastAsia"/>
                      <w:color w:val="auto"/>
                      <w:szCs w:val="21"/>
                      <w:highlight w:val="none"/>
                      <w:lang w:val="en-US" w:eastAsia="zh-CN"/>
                    </w:rPr>
                    <w:t>。</w:t>
                  </w:r>
                </w:p>
              </w:tc>
              <w:tc>
                <w:tcPr>
                  <w:tcW w:w="765" w:type="dxa"/>
                  <w:shd w:val="clear" w:color="auto" w:fill="auto"/>
                  <w:vAlign w:val="center"/>
                </w:tcPr>
                <w:p w14:paraId="5F28339F">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color w:val="auto"/>
                      <w:szCs w:val="21"/>
                      <w:lang w:val="en-US" w:eastAsia="zh-CN"/>
                    </w:rPr>
                  </w:pPr>
                  <w:r>
                    <w:rPr>
                      <w:rFonts w:hint="eastAsia" w:eastAsiaTheme="majorEastAsia"/>
                      <w:color w:val="auto"/>
                      <w:szCs w:val="21"/>
                      <w:lang w:val="en-US" w:eastAsia="zh-CN"/>
                    </w:rPr>
                    <w:t>符合</w:t>
                  </w:r>
                </w:p>
              </w:tc>
            </w:tr>
            <w:tr w14:paraId="0C2B9912">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65" w:hRule="atLeast"/>
                <w:jc w:val="center"/>
              </w:trPr>
              <w:tc>
                <w:tcPr>
                  <w:tcW w:w="0" w:type="auto"/>
                  <w:vMerge w:val="continue"/>
                  <w:vAlign w:val="center"/>
                </w:tcPr>
                <w:p w14:paraId="38242D98">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color w:val="auto"/>
                      <w:szCs w:val="21"/>
                    </w:rPr>
                  </w:pPr>
                </w:p>
              </w:tc>
              <w:tc>
                <w:tcPr>
                  <w:tcW w:w="0" w:type="auto"/>
                  <w:vMerge w:val="continue"/>
                  <w:vAlign w:val="center"/>
                </w:tcPr>
                <w:p w14:paraId="0D5E1436">
                  <w:pPr>
                    <w:keepNext w:val="0"/>
                    <w:keepLines w:val="0"/>
                    <w:suppressLineNumbers w:val="0"/>
                    <w:autoSpaceDE w:val="0"/>
                    <w:autoSpaceDN w:val="0"/>
                    <w:spacing w:before="0" w:beforeAutospacing="0" w:after="0" w:afterAutospacing="0" w:line="276" w:lineRule="auto"/>
                    <w:ind w:left="0" w:right="0"/>
                    <w:jc w:val="center"/>
                    <w:rPr>
                      <w:rFonts w:hint="eastAsia" w:eastAsiaTheme="majorEastAsia"/>
                      <w:color w:val="auto"/>
                      <w:szCs w:val="21"/>
                    </w:rPr>
                  </w:pPr>
                </w:p>
              </w:tc>
              <w:tc>
                <w:tcPr>
                  <w:tcW w:w="779" w:type="dxa"/>
                  <w:vMerge w:val="continue"/>
                  <w:vAlign w:val="center"/>
                </w:tcPr>
                <w:p w14:paraId="7DDDBA8D">
                  <w:pPr>
                    <w:keepNext w:val="0"/>
                    <w:keepLines w:val="0"/>
                    <w:suppressLineNumbers w:val="0"/>
                    <w:autoSpaceDE w:val="0"/>
                    <w:autoSpaceDN w:val="0"/>
                    <w:spacing w:before="0" w:beforeAutospacing="0" w:after="0" w:afterAutospacing="0" w:line="276" w:lineRule="auto"/>
                    <w:ind w:left="0" w:right="0"/>
                    <w:jc w:val="center"/>
                    <w:rPr>
                      <w:rFonts w:hint="eastAsia" w:eastAsiaTheme="majorEastAsia"/>
                      <w:color w:val="auto"/>
                      <w:szCs w:val="21"/>
                    </w:rPr>
                  </w:pPr>
                </w:p>
              </w:tc>
              <w:tc>
                <w:tcPr>
                  <w:tcW w:w="6558" w:type="dxa"/>
                  <w:shd w:val="clear" w:color="auto" w:fill="auto"/>
                  <w:vAlign w:val="center"/>
                </w:tcPr>
                <w:p w14:paraId="5FCC0F99">
                  <w:pPr>
                    <w:keepNext w:val="0"/>
                    <w:keepLines w:val="0"/>
                    <w:suppressLineNumbers w:val="0"/>
                    <w:autoSpaceDE w:val="0"/>
                    <w:autoSpaceDN w:val="0"/>
                    <w:spacing w:before="0" w:beforeAutospacing="0" w:after="0" w:afterAutospacing="0" w:line="276" w:lineRule="auto"/>
                    <w:ind w:left="0" w:right="0"/>
                    <w:jc w:val="center"/>
                    <w:rPr>
                      <w:rFonts w:hint="default"/>
                      <w:color w:val="auto"/>
                      <w:szCs w:val="21"/>
                      <w:shd w:val="clear" w:color="auto" w:fill="FFFFFF"/>
                    </w:rPr>
                  </w:pPr>
                  <w:r>
                    <w:rPr>
                      <w:rFonts w:hint="default"/>
                      <w:color w:val="auto"/>
                      <w:szCs w:val="21"/>
                      <w:shd w:val="clear" w:color="auto" w:fill="FFFFFF"/>
                    </w:rPr>
                    <w:t>8</w:t>
                  </w:r>
                  <w:r>
                    <w:rPr>
                      <w:rFonts w:hint="eastAsia"/>
                      <w:color w:val="auto"/>
                      <w:szCs w:val="21"/>
                      <w:shd w:val="clear" w:color="auto" w:fill="FFFFFF"/>
                      <w:lang w:val="en-US" w:eastAsia="zh-CN"/>
                    </w:rPr>
                    <w:t>.</w:t>
                  </w:r>
                  <w:r>
                    <w:rPr>
                      <w:rFonts w:hint="default"/>
                      <w:color w:val="auto"/>
                      <w:szCs w:val="21"/>
                      <w:shd w:val="clear" w:color="auto" w:fill="FFFFFF"/>
                    </w:rPr>
                    <w:t>严格限制在淮河流域新建印染、制革、化工、电镀、酿造等大中型项目或者其他污染严重的项目；建设该类项目的，应当事前征得省人民政府生态环境行政主管部门的同意，并按照规定办理有关手续。9</w:t>
                  </w:r>
                  <w:r>
                    <w:rPr>
                      <w:rFonts w:hint="eastAsia"/>
                      <w:color w:val="auto"/>
                      <w:szCs w:val="21"/>
                      <w:shd w:val="clear" w:color="auto" w:fill="FFFFFF"/>
                      <w:lang w:val="en-US" w:eastAsia="zh-CN"/>
                    </w:rPr>
                    <w:t>.</w:t>
                  </w:r>
                  <w:r>
                    <w:rPr>
                      <w:rFonts w:hint="default"/>
                      <w:color w:val="auto"/>
                      <w:szCs w:val="21"/>
                      <w:shd w:val="clear" w:color="auto" w:fill="FFFFFF"/>
                    </w:rPr>
                    <w:t>新建、改建、扩建直接或者间接向水体排放污染物的建设项目和其他水上设施，应当依法进行环境影响评价。</w:t>
                  </w:r>
                </w:p>
              </w:tc>
              <w:tc>
                <w:tcPr>
                  <w:tcW w:w="3826" w:type="dxa"/>
                  <w:shd w:val="clear" w:color="auto" w:fill="auto"/>
                  <w:vAlign w:val="center"/>
                </w:tcPr>
                <w:p w14:paraId="3C354E59">
                  <w:pPr>
                    <w:keepNext w:val="0"/>
                    <w:keepLines w:val="0"/>
                    <w:suppressLineNumbers w:val="0"/>
                    <w:autoSpaceDE w:val="0"/>
                    <w:autoSpaceDN w:val="0"/>
                    <w:spacing w:before="0" w:beforeAutospacing="0" w:after="0" w:afterAutospacing="0" w:line="276" w:lineRule="auto"/>
                    <w:ind w:left="0" w:right="0"/>
                    <w:jc w:val="center"/>
                    <w:rPr>
                      <w:rFonts w:hint="default" w:hAnsi="宋体" w:eastAsia="宋体"/>
                      <w:color w:val="auto"/>
                      <w:szCs w:val="21"/>
                      <w:lang w:val="en-US" w:eastAsia="zh-CN"/>
                    </w:rPr>
                  </w:pPr>
                  <w:r>
                    <w:rPr>
                      <w:rFonts w:hint="eastAsia" w:hAnsi="宋体"/>
                      <w:color w:val="auto"/>
                      <w:szCs w:val="21"/>
                      <w:lang w:val="en-US" w:eastAsia="zh-CN"/>
                    </w:rPr>
                    <w:t>本项目距离淮河支流（架河）约1900m，属于淮河流域，主要从事塑料制品制造，不属于新建</w:t>
                  </w:r>
                  <w:r>
                    <w:rPr>
                      <w:rFonts w:hint="default"/>
                      <w:color w:val="auto"/>
                      <w:szCs w:val="21"/>
                      <w:shd w:val="clear" w:color="auto" w:fill="FFFFFF"/>
                    </w:rPr>
                    <w:t>印染、制革、化工、电镀、酿造等大中型项目或者其他污染严重的项目</w:t>
                  </w:r>
                  <w:r>
                    <w:rPr>
                      <w:rFonts w:hint="eastAsia"/>
                      <w:color w:val="auto"/>
                      <w:szCs w:val="21"/>
                      <w:shd w:val="clear" w:color="auto" w:fill="FFFFFF"/>
                      <w:lang w:eastAsia="zh-CN"/>
                    </w:rPr>
                    <w:t>，</w:t>
                  </w:r>
                  <w:r>
                    <w:rPr>
                      <w:rFonts w:hint="eastAsia"/>
                      <w:color w:val="auto"/>
                      <w:szCs w:val="21"/>
                      <w:shd w:val="clear" w:color="auto" w:fill="FFFFFF"/>
                      <w:lang w:val="en-US" w:eastAsia="zh-CN"/>
                    </w:rPr>
                    <w:t>本项目产生的废水接管至凤台县污水处理厂处理，并按要求进行本次环境影响评价。</w:t>
                  </w:r>
                </w:p>
              </w:tc>
              <w:tc>
                <w:tcPr>
                  <w:tcW w:w="765" w:type="dxa"/>
                  <w:shd w:val="clear" w:color="auto" w:fill="auto"/>
                  <w:vAlign w:val="center"/>
                </w:tcPr>
                <w:p w14:paraId="7B9774FF">
                  <w:pPr>
                    <w:keepNext w:val="0"/>
                    <w:keepLines w:val="0"/>
                    <w:suppressLineNumbers w:val="0"/>
                    <w:autoSpaceDE w:val="0"/>
                    <w:autoSpaceDN w:val="0"/>
                    <w:spacing w:before="0" w:beforeAutospacing="0" w:after="0" w:afterAutospacing="0" w:line="276" w:lineRule="auto"/>
                    <w:ind w:left="0" w:right="0"/>
                    <w:jc w:val="center"/>
                    <w:rPr>
                      <w:rFonts w:hint="eastAsia" w:eastAsiaTheme="majorEastAsia"/>
                      <w:color w:val="auto"/>
                      <w:szCs w:val="21"/>
                      <w:lang w:val="en-US" w:eastAsia="zh-CN"/>
                    </w:rPr>
                  </w:pPr>
                  <w:r>
                    <w:rPr>
                      <w:rFonts w:hint="eastAsia" w:eastAsiaTheme="majorEastAsia"/>
                      <w:color w:val="auto"/>
                      <w:szCs w:val="21"/>
                      <w:lang w:val="en-US" w:eastAsia="zh-CN"/>
                    </w:rPr>
                    <w:t>符合</w:t>
                  </w:r>
                </w:p>
              </w:tc>
            </w:tr>
            <w:tr w14:paraId="66B3E54F">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Merge w:val="continue"/>
                  <w:vAlign w:val="center"/>
                </w:tcPr>
                <w:p w14:paraId="47467ADF">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color w:val="auto"/>
                      <w:szCs w:val="21"/>
                    </w:rPr>
                  </w:pPr>
                </w:p>
              </w:tc>
              <w:tc>
                <w:tcPr>
                  <w:tcW w:w="0" w:type="auto"/>
                  <w:vMerge w:val="continue"/>
                  <w:vAlign w:val="center"/>
                </w:tcPr>
                <w:p w14:paraId="1E7F369A">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color w:val="auto"/>
                      <w:szCs w:val="21"/>
                    </w:rPr>
                  </w:pPr>
                </w:p>
              </w:tc>
              <w:tc>
                <w:tcPr>
                  <w:tcW w:w="779" w:type="dxa"/>
                  <w:vAlign w:val="center"/>
                </w:tcPr>
                <w:p w14:paraId="2C9BCF0E">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color w:val="auto"/>
                      <w:szCs w:val="21"/>
                    </w:rPr>
                  </w:pPr>
                  <w:r>
                    <w:rPr>
                      <w:rFonts w:hint="default" w:eastAsiaTheme="majorEastAsia"/>
                      <w:color w:val="auto"/>
                      <w:szCs w:val="21"/>
                    </w:rPr>
                    <w:t>污染物排放管</w:t>
                  </w:r>
                </w:p>
                <w:p w14:paraId="79819C59">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color w:val="auto"/>
                      <w:szCs w:val="21"/>
                    </w:rPr>
                  </w:pPr>
                  <w:r>
                    <w:rPr>
                      <w:rFonts w:hint="default" w:eastAsiaTheme="majorEastAsia"/>
                      <w:color w:val="auto"/>
                      <w:szCs w:val="21"/>
                    </w:rPr>
                    <w:t>控</w:t>
                  </w:r>
                </w:p>
              </w:tc>
              <w:tc>
                <w:tcPr>
                  <w:tcW w:w="6558" w:type="dxa"/>
                  <w:shd w:val="clear" w:color="auto" w:fill="auto"/>
                  <w:vAlign w:val="center"/>
                </w:tcPr>
                <w:p w14:paraId="7AD88904">
                  <w:pPr>
                    <w:keepNext w:val="0"/>
                    <w:keepLines w:val="0"/>
                    <w:numPr>
                      <w:ilvl w:val="0"/>
                      <w:numId w:val="0"/>
                    </w:numPr>
                    <w:suppressLineNumbers w:val="0"/>
                    <w:autoSpaceDE w:val="0"/>
                    <w:autoSpaceDN w:val="0"/>
                    <w:spacing w:before="0" w:beforeAutospacing="0" w:after="0" w:afterAutospacing="0" w:line="276" w:lineRule="auto"/>
                    <w:ind w:left="0" w:leftChars="0" w:right="0" w:rightChars="0"/>
                    <w:jc w:val="center"/>
                    <w:rPr>
                      <w:rFonts w:hint="eastAsia"/>
                      <w:color w:val="auto"/>
                      <w:szCs w:val="21"/>
                      <w:lang w:eastAsia="zh-CN"/>
                    </w:rPr>
                  </w:pPr>
                  <w:r>
                    <w:rPr>
                      <w:rFonts w:hint="eastAsia" w:ascii="Times New Roman" w:hAnsi="Times New Roman" w:eastAsia="宋体" w:cs="Times New Roman"/>
                      <w:color w:val="auto"/>
                      <w:kern w:val="2"/>
                      <w:sz w:val="21"/>
                      <w:szCs w:val="21"/>
                      <w:lang w:val="en-US" w:eastAsia="zh-CN" w:bidi="ar-SA"/>
                    </w:rPr>
                    <w:t>51.</w:t>
                  </w:r>
                  <w:r>
                    <w:rPr>
                      <w:rFonts w:hint="default"/>
                      <w:color w:val="auto"/>
                      <w:szCs w:val="21"/>
                    </w:rPr>
                    <w:t>对以煤、石油焦、渣油、重油等为燃料的工业炉窑，加快使用清洁低碳能源以及利用工厂余热、电厂热力等进行替代</w:t>
                  </w:r>
                  <w:r>
                    <w:rPr>
                      <w:rFonts w:hint="eastAsia"/>
                      <w:color w:val="auto"/>
                      <w:szCs w:val="21"/>
                      <w:lang w:eastAsia="zh-CN"/>
                    </w:rPr>
                    <w:t>。</w:t>
                  </w:r>
                </w:p>
                <w:p w14:paraId="05EDEE67">
                  <w:pPr>
                    <w:keepNext w:val="0"/>
                    <w:keepLines w:val="0"/>
                    <w:numPr>
                      <w:ilvl w:val="0"/>
                      <w:numId w:val="0"/>
                    </w:numPr>
                    <w:suppressLineNumbers w:val="0"/>
                    <w:autoSpaceDE w:val="0"/>
                    <w:autoSpaceDN w:val="0"/>
                    <w:spacing w:before="0" w:beforeAutospacing="0" w:after="0" w:afterAutospacing="0" w:line="276" w:lineRule="auto"/>
                    <w:ind w:left="0" w:leftChars="0" w:right="0" w:rightChars="0"/>
                    <w:jc w:val="center"/>
                    <w:rPr>
                      <w:rFonts w:hint="eastAsia"/>
                      <w:color w:val="auto"/>
                    </w:rPr>
                  </w:pPr>
                  <w:r>
                    <w:rPr>
                      <w:rFonts w:hint="eastAsia"/>
                      <w:color w:val="auto"/>
                    </w:rPr>
                    <w:t>54</w:t>
                  </w:r>
                  <w:r>
                    <w:rPr>
                      <w:rFonts w:hint="eastAsia"/>
                      <w:color w:val="auto"/>
                      <w:lang w:val="en-US" w:eastAsia="zh-CN"/>
                    </w:rPr>
                    <w:t>.</w:t>
                  </w:r>
                  <w:r>
                    <w:rPr>
                      <w:rFonts w:hint="eastAsia"/>
                      <w:color w:val="auto"/>
                    </w:rPr>
                    <w:t>全面推动挥发性有机物纳入排污许可管理。禁止建设生产和使用高挥发性有机物含量涂料、油墨、胶粘剂、清洗剂等项目。加快推进石化、化工、涂装、医药、包装印刷和油品储运销等重点行业挥发性有机物深度治理，全面提升废气收集率、治理设施同步运行率和去除率，提高水性、高</w:t>
                  </w:r>
                  <w:r>
                    <w:rPr>
                      <w:rFonts w:hint="eastAsia"/>
                      <w:color w:val="auto"/>
                      <w:lang w:eastAsia="zh-CN"/>
                    </w:rPr>
                    <w:t>固体份</w:t>
                  </w:r>
                  <w:r>
                    <w:rPr>
                      <w:rFonts w:hint="eastAsia"/>
                      <w:color w:val="auto"/>
                    </w:rPr>
                    <w:t>、无溶剂、粉末、辐射固化等低挥发性有机物含量产品的比重。加大工业涂装、包装印刷等行业低挥发性有机物含量原辅材料替代力度，严格执行涂料、油墨、胶粘剂、清洗剂挥发性有机物含量限值标准，确保生产、销售、进口、使用符合标准的产品。到2025年，溶剂型工业涂料、油墨使用比例分别降低20个、10个百分点。溶剂型胶粘剂使用量降低20%。</w:t>
                  </w:r>
                </w:p>
                <w:p w14:paraId="43A30346">
                  <w:pPr>
                    <w:keepNext w:val="0"/>
                    <w:keepLines w:val="0"/>
                    <w:numPr>
                      <w:ilvl w:val="0"/>
                      <w:numId w:val="0"/>
                    </w:numPr>
                    <w:suppressLineNumbers w:val="0"/>
                    <w:autoSpaceDE w:val="0"/>
                    <w:autoSpaceDN w:val="0"/>
                    <w:spacing w:before="0" w:beforeAutospacing="0" w:after="0" w:afterAutospacing="0" w:line="276" w:lineRule="auto"/>
                    <w:ind w:left="0" w:leftChars="0" w:right="0" w:rightChars="0"/>
                    <w:jc w:val="center"/>
                    <w:rPr>
                      <w:rFonts w:hint="eastAsia"/>
                      <w:color w:val="auto"/>
                    </w:rPr>
                  </w:pPr>
                  <w:r>
                    <w:rPr>
                      <w:rFonts w:hint="eastAsia" w:ascii="Times New Roman" w:hAnsi="Times New Roman" w:eastAsia="宋体" w:cs="Times New Roman"/>
                      <w:color w:val="auto"/>
                      <w:kern w:val="2"/>
                      <w:sz w:val="21"/>
                      <w:szCs w:val="22"/>
                      <w:lang w:val="en-US" w:eastAsia="zh-CN" w:bidi="ar-SA"/>
                    </w:rPr>
                    <w:t>56.</w:t>
                  </w:r>
                  <w:r>
                    <w:rPr>
                      <w:rFonts w:hint="eastAsia"/>
                      <w:color w:val="auto"/>
                    </w:rPr>
                    <w:t>使用粉末、水性、高</w:t>
                  </w:r>
                  <w:r>
                    <w:rPr>
                      <w:rFonts w:hint="eastAsia"/>
                      <w:color w:val="auto"/>
                      <w:lang w:eastAsia="zh-CN"/>
                    </w:rPr>
                    <w:t>固体份</w:t>
                  </w:r>
                  <w:r>
                    <w:rPr>
                      <w:rFonts w:hint="eastAsia"/>
                      <w:color w:val="auto"/>
                    </w:rPr>
                    <w:t>、辐射固化等低VOCs含量的涂料替代溶剂型涂料。汽车制造底漆大力推广使用水性涂料，乘用车中涂、色漆大力推广使用高</w:t>
                  </w:r>
                  <w:r>
                    <w:rPr>
                      <w:rFonts w:hint="eastAsia"/>
                      <w:color w:val="auto"/>
                      <w:lang w:eastAsia="zh-CN"/>
                    </w:rPr>
                    <w:t>固体份</w:t>
                  </w:r>
                  <w:r>
                    <w:rPr>
                      <w:rFonts w:hint="eastAsia"/>
                      <w:color w:val="auto"/>
                    </w:rPr>
                    <w:t>或水性涂料，加快客车、货车等中涂、色漆改造。钢制集装箱制造在箱内、箱外、木地板涂装等工序大力推广使用水性涂料，在确保防腐蚀功能的前提下，加快推进特种集装箱采用水性涂料。木质家具制造大力推广使用水性、辐射固化、粉末等涂料和水性胶粘剂；金属家具制造大力推广使用粉末涂料；软体家具制造大力推广使用水性胶粘剂。工程机械制造大力推广使用水性、粉末和高</w:t>
                  </w:r>
                  <w:r>
                    <w:rPr>
                      <w:rFonts w:hint="eastAsia"/>
                      <w:color w:val="auto"/>
                      <w:lang w:eastAsia="zh-CN"/>
                    </w:rPr>
                    <w:t>固体份</w:t>
                  </w:r>
                  <w:r>
                    <w:rPr>
                      <w:rFonts w:hint="eastAsia"/>
                      <w:color w:val="auto"/>
                    </w:rPr>
                    <w:t>涂料。电子产品制造推广使用粉末、水性、辐射固化等涂料。</w:t>
                  </w:r>
                </w:p>
                <w:p w14:paraId="15808AB9">
                  <w:pPr>
                    <w:keepNext w:val="0"/>
                    <w:keepLines w:val="0"/>
                    <w:numPr>
                      <w:ilvl w:val="0"/>
                      <w:numId w:val="0"/>
                    </w:numPr>
                    <w:suppressLineNumbers w:val="0"/>
                    <w:autoSpaceDE w:val="0"/>
                    <w:autoSpaceDN w:val="0"/>
                    <w:spacing w:before="0" w:beforeAutospacing="0" w:after="0" w:afterAutospacing="0" w:line="276" w:lineRule="auto"/>
                    <w:ind w:left="0" w:leftChars="0" w:right="0" w:rightChars="0" w:firstLine="0" w:firstLineChars="0"/>
                    <w:jc w:val="center"/>
                    <w:rPr>
                      <w:rFonts w:hint="eastAsia" w:ascii="Times New Roman" w:hAnsi="Times New Roman" w:eastAsia="宋体" w:cs="Times New Roman"/>
                      <w:color w:val="auto"/>
                      <w:kern w:val="2"/>
                      <w:sz w:val="21"/>
                      <w:szCs w:val="22"/>
                      <w:lang w:val="en-US" w:eastAsia="zh-CN" w:bidi="ar-SA"/>
                    </w:rPr>
                  </w:pPr>
                  <w:r>
                    <w:rPr>
                      <w:rFonts w:hint="eastAsia"/>
                      <w:color w:val="auto"/>
                    </w:rPr>
                    <w:t>63</w:t>
                  </w:r>
                  <w:r>
                    <w:rPr>
                      <w:rFonts w:hint="eastAsia"/>
                      <w:color w:val="auto"/>
                      <w:lang w:val="en-US" w:eastAsia="zh-CN"/>
                    </w:rPr>
                    <w:t>.</w:t>
                  </w:r>
                  <w:r>
                    <w:rPr>
                      <w:rFonts w:hint="eastAsia"/>
                      <w:color w:val="auto"/>
                    </w:rPr>
                    <w:t>铸造行业烧结、高炉工序污染排放控制按照钢铁行业相关标准要求执行；原则上按照颗粒物、二氧化硫、氮氧化物排放限值分别不高于30、200、300毫克/立方米实施改造</w:t>
                  </w:r>
                  <w:r>
                    <w:rPr>
                      <w:rFonts w:hint="eastAsia"/>
                      <w:color w:val="auto"/>
                      <w:lang w:eastAsia="zh-CN"/>
                    </w:rPr>
                    <w:t>，</w:t>
                  </w:r>
                  <w:r>
                    <w:rPr>
                      <w:rFonts w:hint="eastAsia"/>
                      <w:color w:val="auto"/>
                    </w:rPr>
                    <w:t>其中，日用玻璃、玻璃棉氮氧化物排放限值不高于400毫克/立方米。</w:t>
                  </w:r>
                </w:p>
              </w:tc>
              <w:tc>
                <w:tcPr>
                  <w:tcW w:w="3826" w:type="dxa"/>
                  <w:shd w:val="clear" w:color="auto" w:fill="auto"/>
                  <w:vAlign w:val="center"/>
                </w:tcPr>
                <w:p w14:paraId="1F4ACAAA">
                  <w:pPr>
                    <w:keepNext w:val="0"/>
                    <w:keepLines w:val="0"/>
                    <w:suppressLineNumbers w:val="0"/>
                    <w:autoSpaceDE w:val="0"/>
                    <w:autoSpaceDN w:val="0"/>
                    <w:spacing w:before="0" w:beforeAutospacing="0" w:after="0" w:afterAutospacing="0" w:line="276" w:lineRule="auto"/>
                    <w:ind w:left="0" w:leftChars="0" w:right="0" w:rightChars="0"/>
                    <w:jc w:val="center"/>
                    <w:rPr>
                      <w:rFonts w:hint="default" w:ascii="Times New Roman" w:hAnsi="宋体" w:eastAsia="宋体" w:cs="Times New Roman"/>
                      <w:color w:val="auto"/>
                      <w:kern w:val="2"/>
                      <w:sz w:val="21"/>
                      <w:szCs w:val="21"/>
                      <w:lang w:val="en-US" w:eastAsia="zh-CN" w:bidi="ar-SA"/>
                    </w:rPr>
                  </w:pPr>
                  <w:r>
                    <w:rPr>
                      <w:rFonts w:hint="eastAsia" w:hAnsi="宋体"/>
                      <w:color w:val="auto"/>
                      <w:szCs w:val="21"/>
                      <w:lang w:val="en-US" w:eastAsia="zh-CN"/>
                    </w:rPr>
                    <w:t>51.</w:t>
                  </w:r>
                  <w:r>
                    <w:rPr>
                      <w:rFonts w:hint="default" w:hAnsi="宋体"/>
                      <w:color w:val="auto"/>
                      <w:szCs w:val="21"/>
                    </w:rPr>
                    <w:t>本项目不涉及以煤、石油焦、渣油、重油等为燃料的工业炉窑；不属于建设生产和使用高挥发性有机物含量涂料、油墨、胶粘剂、清洗剂等项目。</w:t>
                  </w:r>
                </w:p>
              </w:tc>
              <w:tc>
                <w:tcPr>
                  <w:tcW w:w="765" w:type="dxa"/>
                  <w:vAlign w:val="center"/>
                </w:tcPr>
                <w:p w14:paraId="7CD1AECE">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color w:val="auto"/>
                      <w:szCs w:val="21"/>
                    </w:rPr>
                  </w:pPr>
                  <w:r>
                    <w:rPr>
                      <w:rFonts w:hint="default" w:eastAsiaTheme="majorEastAsia"/>
                      <w:color w:val="auto"/>
                      <w:szCs w:val="21"/>
                    </w:rPr>
                    <w:t>符合</w:t>
                  </w:r>
                </w:p>
              </w:tc>
            </w:tr>
            <w:tr w14:paraId="6E86C8AC">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Merge w:val="continue"/>
                  <w:vAlign w:val="center"/>
                </w:tcPr>
                <w:p w14:paraId="74D36DC9">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color w:val="auto"/>
                      <w:szCs w:val="21"/>
                    </w:rPr>
                  </w:pPr>
                </w:p>
              </w:tc>
              <w:tc>
                <w:tcPr>
                  <w:tcW w:w="0" w:type="auto"/>
                  <w:vMerge w:val="continue"/>
                  <w:vAlign w:val="center"/>
                </w:tcPr>
                <w:p w14:paraId="10ED0902">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color w:val="auto"/>
                      <w:szCs w:val="21"/>
                    </w:rPr>
                  </w:pPr>
                </w:p>
              </w:tc>
              <w:tc>
                <w:tcPr>
                  <w:tcW w:w="779" w:type="dxa"/>
                  <w:vAlign w:val="center"/>
                </w:tcPr>
                <w:p w14:paraId="582BFBDC">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color w:val="auto"/>
                      <w:szCs w:val="21"/>
                      <w:lang w:val="en-US" w:eastAsia="zh-CN"/>
                    </w:rPr>
                  </w:pPr>
                  <w:r>
                    <w:rPr>
                      <w:rFonts w:hint="eastAsia" w:eastAsiaTheme="majorEastAsia"/>
                      <w:color w:val="auto"/>
                      <w:szCs w:val="21"/>
                      <w:lang w:val="en-US" w:eastAsia="zh-CN"/>
                    </w:rPr>
                    <w:t>环境风险防控</w:t>
                  </w:r>
                </w:p>
              </w:tc>
              <w:tc>
                <w:tcPr>
                  <w:tcW w:w="6558" w:type="dxa"/>
                  <w:vAlign w:val="center"/>
                </w:tcPr>
                <w:p w14:paraId="0B2CD1B9">
                  <w:pPr>
                    <w:keepNext w:val="0"/>
                    <w:keepLines w:val="0"/>
                    <w:numPr>
                      <w:ilvl w:val="0"/>
                      <w:numId w:val="0"/>
                    </w:numPr>
                    <w:suppressLineNumbers w:val="0"/>
                    <w:autoSpaceDE w:val="0"/>
                    <w:autoSpaceDN w:val="0"/>
                    <w:spacing w:before="0" w:beforeAutospacing="0" w:after="0" w:afterAutospacing="0" w:line="276" w:lineRule="auto"/>
                    <w:ind w:left="0" w:leftChars="0" w:right="0" w:rightChars="0"/>
                    <w:jc w:val="center"/>
                    <w:rPr>
                      <w:rFonts w:hint="default"/>
                      <w:color w:val="auto"/>
                      <w:szCs w:val="21"/>
                    </w:rPr>
                  </w:pPr>
                  <w:r>
                    <w:rPr>
                      <w:rFonts w:hint="eastAsia" w:ascii="Times New Roman" w:hAnsi="Times New Roman" w:eastAsia="宋体" w:cs="Times New Roman"/>
                      <w:color w:val="auto"/>
                      <w:kern w:val="2"/>
                      <w:sz w:val="21"/>
                      <w:szCs w:val="22"/>
                      <w:lang w:val="en-US" w:eastAsia="zh-CN" w:bidi="ar-SA"/>
                    </w:rPr>
                    <w:t>79.</w:t>
                  </w:r>
                  <w:r>
                    <w:rPr>
                      <w:rFonts w:hint="eastAsia"/>
                      <w:color w:val="auto"/>
                      <w:lang w:val="en-US" w:eastAsia="zh-CN"/>
                    </w:rPr>
                    <w:t>对使用有毒有害化学物质或在生产过程中排放有毒有害物质的企业，全面实施强制性清洁生产审核，严格执行产品质量标准中有毒有害化学物质的含量限值，加强农药、石化、涂料、印染、医药等行业新污染物环境风险管控。</w:t>
                  </w:r>
                </w:p>
              </w:tc>
              <w:tc>
                <w:tcPr>
                  <w:tcW w:w="3826" w:type="dxa"/>
                  <w:vAlign w:val="center"/>
                </w:tcPr>
                <w:p w14:paraId="0463DC56">
                  <w:pPr>
                    <w:keepNext w:val="0"/>
                    <w:keepLines w:val="0"/>
                    <w:suppressLineNumbers w:val="0"/>
                    <w:autoSpaceDE w:val="0"/>
                    <w:autoSpaceDN w:val="0"/>
                    <w:spacing w:before="0" w:beforeAutospacing="0" w:after="0" w:afterAutospacing="0" w:line="276" w:lineRule="auto"/>
                    <w:ind w:left="0" w:right="0"/>
                    <w:jc w:val="center"/>
                    <w:rPr>
                      <w:rFonts w:hint="default" w:hAnsi="宋体"/>
                      <w:color w:val="auto"/>
                      <w:szCs w:val="21"/>
                      <w:lang w:val="en-US" w:eastAsia="zh-CN"/>
                    </w:rPr>
                  </w:pPr>
                  <w:r>
                    <w:rPr>
                      <w:rFonts w:hint="eastAsia" w:hAnsi="宋体"/>
                      <w:color w:val="auto"/>
                      <w:szCs w:val="21"/>
                      <w:lang w:val="en-US" w:eastAsia="zh-CN"/>
                    </w:rPr>
                    <w:t>本项目不属于农药、石化、涂料、印染、医药等行业；本项目使用的PP、PS、PE等原辅材料均不涉及有毒有害化学物质，原料运输、储存及使用过程中将按本环评建议落实环境风险防范措施。</w:t>
                  </w:r>
                </w:p>
              </w:tc>
              <w:tc>
                <w:tcPr>
                  <w:tcW w:w="765" w:type="dxa"/>
                  <w:vAlign w:val="center"/>
                </w:tcPr>
                <w:p w14:paraId="1321D272">
                  <w:pPr>
                    <w:keepNext w:val="0"/>
                    <w:keepLines w:val="0"/>
                    <w:suppressLineNumbers w:val="0"/>
                    <w:autoSpaceDE w:val="0"/>
                    <w:autoSpaceDN w:val="0"/>
                    <w:spacing w:before="0" w:beforeAutospacing="0" w:after="0" w:afterAutospacing="0" w:line="276" w:lineRule="auto"/>
                    <w:ind w:left="0" w:right="0"/>
                    <w:jc w:val="center"/>
                    <w:rPr>
                      <w:rFonts w:hint="eastAsia" w:eastAsiaTheme="majorEastAsia"/>
                      <w:color w:val="auto"/>
                      <w:szCs w:val="21"/>
                      <w:lang w:val="en-US" w:eastAsia="zh-CN"/>
                    </w:rPr>
                  </w:pPr>
                  <w:r>
                    <w:rPr>
                      <w:rFonts w:hint="eastAsia" w:eastAsiaTheme="majorEastAsia"/>
                      <w:color w:val="auto"/>
                      <w:szCs w:val="21"/>
                      <w:lang w:val="en-US" w:eastAsia="zh-CN"/>
                    </w:rPr>
                    <w:t>符合</w:t>
                  </w:r>
                </w:p>
              </w:tc>
            </w:tr>
            <w:tr w14:paraId="3B3A5018">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Merge w:val="continue"/>
                  <w:vAlign w:val="center"/>
                </w:tcPr>
                <w:p w14:paraId="20A4FFEF">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color w:val="auto"/>
                      <w:szCs w:val="21"/>
                    </w:rPr>
                  </w:pPr>
                </w:p>
              </w:tc>
              <w:tc>
                <w:tcPr>
                  <w:tcW w:w="0" w:type="auto"/>
                  <w:vMerge w:val="continue"/>
                  <w:vAlign w:val="center"/>
                </w:tcPr>
                <w:p w14:paraId="50AD4971">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color w:val="auto"/>
                      <w:szCs w:val="21"/>
                    </w:rPr>
                  </w:pPr>
                </w:p>
              </w:tc>
              <w:tc>
                <w:tcPr>
                  <w:tcW w:w="779" w:type="dxa"/>
                  <w:vAlign w:val="center"/>
                </w:tcPr>
                <w:p w14:paraId="5F811668">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color w:val="auto"/>
                      <w:szCs w:val="21"/>
                    </w:rPr>
                  </w:pPr>
                  <w:r>
                    <w:rPr>
                      <w:rFonts w:hint="default" w:eastAsiaTheme="majorEastAsia"/>
                      <w:color w:val="auto"/>
                      <w:szCs w:val="21"/>
                    </w:rPr>
                    <w:t>资源开发效率</w:t>
                  </w:r>
                </w:p>
                <w:p w14:paraId="0735ABCD">
                  <w:pPr>
                    <w:keepNext w:val="0"/>
                    <w:keepLines w:val="0"/>
                    <w:suppressLineNumbers w:val="0"/>
                    <w:autoSpaceDE w:val="0"/>
                    <w:autoSpaceDN w:val="0"/>
                    <w:spacing w:before="0" w:beforeAutospacing="0" w:after="0" w:afterAutospacing="0" w:line="276" w:lineRule="auto"/>
                    <w:ind w:left="0" w:right="0"/>
                    <w:jc w:val="center"/>
                    <w:rPr>
                      <w:rFonts w:hint="default" w:eastAsiaTheme="majorEastAsia"/>
                      <w:color w:val="auto"/>
                      <w:szCs w:val="21"/>
                    </w:rPr>
                  </w:pPr>
                  <w:r>
                    <w:rPr>
                      <w:rFonts w:hint="default" w:eastAsiaTheme="majorEastAsia"/>
                      <w:color w:val="auto"/>
                      <w:szCs w:val="21"/>
                    </w:rPr>
                    <w:t>要求</w:t>
                  </w:r>
                </w:p>
              </w:tc>
              <w:tc>
                <w:tcPr>
                  <w:tcW w:w="6558" w:type="dxa"/>
                  <w:shd w:val="clear" w:color="auto" w:fill="auto"/>
                  <w:vAlign w:val="center"/>
                </w:tcPr>
                <w:p w14:paraId="7C007DB7">
                  <w:pPr>
                    <w:keepNext w:val="0"/>
                    <w:keepLines w:val="0"/>
                    <w:suppressLineNumbers w:val="0"/>
                    <w:autoSpaceDE w:val="0"/>
                    <w:autoSpaceDN w:val="0"/>
                    <w:spacing w:before="0" w:beforeAutospacing="0" w:after="0" w:afterAutospacing="0" w:line="276" w:lineRule="auto"/>
                    <w:ind w:left="0" w:right="0"/>
                    <w:jc w:val="center"/>
                    <w:rPr>
                      <w:rFonts w:hint="eastAsia"/>
                      <w:color w:val="auto"/>
                    </w:rPr>
                  </w:pPr>
                  <w:r>
                    <w:rPr>
                      <w:rFonts w:hint="eastAsia"/>
                      <w:color w:val="auto"/>
                      <w:lang w:val="en-US" w:eastAsia="zh-CN"/>
                    </w:rPr>
                    <w:t>71.</w:t>
                  </w:r>
                  <w:r>
                    <w:rPr>
                      <w:rFonts w:hint="eastAsia"/>
                      <w:color w:val="auto"/>
                    </w:rPr>
                    <w:t>控制煤炭消费总量，加快实施重点用能单位节能低碳行动和重点产业能效提升计划，严格执行高耗能行业产品能耗限额标准体系。推进煤电企业通过资产整合、股权投资等方式深度融合，提高煤炭就地转化率，提高煤电联营规模，推动电力、煤炭产业一体化协调发展。推进传统电力能源和电力新能源协调发展，建设智慧电厂，全面推行热电联产、冷热电联供模式，利用国际领先水平的清洁高效煤电成套设备，升级改造现役电厂发电设备和配套设施，全面提升电网智能化水平，提升电网接入和消纳能力。优化电力新能源项目布局，支持光伏发电、风电项目建设。严格实施行业内新建项目重点污染物排放等量或减量置换，煤炭、水泥等产能过剩行业实施重点污染物排放等量</w:t>
                  </w:r>
                </w:p>
                <w:p w14:paraId="4BAC751C">
                  <w:pPr>
                    <w:keepNext w:val="0"/>
                    <w:keepLines w:val="0"/>
                    <w:suppressLineNumbers w:val="0"/>
                    <w:autoSpaceDE w:val="0"/>
                    <w:autoSpaceDN w:val="0"/>
                    <w:spacing w:before="0" w:beforeAutospacing="0" w:after="0" w:afterAutospacing="0" w:line="276" w:lineRule="auto"/>
                    <w:ind w:left="0" w:right="0"/>
                    <w:jc w:val="center"/>
                    <w:rPr>
                      <w:rFonts w:hint="eastAsia"/>
                      <w:color w:val="auto"/>
                    </w:rPr>
                  </w:pPr>
                  <w:r>
                    <w:rPr>
                      <w:rFonts w:hint="eastAsia"/>
                      <w:color w:val="auto"/>
                    </w:rPr>
                    <w:t>或减量置换。严格控制煤炭消费总量，落实煤炭消费减量替代与污染减排“双挂钩”制度，提高非化石能源消费比重，降低煤炭在能源总消费中比例。优化配置生产要素，发挥清洁能源市场规模优势和已有的能源产业基础优势，促进传统能源要素和新兴清洁能源要素的有机融合。</w:t>
                  </w:r>
                </w:p>
                <w:p w14:paraId="47E24880">
                  <w:pPr>
                    <w:keepNext w:val="0"/>
                    <w:keepLines w:val="0"/>
                    <w:suppressLineNumbers w:val="0"/>
                    <w:autoSpaceDE w:val="0"/>
                    <w:autoSpaceDN w:val="0"/>
                    <w:spacing w:before="0" w:beforeAutospacing="0" w:after="0" w:afterAutospacing="0" w:line="276" w:lineRule="auto"/>
                    <w:ind w:left="0" w:right="0"/>
                    <w:jc w:val="center"/>
                    <w:rPr>
                      <w:rFonts w:hint="eastAsia"/>
                      <w:color w:val="auto"/>
                    </w:rPr>
                  </w:pPr>
                  <w:r>
                    <w:rPr>
                      <w:rFonts w:hint="eastAsia"/>
                      <w:color w:val="auto"/>
                    </w:rPr>
                    <w:t>73</w:t>
                  </w:r>
                  <w:r>
                    <w:rPr>
                      <w:rFonts w:hint="eastAsia"/>
                      <w:color w:val="auto"/>
                      <w:lang w:val="en-US" w:eastAsia="zh-CN"/>
                    </w:rPr>
                    <w:t>.</w:t>
                  </w:r>
                  <w:r>
                    <w:rPr>
                      <w:rFonts w:hint="eastAsia"/>
                      <w:color w:val="auto"/>
                    </w:rPr>
                    <w:t>禁燃区内禁止燃用《高污染燃料目录》中的Ⅱ类燃料组合，即在禁燃区内，禁止使用除单台出力大于等于20蒸吨/小时的锅炉以外燃用的煤炭及其制品，及石油焦、油页岩、原油、重油、渣油、煤焦油。</w:t>
                  </w:r>
                </w:p>
                <w:p w14:paraId="4C4D0B45">
                  <w:pPr>
                    <w:keepNext w:val="0"/>
                    <w:keepLines w:val="0"/>
                    <w:suppressLineNumbers w:val="0"/>
                    <w:autoSpaceDE w:val="0"/>
                    <w:autoSpaceDN w:val="0"/>
                    <w:spacing w:before="0" w:beforeAutospacing="0" w:after="0" w:afterAutospacing="0" w:line="276" w:lineRule="auto"/>
                    <w:ind w:left="0" w:right="0"/>
                    <w:jc w:val="center"/>
                    <w:rPr>
                      <w:rFonts w:hint="eastAsia" w:ascii="Times New Roman" w:hAnsi="Times New Roman" w:eastAsia="宋体" w:cs="Times New Roman"/>
                      <w:color w:val="auto"/>
                      <w:kern w:val="2"/>
                      <w:sz w:val="21"/>
                      <w:szCs w:val="21"/>
                      <w:lang w:val="en-US" w:eastAsia="zh-CN" w:bidi="ar-SA"/>
                    </w:rPr>
                  </w:pPr>
                  <w:r>
                    <w:rPr>
                      <w:rFonts w:hint="eastAsia"/>
                      <w:color w:val="auto"/>
                    </w:rPr>
                    <w:t>74</w:t>
                  </w:r>
                  <w:r>
                    <w:rPr>
                      <w:rFonts w:hint="eastAsia"/>
                      <w:color w:val="auto"/>
                      <w:lang w:val="en-US" w:eastAsia="zh-CN"/>
                    </w:rPr>
                    <w:t>.</w:t>
                  </w:r>
                  <w:r>
                    <w:rPr>
                      <w:rFonts w:hint="eastAsia"/>
                      <w:color w:val="auto"/>
                    </w:rPr>
                    <w:t>禁燃区内禁止销售、燃用高污染燃料，不得新建、扩建燃用高污染燃料的锅炉、窑炉、炉灶等燃烧设施（集中供热、火电厂锅炉除外）</w:t>
                  </w:r>
                  <w:r>
                    <w:rPr>
                      <w:rFonts w:hint="eastAsia"/>
                      <w:color w:val="auto"/>
                      <w:lang w:eastAsia="zh-CN"/>
                    </w:rPr>
                    <w:t>。</w:t>
                  </w:r>
                </w:p>
              </w:tc>
              <w:tc>
                <w:tcPr>
                  <w:tcW w:w="3826" w:type="dxa"/>
                  <w:shd w:val="clear" w:color="auto" w:fill="auto"/>
                  <w:vAlign w:val="center"/>
                </w:tcPr>
                <w:p w14:paraId="6A741936">
                  <w:pPr>
                    <w:keepNext w:val="0"/>
                    <w:keepLines w:val="0"/>
                    <w:suppressLineNumbers w:val="0"/>
                    <w:autoSpaceDE w:val="0"/>
                    <w:autoSpaceDN w:val="0"/>
                    <w:spacing w:before="0" w:beforeAutospacing="0" w:after="0" w:afterAutospacing="0" w:line="276" w:lineRule="auto"/>
                    <w:ind w:left="0" w:right="0"/>
                    <w:jc w:val="center"/>
                    <w:rPr>
                      <w:rFonts w:hint="default" w:ascii="Times New Roman" w:hAnsi="Times New Roman" w:eastAsia="宋体" w:cs="Times New Roman"/>
                      <w:color w:val="auto"/>
                      <w:kern w:val="2"/>
                      <w:sz w:val="21"/>
                      <w:szCs w:val="21"/>
                      <w:lang w:val="en-US" w:eastAsia="zh-CN" w:bidi="ar-SA"/>
                    </w:rPr>
                  </w:pPr>
                  <w:r>
                    <w:rPr>
                      <w:rFonts w:hint="default" w:hAnsi="宋体"/>
                      <w:color w:val="auto"/>
                      <w:szCs w:val="21"/>
                    </w:rPr>
                    <w:t>本项目</w:t>
                  </w:r>
                  <w:r>
                    <w:rPr>
                      <w:rFonts w:hint="eastAsia" w:hAnsi="宋体"/>
                      <w:color w:val="auto"/>
                      <w:szCs w:val="21"/>
                      <w:lang w:val="en-US" w:eastAsia="zh-CN"/>
                    </w:rPr>
                    <w:t>生产主要涉及电能消耗，不涉及使用煤炭等高污染燃料</w:t>
                  </w:r>
                  <w:r>
                    <w:rPr>
                      <w:rFonts w:hint="default" w:hAnsi="宋体"/>
                      <w:color w:val="auto"/>
                      <w:szCs w:val="21"/>
                    </w:rPr>
                    <w:t>。</w:t>
                  </w:r>
                </w:p>
              </w:tc>
              <w:tc>
                <w:tcPr>
                  <w:tcW w:w="765" w:type="dxa"/>
                  <w:shd w:val="clear" w:color="auto" w:fill="auto"/>
                  <w:vAlign w:val="center"/>
                </w:tcPr>
                <w:p w14:paraId="2E25E72A">
                  <w:pPr>
                    <w:keepNext w:val="0"/>
                    <w:keepLines w:val="0"/>
                    <w:suppressLineNumbers w:val="0"/>
                    <w:autoSpaceDE w:val="0"/>
                    <w:autoSpaceDN w:val="0"/>
                    <w:spacing w:before="0" w:beforeAutospacing="0" w:after="0" w:afterAutospacing="0" w:line="276" w:lineRule="auto"/>
                    <w:ind w:left="0" w:right="0"/>
                    <w:jc w:val="center"/>
                    <w:rPr>
                      <w:rFonts w:hint="default" w:ascii="Times New Roman" w:hAnsi="Times New Roman" w:cs="Times New Roman" w:eastAsiaTheme="majorEastAsia"/>
                      <w:color w:val="auto"/>
                      <w:kern w:val="2"/>
                      <w:sz w:val="21"/>
                      <w:szCs w:val="21"/>
                      <w:lang w:val="en-US" w:eastAsia="zh-CN" w:bidi="ar-SA"/>
                    </w:rPr>
                  </w:pPr>
                  <w:r>
                    <w:rPr>
                      <w:rFonts w:hint="default" w:eastAsiaTheme="majorEastAsia"/>
                      <w:color w:val="auto"/>
                      <w:szCs w:val="21"/>
                    </w:rPr>
                    <w:t>符合</w:t>
                  </w:r>
                </w:p>
              </w:tc>
            </w:tr>
          </w:tbl>
          <w:p w14:paraId="25044E7D">
            <w:pPr>
              <w:keepNext w:val="0"/>
              <w:keepLines w:val="0"/>
              <w:suppressLineNumbers w:val="0"/>
              <w:bidi w:val="0"/>
              <w:spacing w:before="0" w:beforeAutospacing="0" w:after="0" w:afterAutospacing="0"/>
              <w:ind w:left="0" w:right="0"/>
              <w:rPr>
                <w:rFonts w:hint="default"/>
                <w:color w:val="auto"/>
              </w:rPr>
            </w:pPr>
          </w:p>
          <w:p w14:paraId="09CB265B">
            <w:pPr>
              <w:keepNext w:val="0"/>
              <w:keepLines w:val="0"/>
              <w:suppressLineNumbers w:val="0"/>
              <w:bidi w:val="0"/>
              <w:spacing w:before="0" w:beforeAutospacing="0" w:after="0" w:afterAutospacing="0"/>
              <w:ind w:left="0" w:right="0"/>
              <w:rPr>
                <w:rFonts w:hint="default"/>
                <w:color w:val="auto"/>
              </w:rPr>
            </w:pPr>
          </w:p>
          <w:p w14:paraId="5A8BF9BE">
            <w:pPr>
              <w:keepNext w:val="0"/>
              <w:keepLines w:val="0"/>
              <w:suppressLineNumbers w:val="0"/>
              <w:bidi w:val="0"/>
              <w:spacing w:before="0" w:beforeAutospacing="0" w:after="0" w:afterAutospacing="0"/>
              <w:ind w:left="0" w:right="0"/>
              <w:rPr>
                <w:rFonts w:hint="default"/>
                <w:color w:val="auto"/>
              </w:rPr>
            </w:pPr>
          </w:p>
          <w:p w14:paraId="17491305">
            <w:pPr>
              <w:keepNext w:val="0"/>
              <w:keepLines w:val="0"/>
              <w:suppressLineNumbers w:val="0"/>
              <w:bidi w:val="0"/>
              <w:spacing w:before="0" w:beforeAutospacing="0" w:after="0" w:afterAutospacing="0"/>
              <w:ind w:left="0" w:right="0"/>
              <w:rPr>
                <w:rFonts w:hint="default"/>
                <w:color w:val="auto"/>
              </w:rPr>
            </w:pPr>
          </w:p>
          <w:p w14:paraId="6D15D47A">
            <w:pPr>
              <w:keepNext w:val="0"/>
              <w:keepLines w:val="0"/>
              <w:suppressLineNumbers w:val="0"/>
              <w:bidi w:val="0"/>
              <w:spacing w:before="0" w:beforeAutospacing="0" w:after="0" w:afterAutospacing="0"/>
              <w:ind w:left="0" w:right="0"/>
              <w:rPr>
                <w:rFonts w:hint="default"/>
                <w:color w:val="auto"/>
              </w:rPr>
            </w:pPr>
          </w:p>
          <w:p w14:paraId="09221FEB">
            <w:pPr>
              <w:keepNext w:val="0"/>
              <w:keepLines w:val="0"/>
              <w:suppressLineNumbers w:val="0"/>
              <w:bidi w:val="0"/>
              <w:spacing w:before="0" w:beforeAutospacing="0" w:after="0" w:afterAutospacing="0"/>
              <w:ind w:left="0" w:right="0"/>
              <w:rPr>
                <w:rFonts w:hint="default"/>
                <w:color w:val="auto"/>
              </w:rPr>
            </w:pPr>
          </w:p>
          <w:p w14:paraId="0535DB7A">
            <w:pPr>
              <w:keepNext w:val="0"/>
              <w:keepLines w:val="0"/>
              <w:suppressLineNumbers w:val="0"/>
              <w:bidi w:val="0"/>
              <w:spacing w:before="0" w:beforeAutospacing="0" w:after="0" w:afterAutospacing="0"/>
              <w:ind w:left="0" w:right="0"/>
              <w:rPr>
                <w:rFonts w:hint="default"/>
                <w:color w:val="auto"/>
              </w:rPr>
            </w:pPr>
          </w:p>
          <w:p w14:paraId="0B7EEB3F">
            <w:pPr>
              <w:keepNext w:val="0"/>
              <w:keepLines w:val="0"/>
              <w:suppressLineNumbers w:val="0"/>
              <w:bidi w:val="0"/>
              <w:spacing w:before="0" w:beforeAutospacing="0" w:after="0" w:afterAutospacing="0"/>
              <w:ind w:left="0" w:right="0"/>
              <w:rPr>
                <w:rFonts w:hint="default"/>
                <w:color w:val="auto"/>
              </w:rPr>
            </w:pPr>
          </w:p>
          <w:p w14:paraId="09F622D8">
            <w:pPr>
              <w:keepNext w:val="0"/>
              <w:keepLines w:val="0"/>
              <w:suppressLineNumbers w:val="0"/>
              <w:bidi w:val="0"/>
              <w:spacing w:before="0" w:beforeAutospacing="0" w:after="0" w:afterAutospacing="0"/>
              <w:ind w:left="0" w:right="0"/>
              <w:rPr>
                <w:rFonts w:hint="default"/>
                <w:color w:val="auto"/>
              </w:rPr>
            </w:pPr>
          </w:p>
          <w:p w14:paraId="119B36FF">
            <w:pPr>
              <w:keepNext w:val="0"/>
              <w:keepLines w:val="0"/>
              <w:suppressLineNumbers w:val="0"/>
              <w:bidi w:val="0"/>
              <w:spacing w:before="0" w:beforeAutospacing="0" w:after="0" w:afterAutospacing="0"/>
              <w:ind w:left="0" w:right="0"/>
              <w:rPr>
                <w:rFonts w:hint="default"/>
                <w:color w:val="auto"/>
              </w:rPr>
            </w:pPr>
          </w:p>
          <w:p w14:paraId="388B96D6">
            <w:pPr>
              <w:keepNext w:val="0"/>
              <w:keepLines w:val="0"/>
              <w:suppressLineNumbers w:val="0"/>
              <w:bidi w:val="0"/>
              <w:spacing w:before="0" w:beforeAutospacing="0" w:after="0" w:afterAutospacing="0"/>
              <w:ind w:left="0" w:right="0"/>
              <w:rPr>
                <w:rFonts w:hint="default"/>
                <w:color w:val="auto"/>
              </w:rPr>
            </w:pPr>
          </w:p>
          <w:p w14:paraId="2E936415">
            <w:pPr>
              <w:pStyle w:val="19"/>
              <w:keepNext w:val="0"/>
              <w:keepLines w:val="0"/>
              <w:suppressLineNumbers w:val="0"/>
              <w:spacing w:before="0" w:beforeAutospacing="0" w:after="0" w:afterAutospacing="0"/>
              <w:ind w:left="0" w:leftChars="0" w:right="0" w:firstLine="0" w:firstLineChars="0"/>
              <w:rPr>
                <w:rFonts w:hint="default"/>
                <w:color w:val="auto"/>
              </w:rPr>
            </w:pPr>
          </w:p>
        </w:tc>
      </w:tr>
    </w:tbl>
    <w:p w14:paraId="1566E627">
      <w:pPr>
        <w:widowControl/>
        <w:jc w:val="left"/>
        <w:outlineLvl w:val="0"/>
        <w:rPr>
          <w:rFonts w:ascii="宋体" w:hAnsi="宋体"/>
          <w:b/>
          <w:bCs/>
          <w:color w:val="auto"/>
          <w:kern w:val="0"/>
          <w:sz w:val="30"/>
          <w:szCs w:val="30"/>
        </w:rPr>
        <w:sectPr>
          <w:pgSz w:w="16838" w:h="11906" w:orient="landscape"/>
          <w:pgMar w:top="1797" w:right="1440" w:bottom="1508" w:left="1440" w:header="851" w:footer="992" w:gutter="0"/>
          <w:pgBorders>
            <w:top w:val="none" w:sz="0" w:space="0"/>
            <w:left w:val="none" w:sz="0" w:space="0"/>
            <w:bottom w:val="none" w:sz="0" w:space="0"/>
            <w:right w:val="none" w:sz="0" w:space="0"/>
          </w:pgBorders>
          <w:cols w:space="720" w:num="1"/>
          <w:docGrid w:type="lines" w:linePitch="312" w:charSpace="0"/>
        </w:sectPr>
      </w:pPr>
    </w:p>
    <w:p w14:paraId="076EC799">
      <w:pPr>
        <w:widowControl/>
        <w:jc w:val="center"/>
        <w:outlineLvl w:val="0"/>
        <w:rPr>
          <w:rFonts w:ascii="宋体" w:hAnsi="宋体"/>
          <w:b/>
          <w:bCs/>
          <w:color w:val="auto"/>
          <w:kern w:val="0"/>
          <w:sz w:val="30"/>
          <w:szCs w:val="30"/>
        </w:rPr>
      </w:pPr>
      <w:r>
        <w:rPr>
          <w:rFonts w:ascii="宋体" w:hAnsi="宋体"/>
          <w:b/>
          <w:bCs/>
          <w:color w:val="auto"/>
          <w:kern w:val="0"/>
          <w:sz w:val="30"/>
          <w:szCs w:val="30"/>
        </w:rPr>
        <w:t>二</w:t>
      </w:r>
      <w:r>
        <w:rPr>
          <w:rFonts w:hint="eastAsia" w:ascii="宋体" w:hAnsi="宋体"/>
          <w:b/>
          <w:bCs/>
          <w:color w:val="auto"/>
          <w:kern w:val="0"/>
          <w:sz w:val="30"/>
          <w:szCs w:val="30"/>
        </w:rPr>
        <w:t>、</w:t>
      </w:r>
      <w:bookmarkEnd w:id="6"/>
      <w:r>
        <w:rPr>
          <w:rFonts w:ascii="宋体" w:hAnsi="宋体"/>
          <w:b/>
          <w:bCs/>
          <w:color w:val="auto"/>
          <w:kern w:val="0"/>
          <w:sz w:val="30"/>
          <w:szCs w:val="30"/>
        </w:rPr>
        <w:t>建设项目工程分析</w:t>
      </w:r>
    </w:p>
    <w:tbl>
      <w:tblPr>
        <w:tblStyle w:val="37"/>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06"/>
        <w:gridCol w:w="8311"/>
      </w:tblGrid>
      <w:tr w14:paraId="29A2D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34" w:hRule="atLeast"/>
        </w:trPr>
        <w:tc>
          <w:tcPr>
            <w:tcW w:w="506" w:type="dxa"/>
            <w:vAlign w:val="center"/>
          </w:tcPr>
          <w:p w14:paraId="49AF3658">
            <w:pPr>
              <w:keepNext w:val="0"/>
              <w:keepLines w:val="0"/>
              <w:widowControl/>
              <w:suppressLineNumbers w:val="0"/>
              <w:spacing w:before="0" w:beforeAutospacing="0" w:after="0" w:afterAutospacing="0" w:line="360" w:lineRule="auto"/>
              <w:ind w:left="0" w:right="0"/>
              <w:jc w:val="center"/>
              <w:rPr>
                <w:rFonts w:hint="default" w:hAnsi="宋体"/>
                <w:color w:val="auto"/>
                <w:kern w:val="0"/>
                <w:sz w:val="24"/>
                <w:highlight w:val="none"/>
              </w:rPr>
            </w:pPr>
            <w:r>
              <w:rPr>
                <w:rFonts w:hint="default" w:hAnsi="宋体"/>
                <w:color w:val="auto"/>
                <w:kern w:val="0"/>
                <w:sz w:val="24"/>
                <w:highlight w:val="none"/>
              </w:rPr>
              <w:t>建设</w:t>
            </w:r>
          </w:p>
          <w:p w14:paraId="7F2B0E05">
            <w:pPr>
              <w:keepNext w:val="0"/>
              <w:keepLines w:val="0"/>
              <w:widowControl/>
              <w:suppressLineNumbers w:val="0"/>
              <w:spacing w:before="0" w:beforeAutospacing="0" w:after="0" w:afterAutospacing="0" w:line="360" w:lineRule="auto"/>
              <w:ind w:left="0" w:right="0"/>
              <w:jc w:val="center"/>
              <w:rPr>
                <w:rFonts w:hint="default"/>
                <w:b/>
                <w:bCs/>
                <w:color w:val="auto"/>
                <w:kern w:val="0"/>
                <w:sz w:val="24"/>
                <w:szCs w:val="28"/>
                <w:highlight w:val="none"/>
              </w:rPr>
            </w:pPr>
            <w:r>
              <w:rPr>
                <w:rFonts w:hint="default" w:hAnsi="宋体"/>
                <w:color w:val="auto"/>
                <w:kern w:val="0"/>
                <w:sz w:val="24"/>
                <w:highlight w:val="none"/>
              </w:rPr>
              <w:t>内容</w:t>
            </w:r>
          </w:p>
        </w:tc>
        <w:tc>
          <w:tcPr>
            <w:tcW w:w="8311" w:type="dxa"/>
          </w:tcPr>
          <w:p w14:paraId="662A2205">
            <w:pPr>
              <w:keepNext w:val="0"/>
              <w:keepLines w:val="0"/>
              <w:suppressLineNumbers w:val="0"/>
              <w:spacing w:before="0" w:beforeAutospacing="0" w:after="0" w:afterAutospacing="0" w:line="360" w:lineRule="auto"/>
              <w:ind w:left="0" w:right="0" w:firstLine="482" w:firstLineChars="200"/>
              <w:rPr>
                <w:rFonts w:hint="default"/>
                <w:b/>
                <w:color w:val="auto"/>
                <w:sz w:val="24"/>
                <w:highlight w:val="none"/>
              </w:rPr>
            </w:pPr>
            <w:r>
              <w:rPr>
                <w:rFonts w:hint="eastAsia"/>
                <w:b/>
                <w:color w:val="auto"/>
                <w:sz w:val="24"/>
                <w:highlight w:val="none"/>
              </w:rPr>
              <w:t>1</w:t>
            </w:r>
            <w:r>
              <w:rPr>
                <w:rFonts w:hint="eastAsia"/>
                <w:b/>
                <w:color w:val="auto"/>
                <w:sz w:val="24"/>
                <w:highlight w:val="none"/>
                <w:lang w:val="en-US" w:eastAsia="zh-CN"/>
              </w:rPr>
              <w:t>.</w:t>
            </w:r>
            <w:r>
              <w:rPr>
                <w:rFonts w:hint="eastAsia"/>
                <w:b/>
                <w:color w:val="auto"/>
                <w:sz w:val="24"/>
                <w:highlight w:val="none"/>
              </w:rPr>
              <w:t>项目背景</w:t>
            </w:r>
          </w:p>
          <w:p w14:paraId="2FE84F10">
            <w:pPr>
              <w:keepNext w:val="0"/>
              <w:keepLines w:val="0"/>
              <w:suppressLineNumbers w:val="0"/>
              <w:spacing w:before="0" w:beforeAutospacing="0" w:after="0" w:afterAutospacing="0" w:line="360" w:lineRule="auto"/>
              <w:ind w:left="0" w:right="0" w:firstLine="480" w:firstLineChars="200"/>
              <w:jc w:val="left"/>
              <w:rPr>
                <w:rFonts w:hint="default" w:ascii="Times New Roman" w:hAnsi="宋体" w:eastAsia="宋体" w:cs="Times New Roman"/>
                <w:color w:val="auto"/>
                <w:kern w:val="2"/>
                <w:sz w:val="24"/>
                <w:szCs w:val="22"/>
                <w:highlight w:val="none"/>
              </w:rPr>
            </w:pPr>
            <w:r>
              <w:rPr>
                <w:rFonts w:hint="eastAsia" w:hAnsi="宋体" w:cs="Times New Roman"/>
                <w:color w:val="auto"/>
                <w:kern w:val="2"/>
                <w:sz w:val="24"/>
                <w:szCs w:val="22"/>
                <w:highlight w:val="none"/>
                <w:lang w:val="en-US" w:eastAsia="zh-CN"/>
              </w:rPr>
              <w:t>淮南永豪塑胶科技有限公司</w:t>
            </w:r>
            <w:r>
              <w:rPr>
                <w:rFonts w:hint="eastAsia" w:ascii="Times New Roman" w:hAnsi="宋体" w:eastAsia="宋体" w:cs="Times New Roman"/>
                <w:color w:val="auto"/>
                <w:kern w:val="2"/>
                <w:sz w:val="24"/>
                <w:szCs w:val="22"/>
                <w:highlight w:val="none"/>
                <w:lang w:val="en-US" w:eastAsia="zh-CN"/>
              </w:rPr>
              <w:t>位于</w:t>
            </w:r>
            <w:r>
              <w:rPr>
                <w:rFonts w:hint="eastAsia" w:hAnsi="宋体" w:cs="Times New Roman"/>
                <w:color w:val="auto"/>
                <w:kern w:val="2"/>
                <w:sz w:val="24"/>
                <w:szCs w:val="22"/>
                <w:highlight w:val="none"/>
                <w:lang w:val="en-US" w:eastAsia="zh-CN"/>
              </w:rPr>
              <w:t>安徽省淮南市凤台县凤台经济开发区电子智能制造产业园52#标准化厂房一层、二层、三层、四层</w:t>
            </w:r>
            <w:r>
              <w:rPr>
                <w:rFonts w:hint="eastAsia" w:ascii="Times New Roman" w:hAnsi="宋体" w:eastAsia="宋体" w:cs="Times New Roman"/>
                <w:color w:val="auto"/>
                <w:kern w:val="2"/>
                <w:sz w:val="24"/>
                <w:szCs w:val="22"/>
                <w:highlight w:val="none"/>
                <w:lang w:eastAsia="zh-CN"/>
              </w:rPr>
              <w:t>，</w:t>
            </w:r>
            <w:r>
              <w:rPr>
                <w:rFonts w:hint="eastAsia" w:ascii="Times New Roman" w:hAnsi="宋体" w:eastAsia="宋体" w:cs="Times New Roman"/>
                <w:color w:val="auto"/>
                <w:kern w:val="2"/>
                <w:sz w:val="24"/>
                <w:szCs w:val="22"/>
                <w:highlight w:val="none"/>
                <w:lang w:val="en-US" w:eastAsia="zh-CN"/>
              </w:rPr>
              <w:t>成立于</w:t>
            </w:r>
            <w:r>
              <w:rPr>
                <w:rFonts w:hint="eastAsia" w:hAnsi="宋体" w:cs="Times New Roman"/>
                <w:color w:val="auto"/>
                <w:kern w:val="2"/>
                <w:sz w:val="24"/>
                <w:szCs w:val="22"/>
                <w:highlight w:val="none"/>
                <w:lang w:val="en-US" w:eastAsia="zh-CN"/>
              </w:rPr>
              <w:t>2025</w:t>
            </w:r>
            <w:r>
              <w:rPr>
                <w:rFonts w:hint="eastAsia" w:ascii="Times New Roman" w:hAnsi="宋体" w:eastAsia="宋体" w:cs="Times New Roman"/>
                <w:color w:val="auto"/>
                <w:kern w:val="2"/>
                <w:sz w:val="24"/>
                <w:szCs w:val="22"/>
                <w:highlight w:val="none"/>
                <w:lang w:val="en-US" w:eastAsia="zh-CN"/>
              </w:rPr>
              <w:t>年</w:t>
            </w:r>
            <w:r>
              <w:rPr>
                <w:rFonts w:hint="eastAsia" w:hAnsi="宋体" w:cs="Times New Roman"/>
                <w:color w:val="auto"/>
                <w:kern w:val="2"/>
                <w:sz w:val="24"/>
                <w:szCs w:val="22"/>
                <w:highlight w:val="none"/>
                <w:lang w:val="en-US" w:eastAsia="zh-CN"/>
              </w:rPr>
              <w:t>10</w:t>
            </w:r>
            <w:r>
              <w:rPr>
                <w:rFonts w:hint="eastAsia" w:ascii="Times New Roman" w:hAnsi="宋体" w:eastAsia="宋体" w:cs="Times New Roman"/>
                <w:color w:val="auto"/>
                <w:kern w:val="2"/>
                <w:sz w:val="24"/>
                <w:szCs w:val="22"/>
                <w:highlight w:val="none"/>
                <w:lang w:val="en-US" w:eastAsia="zh-CN"/>
              </w:rPr>
              <w:t>月</w:t>
            </w:r>
            <w:r>
              <w:rPr>
                <w:rFonts w:hint="eastAsia" w:hAnsi="宋体" w:cs="Times New Roman"/>
                <w:color w:val="auto"/>
                <w:kern w:val="2"/>
                <w:sz w:val="24"/>
                <w:szCs w:val="22"/>
                <w:highlight w:val="none"/>
                <w:lang w:val="en-US" w:eastAsia="zh-CN"/>
              </w:rPr>
              <w:t>23</w:t>
            </w:r>
            <w:r>
              <w:rPr>
                <w:rFonts w:hint="eastAsia" w:ascii="Times New Roman" w:hAnsi="宋体" w:eastAsia="宋体" w:cs="Times New Roman"/>
                <w:color w:val="auto"/>
                <w:kern w:val="2"/>
                <w:sz w:val="24"/>
                <w:szCs w:val="22"/>
                <w:highlight w:val="none"/>
                <w:lang w:val="en-US" w:eastAsia="zh-CN"/>
              </w:rPr>
              <w:t>日</w:t>
            </w:r>
            <w:r>
              <w:rPr>
                <w:rFonts w:hint="eastAsia" w:ascii="Times New Roman" w:hAnsi="宋体" w:eastAsia="宋体" w:cs="Times New Roman"/>
                <w:color w:val="auto"/>
                <w:kern w:val="2"/>
                <w:sz w:val="24"/>
                <w:szCs w:val="22"/>
                <w:highlight w:val="none"/>
                <w:lang w:eastAsia="zh-CN"/>
              </w:rPr>
              <w:t>。</w:t>
            </w:r>
            <w:r>
              <w:rPr>
                <w:rFonts w:hint="eastAsia" w:ascii="Times New Roman" w:hAnsi="宋体" w:eastAsia="宋体" w:cs="Times New Roman"/>
                <w:color w:val="auto"/>
                <w:kern w:val="2"/>
                <w:sz w:val="24"/>
                <w:szCs w:val="22"/>
                <w:highlight w:val="none"/>
              </w:rPr>
              <w:t>主要</w:t>
            </w:r>
            <w:r>
              <w:rPr>
                <w:rFonts w:hint="eastAsia" w:hAnsi="宋体" w:cs="Times New Roman"/>
                <w:color w:val="auto"/>
                <w:kern w:val="2"/>
                <w:sz w:val="24"/>
                <w:szCs w:val="22"/>
                <w:highlight w:val="none"/>
                <w:lang w:val="en-US" w:eastAsia="zh-CN"/>
              </w:rPr>
              <w:t>从事日用品生产</w:t>
            </w:r>
            <w:r>
              <w:rPr>
                <w:rFonts w:hint="eastAsia" w:ascii="Times New Roman" w:hAnsi="宋体" w:eastAsia="宋体" w:cs="Times New Roman"/>
                <w:color w:val="auto"/>
                <w:kern w:val="2"/>
                <w:sz w:val="24"/>
                <w:szCs w:val="22"/>
                <w:highlight w:val="none"/>
              </w:rPr>
              <w:t>，包括</w:t>
            </w:r>
            <w:r>
              <w:rPr>
                <w:rFonts w:hint="eastAsia" w:hAnsi="宋体" w:cs="Times New Roman"/>
                <w:color w:val="auto"/>
                <w:kern w:val="2"/>
                <w:sz w:val="24"/>
                <w:szCs w:val="22"/>
                <w:highlight w:val="none"/>
                <w:lang w:val="en-US" w:eastAsia="zh-CN"/>
              </w:rPr>
              <w:t>PS衣架、日常收纳品、服装辅料配件等日用塑料品</w:t>
            </w:r>
            <w:r>
              <w:rPr>
                <w:rFonts w:hint="eastAsia" w:ascii="Times New Roman" w:hAnsi="宋体" w:eastAsia="宋体" w:cs="Times New Roman"/>
                <w:color w:val="auto"/>
                <w:kern w:val="2"/>
                <w:sz w:val="24"/>
                <w:szCs w:val="22"/>
                <w:highlight w:val="none"/>
              </w:rPr>
              <w:t>。</w:t>
            </w:r>
            <w:r>
              <w:rPr>
                <w:rFonts w:hint="eastAsia" w:hAnsi="宋体" w:cs="Times New Roman"/>
                <w:color w:val="auto"/>
                <w:kern w:val="2"/>
                <w:sz w:val="24"/>
                <w:szCs w:val="22"/>
                <w:highlight w:val="none"/>
                <w:lang w:val="en-US" w:eastAsia="zh-CN"/>
              </w:rPr>
              <w:t>为顺应日用品市场需求和行业发展趋势</w:t>
            </w:r>
            <w:r>
              <w:rPr>
                <w:rFonts w:hint="eastAsia" w:ascii="Times New Roman" w:hAnsi="宋体" w:eastAsia="宋体" w:cs="Times New Roman"/>
                <w:color w:val="auto"/>
                <w:kern w:val="2"/>
                <w:sz w:val="24"/>
                <w:szCs w:val="22"/>
                <w:highlight w:val="none"/>
              </w:rPr>
              <w:t>，</w:t>
            </w:r>
            <w:r>
              <w:rPr>
                <w:rFonts w:hint="eastAsia" w:ascii="Times New Roman" w:hAnsi="宋体" w:eastAsia="宋体" w:cs="Times New Roman"/>
                <w:color w:val="auto"/>
                <w:kern w:val="2"/>
                <w:sz w:val="24"/>
                <w:szCs w:val="22"/>
                <w:highlight w:val="none"/>
                <w:lang w:val="en-US" w:eastAsia="zh-CN"/>
              </w:rPr>
              <w:t>建设单位拟投资</w:t>
            </w:r>
            <w:r>
              <w:rPr>
                <w:rFonts w:hint="eastAsia" w:hAnsi="宋体" w:cs="Times New Roman"/>
                <w:color w:val="auto"/>
                <w:kern w:val="2"/>
                <w:sz w:val="24"/>
                <w:szCs w:val="22"/>
                <w:highlight w:val="none"/>
                <w:lang w:val="en-US" w:eastAsia="zh-CN"/>
              </w:rPr>
              <w:t>3000</w:t>
            </w:r>
            <w:r>
              <w:rPr>
                <w:rFonts w:hint="eastAsia" w:ascii="Times New Roman" w:hAnsi="宋体" w:eastAsia="宋体" w:cs="Times New Roman"/>
                <w:color w:val="auto"/>
                <w:kern w:val="2"/>
                <w:sz w:val="24"/>
                <w:szCs w:val="22"/>
                <w:highlight w:val="none"/>
                <w:lang w:val="en-US" w:eastAsia="zh-CN"/>
              </w:rPr>
              <w:t>万元</w:t>
            </w:r>
            <w:r>
              <w:rPr>
                <w:rFonts w:hint="eastAsia" w:hAnsi="宋体" w:cs="Times New Roman"/>
                <w:color w:val="auto"/>
                <w:kern w:val="2"/>
                <w:sz w:val="24"/>
                <w:szCs w:val="22"/>
                <w:highlight w:val="none"/>
                <w:lang w:val="en-US" w:eastAsia="zh-CN"/>
              </w:rPr>
              <w:t>于安徽省淮南市凤台县凤台经济开发区电子智能制造产业园52#标准化厂房一层、二层、三层、四层，建设日用品生产项目。项目</w:t>
            </w:r>
            <w:r>
              <w:rPr>
                <w:rFonts w:hint="eastAsia" w:ascii="Times New Roman" w:hAnsi="宋体" w:eastAsia="宋体" w:cs="Times New Roman"/>
                <w:color w:val="auto"/>
                <w:kern w:val="2"/>
                <w:sz w:val="24"/>
                <w:szCs w:val="22"/>
                <w:highlight w:val="none"/>
                <w:lang w:val="en-US" w:eastAsia="zh-CN"/>
              </w:rPr>
              <w:t>厂区总</w:t>
            </w:r>
            <w:r>
              <w:rPr>
                <w:rFonts w:hint="eastAsia" w:hAnsi="宋体" w:cs="Times New Roman"/>
                <w:color w:val="auto"/>
                <w:kern w:val="2"/>
                <w:sz w:val="24"/>
                <w:szCs w:val="22"/>
                <w:highlight w:val="none"/>
                <w:lang w:val="en-US" w:eastAsia="zh-CN"/>
              </w:rPr>
              <w:t>建筑</w:t>
            </w:r>
            <w:r>
              <w:rPr>
                <w:rFonts w:hint="eastAsia" w:ascii="Times New Roman" w:hAnsi="宋体" w:eastAsia="宋体" w:cs="Times New Roman"/>
                <w:color w:val="auto"/>
                <w:kern w:val="2"/>
                <w:sz w:val="24"/>
                <w:szCs w:val="22"/>
                <w:highlight w:val="none"/>
                <w:lang w:val="en-US" w:eastAsia="zh-CN"/>
              </w:rPr>
              <w:t>面积约</w:t>
            </w:r>
            <w:r>
              <w:rPr>
                <w:rFonts w:hint="eastAsia" w:hAnsi="宋体" w:cs="Times New Roman"/>
                <w:color w:val="auto"/>
                <w:kern w:val="2"/>
                <w:sz w:val="24"/>
                <w:szCs w:val="22"/>
                <w:highlight w:val="none"/>
                <w:lang w:val="en-US" w:eastAsia="zh-CN"/>
              </w:rPr>
              <w:t>2910.24</w:t>
            </w:r>
            <w:r>
              <w:rPr>
                <w:rFonts w:hint="eastAsia" w:ascii="Times New Roman" w:hAnsi="宋体" w:eastAsia="宋体" w:cs="Times New Roman"/>
                <w:color w:val="auto"/>
                <w:kern w:val="2"/>
                <w:sz w:val="24"/>
                <w:szCs w:val="22"/>
                <w:highlight w:val="none"/>
              </w:rPr>
              <w:t>m</w:t>
            </w:r>
            <w:r>
              <w:rPr>
                <w:rFonts w:hint="eastAsia" w:ascii="Times New Roman" w:hAnsi="宋体" w:eastAsia="宋体" w:cs="Times New Roman"/>
                <w:color w:val="auto"/>
                <w:kern w:val="2"/>
                <w:sz w:val="24"/>
                <w:szCs w:val="22"/>
                <w:highlight w:val="none"/>
                <w:vertAlign w:val="superscript"/>
              </w:rPr>
              <w:t>2</w:t>
            </w:r>
            <w:r>
              <w:rPr>
                <w:rFonts w:hint="eastAsia" w:ascii="Times New Roman" w:hAnsi="宋体" w:eastAsia="宋体" w:cs="Times New Roman"/>
                <w:color w:val="auto"/>
                <w:kern w:val="2"/>
                <w:sz w:val="24"/>
                <w:szCs w:val="22"/>
                <w:highlight w:val="none"/>
                <w:lang w:eastAsia="zh-CN"/>
              </w:rPr>
              <w:t>。</w:t>
            </w:r>
            <w:r>
              <w:rPr>
                <w:rFonts w:hint="eastAsia" w:ascii="Times New Roman" w:hAnsi="宋体" w:eastAsia="宋体" w:cs="Times New Roman"/>
                <w:color w:val="auto"/>
                <w:kern w:val="2"/>
                <w:sz w:val="24"/>
                <w:szCs w:val="22"/>
                <w:highlight w:val="none"/>
              </w:rPr>
              <w:t>主要工程内容为</w:t>
            </w:r>
            <w:r>
              <w:rPr>
                <w:rFonts w:hint="eastAsia" w:ascii="Times New Roman" w:hAnsi="宋体" w:eastAsia="宋体" w:cs="Times New Roman"/>
                <w:color w:val="auto"/>
                <w:kern w:val="2"/>
                <w:sz w:val="24"/>
                <w:szCs w:val="22"/>
                <w:highlight w:val="none"/>
                <w:lang w:eastAsia="zh-CN"/>
              </w:rPr>
              <w:t>：</w:t>
            </w:r>
            <w:r>
              <w:rPr>
                <w:rFonts w:hint="eastAsia" w:hAnsi="宋体" w:cs="Times New Roman"/>
                <w:color w:val="auto"/>
                <w:kern w:val="2"/>
                <w:sz w:val="24"/>
                <w:szCs w:val="22"/>
                <w:highlight w:val="none"/>
                <w:lang w:val="en-US" w:eastAsia="zh-CN"/>
              </w:rPr>
              <w:t>该项目拟租赁凤台经济开发区电子智能制造产业园内52#标准化厂房一层、二层、三层、四层约2910.24平方米，投资建设日用品生产项目，购置注塑机等辅助设备，建设成集生产、研发、销售为一体的日用品等有关产品生产基地。年生产1500万件PS衣架、500万件日常收纳用品、500万件服装辅料配件。</w:t>
            </w:r>
          </w:p>
          <w:p w14:paraId="617E2BAB">
            <w:pPr>
              <w:keepNext w:val="0"/>
              <w:keepLines w:val="0"/>
              <w:suppressLineNumbers w:val="0"/>
              <w:spacing w:before="0" w:beforeAutospacing="0" w:after="0" w:afterAutospacing="0" w:line="360" w:lineRule="auto"/>
              <w:ind w:left="0" w:right="0" w:firstLine="480" w:firstLineChars="200"/>
              <w:jc w:val="left"/>
              <w:rPr>
                <w:rFonts w:hint="eastAsia" w:ascii="Times New Roman" w:hAnsi="宋体" w:eastAsia="宋体" w:cs="Times New Roman"/>
                <w:color w:val="auto"/>
                <w:kern w:val="2"/>
                <w:sz w:val="24"/>
                <w:szCs w:val="22"/>
                <w:highlight w:val="none"/>
              </w:rPr>
            </w:pPr>
            <w:r>
              <w:rPr>
                <w:rFonts w:hint="eastAsia" w:hAnsi="宋体" w:cs="Times New Roman"/>
                <w:color w:val="auto"/>
                <w:kern w:val="2"/>
                <w:sz w:val="24"/>
                <w:szCs w:val="22"/>
                <w:highlight w:val="none"/>
                <w:lang w:val="en-US" w:eastAsia="zh-CN"/>
              </w:rPr>
              <w:t>2026</w:t>
            </w:r>
            <w:r>
              <w:rPr>
                <w:rFonts w:hint="eastAsia" w:ascii="Times New Roman" w:hAnsi="宋体" w:eastAsia="宋体" w:cs="Times New Roman"/>
                <w:color w:val="auto"/>
                <w:kern w:val="2"/>
                <w:sz w:val="24"/>
                <w:szCs w:val="22"/>
                <w:highlight w:val="none"/>
              </w:rPr>
              <w:t>年</w:t>
            </w:r>
            <w:r>
              <w:rPr>
                <w:rFonts w:hint="eastAsia" w:hAnsi="宋体" w:cs="Times New Roman"/>
                <w:color w:val="auto"/>
                <w:kern w:val="2"/>
                <w:sz w:val="24"/>
                <w:szCs w:val="22"/>
                <w:highlight w:val="none"/>
                <w:lang w:val="en-US" w:eastAsia="zh-CN"/>
              </w:rPr>
              <w:t>3</w:t>
            </w:r>
            <w:r>
              <w:rPr>
                <w:rFonts w:hint="eastAsia" w:ascii="Times New Roman" w:hAnsi="宋体" w:eastAsia="宋体" w:cs="Times New Roman"/>
                <w:color w:val="auto"/>
                <w:kern w:val="2"/>
                <w:sz w:val="24"/>
                <w:szCs w:val="22"/>
                <w:highlight w:val="none"/>
              </w:rPr>
              <w:t>月</w:t>
            </w:r>
            <w:r>
              <w:rPr>
                <w:rFonts w:hint="eastAsia" w:hAnsi="宋体" w:cs="Times New Roman"/>
                <w:color w:val="auto"/>
                <w:kern w:val="2"/>
                <w:sz w:val="24"/>
                <w:szCs w:val="22"/>
                <w:highlight w:val="none"/>
                <w:lang w:val="en-US" w:eastAsia="zh-CN"/>
              </w:rPr>
              <w:t>30</w:t>
            </w:r>
            <w:r>
              <w:rPr>
                <w:rFonts w:hint="eastAsia" w:ascii="Times New Roman" w:hAnsi="宋体" w:eastAsia="宋体" w:cs="Times New Roman"/>
                <w:color w:val="auto"/>
                <w:kern w:val="2"/>
                <w:sz w:val="24"/>
                <w:szCs w:val="22"/>
                <w:highlight w:val="none"/>
              </w:rPr>
              <w:t>日，“</w:t>
            </w:r>
            <w:r>
              <w:rPr>
                <w:rFonts w:hint="eastAsia" w:hAnsi="宋体" w:cs="Times New Roman"/>
                <w:color w:val="auto"/>
                <w:kern w:val="2"/>
                <w:sz w:val="24"/>
                <w:szCs w:val="22"/>
                <w:highlight w:val="none"/>
                <w:lang w:val="en-US" w:eastAsia="zh-CN"/>
              </w:rPr>
              <w:t>淮南永豪塑胶科技有限公司日用品、医疗产品及汽车塑料件生产项目</w:t>
            </w:r>
            <w:r>
              <w:rPr>
                <w:rFonts w:hint="eastAsia" w:ascii="Times New Roman" w:hAnsi="宋体" w:eastAsia="宋体" w:cs="Times New Roman"/>
                <w:color w:val="auto"/>
                <w:kern w:val="2"/>
                <w:sz w:val="24"/>
                <w:szCs w:val="22"/>
                <w:highlight w:val="none"/>
              </w:rPr>
              <w:t>”</w:t>
            </w:r>
            <w:r>
              <w:rPr>
                <w:rFonts w:hint="eastAsia" w:hAnsi="宋体" w:cs="Times New Roman"/>
                <w:color w:val="auto"/>
                <w:kern w:val="2"/>
                <w:sz w:val="24"/>
                <w:szCs w:val="22"/>
                <w:highlight w:val="none"/>
                <w:lang w:val="en-US" w:eastAsia="zh-CN"/>
              </w:rPr>
              <w:t>首次</w:t>
            </w:r>
            <w:r>
              <w:rPr>
                <w:rFonts w:hint="eastAsia" w:ascii="Times New Roman" w:hAnsi="宋体" w:eastAsia="宋体" w:cs="Times New Roman"/>
                <w:color w:val="auto"/>
                <w:kern w:val="2"/>
                <w:sz w:val="24"/>
                <w:szCs w:val="22"/>
                <w:highlight w:val="none"/>
              </w:rPr>
              <w:t>通过</w:t>
            </w:r>
            <w:r>
              <w:rPr>
                <w:rFonts w:hint="eastAsia" w:hAnsi="宋体" w:cs="Times New Roman"/>
                <w:color w:val="auto"/>
                <w:kern w:val="2"/>
                <w:sz w:val="24"/>
                <w:szCs w:val="22"/>
                <w:highlight w:val="none"/>
                <w:lang w:val="en-US" w:eastAsia="zh-CN"/>
              </w:rPr>
              <w:t>凤台县发展和改革委员会</w:t>
            </w:r>
            <w:r>
              <w:rPr>
                <w:rFonts w:hint="eastAsia" w:ascii="Times New Roman" w:hAnsi="宋体" w:eastAsia="宋体" w:cs="Times New Roman"/>
                <w:color w:val="auto"/>
                <w:kern w:val="2"/>
                <w:sz w:val="24"/>
                <w:szCs w:val="22"/>
                <w:highlight w:val="none"/>
              </w:rPr>
              <w:t>备案（项目代码：</w:t>
            </w:r>
            <w:r>
              <w:rPr>
                <w:rFonts w:hint="eastAsia" w:hAnsi="宋体" w:cs="Times New Roman"/>
                <w:color w:val="auto"/>
                <w:kern w:val="2"/>
                <w:sz w:val="24"/>
                <w:szCs w:val="22"/>
                <w:highlight w:val="none"/>
                <w:lang w:val="en-US" w:eastAsia="zh-CN"/>
              </w:rPr>
              <w:t>2603-340421-04-03-241021</w:t>
            </w:r>
            <w:r>
              <w:rPr>
                <w:rFonts w:hint="eastAsia" w:ascii="Times New Roman" w:hAnsi="宋体" w:eastAsia="宋体" w:cs="Times New Roman"/>
                <w:color w:val="auto"/>
                <w:kern w:val="2"/>
                <w:sz w:val="24"/>
                <w:szCs w:val="22"/>
                <w:highlight w:val="none"/>
              </w:rPr>
              <w:t>），同意项目建设</w:t>
            </w:r>
            <w:r>
              <w:rPr>
                <w:rFonts w:hint="eastAsia" w:hAnsi="宋体" w:cs="Times New Roman"/>
                <w:color w:val="auto"/>
                <w:kern w:val="2"/>
                <w:sz w:val="24"/>
                <w:szCs w:val="22"/>
                <w:highlight w:val="none"/>
                <w:lang w:eastAsia="zh-CN"/>
              </w:rPr>
              <w:t>；</w:t>
            </w:r>
            <w:r>
              <w:rPr>
                <w:rFonts w:hint="eastAsia" w:hAnsi="宋体" w:cs="Times New Roman"/>
                <w:color w:val="auto"/>
                <w:kern w:val="2"/>
                <w:sz w:val="24"/>
                <w:szCs w:val="22"/>
                <w:highlight w:val="none"/>
                <w:lang w:val="en-US" w:eastAsia="zh-CN"/>
              </w:rPr>
              <w:t>2026年7月21日，项目名称及建设内容相应调整变更</w:t>
            </w:r>
            <w:r>
              <w:rPr>
                <w:rFonts w:hint="eastAsia" w:ascii="Times New Roman" w:hAnsi="宋体" w:eastAsia="宋体" w:cs="Times New Roman"/>
                <w:color w:val="auto"/>
                <w:kern w:val="2"/>
                <w:sz w:val="24"/>
                <w:szCs w:val="22"/>
                <w:highlight w:val="none"/>
              </w:rPr>
              <w:t>。</w:t>
            </w:r>
          </w:p>
          <w:p w14:paraId="1FD61401">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kern w:val="2"/>
                <w:sz w:val="24"/>
                <w:szCs w:val="22"/>
                <w:highlight w:val="none"/>
              </w:rPr>
            </w:pPr>
            <w:r>
              <w:rPr>
                <w:rFonts w:hint="eastAsia" w:ascii="Times New Roman" w:hAnsi="宋体" w:eastAsia="宋体" w:cs="Times New Roman"/>
                <w:color w:val="auto"/>
                <w:kern w:val="2"/>
                <w:sz w:val="24"/>
                <w:szCs w:val="22"/>
                <w:highlight w:val="none"/>
              </w:rPr>
              <w:t>根据</w:t>
            </w:r>
            <w:r>
              <w:rPr>
                <w:rFonts w:hint="eastAsia" w:hAnsi="宋体" w:cs="Times New Roman"/>
                <w:color w:val="auto"/>
                <w:kern w:val="2"/>
                <w:sz w:val="24"/>
                <w:szCs w:val="22"/>
                <w:highlight w:val="none"/>
                <w:lang w:eastAsia="zh-CN"/>
              </w:rPr>
              <w:t>《</w:t>
            </w:r>
            <w:r>
              <w:rPr>
                <w:rFonts w:hint="eastAsia" w:hAnsi="宋体" w:cs="Times New Roman"/>
                <w:color w:val="auto"/>
                <w:kern w:val="2"/>
                <w:sz w:val="24"/>
                <w:szCs w:val="22"/>
                <w:highlight w:val="none"/>
                <w:lang w:val="en-US" w:eastAsia="zh-CN"/>
              </w:rPr>
              <w:t>中华人民共和国生态环境法典</w:t>
            </w:r>
            <w:r>
              <w:rPr>
                <w:rFonts w:hint="eastAsia" w:hAnsi="宋体" w:cs="Times New Roman"/>
                <w:color w:val="auto"/>
                <w:kern w:val="2"/>
                <w:sz w:val="24"/>
                <w:szCs w:val="22"/>
                <w:highlight w:val="none"/>
                <w:lang w:eastAsia="zh-CN"/>
              </w:rPr>
              <w:t>》</w:t>
            </w:r>
            <w:r>
              <w:rPr>
                <w:rFonts w:hint="eastAsia" w:ascii="Times New Roman" w:hAnsi="宋体" w:eastAsia="宋体" w:cs="Times New Roman"/>
                <w:color w:val="auto"/>
                <w:kern w:val="2"/>
                <w:sz w:val="24"/>
                <w:szCs w:val="24"/>
                <w:highlight w:val="none"/>
              </w:rPr>
              <w:t>中有关规定，同时根据《建设项目环境影响评价分</w:t>
            </w:r>
            <w:r>
              <w:rPr>
                <w:rFonts w:hint="default" w:ascii="Times New Roman" w:hAnsi="Times New Roman" w:eastAsia="宋体" w:cs="Times New Roman"/>
                <w:color w:val="auto"/>
                <w:kern w:val="2"/>
                <w:sz w:val="24"/>
                <w:szCs w:val="24"/>
                <w:highlight w:val="none"/>
              </w:rPr>
              <w:t>类管理名录》（2021年版），</w:t>
            </w:r>
            <w:r>
              <w:rPr>
                <w:rFonts w:hint="default" w:ascii="Times New Roman" w:hAnsi="宋体" w:eastAsia="宋体" w:cs="Times New Roman"/>
                <w:color w:val="auto"/>
                <w:kern w:val="2"/>
                <w:sz w:val="24"/>
                <w:szCs w:val="24"/>
                <w:highlight w:val="none"/>
              </w:rPr>
              <w:t>本项目</w:t>
            </w:r>
            <w:r>
              <w:rPr>
                <w:rFonts w:hint="eastAsia" w:hAnsi="宋体" w:cs="Times New Roman"/>
                <w:color w:val="auto"/>
                <w:kern w:val="2"/>
                <w:sz w:val="24"/>
                <w:szCs w:val="24"/>
                <w:highlight w:val="none"/>
                <w:lang w:val="en-US" w:eastAsia="zh-CN"/>
              </w:rPr>
              <w:t>主要外购PP、PS、PE等塑料粒子进行注塑</w:t>
            </w:r>
            <w:r>
              <w:rPr>
                <w:rFonts w:hint="eastAsia" w:ascii="Times New Roman" w:hAnsi="宋体" w:eastAsia="宋体" w:cs="Times New Roman"/>
                <w:color w:val="auto"/>
                <w:kern w:val="2"/>
                <w:sz w:val="24"/>
                <w:szCs w:val="24"/>
                <w:highlight w:val="none"/>
                <w:lang w:val="en-US" w:eastAsia="zh-CN"/>
              </w:rPr>
              <w:t>，</w:t>
            </w:r>
            <w:r>
              <w:rPr>
                <w:rFonts w:hint="eastAsia" w:hAnsi="宋体" w:cs="Times New Roman"/>
                <w:color w:val="auto"/>
                <w:kern w:val="2"/>
                <w:sz w:val="24"/>
                <w:szCs w:val="24"/>
                <w:highlight w:val="none"/>
                <w:lang w:val="en-US" w:eastAsia="zh-CN"/>
              </w:rPr>
              <w:t>不外购</w:t>
            </w:r>
            <w:r>
              <w:rPr>
                <w:rFonts w:hint="eastAsia" w:ascii="Times New Roman" w:hAnsi="宋体" w:eastAsia="宋体" w:cs="Times New Roman"/>
                <w:color w:val="auto"/>
                <w:kern w:val="2"/>
                <w:sz w:val="24"/>
                <w:szCs w:val="24"/>
                <w:highlight w:val="none"/>
                <w:lang w:val="en-US" w:eastAsia="zh-CN"/>
              </w:rPr>
              <w:t>再生塑料</w:t>
            </w:r>
            <w:r>
              <w:rPr>
                <w:rFonts w:hint="eastAsia" w:hAnsi="宋体" w:cs="Times New Roman"/>
                <w:color w:val="auto"/>
                <w:kern w:val="2"/>
                <w:sz w:val="24"/>
                <w:szCs w:val="24"/>
                <w:highlight w:val="none"/>
                <w:lang w:val="en-US" w:eastAsia="zh-CN"/>
              </w:rPr>
              <w:t>、不涉及</w:t>
            </w:r>
            <w:r>
              <w:rPr>
                <w:rFonts w:hint="eastAsia" w:ascii="Times New Roman" w:hAnsi="宋体" w:eastAsia="宋体" w:cs="Times New Roman"/>
                <w:color w:val="auto"/>
                <w:kern w:val="2"/>
                <w:sz w:val="24"/>
                <w:szCs w:val="24"/>
                <w:highlight w:val="none"/>
                <w:lang w:val="en-US" w:eastAsia="zh-CN"/>
              </w:rPr>
              <w:t>电镀工艺</w:t>
            </w:r>
            <w:r>
              <w:rPr>
                <w:rFonts w:hint="eastAsia" w:hAnsi="宋体" w:cs="Times New Roman"/>
                <w:color w:val="auto"/>
                <w:kern w:val="2"/>
                <w:sz w:val="24"/>
                <w:szCs w:val="24"/>
                <w:highlight w:val="none"/>
                <w:lang w:val="en-US" w:eastAsia="zh-CN"/>
              </w:rPr>
              <w:t>，</w:t>
            </w:r>
            <w:r>
              <w:rPr>
                <w:rFonts w:hint="eastAsia" w:ascii="Times New Roman" w:hAnsi="宋体" w:eastAsia="宋体" w:cs="Times New Roman"/>
                <w:color w:val="auto"/>
                <w:kern w:val="2"/>
                <w:sz w:val="24"/>
                <w:szCs w:val="24"/>
                <w:highlight w:val="none"/>
                <w:lang w:val="en-US" w:eastAsia="zh-CN"/>
              </w:rPr>
              <w:t>属于</w:t>
            </w:r>
            <w:r>
              <w:rPr>
                <w:rFonts w:hint="eastAsia" w:hAnsi="宋体" w:cs="Times New Roman"/>
                <w:color w:val="auto"/>
                <w:kern w:val="2"/>
                <w:sz w:val="24"/>
                <w:szCs w:val="24"/>
                <w:highlight w:val="none"/>
                <w:lang w:val="en-US" w:eastAsia="zh-CN"/>
              </w:rPr>
              <w:t>“二十六、</w:t>
            </w:r>
            <w:r>
              <w:rPr>
                <w:rFonts w:hint="default" w:ascii="Times New Roman" w:hAnsi="Times New Roman" w:cs="Times New Roman"/>
                <w:color w:val="auto"/>
                <w:kern w:val="2"/>
                <w:sz w:val="24"/>
                <w:szCs w:val="24"/>
                <w:highlight w:val="none"/>
                <w:lang w:val="en-US" w:eastAsia="zh-CN"/>
              </w:rPr>
              <w:t>橡胶和塑料制品业29</w:t>
            </w:r>
            <w:r>
              <w:rPr>
                <w:rFonts w:hint="eastAsia" w:ascii="宋体" w:hAnsi="宋体" w:eastAsia="宋体" w:cs="宋体"/>
                <w:color w:val="auto"/>
                <w:kern w:val="2"/>
                <w:sz w:val="24"/>
                <w:szCs w:val="24"/>
                <w:highlight w:val="none"/>
                <w:lang w:val="en-US" w:eastAsia="zh-CN"/>
              </w:rPr>
              <w:t>”的“</w:t>
            </w:r>
            <w:r>
              <w:rPr>
                <w:rFonts w:hint="default" w:ascii="Times New Roman" w:hAnsi="Times New Roman" w:cs="Times New Roman"/>
                <w:color w:val="auto"/>
                <w:kern w:val="2"/>
                <w:sz w:val="24"/>
                <w:szCs w:val="24"/>
                <w:highlight w:val="none"/>
                <w:lang w:val="en-US" w:eastAsia="zh-CN"/>
              </w:rPr>
              <w:t>其他（年用非溶剂型低VOCs含量涂料10吨以下的除外）</w:t>
            </w:r>
            <w:r>
              <w:rPr>
                <w:rFonts w:hint="eastAsia" w:ascii="宋体" w:hAnsi="宋体" w:eastAsia="宋体" w:cs="宋体"/>
                <w:color w:val="auto"/>
                <w:kern w:val="2"/>
                <w:sz w:val="24"/>
                <w:szCs w:val="24"/>
                <w:highlight w:val="none"/>
                <w:lang w:val="en-US" w:eastAsia="zh-CN"/>
              </w:rPr>
              <w:t>”</w:t>
            </w:r>
            <w:r>
              <w:rPr>
                <w:rFonts w:hint="default" w:ascii="Times New Roman" w:hAnsi="Times New Roman" w:eastAsia="宋体" w:cs="Times New Roman"/>
                <w:color w:val="auto"/>
                <w:kern w:val="2"/>
                <w:sz w:val="24"/>
                <w:szCs w:val="24"/>
                <w:highlight w:val="none"/>
                <w:lang w:val="en-US" w:eastAsia="zh-CN"/>
              </w:rPr>
              <w:t>，因此，</w:t>
            </w:r>
            <w:r>
              <w:rPr>
                <w:rFonts w:hint="default" w:ascii="Times New Roman" w:hAnsi="Times New Roman" w:eastAsia="宋体" w:cs="Times New Roman"/>
                <w:color w:val="auto"/>
                <w:kern w:val="2"/>
                <w:sz w:val="24"/>
                <w:szCs w:val="24"/>
                <w:highlight w:val="none"/>
              </w:rPr>
              <w:t>建设项目应编制环境影响报告表</w:t>
            </w:r>
            <w:r>
              <w:rPr>
                <w:rFonts w:hint="default" w:ascii="Times New Roman" w:hAnsi="Times New Roman" w:eastAsia="宋体" w:cs="Times New Roman"/>
                <w:color w:val="auto"/>
                <w:kern w:val="2"/>
                <w:sz w:val="24"/>
                <w:szCs w:val="22"/>
                <w:highlight w:val="none"/>
              </w:rPr>
              <w:t>。</w:t>
            </w:r>
          </w:p>
          <w:p w14:paraId="0FAF4DD3">
            <w:pPr>
              <w:keepNext w:val="0"/>
              <w:keepLines w:val="0"/>
              <w:suppressLineNumbers w:val="0"/>
              <w:spacing w:before="0" w:beforeAutospacing="0" w:after="0" w:afterAutospacing="0" w:line="360" w:lineRule="auto"/>
              <w:ind w:left="0" w:right="0"/>
              <w:jc w:val="center"/>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表</w:t>
            </w:r>
            <w:r>
              <w:rPr>
                <w:rFonts w:hint="eastAsia" w:cs="Times New Roman"/>
                <w:color w:val="auto"/>
                <w:kern w:val="0"/>
                <w:sz w:val="24"/>
                <w:szCs w:val="24"/>
                <w:highlight w:val="none"/>
                <w:lang w:val="en-US" w:eastAsia="zh-CN"/>
              </w:rPr>
              <w:t>2-1</w:t>
            </w:r>
            <w:r>
              <w:rPr>
                <w:rFonts w:hint="eastAsia" w:ascii="Times New Roman" w:hAnsi="Times New Roman" w:eastAsia="宋体" w:cs="Times New Roman"/>
                <w:color w:val="auto"/>
                <w:kern w:val="0"/>
                <w:sz w:val="24"/>
                <w:szCs w:val="24"/>
                <w:highlight w:val="none"/>
              </w:rPr>
              <w:t xml:space="preserve"> </w:t>
            </w:r>
            <w:r>
              <w:rPr>
                <w:rFonts w:hint="default" w:ascii="Times New Roman" w:hAnsi="Times New Roman" w:eastAsia="宋体" w:cs="Times New Roman"/>
                <w:color w:val="auto"/>
                <w:kern w:val="0"/>
                <w:sz w:val="24"/>
                <w:szCs w:val="24"/>
                <w:highlight w:val="none"/>
              </w:rPr>
              <w:t xml:space="preserve"> </w:t>
            </w:r>
            <w:r>
              <w:rPr>
                <w:rFonts w:hint="default" w:ascii="Times New Roman" w:hAnsi="Times New Roman" w:eastAsia="黑体" w:cs="Times New Roman"/>
                <w:color w:val="auto"/>
                <w:kern w:val="0"/>
                <w:sz w:val="24"/>
                <w:szCs w:val="24"/>
                <w:highlight w:val="none"/>
              </w:rPr>
              <w:t>建设项目环境影响评价分类管理名录</w:t>
            </w:r>
          </w:p>
          <w:tbl>
            <w:tblPr>
              <w:tblStyle w:val="38"/>
              <w:tblW w:w="496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857"/>
              <w:gridCol w:w="2650"/>
              <w:gridCol w:w="1815"/>
              <w:gridCol w:w="1087"/>
            </w:tblGrid>
            <w:tr w14:paraId="6354C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4" w:type="pct"/>
                  <w:gridSpan w:val="2"/>
                  <w:tcBorders>
                    <w:top w:val="single" w:color="auto" w:sz="12" w:space="0"/>
                    <w:left w:val="nil"/>
                    <w:tl2br w:val="single" w:color="auto" w:sz="4" w:space="0"/>
                  </w:tcBorders>
                  <w:vAlign w:val="center"/>
                </w:tcPr>
                <w:p w14:paraId="40838DC5">
                  <w:pPr>
                    <w:keepNext w:val="0"/>
                    <w:keepLines w:val="0"/>
                    <w:suppressLineNumbers w:val="0"/>
                    <w:spacing w:before="0" w:beforeAutospacing="0" w:after="0" w:afterAutospacing="0" w:line="276" w:lineRule="auto"/>
                    <w:ind w:left="0" w:right="0" w:firstLine="1054" w:firstLineChars="500"/>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环评类别</w:t>
                  </w:r>
                </w:p>
                <w:p w14:paraId="605F62D1">
                  <w:pPr>
                    <w:keepNext w:val="0"/>
                    <w:keepLines w:val="0"/>
                    <w:suppressLineNumbers w:val="0"/>
                    <w:spacing w:before="0" w:beforeAutospacing="0" w:after="0" w:afterAutospacing="0" w:line="276" w:lineRule="auto"/>
                    <w:ind w:left="-1720" w:leftChars="-819" w:right="0"/>
                    <w:jc w:val="center"/>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项目类别</w:t>
                  </w:r>
                </w:p>
              </w:tc>
              <w:tc>
                <w:tcPr>
                  <w:tcW w:w="1649" w:type="pct"/>
                  <w:tcBorders>
                    <w:top w:val="single" w:color="auto" w:sz="12" w:space="0"/>
                  </w:tcBorders>
                  <w:vAlign w:val="center"/>
                </w:tcPr>
                <w:p w14:paraId="23014AC8">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报告书</w:t>
                  </w:r>
                </w:p>
              </w:tc>
              <w:tc>
                <w:tcPr>
                  <w:tcW w:w="1129" w:type="pct"/>
                  <w:tcBorders>
                    <w:top w:val="single" w:color="auto" w:sz="12" w:space="0"/>
                  </w:tcBorders>
                  <w:vAlign w:val="center"/>
                </w:tcPr>
                <w:p w14:paraId="49F2D667">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报告表</w:t>
                  </w:r>
                </w:p>
              </w:tc>
              <w:tc>
                <w:tcPr>
                  <w:tcW w:w="676" w:type="pct"/>
                  <w:tcBorders>
                    <w:top w:val="single" w:color="auto" w:sz="12" w:space="0"/>
                    <w:right w:val="nil"/>
                  </w:tcBorders>
                  <w:vAlign w:val="center"/>
                </w:tcPr>
                <w:p w14:paraId="721CA44F">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登记表</w:t>
                  </w:r>
                </w:p>
              </w:tc>
            </w:tr>
            <w:tr w14:paraId="218A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tcBorders>
                    <w:left w:val="nil"/>
                    <w:right w:val="nil"/>
                  </w:tcBorders>
                  <w:vAlign w:val="center"/>
                </w:tcPr>
                <w:p w14:paraId="08C0C619">
                  <w:pPr>
                    <w:keepNext w:val="0"/>
                    <w:keepLines w:val="0"/>
                    <w:suppressLineNumbers w:val="0"/>
                    <w:spacing w:before="0" w:beforeAutospacing="0" w:after="0" w:afterAutospacing="0" w:line="276" w:lineRule="auto"/>
                    <w:ind w:left="0" w:right="0"/>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二十六</w:t>
                  </w:r>
                  <w:r>
                    <w:rPr>
                      <w:rFonts w:hint="default" w:ascii="Times New Roman" w:hAnsi="Times New Roman" w:eastAsia="宋体" w:cs="Times New Roman"/>
                      <w:color w:val="auto"/>
                      <w:kern w:val="0"/>
                      <w:sz w:val="21"/>
                      <w:szCs w:val="21"/>
                      <w:highlight w:val="none"/>
                    </w:rPr>
                    <w:t>、</w:t>
                  </w:r>
                  <w:r>
                    <w:rPr>
                      <w:rFonts w:hint="eastAsia" w:cs="Times New Roman"/>
                      <w:color w:val="auto"/>
                      <w:kern w:val="0"/>
                      <w:sz w:val="21"/>
                      <w:szCs w:val="21"/>
                      <w:highlight w:val="none"/>
                      <w:lang w:val="en-US" w:eastAsia="zh-CN"/>
                    </w:rPr>
                    <w:t>橡胶和塑料制品</w:t>
                  </w:r>
                  <w:r>
                    <w:rPr>
                      <w:rFonts w:hint="eastAsia" w:ascii="Times New Roman" w:hAnsi="Times New Roman" w:eastAsia="宋体" w:cs="Times New Roman"/>
                      <w:color w:val="auto"/>
                      <w:kern w:val="0"/>
                      <w:sz w:val="21"/>
                      <w:szCs w:val="21"/>
                      <w:highlight w:val="none"/>
                    </w:rPr>
                    <w:t>业</w:t>
                  </w:r>
                  <w:r>
                    <w:rPr>
                      <w:rFonts w:hint="eastAsia" w:cs="Times New Roman"/>
                      <w:color w:val="auto"/>
                      <w:kern w:val="0"/>
                      <w:sz w:val="21"/>
                      <w:szCs w:val="21"/>
                      <w:highlight w:val="none"/>
                      <w:lang w:val="en-US" w:eastAsia="zh-CN"/>
                    </w:rPr>
                    <w:t>29</w:t>
                  </w:r>
                </w:p>
              </w:tc>
            </w:tr>
            <w:tr w14:paraId="0D30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tcBorders>
                    <w:left w:val="nil"/>
                  </w:tcBorders>
                  <w:vAlign w:val="center"/>
                </w:tcPr>
                <w:p w14:paraId="198835EF">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53</w:t>
                  </w:r>
                </w:p>
              </w:tc>
              <w:tc>
                <w:tcPr>
                  <w:tcW w:w="1156" w:type="pct"/>
                  <w:vAlign w:val="center"/>
                </w:tcPr>
                <w:p w14:paraId="75028AF6">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塑料制品业292</w:t>
                  </w:r>
                </w:p>
              </w:tc>
              <w:tc>
                <w:tcPr>
                  <w:tcW w:w="1649" w:type="pct"/>
                  <w:vAlign w:val="center"/>
                </w:tcPr>
                <w:p w14:paraId="5700AD54">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sz w:val="21"/>
                      <w:szCs w:val="21"/>
                      <w:highlight w:val="none"/>
                    </w:rPr>
                  </w:pPr>
                  <w:r>
                    <w:rPr>
                      <w:rFonts w:hint="eastAsia" w:ascii="Times New Roman" w:hAnsi="Times New Roman" w:eastAsia="宋体" w:cs="Times New Roman"/>
                      <w:color w:val="auto"/>
                      <w:kern w:val="0"/>
                      <w:sz w:val="21"/>
                      <w:szCs w:val="21"/>
                      <w:highlight w:val="none"/>
                    </w:rPr>
                    <w:t>以再生塑料为原料生产的</w:t>
                  </w:r>
                  <w:r>
                    <w:rPr>
                      <w:rFonts w:hint="eastAsia" w:cs="Times New Roman"/>
                      <w:color w:val="auto"/>
                      <w:kern w:val="0"/>
                      <w:sz w:val="21"/>
                      <w:szCs w:val="21"/>
                      <w:highlight w:val="none"/>
                      <w:lang w:eastAsia="zh-CN"/>
                    </w:rPr>
                    <w:t>；</w:t>
                  </w:r>
                  <w:r>
                    <w:rPr>
                      <w:rFonts w:hint="eastAsia" w:ascii="Times New Roman" w:hAnsi="Times New Roman" w:eastAsia="宋体" w:cs="Times New Roman"/>
                      <w:color w:val="auto"/>
                      <w:kern w:val="0"/>
                      <w:sz w:val="21"/>
                      <w:szCs w:val="21"/>
                      <w:highlight w:val="none"/>
                    </w:rPr>
                    <w:t>有电镀工艺的</w:t>
                  </w:r>
                  <w:r>
                    <w:rPr>
                      <w:rFonts w:hint="eastAsia" w:cs="Times New Roman"/>
                      <w:color w:val="auto"/>
                      <w:kern w:val="0"/>
                      <w:sz w:val="21"/>
                      <w:szCs w:val="21"/>
                      <w:highlight w:val="none"/>
                      <w:lang w:eastAsia="zh-CN"/>
                    </w:rPr>
                    <w:t>；</w:t>
                  </w:r>
                  <w:r>
                    <w:rPr>
                      <w:rFonts w:hint="eastAsia" w:ascii="Times New Roman" w:hAnsi="Times New Roman" w:eastAsia="宋体" w:cs="Times New Roman"/>
                      <w:color w:val="auto"/>
                      <w:kern w:val="0"/>
                      <w:sz w:val="21"/>
                      <w:szCs w:val="21"/>
                      <w:highlight w:val="none"/>
                    </w:rPr>
                    <w:t>年用溶剂型胶粘剂10吨及以上的</w:t>
                  </w:r>
                  <w:r>
                    <w:rPr>
                      <w:rFonts w:hint="eastAsia" w:cs="Times New Roman"/>
                      <w:color w:val="auto"/>
                      <w:kern w:val="0"/>
                      <w:sz w:val="21"/>
                      <w:szCs w:val="21"/>
                      <w:highlight w:val="none"/>
                      <w:lang w:eastAsia="zh-CN"/>
                    </w:rPr>
                    <w:t>；</w:t>
                  </w:r>
                  <w:r>
                    <w:rPr>
                      <w:rFonts w:hint="eastAsia" w:ascii="Times New Roman" w:hAnsi="Times New Roman" w:eastAsia="宋体" w:cs="Times New Roman"/>
                      <w:color w:val="auto"/>
                      <w:kern w:val="0"/>
                      <w:sz w:val="21"/>
                      <w:szCs w:val="21"/>
                      <w:highlight w:val="none"/>
                    </w:rPr>
                    <w:t>年用溶剂型涂料</w:t>
                  </w:r>
                  <w:r>
                    <w:rPr>
                      <w:rFonts w:hint="eastAsia" w:cs="Times New Roman"/>
                      <w:color w:val="auto"/>
                      <w:kern w:val="0"/>
                      <w:sz w:val="21"/>
                      <w:szCs w:val="21"/>
                      <w:highlight w:val="none"/>
                      <w:lang w:eastAsia="zh-CN"/>
                    </w:rPr>
                    <w:t>（</w:t>
                  </w:r>
                  <w:r>
                    <w:rPr>
                      <w:rFonts w:hint="eastAsia" w:ascii="Times New Roman" w:hAnsi="Times New Roman" w:eastAsia="宋体" w:cs="Times New Roman"/>
                      <w:color w:val="auto"/>
                      <w:kern w:val="0"/>
                      <w:sz w:val="21"/>
                      <w:szCs w:val="21"/>
                      <w:highlight w:val="none"/>
                    </w:rPr>
                    <w:t>含稀释剂</w:t>
                  </w:r>
                  <w:r>
                    <w:rPr>
                      <w:rFonts w:hint="eastAsia" w:cs="Times New Roman"/>
                      <w:color w:val="auto"/>
                      <w:kern w:val="0"/>
                      <w:sz w:val="21"/>
                      <w:szCs w:val="21"/>
                      <w:highlight w:val="none"/>
                      <w:lang w:eastAsia="zh-CN"/>
                    </w:rPr>
                    <w:t>）</w:t>
                  </w:r>
                  <w:r>
                    <w:rPr>
                      <w:rFonts w:hint="eastAsia" w:ascii="Times New Roman" w:hAnsi="Times New Roman" w:eastAsia="宋体" w:cs="Times New Roman"/>
                      <w:color w:val="auto"/>
                      <w:kern w:val="0"/>
                      <w:sz w:val="21"/>
                      <w:szCs w:val="21"/>
                      <w:highlight w:val="none"/>
                    </w:rPr>
                    <w:t>10吨及以上的</w:t>
                  </w:r>
                </w:p>
              </w:tc>
              <w:tc>
                <w:tcPr>
                  <w:tcW w:w="1129" w:type="pct"/>
                  <w:shd w:val="clear" w:color="auto" w:fill="BEBEBE"/>
                  <w:vAlign w:val="center"/>
                </w:tcPr>
                <w:p w14:paraId="2D438C00">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其他（</w:t>
                  </w:r>
                  <w:r>
                    <w:rPr>
                      <w:rFonts w:hint="eastAsia" w:ascii="Times New Roman" w:hAnsi="Times New Roman" w:eastAsia="宋体" w:cs="Times New Roman"/>
                      <w:color w:val="auto"/>
                      <w:kern w:val="0"/>
                      <w:sz w:val="21"/>
                      <w:szCs w:val="21"/>
                      <w:highlight w:val="none"/>
                    </w:rPr>
                    <w:t>年用非溶剂型低VOCs含量涂料10吨以下的除外</w:t>
                  </w:r>
                  <w:r>
                    <w:rPr>
                      <w:rFonts w:hint="default" w:ascii="Times New Roman" w:hAnsi="Times New Roman" w:eastAsia="宋体" w:cs="Times New Roman"/>
                      <w:color w:val="auto"/>
                      <w:kern w:val="0"/>
                      <w:sz w:val="21"/>
                      <w:szCs w:val="21"/>
                      <w:highlight w:val="none"/>
                    </w:rPr>
                    <w:t>）</w:t>
                  </w:r>
                </w:p>
              </w:tc>
              <w:tc>
                <w:tcPr>
                  <w:tcW w:w="676" w:type="pct"/>
                  <w:tcBorders>
                    <w:right w:val="nil"/>
                  </w:tcBorders>
                  <w:vAlign w:val="center"/>
                </w:tcPr>
                <w:p w14:paraId="593D6E9B">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w:t>
                  </w:r>
                </w:p>
              </w:tc>
            </w:tr>
          </w:tbl>
          <w:p w14:paraId="1FCF1931">
            <w:pPr>
              <w:keepNext w:val="0"/>
              <w:keepLines w:val="0"/>
              <w:suppressLineNumbers w:val="0"/>
              <w:spacing w:before="0" w:beforeAutospacing="0" w:after="0" w:afterAutospacing="0" w:line="360" w:lineRule="auto"/>
              <w:ind w:left="0" w:right="0" w:firstLine="472" w:firstLineChars="200"/>
              <w:rPr>
                <w:rFonts w:hint="default" w:ascii="Times New Roman" w:hAnsi="Times New Roman" w:eastAsia="宋体" w:cs="Times New Roman"/>
                <w:color w:val="auto"/>
                <w:spacing w:val="-2"/>
                <w:kern w:val="0"/>
                <w:sz w:val="24"/>
                <w:szCs w:val="24"/>
                <w:highlight w:val="none"/>
              </w:rPr>
            </w:pPr>
            <w:r>
              <w:rPr>
                <w:rFonts w:hint="default" w:ascii="Times New Roman" w:hAnsi="Times New Roman" w:eastAsia="宋体" w:cs="Times New Roman"/>
                <w:color w:val="auto"/>
                <w:spacing w:val="-2"/>
                <w:kern w:val="0"/>
                <w:sz w:val="24"/>
                <w:szCs w:val="24"/>
                <w:highlight w:val="none"/>
              </w:rPr>
              <w:t>根据安徽省生态环境厅于2021年1月30日发布的《安徽省生态环境厅关于统筹做好固定污染源排污许可日常监管工作的通知》（皖环发</w:t>
            </w:r>
            <w:r>
              <w:rPr>
                <w:rFonts w:hint="eastAsia" w:ascii="Times New Roman" w:hAnsi="Times New Roman" w:eastAsia="宋体" w:cs="Times New Roman"/>
                <w:color w:val="auto"/>
                <w:spacing w:val="-2"/>
                <w:kern w:val="0"/>
                <w:sz w:val="24"/>
                <w:szCs w:val="24"/>
                <w:highlight w:val="none"/>
              </w:rPr>
              <w:t>[</w:t>
            </w:r>
            <w:r>
              <w:rPr>
                <w:rFonts w:hint="default" w:ascii="Times New Roman" w:hAnsi="Times New Roman" w:eastAsia="宋体" w:cs="Times New Roman"/>
                <w:color w:val="auto"/>
                <w:spacing w:val="-2"/>
                <w:kern w:val="0"/>
                <w:sz w:val="24"/>
                <w:szCs w:val="24"/>
                <w:highlight w:val="none"/>
              </w:rPr>
              <w:t>2021</w:t>
            </w:r>
            <w:r>
              <w:rPr>
                <w:rFonts w:hint="eastAsia" w:ascii="Times New Roman" w:hAnsi="Times New Roman" w:eastAsia="宋体" w:cs="Times New Roman"/>
                <w:color w:val="auto"/>
                <w:spacing w:val="-2"/>
                <w:kern w:val="0"/>
                <w:sz w:val="24"/>
                <w:szCs w:val="24"/>
                <w:highlight w:val="none"/>
              </w:rPr>
              <w:t>]</w:t>
            </w:r>
            <w:r>
              <w:rPr>
                <w:rFonts w:hint="default" w:ascii="Times New Roman" w:hAnsi="Times New Roman" w:eastAsia="宋体" w:cs="Times New Roman"/>
                <w:color w:val="auto"/>
                <w:spacing w:val="-2"/>
                <w:kern w:val="0"/>
                <w:sz w:val="24"/>
                <w:szCs w:val="24"/>
                <w:highlight w:val="none"/>
              </w:rPr>
              <w:t>7号），属于现行《固定污染源排污许可分类管理名录》内重点管理和简化管理的行业，在环评文件中应明</w:t>
            </w:r>
            <w:r>
              <w:rPr>
                <w:rFonts w:hint="eastAsia" w:ascii="宋体" w:hAnsi="宋体" w:eastAsia="宋体" w:cs="宋体"/>
                <w:color w:val="auto"/>
                <w:spacing w:val="-2"/>
                <w:kern w:val="0"/>
                <w:sz w:val="24"/>
                <w:szCs w:val="24"/>
                <w:highlight w:val="none"/>
              </w:rPr>
              <w:t>确“建设项目环境影响评价与排污许可联动内容”</w:t>
            </w:r>
            <w:r>
              <w:rPr>
                <w:rFonts w:hint="default" w:ascii="Times New Roman" w:hAnsi="Times New Roman" w:eastAsia="宋体" w:cs="Times New Roman"/>
                <w:color w:val="auto"/>
                <w:spacing w:val="-2"/>
                <w:kern w:val="0"/>
                <w:sz w:val="24"/>
                <w:szCs w:val="24"/>
                <w:highlight w:val="none"/>
              </w:rPr>
              <w:t>。</w:t>
            </w:r>
          </w:p>
          <w:p w14:paraId="65D89033">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pacing w:val="-2"/>
                <w:kern w:val="0"/>
                <w:sz w:val="24"/>
                <w:szCs w:val="24"/>
                <w:highlight w:val="none"/>
              </w:rPr>
            </w:pPr>
            <w:r>
              <w:rPr>
                <w:rFonts w:hint="default" w:ascii="Times New Roman" w:hAnsi="Times New Roman" w:eastAsia="宋体" w:cs="Times New Roman"/>
                <w:color w:val="auto"/>
                <w:kern w:val="0"/>
                <w:sz w:val="24"/>
                <w:szCs w:val="24"/>
                <w:highlight w:val="none"/>
              </w:rPr>
              <w:t>本项目国民经济行业类别为C2927日用塑料制品制造</w:t>
            </w:r>
            <w:r>
              <w:rPr>
                <w:rFonts w:hint="eastAsia" w:cs="Times New Roman"/>
                <w:color w:val="auto"/>
                <w:kern w:val="0"/>
                <w:sz w:val="24"/>
                <w:szCs w:val="24"/>
                <w:highlight w:val="none"/>
                <w:lang w:val="en-US" w:eastAsia="zh-CN"/>
              </w:rPr>
              <w:t>及</w:t>
            </w:r>
            <w:r>
              <w:rPr>
                <w:rFonts w:hint="eastAsia"/>
                <w:color w:val="auto"/>
                <w:sz w:val="24"/>
                <w:szCs w:val="24"/>
                <w:highlight w:val="none"/>
                <w:lang w:val="en-US" w:eastAsia="zh-CN"/>
              </w:rPr>
              <w:t>C2929塑料零件及其他塑料制品制造</w:t>
            </w:r>
            <w:r>
              <w:rPr>
                <w:rFonts w:hint="default" w:ascii="Times New Roman" w:hAnsi="Times New Roman" w:eastAsia="宋体" w:cs="Times New Roman"/>
                <w:color w:val="auto"/>
                <w:kern w:val="0"/>
                <w:sz w:val="24"/>
                <w:szCs w:val="24"/>
                <w:highlight w:val="none"/>
              </w:rPr>
              <w:t>，</w:t>
            </w:r>
            <w:r>
              <w:rPr>
                <w:rFonts w:hint="eastAsia" w:cs="Times New Roman"/>
                <w:color w:val="auto"/>
                <w:kern w:val="0"/>
                <w:sz w:val="24"/>
                <w:szCs w:val="24"/>
                <w:highlight w:val="none"/>
                <w:lang w:val="en-US" w:eastAsia="zh-CN"/>
              </w:rPr>
              <w:t>塑料制品年产量约507.5吨（小于1万吨），</w:t>
            </w:r>
            <w:r>
              <w:rPr>
                <w:rFonts w:hint="default" w:ascii="Times New Roman" w:hAnsi="Times New Roman" w:eastAsia="宋体" w:cs="Times New Roman"/>
                <w:color w:val="auto"/>
                <w:kern w:val="0"/>
                <w:sz w:val="24"/>
                <w:szCs w:val="24"/>
                <w:highlight w:val="none"/>
              </w:rPr>
              <w:t>根据</w:t>
            </w:r>
            <w:r>
              <w:rPr>
                <w:rFonts w:hint="default" w:ascii="Times New Roman" w:hAnsi="Times New Roman" w:eastAsia="宋体" w:cs="Times New Roman"/>
                <w:color w:val="auto"/>
                <w:spacing w:val="-2"/>
                <w:kern w:val="0"/>
                <w:sz w:val="24"/>
                <w:szCs w:val="24"/>
                <w:highlight w:val="none"/>
              </w:rPr>
              <w:t>《固定污染源排污许可分类管理名录（2019年版）》，本项目属于固定污染源排污许可分类管理名录表中的</w:t>
            </w:r>
            <w:r>
              <w:rPr>
                <w:rFonts w:hint="eastAsia" w:ascii="宋体" w:hAnsi="宋体" w:eastAsia="宋体" w:cs="宋体"/>
                <w:color w:val="auto"/>
                <w:spacing w:val="-2"/>
                <w:kern w:val="0"/>
                <w:sz w:val="24"/>
                <w:szCs w:val="24"/>
                <w:highlight w:val="none"/>
              </w:rPr>
              <w:t>“</w:t>
            </w:r>
            <w:r>
              <w:rPr>
                <w:rFonts w:hint="eastAsia" w:ascii="宋体" w:hAnsi="宋体" w:cs="宋体"/>
                <w:color w:val="auto"/>
                <w:spacing w:val="-2"/>
                <w:kern w:val="0"/>
                <w:sz w:val="24"/>
                <w:szCs w:val="24"/>
                <w:highlight w:val="none"/>
                <w:lang w:val="en-US" w:eastAsia="zh-CN"/>
              </w:rPr>
              <w:t>二十四</w:t>
            </w:r>
            <w:r>
              <w:rPr>
                <w:rFonts w:hint="eastAsia" w:ascii="宋体" w:hAnsi="宋体" w:eastAsia="宋体" w:cs="宋体"/>
                <w:color w:val="auto"/>
                <w:spacing w:val="-2"/>
                <w:kern w:val="0"/>
                <w:sz w:val="24"/>
                <w:szCs w:val="24"/>
                <w:highlight w:val="none"/>
              </w:rPr>
              <w:t>、橡胶和塑料制品业</w:t>
            </w:r>
            <w:r>
              <w:rPr>
                <w:rFonts w:hint="default" w:ascii="Times New Roman" w:hAnsi="Times New Roman" w:eastAsia="宋体" w:cs="Times New Roman"/>
                <w:color w:val="auto"/>
                <w:spacing w:val="-2"/>
                <w:kern w:val="0"/>
                <w:sz w:val="24"/>
                <w:szCs w:val="24"/>
                <w:highlight w:val="none"/>
              </w:rPr>
              <w:t>29</w:t>
            </w:r>
            <w:r>
              <w:rPr>
                <w:rFonts w:hint="eastAsia" w:ascii="宋体" w:hAnsi="宋体" w:eastAsia="宋体" w:cs="宋体"/>
                <w:color w:val="auto"/>
                <w:spacing w:val="-2"/>
                <w:kern w:val="0"/>
                <w:sz w:val="24"/>
                <w:szCs w:val="24"/>
                <w:highlight w:val="none"/>
              </w:rPr>
              <w:t>”</w:t>
            </w:r>
            <w:r>
              <w:rPr>
                <w:rFonts w:hint="default" w:ascii="Times New Roman" w:hAnsi="Times New Roman" w:eastAsia="宋体" w:cs="Times New Roman"/>
                <w:color w:val="auto"/>
                <w:spacing w:val="-2"/>
                <w:kern w:val="0"/>
                <w:sz w:val="24"/>
                <w:szCs w:val="24"/>
                <w:highlight w:val="none"/>
              </w:rPr>
              <w:t>中的</w:t>
            </w:r>
            <w:r>
              <w:rPr>
                <w:rFonts w:hint="eastAsia" w:ascii="宋体" w:hAnsi="宋体" w:eastAsia="宋体" w:cs="宋体"/>
                <w:color w:val="auto"/>
                <w:spacing w:val="-2"/>
                <w:kern w:val="0"/>
                <w:sz w:val="24"/>
                <w:szCs w:val="24"/>
                <w:highlight w:val="none"/>
              </w:rPr>
              <w:t>“</w:t>
            </w:r>
            <w:r>
              <w:rPr>
                <w:rFonts w:hint="eastAsia" w:cs="Times New Roman"/>
                <w:color w:val="auto"/>
                <w:spacing w:val="-2"/>
                <w:kern w:val="0"/>
                <w:sz w:val="24"/>
                <w:szCs w:val="24"/>
                <w:highlight w:val="none"/>
                <w:lang w:val="en-US" w:eastAsia="zh-CN"/>
              </w:rPr>
              <w:t>62塑料制品业292</w:t>
            </w:r>
            <w:r>
              <w:rPr>
                <w:rFonts w:hint="eastAsia" w:ascii="宋体" w:hAnsi="宋体" w:eastAsia="宋体" w:cs="宋体"/>
                <w:color w:val="auto"/>
                <w:spacing w:val="-2"/>
                <w:kern w:val="0"/>
                <w:sz w:val="24"/>
                <w:szCs w:val="24"/>
                <w:highlight w:val="none"/>
              </w:rPr>
              <w:t>”中的“其他”</w:t>
            </w:r>
            <w:r>
              <w:rPr>
                <w:rFonts w:hint="default" w:ascii="Times New Roman" w:hAnsi="Times New Roman" w:eastAsia="宋体" w:cs="Times New Roman"/>
                <w:color w:val="auto"/>
                <w:spacing w:val="-2"/>
                <w:kern w:val="0"/>
                <w:sz w:val="24"/>
                <w:szCs w:val="24"/>
                <w:highlight w:val="none"/>
              </w:rPr>
              <w:t>。</w:t>
            </w:r>
          </w:p>
          <w:p w14:paraId="24B12AB1">
            <w:pPr>
              <w:keepNext w:val="0"/>
              <w:keepLines w:val="0"/>
              <w:suppressLineNumbers w:val="0"/>
              <w:spacing w:before="0" w:beforeAutospacing="0" w:after="0" w:afterAutospacing="0" w:line="360" w:lineRule="auto"/>
              <w:ind w:left="0" w:right="0" w:firstLine="472" w:firstLineChars="200"/>
              <w:rPr>
                <w:rFonts w:hint="default" w:ascii="Times New Roman" w:hAnsi="Times New Roman" w:eastAsia="宋体" w:cs="Times New Roman"/>
                <w:color w:val="auto"/>
                <w:spacing w:val="-2"/>
                <w:kern w:val="0"/>
                <w:sz w:val="24"/>
                <w:szCs w:val="24"/>
                <w:highlight w:val="none"/>
              </w:rPr>
            </w:pPr>
            <w:r>
              <w:rPr>
                <w:rFonts w:hint="default" w:ascii="Times New Roman" w:hAnsi="Times New Roman" w:eastAsia="宋体" w:cs="Times New Roman"/>
                <w:color w:val="auto"/>
                <w:spacing w:val="-2"/>
                <w:kern w:val="0"/>
                <w:sz w:val="24"/>
                <w:szCs w:val="24"/>
                <w:highlight w:val="none"/>
              </w:rPr>
              <w:t>排污许可类别为</w:t>
            </w:r>
            <w:r>
              <w:rPr>
                <w:rFonts w:hint="eastAsia" w:cs="Times New Roman"/>
                <w:color w:val="auto"/>
                <w:spacing w:val="-2"/>
                <w:kern w:val="0"/>
                <w:sz w:val="24"/>
                <w:szCs w:val="24"/>
                <w:highlight w:val="none"/>
                <w:lang w:val="en-US" w:eastAsia="zh-CN"/>
              </w:rPr>
              <w:t>登记</w:t>
            </w:r>
            <w:r>
              <w:rPr>
                <w:rFonts w:hint="default" w:ascii="Times New Roman" w:hAnsi="Times New Roman" w:eastAsia="宋体" w:cs="Times New Roman"/>
                <w:color w:val="auto"/>
                <w:spacing w:val="-2"/>
                <w:kern w:val="0"/>
                <w:sz w:val="24"/>
                <w:szCs w:val="24"/>
                <w:highlight w:val="none"/>
              </w:rPr>
              <w:t>管理，</w:t>
            </w:r>
            <w:r>
              <w:rPr>
                <w:rFonts w:hint="eastAsia" w:ascii="Times New Roman" w:hAnsi="Times New Roman" w:eastAsia="宋体" w:cs="Times New Roman"/>
                <w:color w:val="auto"/>
                <w:spacing w:val="-2"/>
                <w:kern w:val="0"/>
                <w:sz w:val="24"/>
                <w:szCs w:val="24"/>
                <w:highlight w:val="none"/>
              </w:rPr>
              <w:t>本项目</w:t>
            </w:r>
            <w:r>
              <w:rPr>
                <w:rFonts w:hint="default" w:ascii="Times New Roman" w:hAnsi="Times New Roman" w:eastAsia="宋体" w:cs="Times New Roman"/>
                <w:color w:val="auto"/>
                <w:spacing w:val="-2"/>
                <w:kern w:val="0"/>
                <w:sz w:val="24"/>
                <w:szCs w:val="24"/>
                <w:highlight w:val="none"/>
              </w:rPr>
              <w:t>投产前将完成排污许可</w:t>
            </w:r>
            <w:r>
              <w:rPr>
                <w:rFonts w:hint="eastAsia" w:cs="Times New Roman"/>
                <w:color w:val="auto"/>
                <w:spacing w:val="-2"/>
                <w:kern w:val="0"/>
                <w:sz w:val="24"/>
                <w:szCs w:val="24"/>
                <w:highlight w:val="none"/>
                <w:lang w:val="en-US" w:eastAsia="zh-CN"/>
              </w:rPr>
              <w:t>登记</w:t>
            </w:r>
            <w:r>
              <w:rPr>
                <w:rFonts w:hint="default" w:ascii="Times New Roman" w:hAnsi="Times New Roman" w:eastAsia="宋体" w:cs="Times New Roman"/>
                <w:color w:val="auto"/>
                <w:spacing w:val="-2"/>
                <w:kern w:val="0"/>
                <w:sz w:val="24"/>
                <w:szCs w:val="24"/>
                <w:highlight w:val="none"/>
              </w:rPr>
              <w:t>。</w:t>
            </w:r>
          </w:p>
          <w:p w14:paraId="24541170">
            <w:pPr>
              <w:keepNext w:val="0"/>
              <w:keepLines w:val="0"/>
              <w:suppressLineNumbers w:val="0"/>
              <w:spacing w:before="0" w:beforeAutospacing="0" w:after="0" w:afterAutospacing="0" w:line="360" w:lineRule="auto"/>
              <w:ind w:left="0" w:right="0"/>
              <w:jc w:val="center"/>
              <w:rPr>
                <w:rFonts w:hint="default" w:ascii="Times New Roman" w:hAnsi="Times New Roman" w:eastAsia="黑体" w:cs="Times New Roman"/>
                <w:color w:val="auto"/>
                <w:spacing w:val="-2"/>
                <w:kern w:val="0"/>
                <w:sz w:val="24"/>
                <w:szCs w:val="24"/>
                <w:highlight w:val="none"/>
              </w:rPr>
            </w:pPr>
            <w:r>
              <w:rPr>
                <w:rFonts w:hint="default" w:ascii="Times New Roman" w:hAnsi="Times New Roman" w:eastAsia="黑体" w:cs="Times New Roman"/>
                <w:color w:val="auto"/>
                <w:spacing w:val="-2"/>
                <w:kern w:val="0"/>
                <w:sz w:val="24"/>
                <w:szCs w:val="24"/>
                <w:highlight w:val="none"/>
              </w:rPr>
              <w:t>表</w:t>
            </w:r>
            <w:r>
              <w:rPr>
                <w:rFonts w:hint="eastAsia" w:eastAsia="黑体" w:cs="Times New Roman"/>
                <w:color w:val="auto"/>
                <w:spacing w:val="-2"/>
                <w:kern w:val="0"/>
                <w:sz w:val="24"/>
                <w:szCs w:val="24"/>
                <w:highlight w:val="none"/>
                <w:lang w:val="en-US" w:eastAsia="zh-CN"/>
              </w:rPr>
              <w:t>2-2</w:t>
            </w:r>
            <w:r>
              <w:rPr>
                <w:rFonts w:hint="eastAsia" w:ascii="Times New Roman" w:hAnsi="Times New Roman" w:eastAsia="黑体" w:cs="Times New Roman"/>
                <w:color w:val="auto"/>
                <w:spacing w:val="-2"/>
                <w:kern w:val="0"/>
                <w:sz w:val="24"/>
                <w:szCs w:val="24"/>
                <w:highlight w:val="none"/>
              </w:rPr>
              <w:t xml:space="preserve"> </w:t>
            </w:r>
            <w:r>
              <w:rPr>
                <w:rFonts w:hint="default" w:ascii="Times New Roman" w:hAnsi="Times New Roman" w:eastAsia="黑体" w:cs="Times New Roman"/>
                <w:color w:val="auto"/>
                <w:spacing w:val="-2"/>
                <w:kern w:val="0"/>
                <w:sz w:val="24"/>
                <w:szCs w:val="24"/>
                <w:highlight w:val="none"/>
              </w:rPr>
              <w:t xml:space="preserve"> 固定污染源排污许可分类管理名录</w:t>
            </w:r>
          </w:p>
          <w:tbl>
            <w:tblPr>
              <w:tblStyle w:val="38"/>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907"/>
              <w:gridCol w:w="1453"/>
              <w:gridCol w:w="2765"/>
              <w:gridCol w:w="1273"/>
            </w:tblGrid>
            <w:tr w14:paraId="1F9AD9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7" w:type="pct"/>
                  <w:tcBorders>
                    <w:tl2br w:val="nil"/>
                    <w:tr2bl w:val="nil"/>
                  </w:tcBorders>
                  <w:vAlign w:val="center"/>
                </w:tcPr>
                <w:p w14:paraId="49114214">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序号</w:t>
                  </w:r>
                </w:p>
              </w:tc>
              <w:tc>
                <w:tcPr>
                  <w:tcW w:w="1179" w:type="pct"/>
                  <w:tcBorders>
                    <w:tl2br w:val="nil"/>
                    <w:tr2bl w:val="nil"/>
                  </w:tcBorders>
                  <w:vAlign w:val="center"/>
                </w:tcPr>
                <w:p w14:paraId="5205BC5E">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行业类别</w:t>
                  </w:r>
                </w:p>
              </w:tc>
              <w:tc>
                <w:tcPr>
                  <w:tcW w:w="898" w:type="pct"/>
                  <w:tcBorders>
                    <w:tl2br w:val="nil"/>
                    <w:tr2bl w:val="nil"/>
                  </w:tcBorders>
                  <w:vAlign w:val="center"/>
                </w:tcPr>
                <w:p w14:paraId="7F14F192">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重点管理</w:t>
                  </w:r>
                </w:p>
              </w:tc>
              <w:tc>
                <w:tcPr>
                  <w:tcW w:w="1709" w:type="pct"/>
                  <w:tcBorders>
                    <w:tl2br w:val="nil"/>
                    <w:tr2bl w:val="nil"/>
                  </w:tcBorders>
                  <w:vAlign w:val="center"/>
                </w:tcPr>
                <w:p w14:paraId="70AEC164">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简化管理</w:t>
                  </w:r>
                </w:p>
              </w:tc>
              <w:tc>
                <w:tcPr>
                  <w:tcW w:w="783" w:type="pct"/>
                  <w:tcBorders>
                    <w:tl2br w:val="nil"/>
                    <w:tr2bl w:val="nil"/>
                  </w:tcBorders>
                  <w:vAlign w:val="center"/>
                </w:tcPr>
                <w:p w14:paraId="27B27258">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登记管理</w:t>
                  </w:r>
                </w:p>
              </w:tc>
            </w:tr>
            <w:tr w14:paraId="55C82E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Borders>
                    <w:tl2br w:val="nil"/>
                    <w:tr2bl w:val="nil"/>
                  </w:tcBorders>
                  <w:vAlign w:val="center"/>
                </w:tcPr>
                <w:p w14:paraId="3494DF03">
                  <w:pPr>
                    <w:keepNext w:val="0"/>
                    <w:keepLines w:val="0"/>
                    <w:suppressLineNumbers w:val="0"/>
                    <w:spacing w:before="0" w:beforeAutospacing="0" w:after="0" w:afterAutospacing="0" w:line="276" w:lineRule="auto"/>
                    <w:ind w:left="0" w:right="0"/>
                    <w:jc w:val="left"/>
                    <w:rPr>
                      <w:rFonts w:hint="default" w:ascii="Times New Roman" w:hAnsi="Times New Roman" w:eastAsia="宋体" w:cs="Times New Roman"/>
                      <w:color w:val="auto"/>
                      <w:kern w:val="0"/>
                      <w:sz w:val="21"/>
                      <w:szCs w:val="21"/>
                      <w:highlight w:val="none"/>
                      <w:lang w:val="en-US"/>
                    </w:rPr>
                  </w:pPr>
                  <w:r>
                    <w:rPr>
                      <w:rFonts w:hint="eastAsia" w:cs="Times New Roman"/>
                      <w:color w:val="auto"/>
                      <w:kern w:val="0"/>
                      <w:sz w:val="21"/>
                      <w:szCs w:val="21"/>
                      <w:highlight w:val="none"/>
                      <w:lang w:val="en-US" w:eastAsia="zh-CN"/>
                    </w:rPr>
                    <w:t>二十四</w:t>
                  </w:r>
                  <w:r>
                    <w:rPr>
                      <w:rFonts w:hint="default" w:ascii="Times New Roman" w:hAnsi="Times New Roman" w:eastAsia="宋体" w:cs="Times New Roman"/>
                      <w:color w:val="auto"/>
                      <w:kern w:val="0"/>
                      <w:sz w:val="21"/>
                      <w:szCs w:val="21"/>
                      <w:highlight w:val="none"/>
                    </w:rPr>
                    <w:t>、</w:t>
                  </w:r>
                  <w:r>
                    <w:rPr>
                      <w:rFonts w:hint="eastAsia" w:cs="Times New Roman"/>
                      <w:color w:val="auto"/>
                      <w:kern w:val="0"/>
                      <w:sz w:val="21"/>
                      <w:szCs w:val="21"/>
                      <w:highlight w:val="none"/>
                      <w:lang w:val="en-US" w:eastAsia="zh-CN"/>
                    </w:rPr>
                    <w:t>橡胶和塑料制品业29</w:t>
                  </w:r>
                </w:p>
              </w:tc>
            </w:tr>
            <w:tr w14:paraId="533288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7" w:type="pct"/>
                  <w:tcBorders>
                    <w:tl2br w:val="nil"/>
                    <w:tr2bl w:val="nil"/>
                  </w:tcBorders>
                  <w:vAlign w:val="center"/>
                </w:tcPr>
                <w:p w14:paraId="6AE01915">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62</w:t>
                  </w:r>
                </w:p>
              </w:tc>
              <w:tc>
                <w:tcPr>
                  <w:tcW w:w="1179" w:type="pct"/>
                  <w:tcBorders>
                    <w:tl2br w:val="nil"/>
                    <w:tr2bl w:val="nil"/>
                  </w:tcBorders>
                  <w:vAlign w:val="center"/>
                </w:tcPr>
                <w:p w14:paraId="13EADA3D">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塑料制品业292</w:t>
                  </w:r>
                </w:p>
              </w:tc>
              <w:tc>
                <w:tcPr>
                  <w:tcW w:w="898" w:type="pct"/>
                  <w:tcBorders>
                    <w:tl2br w:val="nil"/>
                    <w:tr2bl w:val="nil"/>
                  </w:tcBorders>
                  <w:vAlign w:val="center"/>
                </w:tcPr>
                <w:p w14:paraId="008B7670">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塑料人造革、合成革制造2925</w:t>
                  </w:r>
                </w:p>
              </w:tc>
              <w:tc>
                <w:tcPr>
                  <w:tcW w:w="1709" w:type="pct"/>
                  <w:tcBorders>
                    <w:tl2br w:val="nil"/>
                    <w:tr2bl w:val="nil"/>
                  </w:tcBorders>
                  <w:shd w:val="clear" w:color="auto" w:fill="auto"/>
                  <w:vAlign w:val="center"/>
                </w:tcPr>
                <w:p w14:paraId="72DB3EAA">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年产1万吨及以上的泡沫塑料制造2924，年产1万吨及以上涉及改性的塑料薄膜制造2921、塑料板、管、型材制造2922、塑料丝、绳和编织品制造2923、塑料包装箱及容器制造2926、</w:t>
                  </w:r>
                  <w:r>
                    <w:rPr>
                      <w:rFonts w:hint="default" w:ascii="Times New Roman" w:hAnsi="Times New Roman" w:eastAsia="宋体" w:cs="Times New Roman"/>
                      <w:b/>
                      <w:bCs/>
                      <w:color w:val="auto"/>
                      <w:kern w:val="0"/>
                      <w:sz w:val="21"/>
                      <w:szCs w:val="21"/>
                      <w:highlight w:val="none"/>
                    </w:rPr>
                    <w:t>日用塑料品制造2927、</w:t>
                  </w:r>
                  <w:r>
                    <w:rPr>
                      <w:rFonts w:hint="default" w:ascii="Times New Roman" w:hAnsi="Times New Roman" w:eastAsia="宋体" w:cs="Times New Roman"/>
                      <w:color w:val="auto"/>
                      <w:kern w:val="0"/>
                      <w:sz w:val="21"/>
                      <w:szCs w:val="21"/>
                      <w:highlight w:val="none"/>
                    </w:rPr>
                    <w:t>人造草坪制造2928、</w:t>
                  </w:r>
                  <w:r>
                    <w:rPr>
                      <w:rFonts w:hint="default" w:ascii="Times New Roman" w:hAnsi="Times New Roman" w:eastAsia="宋体" w:cs="Times New Roman"/>
                      <w:b/>
                      <w:bCs/>
                      <w:color w:val="auto"/>
                      <w:kern w:val="0"/>
                      <w:sz w:val="21"/>
                      <w:szCs w:val="21"/>
                      <w:highlight w:val="none"/>
                    </w:rPr>
                    <w:t>塑料零件及其他塑料制品制造2929</w:t>
                  </w:r>
                </w:p>
              </w:tc>
              <w:tc>
                <w:tcPr>
                  <w:tcW w:w="783" w:type="pct"/>
                  <w:tcBorders>
                    <w:tl2br w:val="nil"/>
                    <w:tr2bl w:val="nil"/>
                  </w:tcBorders>
                  <w:shd w:val="clear" w:color="auto" w:fill="BEBEBE" w:themeFill="background1" w:themeFillShade="BF"/>
                  <w:vAlign w:val="center"/>
                </w:tcPr>
                <w:p w14:paraId="087AC64E">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其他</w:t>
                  </w:r>
                </w:p>
              </w:tc>
            </w:tr>
          </w:tbl>
          <w:p w14:paraId="0067B1FD">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kern w:val="0"/>
                <w:sz w:val="24"/>
                <w:szCs w:val="24"/>
                <w:highlight w:val="none"/>
              </w:rPr>
            </w:pPr>
            <w:r>
              <w:rPr>
                <w:rFonts w:hint="eastAsia" w:cs="Times New Roman"/>
                <w:color w:val="auto"/>
                <w:kern w:val="0"/>
                <w:sz w:val="24"/>
                <w:szCs w:val="24"/>
                <w:highlight w:val="none"/>
                <w:lang w:val="en-US" w:eastAsia="zh-CN"/>
              </w:rPr>
              <w:t>淮南永豪塑胶科技有限公司</w:t>
            </w:r>
            <w:r>
              <w:rPr>
                <w:rFonts w:hint="eastAsia" w:ascii="Times New Roman" w:hAnsi="Times New Roman" w:eastAsia="宋体" w:cs="Times New Roman"/>
                <w:color w:val="auto"/>
                <w:kern w:val="0"/>
                <w:sz w:val="24"/>
                <w:szCs w:val="24"/>
                <w:highlight w:val="none"/>
              </w:rPr>
              <w:t>于20</w:t>
            </w:r>
            <w:r>
              <w:rPr>
                <w:rFonts w:hint="eastAsia" w:cs="Times New Roman"/>
                <w:color w:val="auto"/>
                <w:kern w:val="0"/>
                <w:sz w:val="24"/>
                <w:szCs w:val="24"/>
                <w:highlight w:val="none"/>
                <w:lang w:val="en-US" w:eastAsia="zh-CN"/>
              </w:rPr>
              <w:t>26</w:t>
            </w:r>
            <w:r>
              <w:rPr>
                <w:rFonts w:hint="eastAsia" w:ascii="Times New Roman" w:hAnsi="Times New Roman" w:eastAsia="宋体" w:cs="Times New Roman"/>
                <w:color w:val="auto"/>
                <w:kern w:val="0"/>
                <w:sz w:val="24"/>
                <w:szCs w:val="24"/>
                <w:highlight w:val="none"/>
              </w:rPr>
              <w:t>年</w:t>
            </w:r>
            <w:r>
              <w:rPr>
                <w:rFonts w:hint="eastAsia" w:cs="Times New Roman"/>
                <w:color w:val="auto"/>
                <w:kern w:val="0"/>
                <w:sz w:val="24"/>
                <w:szCs w:val="24"/>
                <w:highlight w:val="none"/>
                <w:lang w:val="en-US" w:eastAsia="zh-CN"/>
              </w:rPr>
              <w:t>6</w:t>
            </w:r>
            <w:r>
              <w:rPr>
                <w:rFonts w:hint="eastAsia" w:ascii="Times New Roman" w:hAnsi="Times New Roman" w:eastAsia="宋体" w:cs="Times New Roman"/>
                <w:color w:val="auto"/>
                <w:kern w:val="0"/>
                <w:sz w:val="24"/>
                <w:szCs w:val="24"/>
                <w:highlight w:val="none"/>
              </w:rPr>
              <w:t>月委托我公司为该项目进行环境影响评价。我公司在接受委托后，立即到现场踏勘，认真了解项目所在区域的周边环境情况，收集有关资料，编写完成本项目的环境影响报告表，现呈报生态环境主管部门审批。</w:t>
            </w:r>
          </w:p>
          <w:p w14:paraId="5CF30E60">
            <w:pPr>
              <w:keepNext w:val="0"/>
              <w:keepLines w:val="0"/>
              <w:suppressLineNumbers w:val="0"/>
              <w:spacing w:before="0" w:beforeAutospacing="0" w:after="0" w:afterAutospacing="0" w:line="360" w:lineRule="auto"/>
              <w:ind w:left="0" w:right="0" w:firstLine="482" w:firstLineChars="200"/>
              <w:rPr>
                <w:rFonts w:hint="default"/>
                <w:b/>
                <w:color w:val="auto"/>
                <w:sz w:val="24"/>
                <w:szCs w:val="24"/>
                <w:highlight w:val="none"/>
              </w:rPr>
            </w:pPr>
            <w:r>
              <w:rPr>
                <w:rFonts w:hint="eastAsia"/>
                <w:b/>
                <w:color w:val="auto"/>
                <w:sz w:val="24"/>
                <w:szCs w:val="24"/>
                <w:highlight w:val="none"/>
              </w:rPr>
              <w:t>2</w:t>
            </w:r>
            <w:r>
              <w:rPr>
                <w:rFonts w:hint="eastAsia"/>
                <w:b/>
                <w:color w:val="auto"/>
                <w:sz w:val="24"/>
                <w:szCs w:val="24"/>
                <w:highlight w:val="none"/>
                <w:lang w:val="en-US" w:eastAsia="zh-CN"/>
              </w:rPr>
              <w:t>.</w:t>
            </w:r>
            <w:r>
              <w:rPr>
                <w:rFonts w:hint="eastAsia"/>
                <w:b/>
                <w:color w:val="auto"/>
                <w:sz w:val="24"/>
                <w:szCs w:val="24"/>
                <w:highlight w:val="none"/>
              </w:rPr>
              <w:t>项目基本情况</w:t>
            </w:r>
          </w:p>
          <w:p w14:paraId="352F2453">
            <w:pPr>
              <w:keepNext w:val="0"/>
              <w:keepLines w:val="0"/>
              <w:suppressLineNumbers w:val="0"/>
              <w:spacing w:before="0" w:beforeAutospacing="0" w:after="0" w:afterAutospacing="0" w:line="360" w:lineRule="auto"/>
              <w:ind w:left="0" w:right="0" w:firstLine="480" w:firstLineChars="200"/>
              <w:rPr>
                <w:rFonts w:hint="default"/>
                <w:color w:val="auto"/>
                <w:sz w:val="24"/>
                <w:szCs w:val="24"/>
                <w:highlight w:val="none"/>
              </w:rPr>
            </w:pPr>
            <w:r>
              <w:rPr>
                <w:rFonts w:hint="eastAsia"/>
                <w:color w:val="auto"/>
                <w:sz w:val="24"/>
                <w:szCs w:val="24"/>
                <w:highlight w:val="none"/>
              </w:rPr>
              <w:t>（1）</w:t>
            </w:r>
            <w:r>
              <w:rPr>
                <w:rFonts w:hint="default"/>
                <w:color w:val="auto"/>
                <w:sz w:val="24"/>
                <w:szCs w:val="24"/>
                <w:highlight w:val="none"/>
              </w:rPr>
              <w:t>项目名称</w:t>
            </w:r>
            <w:r>
              <w:rPr>
                <w:rFonts w:hint="eastAsia"/>
                <w:color w:val="auto"/>
                <w:sz w:val="24"/>
                <w:szCs w:val="24"/>
                <w:highlight w:val="none"/>
              </w:rPr>
              <w:t>：</w:t>
            </w:r>
            <w:r>
              <w:rPr>
                <w:rFonts w:hint="eastAsia"/>
                <w:color w:val="auto"/>
                <w:sz w:val="24"/>
                <w:szCs w:val="24"/>
                <w:highlight w:val="none"/>
                <w:lang w:val="en-US" w:eastAsia="zh-CN"/>
              </w:rPr>
              <w:t>淮南永豪塑胶科技有限公司日用品生产项目</w:t>
            </w:r>
          </w:p>
          <w:p w14:paraId="7CC07076">
            <w:pPr>
              <w:keepNext w:val="0"/>
              <w:keepLines w:val="0"/>
              <w:suppressLineNumbers w:val="0"/>
              <w:spacing w:before="0" w:beforeAutospacing="0" w:after="0" w:afterAutospacing="0" w:line="360" w:lineRule="auto"/>
              <w:ind w:left="0" w:right="0" w:firstLine="480" w:firstLineChars="200"/>
              <w:rPr>
                <w:rFonts w:hint="eastAsia" w:eastAsia="宋体"/>
                <w:color w:val="auto"/>
                <w:sz w:val="24"/>
                <w:szCs w:val="24"/>
                <w:highlight w:val="none"/>
                <w:lang w:val="en-US" w:eastAsia="zh-CN"/>
              </w:rPr>
            </w:pPr>
            <w:r>
              <w:rPr>
                <w:rFonts w:hint="eastAsia"/>
                <w:color w:val="auto"/>
                <w:sz w:val="24"/>
                <w:szCs w:val="24"/>
                <w:highlight w:val="none"/>
              </w:rPr>
              <w:t>（2）</w:t>
            </w:r>
            <w:r>
              <w:rPr>
                <w:rFonts w:hint="default"/>
                <w:color w:val="auto"/>
                <w:sz w:val="24"/>
                <w:szCs w:val="24"/>
                <w:highlight w:val="none"/>
              </w:rPr>
              <w:t>建设单位</w:t>
            </w:r>
            <w:r>
              <w:rPr>
                <w:rFonts w:hint="eastAsia"/>
                <w:color w:val="auto"/>
                <w:sz w:val="24"/>
                <w:szCs w:val="24"/>
                <w:highlight w:val="none"/>
              </w:rPr>
              <w:t>：</w:t>
            </w:r>
            <w:r>
              <w:rPr>
                <w:rFonts w:hint="eastAsia"/>
                <w:color w:val="auto"/>
                <w:sz w:val="24"/>
                <w:szCs w:val="24"/>
                <w:highlight w:val="none"/>
                <w:lang w:val="en-US" w:eastAsia="zh-CN"/>
              </w:rPr>
              <w:t>淮南永豪塑胶科技有限公司</w:t>
            </w:r>
          </w:p>
          <w:p w14:paraId="26165C10">
            <w:pPr>
              <w:keepNext w:val="0"/>
              <w:keepLines w:val="0"/>
              <w:suppressLineNumbers w:val="0"/>
              <w:spacing w:before="0" w:beforeAutospacing="0" w:after="0" w:afterAutospacing="0" w:line="360" w:lineRule="auto"/>
              <w:ind w:left="0" w:right="0" w:firstLine="480" w:firstLineChars="200"/>
              <w:rPr>
                <w:rFonts w:hint="eastAsia" w:eastAsia="宋体"/>
                <w:color w:val="auto"/>
                <w:sz w:val="24"/>
                <w:szCs w:val="24"/>
                <w:highlight w:val="none"/>
                <w:lang w:val="en-US" w:eastAsia="zh-CN"/>
              </w:rPr>
            </w:pPr>
            <w:r>
              <w:rPr>
                <w:rFonts w:hint="eastAsia"/>
                <w:color w:val="auto"/>
                <w:sz w:val="24"/>
                <w:szCs w:val="24"/>
                <w:highlight w:val="none"/>
              </w:rPr>
              <w:t>（3）</w:t>
            </w:r>
            <w:r>
              <w:rPr>
                <w:rFonts w:hint="default"/>
                <w:color w:val="auto"/>
                <w:sz w:val="24"/>
                <w:szCs w:val="24"/>
                <w:highlight w:val="none"/>
              </w:rPr>
              <w:t>项目性质</w:t>
            </w:r>
            <w:r>
              <w:rPr>
                <w:rFonts w:hint="eastAsia"/>
                <w:color w:val="auto"/>
                <w:sz w:val="24"/>
                <w:szCs w:val="24"/>
                <w:highlight w:val="none"/>
              </w:rPr>
              <w:t>：</w:t>
            </w:r>
            <w:r>
              <w:rPr>
                <w:rFonts w:hint="eastAsia"/>
                <w:color w:val="auto"/>
                <w:sz w:val="24"/>
                <w:szCs w:val="24"/>
                <w:highlight w:val="none"/>
                <w:lang w:val="en-US" w:eastAsia="zh-CN"/>
              </w:rPr>
              <w:t>新建</w:t>
            </w:r>
          </w:p>
          <w:p w14:paraId="336A159C">
            <w:pPr>
              <w:keepNext w:val="0"/>
              <w:keepLines w:val="0"/>
              <w:suppressLineNumbers w:val="0"/>
              <w:spacing w:before="0" w:beforeAutospacing="0" w:after="0" w:afterAutospacing="0" w:line="360" w:lineRule="auto"/>
              <w:ind w:left="0" w:right="0" w:firstLine="480" w:firstLineChars="200"/>
              <w:rPr>
                <w:rFonts w:hint="default"/>
                <w:color w:val="auto"/>
                <w:sz w:val="24"/>
                <w:szCs w:val="24"/>
                <w:highlight w:val="none"/>
              </w:rPr>
            </w:pPr>
            <w:r>
              <w:rPr>
                <w:rFonts w:hint="eastAsia"/>
                <w:color w:val="auto"/>
                <w:sz w:val="24"/>
                <w:szCs w:val="24"/>
                <w:highlight w:val="none"/>
              </w:rPr>
              <w:t>（4）项目建设地点：</w:t>
            </w:r>
            <w:r>
              <w:rPr>
                <w:rFonts w:hint="eastAsia" w:hAnsi="宋体"/>
                <w:color w:val="auto"/>
                <w:sz w:val="24"/>
                <w:szCs w:val="24"/>
                <w:highlight w:val="none"/>
              </w:rPr>
              <w:t>本项目</w:t>
            </w:r>
            <w:r>
              <w:rPr>
                <w:rFonts w:hint="eastAsia" w:hAnsi="宋体"/>
                <w:color w:val="auto"/>
                <w:sz w:val="24"/>
                <w:szCs w:val="24"/>
                <w:highlight w:val="none"/>
                <w:lang w:val="en-US" w:eastAsia="zh-CN"/>
              </w:rPr>
              <w:t>租赁</w:t>
            </w:r>
            <w:r>
              <w:rPr>
                <w:rFonts w:hint="eastAsia"/>
                <w:color w:val="auto"/>
                <w:sz w:val="24"/>
                <w:highlight w:val="none"/>
                <w:lang w:eastAsia="zh-CN"/>
              </w:rPr>
              <w:t>安徽省淮南市</w:t>
            </w:r>
            <w:r>
              <w:rPr>
                <w:rFonts w:hint="eastAsia"/>
                <w:color w:val="auto"/>
                <w:sz w:val="24"/>
                <w:highlight w:val="none"/>
                <w:lang w:val="en-US" w:eastAsia="zh-CN"/>
              </w:rPr>
              <w:t>凤台县</w:t>
            </w:r>
            <w:r>
              <w:rPr>
                <w:rFonts w:hint="eastAsia"/>
                <w:color w:val="auto"/>
                <w:sz w:val="24"/>
                <w:highlight w:val="none"/>
                <w:lang w:eastAsia="zh-CN"/>
              </w:rPr>
              <w:t>凤台经济开发区电子智能制造产业园52#标准化厂房一层、二层、三层、四层</w:t>
            </w:r>
            <w:r>
              <w:rPr>
                <w:rFonts w:hint="eastAsia"/>
                <w:color w:val="auto"/>
                <w:sz w:val="24"/>
                <w:highlight w:val="none"/>
                <w:lang w:val="en-US" w:eastAsia="zh-CN"/>
              </w:rPr>
              <w:t>进行建设</w:t>
            </w:r>
            <w:r>
              <w:rPr>
                <w:rFonts w:hint="eastAsia"/>
                <w:color w:val="auto"/>
                <w:sz w:val="24"/>
                <w:szCs w:val="24"/>
                <w:highlight w:val="none"/>
              </w:rPr>
              <w:t>，项目中心位置地理坐标为（</w:t>
            </w:r>
            <w:r>
              <w:rPr>
                <w:rFonts w:hint="default" w:ascii="Times New Roman Regular" w:hAnsi="Times New Roman Regular" w:cs="Times New Roman Regular"/>
                <w:color w:val="auto"/>
                <w:kern w:val="0"/>
                <w:sz w:val="24"/>
                <w:szCs w:val="24"/>
                <w:highlight w:val="none"/>
              </w:rPr>
              <w:t>E：116°</w:t>
            </w:r>
            <w:r>
              <w:rPr>
                <w:rFonts w:hint="eastAsia" w:ascii="Times New Roman Regular" w:hAnsi="Times New Roman Regular" w:cs="Times New Roman Regular"/>
                <w:color w:val="auto"/>
                <w:kern w:val="0"/>
                <w:sz w:val="24"/>
                <w:szCs w:val="24"/>
                <w:highlight w:val="none"/>
                <w:lang w:val="en-US" w:eastAsia="zh-CN"/>
              </w:rPr>
              <w:t>39</w:t>
            </w:r>
            <w:r>
              <w:rPr>
                <w:rFonts w:hint="default" w:ascii="Times New Roman Regular" w:hAnsi="Times New Roman Regular" w:cs="Times New Roman Regular"/>
                <w:color w:val="auto"/>
                <w:kern w:val="0"/>
                <w:sz w:val="24"/>
                <w:szCs w:val="24"/>
                <w:highlight w:val="none"/>
              </w:rPr>
              <w:t>′</w:t>
            </w:r>
            <w:r>
              <w:rPr>
                <w:rFonts w:hint="eastAsia" w:ascii="Times New Roman Regular" w:hAnsi="Times New Roman Regular" w:cs="Times New Roman Regular"/>
                <w:color w:val="auto"/>
                <w:kern w:val="0"/>
                <w:sz w:val="24"/>
                <w:szCs w:val="24"/>
                <w:highlight w:val="none"/>
                <w:lang w:val="en-US" w:eastAsia="zh-CN"/>
              </w:rPr>
              <w:t>55.422</w:t>
            </w:r>
            <w:r>
              <w:rPr>
                <w:rFonts w:hint="default" w:ascii="Times New Roman Regular" w:hAnsi="Times New Roman Regular" w:cs="Times New Roman Regular"/>
                <w:color w:val="auto"/>
                <w:kern w:val="0"/>
                <w:sz w:val="24"/>
                <w:szCs w:val="24"/>
                <w:highlight w:val="none"/>
              </w:rPr>
              <w:t>″</w:t>
            </w:r>
            <w:r>
              <w:rPr>
                <w:rFonts w:hint="default" w:ascii="Times New Roman Regular" w:hAnsi="Times New Roman Regular" w:cs="Times New Roman Regular"/>
                <w:color w:val="auto"/>
                <w:sz w:val="24"/>
                <w:szCs w:val="24"/>
                <w:highlight w:val="none"/>
              </w:rPr>
              <w:t>，</w:t>
            </w:r>
            <w:r>
              <w:rPr>
                <w:rFonts w:hint="default" w:ascii="Times New Roman Regular" w:hAnsi="Times New Roman Regular" w:cs="Times New Roman Regular"/>
                <w:color w:val="auto"/>
                <w:kern w:val="0"/>
                <w:sz w:val="24"/>
                <w:szCs w:val="24"/>
                <w:highlight w:val="none"/>
              </w:rPr>
              <w:t>N：32°</w:t>
            </w:r>
            <w:r>
              <w:rPr>
                <w:rFonts w:hint="eastAsia" w:ascii="Times New Roman Regular" w:hAnsi="Times New Roman Regular" w:cs="Times New Roman Regular"/>
                <w:color w:val="auto"/>
                <w:kern w:val="0"/>
                <w:sz w:val="24"/>
                <w:szCs w:val="24"/>
                <w:highlight w:val="none"/>
                <w:lang w:val="en-US" w:eastAsia="zh-CN"/>
              </w:rPr>
              <w:t>45</w:t>
            </w:r>
            <w:r>
              <w:rPr>
                <w:rFonts w:hint="default" w:ascii="Times New Roman Regular" w:hAnsi="Times New Roman Regular" w:cs="Times New Roman Regular"/>
                <w:color w:val="auto"/>
                <w:kern w:val="0"/>
                <w:sz w:val="24"/>
                <w:szCs w:val="24"/>
                <w:highlight w:val="none"/>
              </w:rPr>
              <w:t>′</w:t>
            </w:r>
            <w:r>
              <w:rPr>
                <w:rFonts w:hint="eastAsia" w:ascii="Times New Roman Regular" w:hAnsi="Times New Roman Regular" w:cs="Times New Roman Regular"/>
                <w:color w:val="auto"/>
                <w:kern w:val="0"/>
                <w:sz w:val="24"/>
                <w:szCs w:val="24"/>
                <w:highlight w:val="none"/>
                <w:lang w:val="en-US" w:eastAsia="zh-CN"/>
              </w:rPr>
              <w:t>0.778</w:t>
            </w:r>
            <w:r>
              <w:rPr>
                <w:rFonts w:hint="default" w:ascii="Times New Roman Regular" w:hAnsi="Times New Roman Regular" w:cs="Times New Roman Regular"/>
                <w:color w:val="auto"/>
                <w:kern w:val="0"/>
                <w:sz w:val="24"/>
                <w:szCs w:val="24"/>
                <w:highlight w:val="none"/>
              </w:rPr>
              <w:t>″</w:t>
            </w:r>
            <w:r>
              <w:rPr>
                <w:rFonts w:hint="eastAsia"/>
                <w:color w:val="auto"/>
                <w:sz w:val="24"/>
                <w:szCs w:val="24"/>
                <w:highlight w:val="none"/>
              </w:rPr>
              <w:t>）。本项目地理位置见附图1。</w:t>
            </w:r>
          </w:p>
          <w:p w14:paraId="52DA0E2F">
            <w:pPr>
              <w:pStyle w:val="9"/>
              <w:keepNext w:val="0"/>
              <w:keepLines w:val="0"/>
              <w:suppressLineNumbers w:val="0"/>
              <w:spacing w:before="0" w:beforeAutospacing="0" w:after="0" w:afterAutospacing="0" w:line="360" w:lineRule="auto"/>
              <w:ind w:left="0" w:right="0" w:firstLine="480" w:firstLineChars="200"/>
              <w:rPr>
                <w:rFonts w:hint="default"/>
                <w:color w:val="auto"/>
                <w:sz w:val="24"/>
                <w:szCs w:val="28"/>
                <w:highlight w:val="none"/>
              </w:rPr>
            </w:pPr>
            <w:r>
              <w:rPr>
                <w:rFonts w:hint="eastAsia"/>
                <w:color w:val="auto"/>
                <w:sz w:val="24"/>
                <w:szCs w:val="28"/>
                <w:highlight w:val="none"/>
              </w:rPr>
              <w:t>（</w:t>
            </w:r>
            <w:r>
              <w:rPr>
                <w:rFonts w:hint="default"/>
                <w:color w:val="auto"/>
                <w:sz w:val="24"/>
                <w:szCs w:val="28"/>
                <w:highlight w:val="none"/>
              </w:rPr>
              <w:t>5</w:t>
            </w:r>
            <w:r>
              <w:rPr>
                <w:rFonts w:hint="eastAsia"/>
                <w:color w:val="auto"/>
                <w:sz w:val="24"/>
                <w:szCs w:val="28"/>
                <w:highlight w:val="none"/>
              </w:rPr>
              <w:t>）项目投资：项目总投资</w:t>
            </w:r>
            <w:r>
              <w:rPr>
                <w:rFonts w:hint="eastAsia"/>
                <w:color w:val="auto"/>
                <w:sz w:val="24"/>
                <w:szCs w:val="24"/>
                <w:highlight w:val="none"/>
                <w:lang w:val="en-US" w:eastAsia="zh-CN"/>
              </w:rPr>
              <w:t>3000</w:t>
            </w:r>
            <w:r>
              <w:rPr>
                <w:rFonts w:hint="eastAsia"/>
                <w:color w:val="auto"/>
                <w:sz w:val="24"/>
                <w:szCs w:val="28"/>
                <w:highlight w:val="none"/>
              </w:rPr>
              <w:t>万元，其中环保投资</w:t>
            </w:r>
            <w:r>
              <w:rPr>
                <w:rFonts w:hint="eastAsia"/>
                <w:color w:val="auto"/>
                <w:sz w:val="24"/>
                <w:szCs w:val="28"/>
                <w:highlight w:val="none"/>
                <w:lang w:val="en-US" w:eastAsia="zh-CN"/>
              </w:rPr>
              <w:t>80</w:t>
            </w:r>
            <w:r>
              <w:rPr>
                <w:rFonts w:hint="eastAsia"/>
                <w:color w:val="auto"/>
                <w:sz w:val="24"/>
                <w:szCs w:val="28"/>
                <w:highlight w:val="none"/>
              </w:rPr>
              <w:t>万元，占总投资</w:t>
            </w:r>
            <w:r>
              <w:rPr>
                <w:rFonts w:hint="eastAsia"/>
                <w:color w:val="auto"/>
                <w:sz w:val="24"/>
                <w:szCs w:val="28"/>
                <w:highlight w:val="none"/>
                <w:lang w:val="en-US" w:eastAsia="zh-CN"/>
              </w:rPr>
              <w:t>2.67</w:t>
            </w:r>
            <w:r>
              <w:rPr>
                <w:rFonts w:hint="default"/>
                <w:color w:val="auto"/>
                <w:sz w:val="24"/>
                <w:szCs w:val="28"/>
                <w:highlight w:val="none"/>
              </w:rPr>
              <w:t>%</w:t>
            </w:r>
            <w:r>
              <w:rPr>
                <w:rFonts w:hint="eastAsia"/>
                <w:color w:val="auto"/>
                <w:sz w:val="24"/>
                <w:szCs w:val="28"/>
                <w:highlight w:val="none"/>
              </w:rPr>
              <w:t>。</w:t>
            </w:r>
          </w:p>
          <w:p w14:paraId="4584719B">
            <w:pPr>
              <w:keepNext w:val="0"/>
              <w:keepLines w:val="0"/>
              <w:suppressLineNumbers w:val="0"/>
              <w:spacing w:before="0" w:beforeAutospacing="0" w:after="0" w:afterAutospacing="0" w:line="360" w:lineRule="auto"/>
              <w:ind w:left="0" w:right="0" w:firstLine="482" w:firstLineChars="200"/>
              <w:rPr>
                <w:rFonts w:hint="default"/>
                <w:b/>
                <w:color w:val="auto"/>
                <w:sz w:val="24"/>
                <w:highlight w:val="none"/>
              </w:rPr>
            </w:pPr>
            <w:r>
              <w:rPr>
                <w:rFonts w:hint="eastAsia"/>
                <w:b/>
                <w:color w:val="auto"/>
                <w:sz w:val="24"/>
                <w:highlight w:val="none"/>
              </w:rPr>
              <w:t>3</w:t>
            </w:r>
            <w:r>
              <w:rPr>
                <w:rFonts w:hint="eastAsia"/>
                <w:b/>
                <w:color w:val="auto"/>
                <w:sz w:val="24"/>
                <w:highlight w:val="none"/>
                <w:lang w:val="en-US" w:eastAsia="zh-CN"/>
              </w:rPr>
              <w:t>.</w:t>
            </w:r>
            <w:r>
              <w:rPr>
                <w:rFonts w:hint="eastAsia"/>
                <w:b/>
                <w:color w:val="auto"/>
                <w:sz w:val="24"/>
                <w:highlight w:val="none"/>
              </w:rPr>
              <w:t>项目</w:t>
            </w:r>
            <w:r>
              <w:rPr>
                <w:rFonts w:hint="default"/>
                <w:b/>
                <w:color w:val="auto"/>
                <w:sz w:val="24"/>
                <w:highlight w:val="none"/>
              </w:rPr>
              <w:t>组成</w:t>
            </w:r>
          </w:p>
          <w:p w14:paraId="65CA5049">
            <w:pPr>
              <w:keepNext w:val="0"/>
              <w:keepLines w:val="0"/>
              <w:suppressLineNumbers w:val="0"/>
              <w:spacing w:before="0" w:beforeAutospacing="0" w:after="0" w:afterAutospacing="0" w:line="360" w:lineRule="auto"/>
              <w:ind w:left="0" w:right="0" w:firstLine="480" w:firstLineChars="200"/>
              <w:rPr>
                <w:rFonts w:hint="eastAsia" w:hAnsi="宋体"/>
                <w:color w:val="auto"/>
                <w:kern w:val="0"/>
                <w:sz w:val="24"/>
                <w:highlight w:val="none"/>
              </w:rPr>
            </w:pPr>
            <w:r>
              <w:rPr>
                <w:rFonts w:hint="eastAsia" w:hAnsi="宋体"/>
                <w:color w:val="auto"/>
                <w:kern w:val="0"/>
                <w:sz w:val="24"/>
                <w:highlight w:val="none"/>
                <w:lang w:val="en-US" w:eastAsia="zh-CN"/>
              </w:rPr>
              <w:t>拟建</w:t>
            </w:r>
            <w:r>
              <w:rPr>
                <w:rFonts w:hint="eastAsia" w:hAnsi="宋体"/>
                <w:color w:val="auto"/>
                <w:kern w:val="0"/>
                <w:sz w:val="24"/>
                <w:highlight w:val="none"/>
              </w:rPr>
              <w:t>项目</w:t>
            </w:r>
            <w:r>
              <w:rPr>
                <w:rFonts w:hint="eastAsia" w:hAnsi="宋体"/>
                <w:color w:val="auto"/>
                <w:kern w:val="0"/>
                <w:sz w:val="24"/>
                <w:highlight w:val="none"/>
                <w:lang w:val="en-US" w:eastAsia="zh-CN"/>
              </w:rPr>
              <w:t>租赁</w:t>
            </w:r>
            <w:r>
              <w:rPr>
                <w:rFonts w:hint="eastAsia"/>
                <w:color w:val="auto"/>
                <w:sz w:val="24"/>
                <w:highlight w:val="none"/>
                <w:lang w:eastAsia="zh-CN"/>
              </w:rPr>
              <w:t>安徽省淮南市</w:t>
            </w:r>
            <w:r>
              <w:rPr>
                <w:rFonts w:hint="eastAsia"/>
                <w:color w:val="auto"/>
                <w:sz w:val="24"/>
                <w:highlight w:val="none"/>
                <w:lang w:val="en-US" w:eastAsia="zh-CN"/>
              </w:rPr>
              <w:t>凤台县</w:t>
            </w:r>
            <w:r>
              <w:rPr>
                <w:rFonts w:hint="eastAsia"/>
                <w:color w:val="auto"/>
                <w:sz w:val="24"/>
                <w:highlight w:val="none"/>
                <w:lang w:eastAsia="zh-CN"/>
              </w:rPr>
              <w:t>凤台经济开发区电子智能制造产业园52#标准化厂房一层、二层、三层、四层</w:t>
            </w:r>
            <w:r>
              <w:rPr>
                <w:rFonts w:hint="eastAsia"/>
                <w:color w:val="auto"/>
                <w:sz w:val="24"/>
                <w:highlight w:val="none"/>
                <w:lang w:val="en-US" w:eastAsia="zh-CN"/>
              </w:rPr>
              <w:t>进行建设</w:t>
            </w:r>
            <w:r>
              <w:rPr>
                <w:rFonts w:hint="eastAsia" w:hAnsi="宋体"/>
                <w:color w:val="auto"/>
                <w:kern w:val="0"/>
                <w:sz w:val="24"/>
                <w:highlight w:val="none"/>
              </w:rPr>
              <w:t>，项目建设内容见下表。</w:t>
            </w:r>
          </w:p>
          <w:p w14:paraId="1F4FF4BE">
            <w:pPr>
              <w:pStyle w:val="223"/>
              <w:keepNext w:val="0"/>
              <w:keepLines w:val="0"/>
              <w:suppressLineNumbers w:val="0"/>
              <w:spacing w:before="0" w:beforeAutospacing="0" w:after="0" w:afterAutospacing="0"/>
              <w:ind w:left="0" w:right="0"/>
              <w:jc w:val="center"/>
              <w:rPr>
                <w:rFonts w:hint="default" w:hAnsi="黑体" w:eastAsia="黑体" w:cs="Times New Roman"/>
                <w:color w:val="auto"/>
                <w:highlight w:val="none"/>
              </w:rPr>
            </w:pPr>
            <w:r>
              <w:rPr>
                <w:rFonts w:hint="default" w:hAnsi="黑体" w:eastAsia="黑体" w:cs="Times New Roman"/>
                <w:color w:val="auto"/>
                <w:highlight w:val="none"/>
              </w:rPr>
              <w:t>表</w:t>
            </w:r>
            <w:r>
              <w:rPr>
                <w:rFonts w:hint="eastAsia" w:eastAsia="黑体" w:cs="Times New Roman"/>
                <w:color w:val="auto"/>
                <w:highlight w:val="none"/>
                <w:lang w:val="en-US" w:eastAsia="zh-CN"/>
              </w:rPr>
              <w:t>2-3</w:t>
            </w:r>
            <w:r>
              <w:rPr>
                <w:rFonts w:hint="default" w:eastAsia="黑体" w:cs="Times New Roman"/>
                <w:color w:val="auto"/>
                <w:highlight w:val="none"/>
              </w:rPr>
              <w:t xml:space="preserve"> </w:t>
            </w:r>
            <w:r>
              <w:rPr>
                <w:rFonts w:hint="default" w:hAnsi="黑体" w:eastAsia="黑体" w:cs="Times New Roman"/>
                <w:color w:val="auto"/>
                <w:highlight w:val="none"/>
              </w:rPr>
              <w:t>项目建设组成一览表</w:t>
            </w:r>
          </w:p>
          <w:tbl>
            <w:tblPr>
              <w:tblStyle w:val="37"/>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604"/>
              <w:gridCol w:w="1311"/>
              <w:gridCol w:w="975"/>
              <w:gridCol w:w="3227"/>
              <w:gridCol w:w="1208"/>
              <w:gridCol w:w="767"/>
            </w:tblGrid>
            <w:tr w14:paraId="33628E4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73" w:type="pct"/>
                  <w:vAlign w:val="center"/>
                </w:tcPr>
                <w:p w14:paraId="0FA1B80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
                      <w:bCs/>
                      <w:color w:val="auto"/>
                      <w:szCs w:val="21"/>
                      <w:highlight w:val="none"/>
                    </w:rPr>
                  </w:pPr>
                  <w:r>
                    <w:rPr>
                      <w:rFonts w:hint="default"/>
                      <w:b/>
                      <w:bCs/>
                      <w:color w:val="auto"/>
                      <w:szCs w:val="21"/>
                      <w:highlight w:val="none"/>
                    </w:rPr>
                    <w:t>工程</w:t>
                  </w:r>
                </w:p>
                <w:p w14:paraId="7212FEE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
                      <w:bCs/>
                      <w:color w:val="auto"/>
                      <w:szCs w:val="21"/>
                      <w:highlight w:val="none"/>
                    </w:rPr>
                  </w:pPr>
                  <w:r>
                    <w:rPr>
                      <w:rFonts w:hint="default"/>
                      <w:b/>
                      <w:bCs/>
                      <w:color w:val="auto"/>
                      <w:szCs w:val="21"/>
                      <w:highlight w:val="none"/>
                    </w:rPr>
                    <w:t>类别</w:t>
                  </w:r>
                </w:p>
              </w:tc>
              <w:tc>
                <w:tcPr>
                  <w:tcW w:w="1412" w:type="pct"/>
                  <w:gridSpan w:val="2"/>
                  <w:vAlign w:val="center"/>
                </w:tcPr>
                <w:p w14:paraId="12A3E1C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
                      <w:bCs/>
                      <w:color w:val="auto"/>
                      <w:szCs w:val="21"/>
                      <w:highlight w:val="none"/>
                    </w:rPr>
                  </w:pPr>
                  <w:r>
                    <w:rPr>
                      <w:rFonts w:hint="default"/>
                      <w:b/>
                      <w:bCs/>
                      <w:color w:val="auto"/>
                      <w:szCs w:val="21"/>
                      <w:highlight w:val="none"/>
                    </w:rPr>
                    <w:t>单项工程名</w:t>
                  </w:r>
                  <w:r>
                    <w:rPr>
                      <w:rFonts w:hint="eastAsia"/>
                      <w:b/>
                      <w:bCs/>
                      <w:color w:val="auto"/>
                      <w:szCs w:val="21"/>
                      <w:highlight w:val="none"/>
                    </w:rPr>
                    <w:t>称</w:t>
                  </w:r>
                </w:p>
              </w:tc>
              <w:tc>
                <w:tcPr>
                  <w:tcW w:w="2739" w:type="pct"/>
                  <w:gridSpan w:val="2"/>
                  <w:vAlign w:val="center"/>
                </w:tcPr>
                <w:p w14:paraId="1A81CF2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
                      <w:bCs/>
                      <w:color w:val="auto"/>
                      <w:szCs w:val="21"/>
                      <w:highlight w:val="none"/>
                    </w:rPr>
                  </w:pPr>
                  <w:r>
                    <w:rPr>
                      <w:rFonts w:hint="eastAsia"/>
                      <w:b/>
                      <w:bCs/>
                      <w:color w:val="auto"/>
                      <w:szCs w:val="21"/>
                      <w:highlight w:val="none"/>
                      <w:lang w:val="en-US" w:eastAsia="zh-CN"/>
                    </w:rPr>
                    <w:t>拟建</w:t>
                  </w:r>
                  <w:r>
                    <w:rPr>
                      <w:rFonts w:hint="default"/>
                      <w:b/>
                      <w:bCs/>
                      <w:color w:val="auto"/>
                      <w:szCs w:val="21"/>
                      <w:highlight w:val="none"/>
                    </w:rPr>
                    <w:t>工程内容及规模</w:t>
                  </w:r>
                </w:p>
              </w:tc>
              <w:tc>
                <w:tcPr>
                  <w:tcW w:w="474" w:type="pct"/>
                  <w:vAlign w:val="center"/>
                </w:tcPr>
                <w:p w14:paraId="7135A43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eastAsia="宋体"/>
                      <w:b/>
                      <w:bCs/>
                      <w:color w:val="auto"/>
                      <w:szCs w:val="21"/>
                      <w:highlight w:val="none"/>
                      <w:lang w:val="en-US" w:eastAsia="zh-CN"/>
                    </w:rPr>
                  </w:pPr>
                  <w:r>
                    <w:rPr>
                      <w:rFonts w:hint="eastAsia"/>
                      <w:b/>
                      <w:bCs/>
                      <w:color w:val="auto"/>
                      <w:szCs w:val="21"/>
                      <w:highlight w:val="none"/>
                      <w:lang w:val="en-US" w:eastAsia="zh-CN"/>
                    </w:rPr>
                    <w:t>备注</w:t>
                  </w:r>
                </w:p>
              </w:tc>
            </w:tr>
            <w:tr w14:paraId="19E039D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73" w:type="pct"/>
                  <w:vMerge w:val="restart"/>
                  <w:vAlign w:val="center"/>
                </w:tcPr>
                <w:p w14:paraId="2CA1E33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lang w:val="en-US" w:eastAsia="zh-CN"/>
                    </w:rPr>
                  </w:pPr>
                  <w:r>
                    <w:rPr>
                      <w:rFonts w:hint="eastAsia"/>
                      <w:bCs/>
                      <w:color w:val="auto"/>
                      <w:szCs w:val="21"/>
                      <w:highlight w:val="none"/>
                      <w:lang w:val="en-US" w:eastAsia="zh-CN"/>
                    </w:rPr>
                    <w:t>主体工程</w:t>
                  </w:r>
                </w:p>
              </w:tc>
              <w:tc>
                <w:tcPr>
                  <w:tcW w:w="810" w:type="pct"/>
                  <w:vMerge w:val="restart"/>
                  <w:vAlign w:val="center"/>
                </w:tcPr>
                <w:p w14:paraId="0FF7C67D">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52#标准化厂房（4层建筑，高20m，总建筑面积2910.24m</w:t>
                  </w:r>
                  <w:r>
                    <w:rPr>
                      <w:rFonts w:hint="eastAsia" w:cs="Times New Roman" w:eastAsiaTheme="minorEastAsia"/>
                      <w:color w:val="auto"/>
                      <w:sz w:val="21"/>
                      <w:szCs w:val="21"/>
                      <w:highlight w:val="none"/>
                      <w:vertAlign w:val="superscript"/>
                      <w:lang w:val="en-US" w:eastAsia="zh-CN"/>
                    </w:rPr>
                    <w:t>2</w:t>
                  </w:r>
                  <w:r>
                    <w:rPr>
                      <w:rFonts w:hint="eastAsia" w:cs="Times New Roman" w:eastAsiaTheme="minorEastAsia"/>
                      <w:color w:val="auto"/>
                      <w:sz w:val="21"/>
                      <w:szCs w:val="21"/>
                      <w:highlight w:val="none"/>
                      <w:lang w:val="en-US" w:eastAsia="zh-CN"/>
                    </w:rPr>
                    <w:t>）</w:t>
                  </w:r>
                </w:p>
              </w:tc>
              <w:tc>
                <w:tcPr>
                  <w:tcW w:w="602" w:type="pct"/>
                  <w:vAlign w:val="center"/>
                </w:tcPr>
                <w:p w14:paraId="0645E34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lang w:val="en-US" w:eastAsia="zh-CN"/>
                    </w:rPr>
                  </w:pPr>
                  <w:r>
                    <w:rPr>
                      <w:rFonts w:hint="eastAsia"/>
                      <w:bCs/>
                      <w:color w:val="auto"/>
                      <w:szCs w:val="21"/>
                      <w:highlight w:val="none"/>
                      <w:lang w:val="en-US" w:eastAsia="zh-CN"/>
                    </w:rPr>
                    <w:t>1F</w:t>
                  </w:r>
                </w:p>
              </w:tc>
              <w:tc>
                <w:tcPr>
                  <w:tcW w:w="1993" w:type="pct"/>
                  <w:vAlign w:val="center"/>
                </w:tcPr>
                <w:p w14:paraId="383050A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cs="Times New Roman" w:eastAsiaTheme="minorEastAsia"/>
                      <w:b w:val="0"/>
                      <w:bCs w:val="0"/>
                      <w:color w:val="auto"/>
                      <w:sz w:val="21"/>
                      <w:szCs w:val="21"/>
                      <w:highlight w:val="none"/>
                      <w:lang w:val="en-US" w:eastAsia="zh-CN"/>
                    </w:rPr>
                  </w:pPr>
                  <w:r>
                    <w:rPr>
                      <w:rFonts w:hint="eastAsia" w:cs="Times New Roman" w:eastAsiaTheme="minorEastAsia"/>
                      <w:b w:val="0"/>
                      <w:bCs w:val="0"/>
                      <w:color w:val="auto"/>
                      <w:sz w:val="21"/>
                      <w:szCs w:val="21"/>
                      <w:highlight w:val="none"/>
                      <w:lang w:val="en-US" w:eastAsia="zh-CN"/>
                    </w:rPr>
                    <w:t>位于厂房1F，层高6.5m，建筑面积约732.06m</w:t>
                  </w:r>
                  <w:r>
                    <w:rPr>
                      <w:rFonts w:hint="eastAsia" w:cs="Times New Roman" w:eastAsiaTheme="minorEastAsia"/>
                      <w:b w:val="0"/>
                      <w:bCs w:val="0"/>
                      <w:color w:val="auto"/>
                      <w:sz w:val="21"/>
                      <w:szCs w:val="21"/>
                      <w:highlight w:val="none"/>
                      <w:vertAlign w:val="superscript"/>
                      <w:lang w:val="en-US" w:eastAsia="zh-CN"/>
                    </w:rPr>
                    <w:t>2</w:t>
                  </w:r>
                  <w:r>
                    <w:rPr>
                      <w:rFonts w:hint="eastAsia" w:cs="Times New Roman" w:eastAsiaTheme="minorEastAsia"/>
                      <w:b w:val="0"/>
                      <w:bCs w:val="0"/>
                      <w:color w:val="auto"/>
                      <w:sz w:val="21"/>
                      <w:szCs w:val="21"/>
                      <w:highlight w:val="none"/>
                      <w:lang w:val="en-US" w:eastAsia="zh-CN"/>
                    </w:rPr>
                    <w:t>，设置3条注塑生产线，按批次进行PS衣架、日常收纳用品及服装辅料配件生产，由北向南布设注塑区（建筑面积650m</w:t>
                  </w:r>
                  <w:r>
                    <w:rPr>
                      <w:rFonts w:hint="eastAsia" w:cs="Times New Roman" w:eastAsiaTheme="minorEastAsia"/>
                      <w:b w:val="0"/>
                      <w:bCs w:val="0"/>
                      <w:color w:val="auto"/>
                      <w:sz w:val="21"/>
                      <w:szCs w:val="21"/>
                      <w:highlight w:val="none"/>
                      <w:vertAlign w:val="superscript"/>
                      <w:lang w:val="en-US" w:eastAsia="zh-CN"/>
                    </w:rPr>
                    <w:t>2</w:t>
                  </w:r>
                  <w:r>
                    <w:rPr>
                      <w:rFonts w:hint="eastAsia" w:cs="Times New Roman" w:eastAsiaTheme="minorEastAsia"/>
                      <w:b w:val="0"/>
                      <w:bCs w:val="0"/>
                      <w:color w:val="auto"/>
                      <w:sz w:val="21"/>
                      <w:szCs w:val="21"/>
                      <w:highlight w:val="none"/>
                      <w:lang w:val="en-US" w:eastAsia="zh-CN"/>
                    </w:rPr>
                    <w:t>）、冷却成型区（建筑面积50m</w:t>
                  </w:r>
                  <w:r>
                    <w:rPr>
                      <w:rFonts w:hint="eastAsia" w:cs="Times New Roman" w:eastAsiaTheme="minorEastAsia"/>
                      <w:b w:val="0"/>
                      <w:bCs w:val="0"/>
                      <w:color w:val="auto"/>
                      <w:sz w:val="21"/>
                      <w:szCs w:val="21"/>
                      <w:highlight w:val="none"/>
                      <w:vertAlign w:val="superscript"/>
                      <w:lang w:val="en-US" w:eastAsia="zh-CN"/>
                    </w:rPr>
                    <w:t>2</w:t>
                  </w:r>
                  <w:r>
                    <w:rPr>
                      <w:rFonts w:hint="eastAsia" w:cs="Times New Roman" w:eastAsiaTheme="minorEastAsia"/>
                      <w:b w:val="0"/>
                      <w:bCs w:val="0"/>
                      <w:color w:val="auto"/>
                      <w:sz w:val="21"/>
                      <w:szCs w:val="21"/>
                      <w:highlight w:val="none"/>
                      <w:lang w:val="en-US" w:eastAsia="zh-CN"/>
                    </w:rPr>
                    <w:t>），购置注塑机、自动化机械手、冷水机、模温机等设备。</w:t>
                  </w:r>
                </w:p>
              </w:tc>
              <w:tc>
                <w:tcPr>
                  <w:tcW w:w="746" w:type="pct"/>
                  <w:vMerge w:val="restart"/>
                  <w:vAlign w:val="center"/>
                </w:tcPr>
                <w:p w14:paraId="5AB3F5B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年生产1500万件PS衣架、500万件日常收纳用品、500万件服装辅料配件</w:t>
                  </w:r>
                </w:p>
              </w:tc>
              <w:tc>
                <w:tcPr>
                  <w:tcW w:w="474" w:type="pct"/>
                  <w:vAlign w:val="center"/>
                </w:tcPr>
                <w:p w14:paraId="0F93553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lang w:val="en-US" w:eastAsia="zh-CN"/>
                    </w:rPr>
                  </w:pPr>
                  <w:r>
                    <w:rPr>
                      <w:rFonts w:hint="eastAsia"/>
                      <w:bCs/>
                      <w:color w:val="auto"/>
                      <w:szCs w:val="21"/>
                      <w:highlight w:val="none"/>
                      <w:lang w:val="en-US" w:eastAsia="zh-CN"/>
                    </w:rPr>
                    <w:t>新建</w:t>
                  </w:r>
                </w:p>
              </w:tc>
            </w:tr>
            <w:tr w14:paraId="061C90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73" w:type="pct"/>
                  <w:vMerge w:val="continue"/>
                  <w:vAlign w:val="center"/>
                </w:tcPr>
                <w:p w14:paraId="6670E05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bCs/>
                      <w:color w:val="auto"/>
                      <w:szCs w:val="21"/>
                      <w:highlight w:val="none"/>
                      <w:lang w:val="en-US" w:eastAsia="zh-CN"/>
                    </w:rPr>
                  </w:pPr>
                </w:p>
              </w:tc>
              <w:tc>
                <w:tcPr>
                  <w:tcW w:w="810" w:type="pct"/>
                  <w:vMerge w:val="continue"/>
                  <w:vAlign w:val="center"/>
                </w:tcPr>
                <w:p w14:paraId="1003EF3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cs="Times New Roman" w:eastAsiaTheme="minorEastAsia"/>
                      <w:color w:val="auto"/>
                      <w:sz w:val="21"/>
                      <w:szCs w:val="21"/>
                      <w:highlight w:val="none"/>
                      <w:lang w:val="en-US" w:eastAsia="zh-CN"/>
                    </w:rPr>
                  </w:pPr>
                </w:p>
              </w:tc>
              <w:tc>
                <w:tcPr>
                  <w:tcW w:w="602" w:type="pct"/>
                  <w:shd w:val="clear" w:color="auto" w:fill="auto"/>
                  <w:vAlign w:val="center"/>
                </w:tcPr>
                <w:p w14:paraId="17B43A8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leftChars="0" w:right="0" w:rightChars="0"/>
                    <w:contextualSpacing/>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bCs/>
                      <w:color w:val="auto"/>
                      <w:szCs w:val="21"/>
                      <w:highlight w:val="none"/>
                      <w:lang w:val="en-US" w:eastAsia="zh-CN"/>
                    </w:rPr>
                    <w:t>2F</w:t>
                  </w:r>
                </w:p>
              </w:tc>
              <w:tc>
                <w:tcPr>
                  <w:tcW w:w="1993" w:type="pct"/>
                  <w:shd w:val="clear" w:color="auto" w:fill="auto"/>
                  <w:vAlign w:val="center"/>
                </w:tcPr>
                <w:p w14:paraId="43617B8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leftChars="0" w:right="0" w:rightChars="0"/>
                    <w:jc w:val="center"/>
                    <w:textAlignment w:val="auto"/>
                    <w:rPr>
                      <w:rFonts w:hint="eastAsia" w:ascii="Times New Roman" w:hAnsi="Times New Roman" w:cs="Times New Roman" w:eastAsiaTheme="minorEastAsia"/>
                      <w:b w:val="0"/>
                      <w:bCs w:val="0"/>
                      <w:color w:val="auto"/>
                      <w:kern w:val="2"/>
                      <w:sz w:val="21"/>
                      <w:szCs w:val="21"/>
                      <w:highlight w:val="none"/>
                      <w:lang w:val="en-US" w:eastAsia="zh-CN" w:bidi="ar-SA"/>
                    </w:rPr>
                  </w:pPr>
                  <w:r>
                    <w:rPr>
                      <w:rFonts w:hint="eastAsia" w:cs="Times New Roman" w:eastAsiaTheme="minorEastAsia"/>
                      <w:b w:val="0"/>
                      <w:bCs w:val="0"/>
                      <w:color w:val="auto"/>
                      <w:sz w:val="21"/>
                      <w:szCs w:val="21"/>
                      <w:highlight w:val="none"/>
                      <w:lang w:val="en-US" w:eastAsia="zh-CN"/>
                    </w:rPr>
                    <w:t>位于厂房2F，层高4.5m，建筑面积约723.06m</w:t>
                  </w:r>
                  <w:r>
                    <w:rPr>
                      <w:rFonts w:hint="eastAsia" w:cs="Times New Roman" w:eastAsiaTheme="minorEastAsia"/>
                      <w:b w:val="0"/>
                      <w:bCs w:val="0"/>
                      <w:color w:val="auto"/>
                      <w:sz w:val="21"/>
                      <w:szCs w:val="21"/>
                      <w:highlight w:val="none"/>
                      <w:vertAlign w:val="superscript"/>
                      <w:lang w:val="en-US" w:eastAsia="zh-CN"/>
                    </w:rPr>
                    <w:t>2</w:t>
                  </w:r>
                  <w:r>
                    <w:rPr>
                      <w:rFonts w:hint="eastAsia" w:cs="Times New Roman" w:eastAsiaTheme="minorEastAsia"/>
                      <w:b w:val="0"/>
                      <w:bCs w:val="0"/>
                      <w:color w:val="auto"/>
                      <w:sz w:val="21"/>
                      <w:szCs w:val="21"/>
                      <w:highlight w:val="none"/>
                      <w:lang w:val="en-US" w:eastAsia="zh-CN"/>
                    </w:rPr>
                    <w:t>，由北向南分别布设投料配料区（2F北部，建筑面积120m</w:t>
                  </w:r>
                  <w:r>
                    <w:rPr>
                      <w:rFonts w:hint="eastAsia" w:cs="Times New Roman" w:eastAsiaTheme="minorEastAsia"/>
                      <w:b w:val="0"/>
                      <w:bCs w:val="0"/>
                      <w:color w:val="auto"/>
                      <w:sz w:val="21"/>
                      <w:szCs w:val="21"/>
                      <w:highlight w:val="none"/>
                      <w:vertAlign w:val="superscript"/>
                      <w:lang w:val="en-US" w:eastAsia="zh-CN"/>
                    </w:rPr>
                    <w:t>2</w:t>
                  </w:r>
                  <w:r>
                    <w:rPr>
                      <w:rFonts w:hint="eastAsia" w:cs="Times New Roman" w:eastAsiaTheme="minorEastAsia"/>
                      <w:b w:val="0"/>
                      <w:bCs w:val="0"/>
                      <w:color w:val="auto"/>
                      <w:sz w:val="21"/>
                      <w:szCs w:val="21"/>
                      <w:highlight w:val="none"/>
                      <w:lang w:val="en-US" w:eastAsia="zh-CN"/>
                    </w:rPr>
                    <w:t>）、粉碎区（2F北部，建筑面积120m</w:t>
                  </w:r>
                  <w:r>
                    <w:rPr>
                      <w:rFonts w:hint="eastAsia" w:cs="Times New Roman" w:eastAsiaTheme="minorEastAsia"/>
                      <w:b w:val="0"/>
                      <w:bCs w:val="0"/>
                      <w:color w:val="auto"/>
                      <w:sz w:val="21"/>
                      <w:szCs w:val="21"/>
                      <w:highlight w:val="none"/>
                      <w:vertAlign w:val="superscript"/>
                      <w:lang w:val="en-US" w:eastAsia="zh-CN"/>
                    </w:rPr>
                    <w:t>2</w:t>
                  </w:r>
                  <w:r>
                    <w:rPr>
                      <w:rFonts w:hint="eastAsia" w:cs="Times New Roman" w:eastAsiaTheme="minorEastAsia"/>
                      <w:b w:val="0"/>
                      <w:bCs w:val="0"/>
                      <w:color w:val="auto"/>
                      <w:sz w:val="21"/>
                      <w:szCs w:val="21"/>
                      <w:highlight w:val="none"/>
                      <w:lang w:val="en-US" w:eastAsia="zh-CN"/>
                    </w:rPr>
                    <w:t>）、原材料存放区（2F中部，建筑面积100m</w:t>
                  </w:r>
                  <w:r>
                    <w:rPr>
                      <w:rFonts w:hint="eastAsia" w:cs="Times New Roman" w:eastAsiaTheme="minorEastAsia"/>
                      <w:b w:val="0"/>
                      <w:bCs w:val="0"/>
                      <w:color w:val="auto"/>
                      <w:sz w:val="21"/>
                      <w:szCs w:val="21"/>
                      <w:highlight w:val="none"/>
                      <w:vertAlign w:val="superscript"/>
                      <w:lang w:val="en-US" w:eastAsia="zh-CN"/>
                    </w:rPr>
                    <w:t>2</w:t>
                  </w:r>
                  <w:r>
                    <w:rPr>
                      <w:rFonts w:hint="eastAsia" w:cs="Times New Roman" w:eastAsiaTheme="minorEastAsia"/>
                      <w:b w:val="0"/>
                      <w:bCs w:val="0"/>
                      <w:color w:val="auto"/>
                      <w:sz w:val="21"/>
                      <w:szCs w:val="21"/>
                      <w:highlight w:val="none"/>
                      <w:lang w:val="en-US" w:eastAsia="zh-CN"/>
                    </w:rPr>
                    <w:t>）、化学品库（2F中部、建筑面积10m</w:t>
                  </w:r>
                  <w:r>
                    <w:rPr>
                      <w:rFonts w:hint="eastAsia" w:cs="Times New Roman" w:eastAsiaTheme="minorEastAsia"/>
                      <w:b w:val="0"/>
                      <w:bCs w:val="0"/>
                      <w:color w:val="auto"/>
                      <w:sz w:val="21"/>
                      <w:szCs w:val="21"/>
                      <w:highlight w:val="none"/>
                      <w:vertAlign w:val="superscript"/>
                      <w:lang w:val="en-US" w:eastAsia="zh-CN"/>
                    </w:rPr>
                    <w:t>2</w:t>
                  </w:r>
                  <w:r>
                    <w:rPr>
                      <w:rFonts w:hint="eastAsia" w:cs="Times New Roman" w:eastAsiaTheme="minorEastAsia"/>
                      <w:b w:val="0"/>
                      <w:bCs w:val="0"/>
                      <w:color w:val="auto"/>
                      <w:sz w:val="21"/>
                      <w:szCs w:val="21"/>
                      <w:highlight w:val="none"/>
                      <w:lang w:val="en-US" w:eastAsia="zh-CN"/>
                    </w:rPr>
                    <w:t>）、半成品周转区（2F西南部，建筑面积100m</w:t>
                  </w:r>
                  <w:r>
                    <w:rPr>
                      <w:rFonts w:hint="eastAsia" w:cs="Times New Roman" w:eastAsiaTheme="minorEastAsia"/>
                      <w:b w:val="0"/>
                      <w:bCs w:val="0"/>
                      <w:color w:val="auto"/>
                      <w:sz w:val="21"/>
                      <w:szCs w:val="21"/>
                      <w:highlight w:val="none"/>
                      <w:vertAlign w:val="superscript"/>
                      <w:lang w:val="en-US" w:eastAsia="zh-CN"/>
                    </w:rPr>
                    <w:t>2</w:t>
                  </w:r>
                  <w:r>
                    <w:rPr>
                      <w:rFonts w:hint="eastAsia" w:cs="Times New Roman" w:eastAsiaTheme="minorEastAsia"/>
                      <w:b w:val="0"/>
                      <w:bCs w:val="0"/>
                      <w:color w:val="auto"/>
                      <w:sz w:val="21"/>
                      <w:szCs w:val="21"/>
                      <w:highlight w:val="none"/>
                      <w:lang w:val="en-US" w:eastAsia="zh-CN"/>
                    </w:rPr>
                    <w:t>）、包材存放区（2F东南部，建筑面积50m</w:t>
                  </w:r>
                  <w:r>
                    <w:rPr>
                      <w:rFonts w:hint="eastAsia" w:cs="Times New Roman" w:eastAsiaTheme="minorEastAsia"/>
                      <w:b w:val="0"/>
                      <w:bCs w:val="0"/>
                      <w:color w:val="auto"/>
                      <w:sz w:val="21"/>
                      <w:szCs w:val="21"/>
                      <w:highlight w:val="none"/>
                      <w:vertAlign w:val="superscript"/>
                      <w:lang w:val="en-US" w:eastAsia="zh-CN"/>
                    </w:rPr>
                    <w:t>2</w:t>
                  </w:r>
                  <w:r>
                    <w:rPr>
                      <w:rFonts w:hint="eastAsia" w:cs="Times New Roman" w:eastAsiaTheme="minorEastAsia"/>
                      <w:b w:val="0"/>
                      <w:bCs w:val="0"/>
                      <w:color w:val="auto"/>
                      <w:sz w:val="21"/>
                      <w:szCs w:val="21"/>
                      <w:highlight w:val="none"/>
                      <w:lang w:val="en-US" w:eastAsia="zh-CN"/>
                    </w:rPr>
                    <w:t>），以及检验、人工修剪及包装区（2F东南部，建筑面积150m</w:t>
                  </w:r>
                  <w:r>
                    <w:rPr>
                      <w:rFonts w:hint="eastAsia" w:cs="Times New Roman" w:eastAsiaTheme="minorEastAsia"/>
                      <w:b w:val="0"/>
                      <w:bCs w:val="0"/>
                      <w:color w:val="auto"/>
                      <w:sz w:val="21"/>
                      <w:szCs w:val="21"/>
                      <w:highlight w:val="none"/>
                      <w:vertAlign w:val="superscript"/>
                      <w:lang w:val="en-US" w:eastAsia="zh-CN"/>
                    </w:rPr>
                    <w:t>2</w:t>
                  </w:r>
                  <w:r>
                    <w:rPr>
                      <w:rFonts w:hint="eastAsia" w:cs="Times New Roman" w:eastAsiaTheme="minorEastAsia"/>
                      <w:b w:val="0"/>
                      <w:bCs w:val="0"/>
                      <w:color w:val="auto"/>
                      <w:sz w:val="21"/>
                      <w:szCs w:val="21"/>
                      <w:highlight w:val="none"/>
                      <w:lang w:val="en-US" w:eastAsia="zh-CN"/>
                    </w:rPr>
                    <w:t>），用于PS衣架、日常收纳用品及服装辅料配件生产及原材料储运。</w:t>
                  </w:r>
                </w:p>
              </w:tc>
              <w:tc>
                <w:tcPr>
                  <w:tcW w:w="746" w:type="pct"/>
                  <w:vMerge w:val="continue"/>
                  <w:vAlign w:val="center"/>
                </w:tcPr>
                <w:p w14:paraId="7F5280A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s="Times New Roman"/>
                      <w:b w:val="0"/>
                      <w:bCs w:val="0"/>
                      <w:color w:val="auto"/>
                      <w:sz w:val="21"/>
                      <w:szCs w:val="21"/>
                      <w:highlight w:val="none"/>
                      <w:lang w:val="en-US" w:eastAsia="zh-CN"/>
                    </w:rPr>
                  </w:pPr>
                </w:p>
              </w:tc>
              <w:tc>
                <w:tcPr>
                  <w:tcW w:w="474" w:type="pct"/>
                  <w:vAlign w:val="center"/>
                </w:tcPr>
                <w:p w14:paraId="1EAB83C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lang w:val="en-US" w:eastAsia="zh-CN"/>
                    </w:rPr>
                  </w:pPr>
                  <w:r>
                    <w:rPr>
                      <w:rFonts w:hint="eastAsia"/>
                      <w:bCs/>
                      <w:color w:val="auto"/>
                      <w:szCs w:val="21"/>
                      <w:highlight w:val="none"/>
                      <w:lang w:val="en-US" w:eastAsia="zh-CN"/>
                    </w:rPr>
                    <w:t>新建</w:t>
                  </w:r>
                </w:p>
              </w:tc>
            </w:tr>
            <w:tr w14:paraId="23BF75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73" w:type="pct"/>
                  <w:vMerge w:val="continue"/>
                  <w:vAlign w:val="center"/>
                </w:tcPr>
                <w:p w14:paraId="55AB83B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bCs/>
                      <w:color w:val="auto"/>
                      <w:szCs w:val="21"/>
                      <w:highlight w:val="none"/>
                      <w:lang w:val="en-US" w:eastAsia="zh-CN"/>
                    </w:rPr>
                  </w:pPr>
                </w:p>
              </w:tc>
              <w:tc>
                <w:tcPr>
                  <w:tcW w:w="810" w:type="pct"/>
                  <w:vMerge w:val="continue"/>
                  <w:vAlign w:val="center"/>
                </w:tcPr>
                <w:p w14:paraId="5CF8C96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cs="Times New Roman" w:eastAsiaTheme="minorEastAsia"/>
                      <w:color w:val="auto"/>
                      <w:sz w:val="21"/>
                      <w:szCs w:val="21"/>
                      <w:highlight w:val="none"/>
                      <w:lang w:val="en-US" w:eastAsia="zh-CN"/>
                    </w:rPr>
                  </w:pPr>
                </w:p>
              </w:tc>
              <w:tc>
                <w:tcPr>
                  <w:tcW w:w="602" w:type="pct"/>
                  <w:shd w:val="clear" w:color="auto" w:fill="auto"/>
                  <w:vAlign w:val="center"/>
                </w:tcPr>
                <w:p w14:paraId="6CE9A59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leftChars="0" w:right="0" w:rightChars="0"/>
                    <w:contextualSpacing/>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bCs/>
                      <w:color w:val="auto"/>
                      <w:szCs w:val="21"/>
                      <w:highlight w:val="none"/>
                      <w:lang w:val="en-US" w:eastAsia="zh-CN"/>
                    </w:rPr>
                    <w:t>3F</w:t>
                  </w:r>
                </w:p>
              </w:tc>
              <w:tc>
                <w:tcPr>
                  <w:tcW w:w="1993" w:type="pct"/>
                  <w:shd w:val="clear" w:color="auto" w:fill="auto"/>
                  <w:vAlign w:val="center"/>
                </w:tcPr>
                <w:p w14:paraId="34551B7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leftChars="0" w:right="0" w:rightChars="0"/>
                    <w:jc w:val="center"/>
                    <w:textAlignment w:val="auto"/>
                    <w:rPr>
                      <w:rFonts w:hint="eastAsia" w:ascii="Times New Roman" w:hAnsi="Times New Roman" w:cs="Times New Roman" w:eastAsiaTheme="minorEastAsia"/>
                      <w:b w:val="0"/>
                      <w:bCs w:val="0"/>
                      <w:color w:val="auto"/>
                      <w:kern w:val="2"/>
                      <w:sz w:val="21"/>
                      <w:szCs w:val="21"/>
                      <w:highlight w:val="none"/>
                      <w:lang w:val="en-US" w:eastAsia="zh-CN" w:bidi="ar-SA"/>
                    </w:rPr>
                  </w:pPr>
                  <w:r>
                    <w:rPr>
                      <w:rFonts w:hint="eastAsia" w:cs="Times New Roman" w:eastAsiaTheme="minorEastAsia"/>
                      <w:b w:val="0"/>
                      <w:bCs w:val="0"/>
                      <w:color w:val="auto"/>
                      <w:sz w:val="21"/>
                      <w:szCs w:val="21"/>
                      <w:highlight w:val="none"/>
                      <w:lang w:val="en-US" w:eastAsia="zh-CN"/>
                    </w:rPr>
                    <w:t>位于厂房3F，层高4.5m，建筑面积约723.06m</w:t>
                  </w:r>
                  <w:r>
                    <w:rPr>
                      <w:rFonts w:hint="eastAsia" w:cs="Times New Roman" w:eastAsiaTheme="minorEastAsia"/>
                      <w:b w:val="0"/>
                      <w:bCs w:val="0"/>
                      <w:color w:val="auto"/>
                      <w:sz w:val="21"/>
                      <w:szCs w:val="21"/>
                      <w:highlight w:val="none"/>
                      <w:vertAlign w:val="superscript"/>
                      <w:lang w:val="en-US" w:eastAsia="zh-CN"/>
                    </w:rPr>
                    <w:t>2</w:t>
                  </w:r>
                  <w:r>
                    <w:rPr>
                      <w:rFonts w:hint="eastAsia" w:cs="Times New Roman" w:eastAsiaTheme="minorEastAsia"/>
                      <w:b w:val="0"/>
                      <w:bCs w:val="0"/>
                      <w:color w:val="auto"/>
                      <w:sz w:val="21"/>
                      <w:szCs w:val="21"/>
                      <w:highlight w:val="none"/>
                      <w:lang w:val="en-US" w:eastAsia="zh-CN"/>
                    </w:rPr>
                    <w:t>，全部区域用于PS衣架、日常收纳用品及服装辅料配件成品存放。</w:t>
                  </w:r>
                </w:p>
              </w:tc>
              <w:tc>
                <w:tcPr>
                  <w:tcW w:w="746" w:type="pct"/>
                  <w:vMerge w:val="continue"/>
                  <w:vAlign w:val="center"/>
                </w:tcPr>
                <w:p w14:paraId="4F15264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s="Times New Roman"/>
                      <w:b w:val="0"/>
                      <w:bCs w:val="0"/>
                      <w:color w:val="auto"/>
                      <w:sz w:val="21"/>
                      <w:szCs w:val="21"/>
                      <w:highlight w:val="none"/>
                      <w:lang w:val="en-US" w:eastAsia="zh-CN"/>
                    </w:rPr>
                  </w:pPr>
                </w:p>
              </w:tc>
              <w:tc>
                <w:tcPr>
                  <w:tcW w:w="474" w:type="pct"/>
                  <w:vAlign w:val="center"/>
                </w:tcPr>
                <w:p w14:paraId="29AB1CC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bCs/>
                      <w:color w:val="auto"/>
                      <w:szCs w:val="21"/>
                      <w:highlight w:val="none"/>
                      <w:lang w:val="en-US" w:eastAsia="zh-CN"/>
                    </w:rPr>
                  </w:pPr>
                  <w:r>
                    <w:rPr>
                      <w:rFonts w:hint="eastAsia"/>
                      <w:bCs/>
                      <w:color w:val="auto"/>
                      <w:szCs w:val="21"/>
                      <w:highlight w:val="none"/>
                      <w:lang w:val="en-US" w:eastAsia="zh-CN"/>
                    </w:rPr>
                    <w:t>新建</w:t>
                  </w:r>
                </w:p>
              </w:tc>
            </w:tr>
            <w:tr w14:paraId="1C21E5F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73" w:type="pct"/>
                  <w:vMerge w:val="continue"/>
                  <w:vAlign w:val="center"/>
                </w:tcPr>
                <w:p w14:paraId="414F2A2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bCs/>
                      <w:color w:val="auto"/>
                      <w:szCs w:val="21"/>
                      <w:highlight w:val="none"/>
                      <w:lang w:val="en-US" w:eastAsia="zh-CN"/>
                    </w:rPr>
                  </w:pPr>
                </w:p>
              </w:tc>
              <w:tc>
                <w:tcPr>
                  <w:tcW w:w="810" w:type="pct"/>
                  <w:vMerge w:val="continue"/>
                  <w:vAlign w:val="center"/>
                </w:tcPr>
                <w:p w14:paraId="4B16E60D">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cs="Times New Roman" w:eastAsiaTheme="minorEastAsia"/>
                      <w:color w:val="auto"/>
                      <w:sz w:val="21"/>
                      <w:szCs w:val="21"/>
                      <w:highlight w:val="none"/>
                      <w:lang w:val="en-US" w:eastAsia="zh-CN"/>
                    </w:rPr>
                  </w:pPr>
                </w:p>
              </w:tc>
              <w:tc>
                <w:tcPr>
                  <w:tcW w:w="602" w:type="pct"/>
                  <w:shd w:val="clear" w:color="auto" w:fill="auto"/>
                  <w:vAlign w:val="center"/>
                </w:tcPr>
                <w:p w14:paraId="2CD0E87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leftChars="0" w:right="0" w:rightChars="0"/>
                    <w:contextualSpacing/>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bCs/>
                      <w:color w:val="auto"/>
                      <w:szCs w:val="21"/>
                      <w:highlight w:val="none"/>
                      <w:lang w:val="en-US" w:eastAsia="zh-CN"/>
                    </w:rPr>
                    <w:t>4F</w:t>
                  </w:r>
                </w:p>
              </w:tc>
              <w:tc>
                <w:tcPr>
                  <w:tcW w:w="1993" w:type="pct"/>
                  <w:shd w:val="clear" w:color="auto" w:fill="auto"/>
                  <w:vAlign w:val="center"/>
                </w:tcPr>
                <w:p w14:paraId="32C817D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leftChars="0" w:right="0" w:rightChars="0"/>
                    <w:jc w:val="center"/>
                    <w:textAlignment w:val="auto"/>
                    <w:rPr>
                      <w:rFonts w:hint="eastAsia" w:ascii="Times New Roman" w:hAnsi="Times New Roman" w:cs="Times New Roman" w:eastAsiaTheme="minorEastAsia"/>
                      <w:b w:val="0"/>
                      <w:bCs w:val="0"/>
                      <w:color w:val="auto"/>
                      <w:kern w:val="2"/>
                      <w:sz w:val="21"/>
                      <w:szCs w:val="21"/>
                      <w:highlight w:val="none"/>
                      <w:lang w:val="en-US" w:eastAsia="zh-CN" w:bidi="ar-SA"/>
                    </w:rPr>
                  </w:pPr>
                  <w:r>
                    <w:rPr>
                      <w:rFonts w:hint="eastAsia" w:cs="Times New Roman" w:eastAsiaTheme="minorEastAsia"/>
                      <w:b w:val="0"/>
                      <w:bCs w:val="0"/>
                      <w:color w:val="auto"/>
                      <w:sz w:val="21"/>
                      <w:szCs w:val="21"/>
                      <w:highlight w:val="none"/>
                      <w:lang w:val="en-US" w:eastAsia="zh-CN"/>
                    </w:rPr>
                    <w:t>位于厂房4F，层高4.5m，建筑面积约732.06m</w:t>
                  </w:r>
                  <w:r>
                    <w:rPr>
                      <w:rFonts w:hint="eastAsia" w:cs="Times New Roman" w:eastAsiaTheme="minorEastAsia"/>
                      <w:b w:val="0"/>
                      <w:bCs w:val="0"/>
                      <w:color w:val="auto"/>
                      <w:sz w:val="21"/>
                      <w:szCs w:val="21"/>
                      <w:highlight w:val="none"/>
                      <w:vertAlign w:val="superscript"/>
                      <w:lang w:val="en-US" w:eastAsia="zh-CN"/>
                    </w:rPr>
                    <w:t>2</w:t>
                  </w:r>
                  <w:r>
                    <w:rPr>
                      <w:rFonts w:hint="eastAsia" w:cs="Times New Roman" w:eastAsiaTheme="minorEastAsia"/>
                      <w:b w:val="0"/>
                      <w:bCs w:val="0"/>
                      <w:color w:val="auto"/>
                      <w:sz w:val="21"/>
                      <w:szCs w:val="21"/>
                      <w:highlight w:val="none"/>
                      <w:lang w:val="en-US" w:eastAsia="zh-CN"/>
                    </w:rPr>
                    <w:t>，设置成品存放区（建筑面积360m</w:t>
                  </w:r>
                  <w:r>
                    <w:rPr>
                      <w:rFonts w:hint="eastAsia" w:cs="Times New Roman" w:eastAsiaTheme="minorEastAsia"/>
                      <w:b w:val="0"/>
                      <w:bCs w:val="0"/>
                      <w:color w:val="auto"/>
                      <w:sz w:val="21"/>
                      <w:szCs w:val="21"/>
                      <w:highlight w:val="none"/>
                      <w:vertAlign w:val="superscript"/>
                      <w:lang w:val="en-US" w:eastAsia="zh-CN"/>
                    </w:rPr>
                    <w:t>2</w:t>
                  </w:r>
                  <w:r>
                    <w:rPr>
                      <w:rFonts w:hint="eastAsia" w:cs="Times New Roman" w:eastAsiaTheme="minorEastAsia"/>
                      <w:b w:val="0"/>
                      <w:bCs w:val="0"/>
                      <w:color w:val="auto"/>
                      <w:sz w:val="21"/>
                      <w:szCs w:val="21"/>
                      <w:highlight w:val="none"/>
                      <w:lang w:val="en-US" w:eastAsia="zh-CN"/>
                    </w:rPr>
                    <w:t>）用于PS衣架、日常收纳用品及服装辅料配件成品存放；以及员工办公区（建筑面积200m</w:t>
                  </w:r>
                  <w:r>
                    <w:rPr>
                      <w:rFonts w:hint="eastAsia" w:cs="Times New Roman" w:eastAsiaTheme="minorEastAsia"/>
                      <w:b w:val="0"/>
                      <w:bCs w:val="0"/>
                      <w:color w:val="auto"/>
                      <w:sz w:val="21"/>
                      <w:szCs w:val="21"/>
                      <w:highlight w:val="none"/>
                      <w:vertAlign w:val="superscript"/>
                      <w:lang w:val="en-US" w:eastAsia="zh-CN"/>
                    </w:rPr>
                    <w:t>2</w:t>
                  </w:r>
                  <w:r>
                    <w:rPr>
                      <w:rFonts w:hint="eastAsia" w:cs="Times New Roman" w:eastAsiaTheme="minorEastAsia"/>
                      <w:b w:val="0"/>
                      <w:bCs w:val="0"/>
                      <w:color w:val="auto"/>
                      <w:sz w:val="21"/>
                      <w:szCs w:val="21"/>
                      <w:highlight w:val="none"/>
                      <w:lang w:val="en-US" w:eastAsia="zh-CN"/>
                    </w:rPr>
                    <w:t>）。</w:t>
                  </w:r>
                </w:p>
              </w:tc>
              <w:tc>
                <w:tcPr>
                  <w:tcW w:w="746" w:type="pct"/>
                  <w:vMerge w:val="continue"/>
                  <w:vAlign w:val="center"/>
                </w:tcPr>
                <w:p w14:paraId="4F45611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s="Times New Roman"/>
                      <w:b w:val="0"/>
                      <w:bCs w:val="0"/>
                      <w:color w:val="auto"/>
                      <w:sz w:val="21"/>
                      <w:szCs w:val="21"/>
                      <w:highlight w:val="none"/>
                      <w:lang w:val="en-US" w:eastAsia="zh-CN"/>
                    </w:rPr>
                  </w:pPr>
                </w:p>
              </w:tc>
              <w:tc>
                <w:tcPr>
                  <w:tcW w:w="474" w:type="pct"/>
                  <w:vAlign w:val="center"/>
                </w:tcPr>
                <w:p w14:paraId="2C63C28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bCs/>
                      <w:color w:val="auto"/>
                      <w:szCs w:val="21"/>
                      <w:highlight w:val="none"/>
                      <w:lang w:val="en-US" w:eastAsia="zh-CN"/>
                    </w:rPr>
                  </w:pPr>
                  <w:r>
                    <w:rPr>
                      <w:rFonts w:hint="eastAsia"/>
                      <w:bCs/>
                      <w:color w:val="auto"/>
                      <w:szCs w:val="21"/>
                      <w:highlight w:val="none"/>
                      <w:lang w:val="en-US" w:eastAsia="zh-CN"/>
                    </w:rPr>
                    <w:t>新建</w:t>
                  </w:r>
                </w:p>
              </w:tc>
            </w:tr>
            <w:tr w14:paraId="698DC6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73" w:type="pct"/>
                  <w:vMerge w:val="restart"/>
                  <w:vAlign w:val="center"/>
                </w:tcPr>
                <w:p w14:paraId="4DCC799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lang w:val="en-US" w:eastAsia="zh-CN"/>
                    </w:rPr>
                  </w:pPr>
                  <w:r>
                    <w:rPr>
                      <w:rFonts w:hint="eastAsia"/>
                      <w:bCs/>
                      <w:color w:val="auto"/>
                      <w:szCs w:val="21"/>
                      <w:highlight w:val="none"/>
                      <w:lang w:val="en-US" w:eastAsia="zh-CN"/>
                    </w:rPr>
                    <w:t>辅助工程</w:t>
                  </w:r>
                </w:p>
              </w:tc>
              <w:tc>
                <w:tcPr>
                  <w:tcW w:w="1412" w:type="pct"/>
                  <w:gridSpan w:val="2"/>
                  <w:vAlign w:val="center"/>
                </w:tcPr>
                <w:p w14:paraId="281E75B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leftChars="0" w:right="0" w:rightChars="0"/>
                    <w:contextualSpacing/>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bCs/>
                      <w:color w:val="auto"/>
                      <w:szCs w:val="21"/>
                      <w:highlight w:val="none"/>
                      <w:lang w:val="en-US" w:eastAsia="zh-CN"/>
                    </w:rPr>
                    <w:t>配电房</w:t>
                  </w:r>
                </w:p>
              </w:tc>
              <w:tc>
                <w:tcPr>
                  <w:tcW w:w="2739" w:type="pct"/>
                  <w:gridSpan w:val="2"/>
                  <w:shd w:val="clear" w:color="auto" w:fill="auto"/>
                  <w:vAlign w:val="center"/>
                </w:tcPr>
                <w:p w14:paraId="5AAAA0D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位于厂房1F~4F东北部，总建筑面积约60m</w:t>
                  </w:r>
                  <w:r>
                    <w:rPr>
                      <w:rFonts w:hint="eastAsia" w:cs="Times New Roman"/>
                      <w:color w:val="auto"/>
                      <w:sz w:val="21"/>
                      <w:szCs w:val="21"/>
                      <w:highlight w:val="none"/>
                      <w:vertAlign w:val="superscript"/>
                      <w:lang w:val="en-US" w:eastAsia="zh-CN"/>
                    </w:rPr>
                    <w:t>2</w:t>
                  </w:r>
                  <w:r>
                    <w:rPr>
                      <w:rFonts w:hint="eastAsia" w:cs="Times New Roman"/>
                      <w:color w:val="auto"/>
                      <w:sz w:val="21"/>
                      <w:szCs w:val="21"/>
                      <w:highlight w:val="none"/>
                      <w:lang w:val="en-US" w:eastAsia="zh-CN"/>
                    </w:rPr>
                    <w:t>，为厂区供配电系统。</w:t>
                  </w:r>
                </w:p>
              </w:tc>
              <w:tc>
                <w:tcPr>
                  <w:tcW w:w="474" w:type="pct"/>
                  <w:shd w:val="clear" w:color="auto" w:fill="auto"/>
                  <w:vAlign w:val="center"/>
                </w:tcPr>
                <w:p w14:paraId="5643590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leftChars="0" w:right="0" w:rightChars="0"/>
                    <w:contextualSpacing/>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bCs/>
                      <w:color w:val="auto"/>
                      <w:szCs w:val="21"/>
                      <w:highlight w:val="none"/>
                      <w:lang w:val="en-US" w:eastAsia="zh-CN"/>
                    </w:rPr>
                    <w:t>新建</w:t>
                  </w:r>
                </w:p>
              </w:tc>
            </w:tr>
            <w:tr w14:paraId="2BF724C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73" w:type="pct"/>
                  <w:vMerge w:val="continue"/>
                  <w:vAlign w:val="center"/>
                </w:tcPr>
                <w:p w14:paraId="2CBFD05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bCs/>
                      <w:color w:val="auto"/>
                      <w:szCs w:val="21"/>
                      <w:highlight w:val="none"/>
                      <w:lang w:val="en-US" w:eastAsia="zh-CN"/>
                    </w:rPr>
                  </w:pPr>
                </w:p>
              </w:tc>
              <w:tc>
                <w:tcPr>
                  <w:tcW w:w="1412" w:type="pct"/>
                  <w:gridSpan w:val="2"/>
                  <w:vAlign w:val="center"/>
                </w:tcPr>
                <w:p w14:paraId="45CAFDA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leftChars="0" w:right="0" w:rightChars="0"/>
                    <w:contextualSpacing/>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bCs/>
                      <w:color w:val="auto"/>
                      <w:szCs w:val="21"/>
                      <w:highlight w:val="none"/>
                      <w:lang w:val="en-US" w:eastAsia="zh-CN"/>
                    </w:rPr>
                    <w:t>员工办公区</w:t>
                  </w:r>
                </w:p>
              </w:tc>
              <w:tc>
                <w:tcPr>
                  <w:tcW w:w="2739" w:type="pct"/>
                  <w:gridSpan w:val="2"/>
                  <w:shd w:val="clear" w:color="auto" w:fill="auto"/>
                  <w:vAlign w:val="center"/>
                </w:tcPr>
                <w:p w14:paraId="7BE3FD3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位于厂房4F南部，总建筑面积约200m</w:t>
                  </w:r>
                  <w:r>
                    <w:rPr>
                      <w:rFonts w:hint="eastAsia" w:cs="Times New Roman"/>
                      <w:color w:val="auto"/>
                      <w:sz w:val="21"/>
                      <w:szCs w:val="21"/>
                      <w:highlight w:val="none"/>
                      <w:vertAlign w:val="superscript"/>
                      <w:lang w:val="en-US" w:eastAsia="zh-CN"/>
                    </w:rPr>
                    <w:t>2</w:t>
                  </w:r>
                  <w:r>
                    <w:rPr>
                      <w:rFonts w:hint="eastAsia" w:cs="Times New Roman"/>
                      <w:color w:val="auto"/>
                      <w:sz w:val="21"/>
                      <w:szCs w:val="21"/>
                      <w:highlight w:val="none"/>
                      <w:lang w:val="en-US" w:eastAsia="zh-CN"/>
                    </w:rPr>
                    <w:t>，用于员工办公生活。</w:t>
                  </w:r>
                </w:p>
              </w:tc>
              <w:tc>
                <w:tcPr>
                  <w:tcW w:w="474" w:type="pct"/>
                  <w:shd w:val="clear" w:color="auto" w:fill="auto"/>
                  <w:vAlign w:val="center"/>
                </w:tcPr>
                <w:p w14:paraId="5425E39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leftChars="0" w:right="0" w:rightChars="0"/>
                    <w:contextualSpacing/>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bCs/>
                      <w:color w:val="auto"/>
                      <w:szCs w:val="21"/>
                      <w:highlight w:val="none"/>
                      <w:lang w:val="en-US" w:eastAsia="zh-CN"/>
                    </w:rPr>
                    <w:t>新建</w:t>
                  </w:r>
                </w:p>
              </w:tc>
            </w:tr>
            <w:tr w14:paraId="5C967F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73" w:type="pct"/>
                  <w:vMerge w:val="restart"/>
                  <w:vAlign w:val="center"/>
                </w:tcPr>
                <w:p w14:paraId="31275B9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lang w:val="en-US" w:eastAsia="zh-CN"/>
                    </w:rPr>
                  </w:pPr>
                  <w:r>
                    <w:rPr>
                      <w:rFonts w:hint="eastAsia"/>
                      <w:bCs/>
                      <w:color w:val="auto"/>
                      <w:szCs w:val="21"/>
                      <w:highlight w:val="none"/>
                      <w:lang w:val="en-US" w:eastAsia="zh-CN"/>
                    </w:rPr>
                    <w:t>储运工程</w:t>
                  </w:r>
                </w:p>
              </w:tc>
              <w:tc>
                <w:tcPr>
                  <w:tcW w:w="810" w:type="pct"/>
                  <w:vMerge w:val="restart"/>
                  <w:vAlign w:val="center"/>
                </w:tcPr>
                <w:p w14:paraId="7D3DF91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lang w:val="en-US" w:eastAsia="zh-CN"/>
                    </w:rPr>
                  </w:pPr>
                  <w:r>
                    <w:rPr>
                      <w:rFonts w:hint="eastAsia"/>
                      <w:bCs/>
                      <w:color w:val="auto"/>
                      <w:szCs w:val="21"/>
                      <w:highlight w:val="none"/>
                      <w:lang w:val="en-US" w:eastAsia="zh-CN"/>
                    </w:rPr>
                    <w:t>原料区</w:t>
                  </w:r>
                </w:p>
              </w:tc>
              <w:tc>
                <w:tcPr>
                  <w:tcW w:w="602" w:type="pct"/>
                  <w:vAlign w:val="center"/>
                </w:tcPr>
                <w:p w14:paraId="4FCDE8DD">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lang w:val="en-US" w:eastAsia="zh-CN"/>
                    </w:rPr>
                  </w:pPr>
                  <w:r>
                    <w:rPr>
                      <w:rFonts w:hint="eastAsia"/>
                      <w:bCs/>
                      <w:color w:val="auto"/>
                      <w:szCs w:val="21"/>
                      <w:highlight w:val="none"/>
                      <w:lang w:val="en-US" w:eastAsia="zh-CN"/>
                    </w:rPr>
                    <w:t>原材料存放区</w:t>
                  </w:r>
                </w:p>
              </w:tc>
              <w:tc>
                <w:tcPr>
                  <w:tcW w:w="2739" w:type="pct"/>
                  <w:gridSpan w:val="2"/>
                  <w:vAlign w:val="center"/>
                </w:tcPr>
                <w:p w14:paraId="7417FF2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b w:val="0"/>
                      <w:bCs w:val="0"/>
                      <w:color w:val="auto"/>
                      <w:szCs w:val="21"/>
                      <w:highlight w:val="none"/>
                      <w:lang w:val="en-US" w:eastAsia="zh-CN"/>
                    </w:rPr>
                  </w:pPr>
                  <w:r>
                    <w:rPr>
                      <w:rFonts w:hint="eastAsia"/>
                      <w:b w:val="0"/>
                      <w:bCs w:val="0"/>
                      <w:color w:val="auto"/>
                      <w:szCs w:val="21"/>
                      <w:highlight w:val="none"/>
                      <w:lang w:val="en-US" w:eastAsia="zh-CN"/>
                    </w:rPr>
                    <w:t>位于厂房2F中部，建筑面积约100m</w:t>
                  </w:r>
                  <w:r>
                    <w:rPr>
                      <w:rFonts w:hint="eastAsia"/>
                      <w:b w:val="0"/>
                      <w:bCs w:val="0"/>
                      <w:color w:val="auto"/>
                      <w:szCs w:val="21"/>
                      <w:highlight w:val="none"/>
                      <w:vertAlign w:val="superscript"/>
                      <w:lang w:val="en-US" w:eastAsia="zh-CN"/>
                    </w:rPr>
                    <w:t>2</w:t>
                  </w:r>
                  <w:r>
                    <w:rPr>
                      <w:rFonts w:hint="eastAsia"/>
                      <w:b w:val="0"/>
                      <w:bCs w:val="0"/>
                      <w:color w:val="auto"/>
                      <w:szCs w:val="21"/>
                      <w:highlight w:val="none"/>
                      <w:lang w:val="en-US" w:eastAsia="zh-CN"/>
                    </w:rPr>
                    <w:t>，用于外购的PP、PS、PE等塑料粒子以及</w:t>
                  </w:r>
                  <w:r>
                    <w:rPr>
                      <w:rFonts w:hint="eastAsia" w:cs="Times New Roman"/>
                      <w:color w:val="auto"/>
                      <w:sz w:val="21"/>
                      <w:szCs w:val="21"/>
                      <w:highlight w:val="none"/>
                      <w:lang w:val="en-US" w:eastAsia="zh-CN"/>
                    </w:rPr>
                    <w:t>注塑模具</w:t>
                  </w:r>
                  <w:r>
                    <w:rPr>
                      <w:rFonts w:hint="eastAsia"/>
                      <w:b w:val="0"/>
                      <w:bCs w:val="0"/>
                      <w:color w:val="auto"/>
                      <w:szCs w:val="21"/>
                      <w:highlight w:val="none"/>
                      <w:lang w:val="en-US" w:eastAsia="zh-CN"/>
                    </w:rPr>
                    <w:t>存放。</w:t>
                  </w:r>
                </w:p>
              </w:tc>
              <w:tc>
                <w:tcPr>
                  <w:tcW w:w="474" w:type="pct"/>
                  <w:vAlign w:val="center"/>
                </w:tcPr>
                <w:p w14:paraId="3E0583E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lang w:val="en-US" w:eastAsia="zh-CN"/>
                    </w:rPr>
                  </w:pPr>
                  <w:r>
                    <w:rPr>
                      <w:rFonts w:hint="eastAsia"/>
                      <w:bCs/>
                      <w:color w:val="auto"/>
                      <w:szCs w:val="21"/>
                      <w:highlight w:val="none"/>
                      <w:lang w:val="en-US" w:eastAsia="zh-CN"/>
                    </w:rPr>
                    <w:t>新建</w:t>
                  </w:r>
                </w:p>
              </w:tc>
            </w:tr>
            <w:tr w14:paraId="44DC33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73" w:type="pct"/>
                  <w:vMerge w:val="continue"/>
                  <w:vAlign w:val="center"/>
                </w:tcPr>
                <w:p w14:paraId="32BF973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bCs/>
                      <w:color w:val="auto"/>
                      <w:szCs w:val="21"/>
                      <w:highlight w:val="none"/>
                      <w:lang w:val="en-US" w:eastAsia="zh-CN"/>
                    </w:rPr>
                  </w:pPr>
                </w:p>
              </w:tc>
              <w:tc>
                <w:tcPr>
                  <w:tcW w:w="810" w:type="pct"/>
                  <w:vMerge w:val="continue"/>
                  <w:vAlign w:val="center"/>
                </w:tcPr>
                <w:p w14:paraId="7AF8DD7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bCs/>
                      <w:color w:val="auto"/>
                      <w:szCs w:val="21"/>
                      <w:highlight w:val="none"/>
                      <w:lang w:val="en-US" w:eastAsia="zh-CN"/>
                    </w:rPr>
                  </w:pPr>
                </w:p>
              </w:tc>
              <w:tc>
                <w:tcPr>
                  <w:tcW w:w="602" w:type="pct"/>
                  <w:vAlign w:val="center"/>
                </w:tcPr>
                <w:p w14:paraId="4D8782D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bCs/>
                      <w:color w:val="auto"/>
                      <w:szCs w:val="21"/>
                      <w:highlight w:val="none"/>
                      <w:lang w:val="en-US" w:eastAsia="zh-CN"/>
                    </w:rPr>
                  </w:pPr>
                  <w:r>
                    <w:rPr>
                      <w:rFonts w:hint="eastAsia"/>
                      <w:bCs/>
                      <w:color w:val="auto"/>
                      <w:szCs w:val="21"/>
                      <w:highlight w:val="none"/>
                      <w:lang w:val="en-US" w:eastAsia="zh-CN"/>
                    </w:rPr>
                    <w:t>化学</w:t>
                  </w:r>
                </w:p>
                <w:p w14:paraId="74F8081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bCs/>
                      <w:color w:val="auto"/>
                      <w:szCs w:val="21"/>
                      <w:highlight w:val="none"/>
                      <w:lang w:val="en-US" w:eastAsia="zh-CN"/>
                    </w:rPr>
                  </w:pPr>
                  <w:r>
                    <w:rPr>
                      <w:rFonts w:hint="eastAsia"/>
                      <w:bCs/>
                      <w:color w:val="auto"/>
                      <w:szCs w:val="21"/>
                      <w:highlight w:val="none"/>
                      <w:lang w:val="en-US" w:eastAsia="zh-CN"/>
                    </w:rPr>
                    <w:t>品库</w:t>
                  </w:r>
                </w:p>
              </w:tc>
              <w:tc>
                <w:tcPr>
                  <w:tcW w:w="2739" w:type="pct"/>
                  <w:gridSpan w:val="2"/>
                  <w:vAlign w:val="center"/>
                </w:tcPr>
                <w:p w14:paraId="59FA5A1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b w:val="0"/>
                      <w:bCs w:val="0"/>
                      <w:color w:val="auto"/>
                      <w:szCs w:val="21"/>
                      <w:highlight w:val="none"/>
                      <w:lang w:val="en-US" w:eastAsia="zh-CN"/>
                    </w:rPr>
                  </w:pPr>
                  <w:r>
                    <w:rPr>
                      <w:rFonts w:hint="eastAsia"/>
                      <w:b w:val="0"/>
                      <w:bCs w:val="0"/>
                      <w:color w:val="auto"/>
                      <w:szCs w:val="21"/>
                      <w:highlight w:val="none"/>
                      <w:lang w:val="en-US" w:eastAsia="zh-CN"/>
                    </w:rPr>
                    <w:t>位于厂房2F中部，原材料存放区西侧，建筑面积约10m</w:t>
                  </w:r>
                  <w:r>
                    <w:rPr>
                      <w:rFonts w:hint="eastAsia"/>
                      <w:b w:val="0"/>
                      <w:bCs w:val="0"/>
                      <w:color w:val="auto"/>
                      <w:szCs w:val="21"/>
                      <w:highlight w:val="none"/>
                      <w:vertAlign w:val="superscript"/>
                      <w:lang w:val="en-US" w:eastAsia="zh-CN"/>
                    </w:rPr>
                    <w:t>2</w:t>
                  </w:r>
                  <w:r>
                    <w:rPr>
                      <w:rFonts w:hint="eastAsia"/>
                      <w:b w:val="0"/>
                      <w:bCs w:val="0"/>
                      <w:color w:val="auto"/>
                      <w:szCs w:val="21"/>
                      <w:highlight w:val="none"/>
                      <w:lang w:val="en-US" w:eastAsia="zh-CN"/>
                    </w:rPr>
                    <w:t>，用于外购的机油等化学品存放。</w:t>
                  </w:r>
                </w:p>
              </w:tc>
              <w:tc>
                <w:tcPr>
                  <w:tcW w:w="474" w:type="pct"/>
                  <w:vAlign w:val="center"/>
                </w:tcPr>
                <w:p w14:paraId="5551CD9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lang w:val="en-US" w:eastAsia="zh-CN"/>
                    </w:rPr>
                  </w:pPr>
                  <w:r>
                    <w:rPr>
                      <w:rFonts w:hint="eastAsia"/>
                      <w:bCs/>
                      <w:color w:val="auto"/>
                      <w:szCs w:val="21"/>
                      <w:highlight w:val="none"/>
                      <w:lang w:val="en-US" w:eastAsia="zh-CN"/>
                    </w:rPr>
                    <w:t>新建</w:t>
                  </w:r>
                </w:p>
              </w:tc>
            </w:tr>
            <w:tr w14:paraId="0393AF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73" w:type="pct"/>
                  <w:vMerge w:val="continue"/>
                  <w:vAlign w:val="center"/>
                </w:tcPr>
                <w:p w14:paraId="2D2B967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bCs/>
                      <w:color w:val="auto"/>
                      <w:szCs w:val="21"/>
                      <w:highlight w:val="none"/>
                      <w:lang w:val="en-US" w:eastAsia="zh-CN"/>
                    </w:rPr>
                  </w:pPr>
                </w:p>
              </w:tc>
              <w:tc>
                <w:tcPr>
                  <w:tcW w:w="1412" w:type="pct"/>
                  <w:gridSpan w:val="2"/>
                  <w:vAlign w:val="center"/>
                </w:tcPr>
                <w:p w14:paraId="62B5A89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lang w:val="en-US" w:eastAsia="zh-CN"/>
                    </w:rPr>
                  </w:pPr>
                  <w:r>
                    <w:rPr>
                      <w:rFonts w:hint="eastAsia"/>
                      <w:bCs/>
                      <w:color w:val="auto"/>
                      <w:szCs w:val="21"/>
                      <w:highlight w:val="none"/>
                      <w:lang w:val="en-US" w:eastAsia="zh-CN"/>
                    </w:rPr>
                    <w:t>半成品周转区</w:t>
                  </w:r>
                </w:p>
              </w:tc>
              <w:tc>
                <w:tcPr>
                  <w:tcW w:w="2739" w:type="pct"/>
                  <w:gridSpan w:val="2"/>
                  <w:vAlign w:val="center"/>
                </w:tcPr>
                <w:p w14:paraId="0E336F9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b w:val="0"/>
                      <w:bCs w:val="0"/>
                      <w:color w:val="auto"/>
                      <w:szCs w:val="21"/>
                      <w:highlight w:val="none"/>
                      <w:lang w:val="en-US" w:eastAsia="zh-CN"/>
                    </w:rPr>
                  </w:pPr>
                  <w:r>
                    <w:rPr>
                      <w:rFonts w:hint="eastAsia"/>
                      <w:b w:val="0"/>
                      <w:bCs w:val="0"/>
                      <w:color w:val="auto"/>
                      <w:szCs w:val="21"/>
                      <w:highlight w:val="none"/>
                      <w:lang w:val="en-US" w:eastAsia="zh-CN"/>
                    </w:rPr>
                    <w:t>位于厂房2F西南部，原材料存放区南侧，建筑面积约100m</w:t>
                  </w:r>
                  <w:r>
                    <w:rPr>
                      <w:rFonts w:hint="eastAsia"/>
                      <w:b w:val="0"/>
                      <w:bCs w:val="0"/>
                      <w:color w:val="auto"/>
                      <w:szCs w:val="21"/>
                      <w:highlight w:val="none"/>
                      <w:vertAlign w:val="superscript"/>
                      <w:lang w:val="en-US" w:eastAsia="zh-CN"/>
                    </w:rPr>
                    <w:t>2</w:t>
                  </w:r>
                  <w:r>
                    <w:rPr>
                      <w:rFonts w:hint="eastAsia"/>
                      <w:b w:val="0"/>
                      <w:bCs w:val="0"/>
                      <w:color w:val="auto"/>
                      <w:szCs w:val="21"/>
                      <w:highlight w:val="none"/>
                      <w:lang w:val="en-US" w:eastAsia="zh-CN"/>
                    </w:rPr>
                    <w:t>，用于注塑冷却后塑料半成品暂存周转。</w:t>
                  </w:r>
                </w:p>
              </w:tc>
              <w:tc>
                <w:tcPr>
                  <w:tcW w:w="474" w:type="pct"/>
                  <w:vAlign w:val="center"/>
                </w:tcPr>
                <w:p w14:paraId="06BC1BB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lang w:val="en-US" w:eastAsia="zh-CN"/>
                    </w:rPr>
                  </w:pPr>
                  <w:r>
                    <w:rPr>
                      <w:rFonts w:hint="eastAsia"/>
                      <w:bCs/>
                      <w:color w:val="auto"/>
                      <w:szCs w:val="21"/>
                      <w:highlight w:val="none"/>
                      <w:lang w:val="en-US" w:eastAsia="zh-CN"/>
                    </w:rPr>
                    <w:t>新建</w:t>
                  </w:r>
                </w:p>
              </w:tc>
            </w:tr>
            <w:tr w14:paraId="52B480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73" w:type="pct"/>
                  <w:vMerge w:val="continue"/>
                  <w:vAlign w:val="center"/>
                </w:tcPr>
                <w:p w14:paraId="6E67DB6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bCs/>
                      <w:color w:val="auto"/>
                      <w:szCs w:val="21"/>
                      <w:highlight w:val="none"/>
                      <w:lang w:val="en-US" w:eastAsia="zh-CN"/>
                    </w:rPr>
                  </w:pPr>
                </w:p>
              </w:tc>
              <w:tc>
                <w:tcPr>
                  <w:tcW w:w="1412" w:type="pct"/>
                  <w:gridSpan w:val="2"/>
                  <w:vAlign w:val="center"/>
                </w:tcPr>
                <w:p w14:paraId="483BDBE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lang w:val="en-US" w:eastAsia="zh-CN"/>
                    </w:rPr>
                  </w:pPr>
                  <w:r>
                    <w:rPr>
                      <w:rFonts w:hint="eastAsia"/>
                      <w:bCs/>
                      <w:color w:val="auto"/>
                      <w:szCs w:val="21"/>
                      <w:highlight w:val="none"/>
                      <w:lang w:val="en-US" w:eastAsia="zh-CN"/>
                    </w:rPr>
                    <w:t>成品存放区1</w:t>
                  </w:r>
                </w:p>
              </w:tc>
              <w:tc>
                <w:tcPr>
                  <w:tcW w:w="2739" w:type="pct"/>
                  <w:gridSpan w:val="2"/>
                  <w:vAlign w:val="center"/>
                </w:tcPr>
                <w:p w14:paraId="77098C2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b w:val="0"/>
                      <w:bCs w:val="0"/>
                      <w:color w:val="auto"/>
                      <w:szCs w:val="21"/>
                      <w:highlight w:val="none"/>
                      <w:lang w:val="en-US" w:eastAsia="zh-CN"/>
                    </w:rPr>
                  </w:pPr>
                  <w:r>
                    <w:rPr>
                      <w:rFonts w:hint="eastAsia"/>
                      <w:b w:val="0"/>
                      <w:bCs w:val="0"/>
                      <w:color w:val="auto"/>
                      <w:szCs w:val="21"/>
                      <w:highlight w:val="none"/>
                      <w:lang w:val="en-US" w:eastAsia="zh-CN"/>
                    </w:rPr>
                    <w:t>位于厂房3F，建筑面积723.06m</w:t>
                  </w:r>
                  <w:r>
                    <w:rPr>
                      <w:rFonts w:hint="eastAsia"/>
                      <w:b w:val="0"/>
                      <w:bCs w:val="0"/>
                      <w:color w:val="auto"/>
                      <w:szCs w:val="21"/>
                      <w:highlight w:val="none"/>
                      <w:vertAlign w:val="superscript"/>
                      <w:lang w:val="en-US" w:eastAsia="zh-CN"/>
                    </w:rPr>
                    <w:t>2</w:t>
                  </w:r>
                  <w:r>
                    <w:rPr>
                      <w:rFonts w:hint="eastAsia"/>
                      <w:b w:val="0"/>
                      <w:bCs w:val="0"/>
                      <w:color w:val="auto"/>
                      <w:szCs w:val="21"/>
                      <w:highlight w:val="none"/>
                      <w:lang w:val="en-US" w:eastAsia="zh-CN"/>
                    </w:rPr>
                    <w:t>，</w:t>
                  </w:r>
                  <w:r>
                    <w:rPr>
                      <w:rFonts w:hint="eastAsia" w:cs="Times New Roman" w:eastAsiaTheme="minorEastAsia"/>
                      <w:b w:val="0"/>
                      <w:bCs w:val="0"/>
                      <w:color w:val="auto"/>
                      <w:sz w:val="21"/>
                      <w:szCs w:val="21"/>
                      <w:highlight w:val="none"/>
                      <w:lang w:val="en-US" w:eastAsia="zh-CN"/>
                    </w:rPr>
                    <w:t>用于PS衣架、日常收纳用品及服装辅料配件等塑料成品存放</w:t>
                  </w:r>
                  <w:r>
                    <w:rPr>
                      <w:rFonts w:hint="eastAsia"/>
                      <w:b w:val="0"/>
                      <w:bCs w:val="0"/>
                      <w:color w:val="auto"/>
                      <w:szCs w:val="21"/>
                      <w:highlight w:val="none"/>
                      <w:lang w:val="en-US" w:eastAsia="zh-CN"/>
                    </w:rPr>
                    <w:t>。</w:t>
                  </w:r>
                </w:p>
              </w:tc>
              <w:tc>
                <w:tcPr>
                  <w:tcW w:w="474" w:type="pct"/>
                  <w:vAlign w:val="center"/>
                </w:tcPr>
                <w:p w14:paraId="3E97A40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lang w:val="en-US" w:eastAsia="zh-CN"/>
                    </w:rPr>
                  </w:pPr>
                  <w:r>
                    <w:rPr>
                      <w:rFonts w:hint="eastAsia"/>
                      <w:bCs/>
                      <w:color w:val="auto"/>
                      <w:szCs w:val="21"/>
                      <w:highlight w:val="none"/>
                      <w:lang w:val="en-US" w:eastAsia="zh-CN"/>
                    </w:rPr>
                    <w:t>新建</w:t>
                  </w:r>
                </w:p>
              </w:tc>
            </w:tr>
            <w:tr w14:paraId="099B5C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73" w:type="pct"/>
                  <w:vMerge w:val="continue"/>
                  <w:vAlign w:val="center"/>
                </w:tcPr>
                <w:p w14:paraId="54D2F4B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bCs/>
                      <w:color w:val="auto"/>
                      <w:szCs w:val="21"/>
                      <w:highlight w:val="none"/>
                      <w:lang w:val="en-US" w:eastAsia="zh-CN"/>
                    </w:rPr>
                  </w:pPr>
                </w:p>
              </w:tc>
              <w:tc>
                <w:tcPr>
                  <w:tcW w:w="1412" w:type="pct"/>
                  <w:gridSpan w:val="2"/>
                  <w:vAlign w:val="center"/>
                </w:tcPr>
                <w:p w14:paraId="4BB0555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lang w:val="en-US" w:eastAsia="zh-CN"/>
                    </w:rPr>
                  </w:pPr>
                  <w:r>
                    <w:rPr>
                      <w:rFonts w:hint="eastAsia"/>
                      <w:bCs/>
                      <w:color w:val="auto"/>
                      <w:szCs w:val="21"/>
                      <w:highlight w:val="none"/>
                      <w:lang w:val="en-US" w:eastAsia="zh-CN"/>
                    </w:rPr>
                    <w:t>成品存放区2</w:t>
                  </w:r>
                </w:p>
              </w:tc>
              <w:tc>
                <w:tcPr>
                  <w:tcW w:w="2739" w:type="pct"/>
                  <w:gridSpan w:val="2"/>
                  <w:vAlign w:val="center"/>
                </w:tcPr>
                <w:p w14:paraId="78ECD4D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val="0"/>
                      <w:bCs w:val="0"/>
                      <w:color w:val="auto"/>
                      <w:szCs w:val="21"/>
                      <w:highlight w:val="none"/>
                      <w:lang w:val="en-US" w:eastAsia="zh-CN"/>
                    </w:rPr>
                  </w:pPr>
                  <w:r>
                    <w:rPr>
                      <w:rFonts w:hint="eastAsia"/>
                      <w:b w:val="0"/>
                      <w:bCs w:val="0"/>
                      <w:color w:val="auto"/>
                      <w:szCs w:val="21"/>
                      <w:highlight w:val="none"/>
                      <w:lang w:val="en-US" w:eastAsia="zh-CN"/>
                    </w:rPr>
                    <w:t>位于厂房4F中部及北部，建筑面积约360m</w:t>
                  </w:r>
                  <w:r>
                    <w:rPr>
                      <w:rFonts w:hint="eastAsia"/>
                      <w:b w:val="0"/>
                      <w:bCs w:val="0"/>
                      <w:color w:val="auto"/>
                      <w:szCs w:val="21"/>
                      <w:highlight w:val="none"/>
                      <w:vertAlign w:val="superscript"/>
                      <w:lang w:val="en-US" w:eastAsia="zh-CN"/>
                    </w:rPr>
                    <w:t>2</w:t>
                  </w:r>
                  <w:r>
                    <w:rPr>
                      <w:rFonts w:hint="eastAsia"/>
                      <w:b w:val="0"/>
                      <w:bCs w:val="0"/>
                      <w:color w:val="auto"/>
                      <w:szCs w:val="21"/>
                      <w:highlight w:val="none"/>
                      <w:lang w:val="en-US" w:eastAsia="zh-CN"/>
                    </w:rPr>
                    <w:t>，</w:t>
                  </w:r>
                  <w:r>
                    <w:rPr>
                      <w:rFonts w:hint="eastAsia" w:cs="Times New Roman" w:eastAsiaTheme="minorEastAsia"/>
                      <w:b w:val="0"/>
                      <w:bCs w:val="0"/>
                      <w:color w:val="auto"/>
                      <w:sz w:val="21"/>
                      <w:szCs w:val="21"/>
                      <w:highlight w:val="none"/>
                      <w:lang w:val="en-US" w:eastAsia="zh-CN"/>
                    </w:rPr>
                    <w:t>用于PS衣架、日常收纳用品及服装辅料配件等塑料成品存放</w:t>
                  </w:r>
                  <w:r>
                    <w:rPr>
                      <w:rFonts w:hint="eastAsia"/>
                      <w:b w:val="0"/>
                      <w:bCs w:val="0"/>
                      <w:color w:val="auto"/>
                      <w:szCs w:val="21"/>
                      <w:highlight w:val="none"/>
                      <w:lang w:val="en-US" w:eastAsia="zh-CN"/>
                    </w:rPr>
                    <w:t>。</w:t>
                  </w:r>
                </w:p>
              </w:tc>
              <w:tc>
                <w:tcPr>
                  <w:tcW w:w="474" w:type="pct"/>
                  <w:vAlign w:val="center"/>
                </w:tcPr>
                <w:p w14:paraId="3F35D3E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lang w:val="en-US" w:eastAsia="zh-CN"/>
                    </w:rPr>
                  </w:pPr>
                  <w:r>
                    <w:rPr>
                      <w:rFonts w:hint="eastAsia"/>
                      <w:bCs/>
                      <w:color w:val="auto"/>
                      <w:szCs w:val="21"/>
                      <w:highlight w:val="none"/>
                      <w:lang w:val="en-US" w:eastAsia="zh-CN"/>
                    </w:rPr>
                    <w:t>新建</w:t>
                  </w:r>
                </w:p>
              </w:tc>
            </w:tr>
            <w:tr w14:paraId="1AEDCD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73" w:type="pct"/>
                  <w:vMerge w:val="restart"/>
                  <w:vAlign w:val="center"/>
                </w:tcPr>
                <w:p w14:paraId="746FCAF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bCs/>
                      <w:color w:val="auto"/>
                      <w:szCs w:val="21"/>
                      <w:highlight w:val="none"/>
                      <w:lang w:val="en-US" w:eastAsia="zh-CN"/>
                    </w:rPr>
                  </w:pPr>
                  <w:r>
                    <w:rPr>
                      <w:rFonts w:hint="eastAsia"/>
                      <w:bCs/>
                      <w:color w:val="auto"/>
                      <w:szCs w:val="21"/>
                      <w:highlight w:val="none"/>
                      <w:lang w:val="en-US" w:eastAsia="zh-CN"/>
                    </w:rPr>
                    <w:t>公用</w:t>
                  </w:r>
                </w:p>
                <w:p w14:paraId="3A04B89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eastAsia="宋体"/>
                      <w:bCs/>
                      <w:color w:val="auto"/>
                      <w:szCs w:val="21"/>
                      <w:highlight w:val="none"/>
                      <w:lang w:val="en-US" w:eastAsia="zh-CN"/>
                    </w:rPr>
                  </w:pPr>
                  <w:r>
                    <w:rPr>
                      <w:rFonts w:hint="eastAsia"/>
                      <w:bCs/>
                      <w:color w:val="auto"/>
                      <w:szCs w:val="21"/>
                      <w:highlight w:val="none"/>
                      <w:lang w:val="en-US" w:eastAsia="zh-CN"/>
                    </w:rPr>
                    <w:t>工程</w:t>
                  </w:r>
                </w:p>
              </w:tc>
              <w:tc>
                <w:tcPr>
                  <w:tcW w:w="1412" w:type="pct"/>
                  <w:gridSpan w:val="2"/>
                  <w:vAlign w:val="center"/>
                </w:tcPr>
                <w:p w14:paraId="79DAEE3D">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eastAsia="宋体"/>
                      <w:bCs/>
                      <w:color w:val="auto"/>
                      <w:szCs w:val="21"/>
                      <w:highlight w:val="none"/>
                      <w:lang w:val="en-US" w:eastAsia="zh-CN"/>
                    </w:rPr>
                  </w:pPr>
                  <w:r>
                    <w:rPr>
                      <w:rFonts w:hint="eastAsia"/>
                      <w:bCs/>
                      <w:color w:val="auto"/>
                      <w:szCs w:val="21"/>
                      <w:highlight w:val="none"/>
                      <w:lang w:val="en-US" w:eastAsia="zh-CN"/>
                    </w:rPr>
                    <w:t>供电</w:t>
                  </w:r>
                </w:p>
              </w:tc>
              <w:tc>
                <w:tcPr>
                  <w:tcW w:w="2739" w:type="pct"/>
                  <w:gridSpan w:val="2"/>
                  <w:vAlign w:val="center"/>
                </w:tcPr>
                <w:p w14:paraId="175E34C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eastAsia="宋体"/>
                      <w:color w:val="auto"/>
                      <w:szCs w:val="21"/>
                      <w:highlight w:val="none"/>
                      <w:lang w:val="en-US" w:eastAsia="zh-CN"/>
                    </w:rPr>
                  </w:pPr>
                  <w:r>
                    <w:rPr>
                      <w:rFonts w:hint="eastAsia"/>
                      <w:color w:val="auto"/>
                      <w:szCs w:val="21"/>
                      <w:highlight w:val="none"/>
                      <w:lang w:val="en-US" w:eastAsia="zh-CN"/>
                    </w:rPr>
                    <w:t>由市政电网统一供电，供电量约200万kWh/a。</w:t>
                  </w:r>
                </w:p>
              </w:tc>
              <w:tc>
                <w:tcPr>
                  <w:tcW w:w="474" w:type="pct"/>
                  <w:vAlign w:val="center"/>
                </w:tcPr>
                <w:p w14:paraId="77DFB63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lang w:val="en-US" w:eastAsia="zh-CN"/>
                    </w:rPr>
                  </w:pPr>
                  <w:r>
                    <w:rPr>
                      <w:rFonts w:hint="eastAsia"/>
                      <w:bCs/>
                      <w:color w:val="auto"/>
                      <w:szCs w:val="21"/>
                      <w:highlight w:val="none"/>
                      <w:lang w:val="en-US" w:eastAsia="zh-CN"/>
                    </w:rPr>
                    <w:t>新建</w:t>
                  </w:r>
                </w:p>
              </w:tc>
            </w:tr>
            <w:tr w14:paraId="207FCF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73" w:type="pct"/>
                  <w:vMerge w:val="continue"/>
                  <w:vAlign w:val="center"/>
                </w:tcPr>
                <w:p w14:paraId="728D439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bCs/>
                      <w:color w:val="auto"/>
                      <w:szCs w:val="21"/>
                      <w:highlight w:val="none"/>
                      <w:lang w:val="en-US" w:eastAsia="zh-CN"/>
                    </w:rPr>
                  </w:pPr>
                </w:p>
              </w:tc>
              <w:tc>
                <w:tcPr>
                  <w:tcW w:w="1412" w:type="pct"/>
                  <w:gridSpan w:val="2"/>
                  <w:vAlign w:val="center"/>
                </w:tcPr>
                <w:p w14:paraId="0FE61C3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lang w:val="en-US" w:eastAsia="zh-CN"/>
                    </w:rPr>
                  </w:pPr>
                  <w:r>
                    <w:rPr>
                      <w:rFonts w:hint="eastAsia"/>
                      <w:bCs/>
                      <w:color w:val="auto"/>
                      <w:szCs w:val="21"/>
                      <w:highlight w:val="none"/>
                      <w:lang w:val="en-US" w:eastAsia="zh-CN"/>
                    </w:rPr>
                    <w:t>供水</w:t>
                  </w:r>
                </w:p>
              </w:tc>
              <w:tc>
                <w:tcPr>
                  <w:tcW w:w="2739" w:type="pct"/>
                  <w:gridSpan w:val="2"/>
                  <w:vAlign w:val="center"/>
                </w:tcPr>
                <w:p w14:paraId="57AC5C7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eastAsia="宋体"/>
                      <w:color w:val="auto"/>
                      <w:szCs w:val="21"/>
                      <w:highlight w:val="none"/>
                      <w:lang w:val="en-US" w:eastAsia="zh-CN"/>
                    </w:rPr>
                  </w:pPr>
                  <w:r>
                    <w:rPr>
                      <w:rFonts w:hint="eastAsia"/>
                      <w:color w:val="auto"/>
                      <w:szCs w:val="21"/>
                      <w:highlight w:val="none"/>
                      <w:lang w:val="en-US" w:eastAsia="zh-CN"/>
                    </w:rPr>
                    <w:t>由市政供水管网供给，供水量约2574m</w:t>
                  </w:r>
                  <w:r>
                    <w:rPr>
                      <w:rFonts w:hint="eastAsia"/>
                      <w:color w:val="auto"/>
                      <w:szCs w:val="21"/>
                      <w:highlight w:val="none"/>
                      <w:vertAlign w:val="superscript"/>
                      <w:lang w:val="en-US" w:eastAsia="zh-CN"/>
                    </w:rPr>
                    <w:t>3</w:t>
                  </w:r>
                  <w:r>
                    <w:rPr>
                      <w:rFonts w:hint="eastAsia"/>
                      <w:color w:val="auto"/>
                      <w:szCs w:val="21"/>
                      <w:highlight w:val="none"/>
                      <w:lang w:val="en-US" w:eastAsia="zh-CN"/>
                    </w:rPr>
                    <w:t>/a。</w:t>
                  </w:r>
                </w:p>
              </w:tc>
              <w:tc>
                <w:tcPr>
                  <w:tcW w:w="474" w:type="pct"/>
                  <w:vAlign w:val="center"/>
                </w:tcPr>
                <w:p w14:paraId="3EF6452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lang w:val="en-US" w:eastAsia="zh-CN"/>
                    </w:rPr>
                  </w:pPr>
                  <w:r>
                    <w:rPr>
                      <w:rFonts w:hint="eastAsia"/>
                      <w:bCs/>
                      <w:color w:val="auto"/>
                      <w:szCs w:val="21"/>
                      <w:highlight w:val="none"/>
                      <w:lang w:val="en-US" w:eastAsia="zh-CN"/>
                    </w:rPr>
                    <w:t>新建</w:t>
                  </w:r>
                </w:p>
              </w:tc>
            </w:tr>
            <w:tr w14:paraId="66CFBA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73" w:type="pct"/>
                  <w:vMerge w:val="continue"/>
                  <w:vAlign w:val="center"/>
                </w:tcPr>
                <w:p w14:paraId="3065E60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bCs/>
                      <w:color w:val="auto"/>
                      <w:szCs w:val="21"/>
                      <w:highlight w:val="none"/>
                      <w:lang w:val="en-US" w:eastAsia="zh-CN"/>
                    </w:rPr>
                  </w:pPr>
                </w:p>
              </w:tc>
              <w:tc>
                <w:tcPr>
                  <w:tcW w:w="1412" w:type="pct"/>
                  <w:gridSpan w:val="2"/>
                  <w:vAlign w:val="center"/>
                </w:tcPr>
                <w:p w14:paraId="721BBA2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lang w:val="en-US" w:eastAsia="zh-CN"/>
                    </w:rPr>
                  </w:pPr>
                  <w:r>
                    <w:rPr>
                      <w:rFonts w:hint="eastAsia"/>
                      <w:bCs/>
                      <w:color w:val="auto"/>
                      <w:szCs w:val="21"/>
                      <w:highlight w:val="none"/>
                      <w:lang w:val="en-US" w:eastAsia="zh-CN"/>
                    </w:rPr>
                    <w:t>循环冷却系统</w:t>
                  </w:r>
                </w:p>
              </w:tc>
              <w:tc>
                <w:tcPr>
                  <w:tcW w:w="2739" w:type="pct"/>
                  <w:gridSpan w:val="2"/>
                  <w:vAlign w:val="center"/>
                </w:tcPr>
                <w:p w14:paraId="5F9CCF1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color w:val="auto"/>
                      <w:szCs w:val="21"/>
                      <w:highlight w:val="none"/>
                      <w:lang w:val="en-US" w:eastAsia="zh-CN"/>
                    </w:rPr>
                  </w:pPr>
                  <w:r>
                    <w:rPr>
                      <w:rFonts w:hint="eastAsia"/>
                      <w:color w:val="auto"/>
                      <w:szCs w:val="21"/>
                      <w:highlight w:val="none"/>
                      <w:lang w:val="en-US" w:eastAsia="zh-CN"/>
                    </w:rPr>
                    <w:t>位于厂房1F西南部，总占地面积约50m</w:t>
                  </w:r>
                  <w:r>
                    <w:rPr>
                      <w:rFonts w:hint="eastAsia"/>
                      <w:color w:val="auto"/>
                      <w:szCs w:val="21"/>
                      <w:highlight w:val="none"/>
                      <w:vertAlign w:val="superscript"/>
                      <w:lang w:val="en-US" w:eastAsia="zh-CN"/>
                    </w:rPr>
                    <w:t>2</w:t>
                  </w:r>
                  <w:r>
                    <w:rPr>
                      <w:rFonts w:hint="eastAsia"/>
                      <w:color w:val="auto"/>
                      <w:szCs w:val="21"/>
                      <w:highlight w:val="none"/>
                      <w:lang w:val="en-US" w:eastAsia="zh-CN"/>
                    </w:rPr>
                    <w:t>，配套10台冷水机，单台冷水机配套水箱容积约0.2m</w:t>
                  </w:r>
                  <w:r>
                    <w:rPr>
                      <w:rFonts w:hint="eastAsia"/>
                      <w:color w:val="auto"/>
                      <w:szCs w:val="21"/>
                      <w:highlight w:val="none"/>
                      <w:vertAlign w:val="superscript"/>
                      <w:lang w:val="en-US" w:eastAsia="zh-CN"/>
                    </w:rPr>
                    <w:t>3</w:t>
                  </w:r>
                  <w:r>
                    <w:rPr>
                      <w:rFonts w:hint="eastAsia"/>
                      <w:color w:val="auto"/>
                      <w:szCs w:val="21"/>
                      <w:highlight w:val="none"/>
                      <w:vertAlign w:val="baseline"/>
                      <w:lang w:val="en-US" w:eastAsia="zh-CN"/>
                    </w:rPr>
                    <w:t>，单台循环水量约3m</w:t>
                  </w:r>
                  <w:r>
                    <w:rPr>
                      <w:rFonts w:hint="eastAsia"/>
                      <w:color w:val="auto"/>
                      <w:szCs w:val="21"/>
                      <w:highlight w:val="none"/>
                      <w:vertAlign w:val="superscript"/>
                      <w:lang w:val="en-US" w:eastAsia="zh-CN"/>
                    </w:rPr>
                    <w:t>3</w:t>
                  </w:r>
                  <w:r>
                    <w:rPr>
                      <w:rFonts w:hint="eastAsia"/>
                      <w:color w:val="auto"/>
                      <w:szCs w:val="21"/>
                      <w:highlight w:val="none"/>
                      <w:vertAlign w:val="baseline"/>
                      <w:lang w:val="en-US" w:eastAsia="zh-CN"/>
                    </w:rPr>
                    <w:t>/h</w:t>
                  </w:r>
                  <w:r>
                    <w:rPr>
                      <w:rFonts w:hint="eastAsia"/>
                      <w:color w:val="auto"/>
                      <w:szCs w:val="21"/>
                      <w:highlight w:val="none"/>
                      <w:lang w:val="en-US" w:eastAsia="zh-CN"/>
                    </w:rPr>
                    <w:t>，主要用于生产装置冷却供水。</w:t>
                  </w:r>
                </w:p>
              </w:tc>
              <w:tc>
                <w:tcPr>
                  <w:tcW w:w="474" w:type="pct"/>
                  <w:vAlign w:val="center"/>
                </w:tcPr>
                <w:p w14:paraId="572E881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bCs/>
                      <w:color w:val="auto"/>
                      <w:szCs w:val="21"/>
                      <w:highlight w:val="none"/>
                      <w:lang w:val="en-US" w:eastAsia="zh-CN"/>
                    </w:rPr>
                  </w:pPr>
                  <w:r>
                    <w:rPr>
                      <w:rFonts w:hint="eastAsia"/>
                      <w:bCs/>
                      <w:color w:val="auto"/>
                      <w:szCs w:val="21"/>
                      <w:highlight w:val="none"/>
                      <w:lang w:val="en-US" w:eastAsia="zh-CN"/>
                    </w:rPr>
                    <w:t>新建</w:t>
                  </w:r>
                </w:p>
              </w:tc>
            </w:tr>
            <w:tr w14:paraId="55CE171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73" w:type="pct"/>
                  <w:vMerge w:val="continue"/>
                  <w:vAlign w:val="center"/>
                </w:tcPr>
                <w:p w14:paraId="72F38E5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rPr>
                  </w:pPr>
                </w:p>
              </w:tc>
              <w:tc>
                <w:tcPr>
                  <w:tcW w:w="1412" w:type="pct"/>
                  <w:gridSpan w:val="2"/>
                  <w:vAlign w:val="center"/>
                </w:tcPr>
                <w:p w14:paraId="08FF030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eastAsia="宋体"/>
                      <w:bCs/>
                      <w:color w:val="auto"/>
                      <w:szCs w:val="21"/>
                      <w:highlight w:val="none"/>
                      <w:lang w:val="en-US" w:eastAsia="zh-CN"/>
                    </w:rPr>
                  </w:pPr>
                  <w:r>
                    <w:rPr>
                      <w:rFonts w:hint="eastAsia"/>
                      <w:bCs/>
                      <w:color w:val="auto"/>
                      <w:szCs w:val="21"/>
                      <w:highlight w:val="none"/>
                      <w:lang w:val="en-US" w:eastAsia="zh-CN"/>
                    </w:rPr>
                    <w:t>排水</w:t>
                  </w:r>
                </w:p>
              </w:tc>
              <w:tc>
                <w:tcPr>
                  <w:tcW w:w="2739" w:type="pct"/>
                  <w:gridSpan w:val="2"/>
                  <w:vAlign w:val="center"/>
                </w:tcPr>
                <w:p w14:paraId="31F7BC4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eastAsia="宋体"/>
                      <w:color w:val="auto"/>
                      <w:szCs w:val="21"/>
                      <w:highlight w:val="none"/>
                      <w:lang w:val="en-US" w:eastAsia="zh-CN"/>
                    </w:rPr>
                  </w:pPr>
                  <w:r>
                    <w:rPr>
                      <w:rFonts w:hint="eastAsia" w:cs="Times New Roman"/>
                      <w:color w:val="auto"/>
                      <w:sz w:val="21"/>
                      <w:szCs w:val="21"/>
                      <w:highlight w:val="none"/>
                    </w:rPr>
                    <w:t>厂区</w:t>
                  </w:r>
                  <w:r>
                    <w:rPr>
                      <w:rFonts w:hint="eastAsia" w:cs="Times New Roman"/>
                      <w:color w:val="auto"/>
                      <w:sz w:val="21"/>
                      <w:szCs w:val="21"/>
                      <w:highlight w:val="none"/>
                      <w:lang w:val="en-US" w:eastAsia="zh-CN"/>
                    </w:rPr>
                    <w:t>采取</w:t>
                  </w:r>
                  <w:r>
                    <w:rPr>
                      <w:rFonts w:hint="eastAsia" w:cs="Times New Roman"/>
                      <w:color w:val="auto"/>
                      <w:sz w:val="21"/>
                      <w:szCs w:val="21"/>
                      <w:highlight w:val="none"/>
                    </w:rPr>
                    <w:t>雨污分流，</w:t>
                  </w:r>
                  <w:r>
                    <w:rPr>
                      <w:rFonts w:hint="default" w:cs="Times New Roman"/>
                      <w:color w:val="auto"/>
                      <w:sz w:val="21"/>
                      <w:szCs w:val="21"/>
                      <w:highlight w:val="none"/>
                    </w:rPr>
                    <w:t>雨水经厂区内雨水管汇集后，排至周边道路市政雨水管道内；</w:t>
                  </w:r>
                  <w:r>
                    <w:rPr>
                      <w:rFonts w:hint="eastAsia"/>
                      <w:color w:val="auto"/>
                      <w:szCs w:val="21"/>
                      <w:highlight w:val="none"/>
                      <w:lang w:val="en-US" w:eastAsia="zh-CN"/>
                    </w:rPr>
                    <w:t>项目</w:t>
                  </w:r>
                  <w:r>
                    <w:rPr>
                      <w:rFonts w:hint="eastAsia"/>
                      <w:color w:val="auto"/>
                      <w:szCs w:val="21"/>
                      <w:highlight w:val="none"/>
                    </w:rPr>
                    <w:t>废水主要包括</w:t>
                  </w:r>
                  <w:r>
                    <w:rPr>
                      <w:rFonts w:hint="eastAsia"/>
                      <w:color w:val="auto"/>
                      <w:szCs w:val="21"/>
                      <w:highlight w:val="none"/>
                      <w:lang w:val="en-US" w:eastAsia="zh-CN"/>
                    </w:rPr>
                    <w:t>循环冷却排水及生活污水</w:t>
                  </w:r>
                  <w:r>
                    <w:rPr>
                      <w:rFonts w:hint="eastAsia"/>
                      <w:color w:val="auto"/>
                      <w:szCs w:val="21"/>
                      <w:highlight w:val="none"/>
                    </w:rPr>
                    <w:t>。</w:t>
                  </w:r>
                  <w:r>
                    <w:rPr>
                      <w:rFonts w:hint="eastAsia" w:cs="Times New Roman"/>
                      <w:color w:val="auto"/>
                      <w:sz w:val="21"/>
                      <w:szCs w:val="21"/>
                      <w:highlight w:val="none"/>
                    </w:rPr>
                    <w:t>生活污水经化粪池预处理后</w:t>
                  </w:r>
                  <w:r>
                    <w:rPr>
                      <w:rFonts w:hint="eastAsia" w:cs="Times New Roman"/>
                      <w:color w:val="auto"/>
                      <w:sz w:val="21"/>
                      <w:szCs w:val="21"/>
                      <w:highlight w:val="none"/>
                      <w:lang w:val="en-US" w:eastAsia="zh-CN"/>
                    </w:rPr>
                    <w:t>与循环冷却排水一并</w:t>
                  </w:r>
                  <w:r>
                    <w:rPr>
                      <w:rFonts w:hint="eastAsia" w:cs="Times New Roman"/>
                      <w:color w:val="auto"/>
                      <w:sz w:val="21"/>
                      <w:szCs w:val="21"/>
                      <w:highlight w:val="none"/>
                    </w:rPr>
                    <w:t>经厂区总排口接入市政污水管网</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接管至凤台县污水处理厂处理达标后最终排入架河。</w:t>
                  </w:r>
                </w:p>
              </w:tc>
              <w:tc>
                <w:tcPr>
                  <w:tcW w:w="474" w:type="pct"/>
                  <w:vAlign w:val="center"/>
                </w:tcPr>
                <w:p w14:paraId="0B925F3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lang w:val="en-US" w:eastAsia="zh-CN"/>
                    </w:rPr>
                  </w:pPr>
                  <w:r>
                    <w:rPr>
                      <w:rFonts w:hint="eastAsia"/>
                      <w:bCs/>
                      <w:color w:val="auto"/>
                      <w:szCs w:val="21"/>
                      <w:highlight w:val="none"/>
                      <w:lang w:val="en-US" w:eastAsia="zh-CN"/>
                    </w:rPr>
                    <w:t>新建</w:t>
                  </w:r>
                </w:p>
              </w:tc>
            </w:tr>
            <w:tr w14:paraId="37E7E3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73" w:type="pct"/>
                  <w:vMerge w:val="restart"/>
                  <w:vAlign w:val="center"/>
                </w:tcPr>
                <w:p w14:paraId="07C606F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rPr>
                  </w:pPr>
                  <w:r>
                    <w:rPr>
                      <w:rFonts w:hint="default"/>
                      <w:bCs/>
                      <w:color w:val="auto"/>
                      <w:szCs w:val="21"/>
                      <w:highlight w:val="none"/>
                    </w:rPr>
                    <w:t>环保</w:t>
                  </w:r>
                </w:p>
                <w:p w14:paraId="2618366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rPr>
                  </w:pPr>
                  <w:r>
                    <w:rPr>
                      <w:rFonts w:hint="default"/>
                      <w:bCs/>
                      <w:color w:val="auto"/>
                      <w:szCs w:val="21"/>
                      <w:highlight w:val="none"/>
                    </w:rPr>
                    <w:t>工程</w:t>
                  </w:r>
                </w:p>
              </w:tc>
              <w:tc>
                <w:tcPr>
                  <w:tcW w:w="1412" w:type="pct"/>
                  <w:gridSpan w:val="2"/>
                  <w:vAlign w:val="center"/>
                </w:tcPr>
                <w:p w14:paraId="154DA68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jc w:val="center"/>
                    <w:textAlignment w:val="auto"/>
                    <w:rPr>
                      <w:rFonts w:hint="default"/>
                      <w:color w:val="auto"/>
                      <w:szCs w:val="21"/>
                      <w:highlight w:val="none"/>
                    </w:rPr>
                  </w:pPr>
                  <w:r>
                    <w:rPr>
                      <w:rFonts w:hint="default"/>
                      <w:color w:val="auto"/>
                      <w:szCs w:val="21"/>
                      <w:highlight w:val="none"/>
                    </w:rPr>
                    <w:t>废气治理</w:t>
                  </w:r>
                </w:p>
              </w:tc>
              <w:tc>
                <w:tcPr>
                  <w:tcW w:w="2739" w:type="pct"/>
                  <w:gridSpan w:val="2"/>
                  <w:vAlign w:val="center"/>
                </w:tcPr>
                <w:p w14:paraId="2CBFAFCD">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eastAsia"/>
                      <w:color w:val="auto"/>
                      <w:szCs w:val="21"/>
                      <w:highlight w:val="none"/>
                      <w:lang w:val="en-US" w:eastAsia="zh-CN"/>
                    </w:rPr>
                  </w:pPr>
                  <w:r>
                    <w:rPr>
                      <w:rFonts w:hint="eastAsia"/>
                      <w:color w:val="auto"/>
                      <w:szCs w:val="21"/>
                      <w:highlight w:val="none"/>
                      <w:lang w:val="en-US" w:eastAsia="zh-CN"/>
                    </w:rPr>
                    <w:t>①塑料制品生产时极少量投料废气经设备配套布袋除尘器收集处理后于车间内无组织排放；</w:t>
                  </w:r>
                </w:p>
                <w:p w14:paraId="4BCEDBB4">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eastAsia" w:hAnsi="宋体"/>
                      <w:color w:val="auto"/>
                      <w:kern w:val="0"/>
                      <w:highlight w:val="none"/>
                      <w:lang w:eastAsia="zh-CN"/>
                    </w:rPr>
                  </w:pPr>
                  <w:r>
                    <w:rPr>
                      <w:rFonts w:hint="eastAsia"/>
                      <w:color w:val="auto"/>
                      <w:szCs w:val="21"/>
                      <w:highlight w:val="none"/>
                      <w:lang w:val="en-US" w:eastAsia="zh-CN"/>
                    </w:rPr>
                    <w:t>②注塑废气经设备上方集气罩收集后</w:t>
                  </w:r>
                  <w:r>
                    <w:rPr>
                      <w:rFonts w:hint="eastAsia"/>
                      <w:color w:val="auto"/>
                      <w:sz w:val="21"/>
                      <w:szCs w:val="21"/>
                      <w:highlight w:val="none"/>
                      <w:lang w:val="en-US" w:eastAsia="zh-CN"/>
                    </w:rPr>
                    <w:t>，通过1套“二级活性炭吸附装置”处理，后由1根23m高排气筒DA001排放</w:t>
                  </w:r>
                  <w:r>
                    <w:rPr>
                      <w:rFonts w:hint="eastAsia" w:hAnsi="宋体"/>
                      <w:color w:val="auto"/>
                      <w:kern w:val="0"/>
                      <w:highlight w:val="none"/>
                      <w:lang w:eastAsia="zh-CN"/>
                    </w:rPr>
                    <w:t>；</w:t>
                  </w:r>
                </w:p>
                <w:p w14:paraId="13F8C318">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eastAsia"/>
                      <w:color w:val="auto"/>
                      <w:highlight w:val="none"/>
                      <w:lang w:eastAsia="zh-CN"/>
                    </w:rPr>
                  </w:pPr>
                  <w:r>
                    <w:rPr>
                      <w:rFonts w:hint="eastAsia" w:hAnsi="宋体"/>
                      <w:color w:val="auto"/>
                      <w:kern w:val="0"/>
                      <w:highlight w:val="none"/>
                      <w:lang w:val="en-US" w:eastAsia="zh-CN"/>
                    </w:rPr>
                    <w:t>③</w:t>
                  </w:r>
                  <w:r>
                    <w:rPr>
                      <w:rFonts w:hint="eastAsia"/>
                      <w:color w:val="auto"/>
                      <w:sz w:val="21"/>
                      <w:szCs w:val="21"/>
                      <w:highlight w:val="none"/>
                      <w:lang w:val="en-US" w:eastAsia="zh-CN"/>
                    </w:rPr>
                    <w:t>粉碎粉尘均经设备上方集气罩收集后，通过1套布袋除尘器处理，后由1根23m高排气筒（DA002）排放</w:t>
                  </w:r>
                  <w:r>
                    <w:rPr>
                      <w:rFonts w:hint="eastAsia" w:hAnsi="宋体"/>
                      <w:color w:val="auto"/>
                      <w:kern w:val="0"/>
                      <w:highlight w:val="none"/>
                      <w:lang w:eastAsia="zh-CN"/>
                    </w:rPr>
                    <w:t>。</w:t>
                  </w:r>
                </w:p>
              </w:tc>
              <w:tc>
                <w:tcPr>
                  <w:tcW w:w="474" w:type="pct"/>
                  <w:vAlign w:val="center"/>
                </w:tcPr>
                <w:p w14:paraId="1F4D430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eastAsia="宋体"/>
                      <w:bCs/>
                      <w:color w:val="auto"/>
                      <w:szCs w:val="21"/>
                      <w:highlight w:val="none"/>
                      <w:lang w:val="en-US" w:eastAsia="zh-CN"/>
                    </w:rPr>
                  </w:pPr>
                  <w:r>
                    <w:rPr>
                      <w:rFonts w:hint="eastAsia"/>
                      <w:bCs/>
                      <w:color w:val="auto"/>
                      <w:szCs w:val="21"/>
                      <w:highlight w:val="none"/>
                      <w:lang w:val="en-US" w:eastAsia="zh-CN"/>
                    </w:rPr>
                    <w:t>/</w:t>
                  </w:r>
                </w:p>
              </w:tc>
            </w:tr>
            <w:tr w14:paraId="39F84B5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73" w:type="pct"/>
                  <w:vMerge w:val="continue"/>
                  <w:vAlign w:val="center"/>
                </w:tcPr>
                <w:p w14:paraId="51F7CE3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rPr>
                  </w:pPr>
                </w:p>
              </w:tc>
              <w:tc>
                <w:tcPr>
                  <w:tcW w:w="1412" w:type="pct"/>
                  <w:gridSpan w:val="2"/>
                  <w:vAlign w:val="center"/>
                </w:tcPr>
                <w:p w14:paraId="2A9B6C1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color w:val="auto"/>
                      <w:szCs w:val="21"/>
                      <w:highlight w:val="none"/>
                    </w:rPr>
                  </w:pPr>
                  <w:r>
                    <w:rPr>
                      <w:rFonts w:hint="default"/>
                      <w:color w:val="auto"/>
                      <w:szCs w:val="21"/>
                      <w:highlight w:val="none"/>
                    </w:rPr>
                    <w:t>废水治理</w:t>
                  </w:r>
                </w:p>
              </w:tc>
              <w:tc>
                <w:tcPr>
                  <w:tcW w:w="2739" w:type="pct"/>
                  <w:gridSpan w:val="2"/>
                  <w:shd w:val="clear" w:color="auto" w:fill="auto"/>
                  <w:vAlign w:val="center"/>
                </w:tcPr>
                <w:p w14:paraId="15F1526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项目</w:t>
                  </w:r>
                  <w:r>
                    <w:rPr>
                      <w:rFonts w:hint="eastAsia"/>
                      <w:color w:val="auto"/>
                      <w:szCs w:val="21"/>
                      <w:highlight w:val="none"/>
                    </w:rPr>
                    <w:t>废水主要包括</w:t>
                  </w:r>
                  <w:r>
                    <w:rPr>
                      <w:rFonts w:hint="eastAsia"/>
                      <w:color w:val="auto"/>
                      <w:szCs w:val="21"/>
                      <w:highlight w:val="none"/>
                      <w:lang w:val="en-US" w:eastAsia="zh-CN"/>
                    </w:rPr>
                    <w:t>循环冷却系统排水及生活污水</w:t>
                  </w:r>
                  <w:r>
                    <w:rPr>
                      <w:rFonts w:hint="eastAsia"/>
                      <w:color w:val="auto"/>
                      <w:szCs w:val="21"/>
                      <w:highlight w:val="none"/>
                    </w:rPr>
                    <w:t>。</w:t>
                  </w:r>
                  <w:r>
                    <w:rPr>
                      <w:rFonts w:hint="eastAsia" w:cs="Times New Roman"/>
                      <w:color w:val="auto"/>
                      <w:sz w:val="21"/>
                      <w:szCs w:val="21"/>
                      <w:highlight w:val="none"/>
                    </w:rPr>
                    <w:t>生活污水经化粪池预处理</w:t>
                  </w:r>
                  <w:r>
                    <w:rPr>
                      <w:rFonts w:hint="eastAsia" w:cs="Times New Roman"/>
                      <w:color w:val="auto"/>
                      <w:sz w:val="21"/>
                      <w:szCs w:val="21"/>
                      <w:highlight w:val="none"/>
                      <w:lang w:val="en-US" w:eastAsia="zh-CN"/>
                    </w:rPr>
                    <w:t>后与循环冷却系统排水一并</w:t>
                  </w:r>
                  <w:r>
                    <w:rPr>
                      <w:rFonts w:hint="eastAsia" w:cs="Times New Roman"/>
                      <w:color w:val="auto"/>
                      <w:sz w:val="21"/>
                      <w:szCs w:val="21"/>
                      <w:highlight w:val="none"/>
                    </w:rPr>
                    <w:t>经厂区总排口</w:t>
                  </w:r>
                  <w:r>
                    <w:rPr>
                      <w:rFonts w:hint="eastAsia" w:cs="Times New Roman"/>
                      <w:color w:val="auto"/>
                      <w:sz w:val="21"/>
                      <w:szCs w:val="21"/>
                      <w:highlight w:val="none"/>
                      <w:lang w:val="en-US" w:eastAsia="zh-CN"/>
                    </w:rPr>
                    <w:t>排入</w:t>
                  </w:r>
                  <w:r>
                    <w:rPr>
                      <w:rFonts w:hint="eastAsia" w:cs="Times New Roman"/>
                      <w:color w:val="auto"/>
                      <w:sz w:val="21"/>
                      <w:szCs w:val="21"/>
                      <w:highlight w:val="none"/>
                    </w:rPr>
                    <w:t>市政污水管网</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接管至凤台县污水处理厂处理，尾水处理达标后排入架河，最终进入淮河。</w:t>
                  </w:r>
                </w:p>
              </w:tc>
              <w:tc>
                <w:tcPr>
                  <w:tcW w:w="474" w:type="pct"/>
                  <w:vAlign w:val="center"/>
                </w:tcPr>
                <w:p w14:paraId="697F62B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eastAsia="宋体"/>
                      <w:bCs/>
                      <w:color w:val="auto"/>
                      <w:szCs w:val="21"/>
                      <w:highlight w:val="none"/>
                      <w:lang w:val="en-US" w:eastAsia="zh-CN"/>
                    </w:rPr>
                  </w:pPr>
                  <w:r>
                    <w:rPr>
                      <w:rFonts w:hint="eastAsia"/>
                      <w:bCs/>
                      <w:color w:val="auto"/>
                      <w:szCs w:val="21"/>
                      <w:highlight w:val="none"/>
                      <w:lang w:val="en-US" w:eastAsia="zh-CN"/>
                    </w:rPr>
                    <w:t>/</w:t>
                  </w:r>
                </w:p>
              </w:tc>
            </w:tr>
            <w:tr w14:paraId="05AAF4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73" w:type="pct"/>
                  <w:vMerge w:val="continue"/>
                  <w:vAlign w:val="center"/>
                </w:tcPr>
                <w:p w14:paraId="10E7304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rPr>
                  </w:pPr>
                </w:p>
              </w:tc>
              <w:tc>
                <w:tcPr>
                  <w:tcW w:w="1412" w:type="pct"/>
                  <w:gridSpan w:val="2"/>
                  <w:vAlign w:val="center"/>
                </w:tcPr>
                <w:p w14:paraId="3BAEDA5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color w:val="auto"/>
                      <w:szCs w:val="21"/>
                      <w:highlight w:val="none"/>
                    </w:rPr>
                  </w:pPr>
                  <w:r>
                    <w:rPr>
                      <w:rFonts w:hint="default"/>
                      <w:color w:val="auto"/>
                      <w:szCs w:val="21"/>
                      <w:highlight w:val="none"/>
                    </w:rPr>
                    <w:t>噪声治理</w:t>
                  </w:r>
                </w:p>
              </w:tc>
              <w:tc>
                <w:tcPr>
                  <w:tcW w:w="2739" w:type="pct"/>
                  <w:gridSpan w:val="2"/>
                  <w:vAlign w:val="center"/>
                </w:tcPr>
                <w:p w14:paraId="2E8D9FA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bCs/>
                      <w:color w:val="auto"/>
                      <w:szCs w:val="21"/>
                      <w:highlight w:val="none"/>
                    </w:rPr>
                  </w:pPr>
                  <w:r>
                    <w:rPr>
                      <w:rFonts w:hint="default" w:ascii="CIDFont+F2" w:hAnsi="CIDFont+F2"/>
                      <w:color w:val="auto"/>
                      <w:szCs w:val="21"/>
                      <w:highlight w:val="none"/>
                    </w:rPr>
                    <w:t>选用低噪声设备，采取隔声、</w:t>
                  </w:r>
                  <w:r>
                    <w:rPr>
                      <w:rFonts w:hint="eastAsia" w:ascii="CIDFont+F2" w:hAnsi="CIDFont+F2"/>
                      <w:color w:val="auto"/>
                      <w:szCs w:val="21"/>
                      <w:highlight w:val="none"/>
                      <w:lang w:val="en-US" w:eastAsia="zh-CN"/>
                    </w:rPr>
                    <w:t>基础</w:t>
                  </w:r>
                  <w:r>
                    <w:rPr>
                      <w:rFonts w:hint="default" w:ascii="CIDFont+F2" w:hAnsi="CIDFont+F2"/>
                      <w:color w:val="auto"/>
                      <w:szCs w:val="21"/>
                      <w:highlight w:val="none"/>
                    </w:rPr>
                    <w:t>减振、消声等措施</w:t>
                  </w:r>
                </w:p>
              </w:tc>
              <w:tc>
                <w:tcPr>
                  <w:tcW w:w="474" w:type="pct"/>
                  <w:vAlign w:val="center"/>
                </w:tcPr>
                <w:p w14:paraId="2D1657B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eastAsia="宋体"/>
                      <w:bCs/>
                      <w:color w:val="auto"/>
                      <w:szCs w:val="21"/>
                      <w:highlight w:val="none"/>
                      <w:lang w:val="en-US" w:eastAsia="zh-CN"/>
                    </w:rPr>
                  </w:pPr>
                  <w:r>
                    <w:rPr>
                      <w:rFonts w:hint="eastAsia"/>
                      <w:bCs/>
                      <w:color w:val="auto"/>
                      <w:szCs w:val="21"/>
                      <w:highlight w:val="none"/>
                      <w:lang w:val="en-US" w:eastAsia="zh-CN"/>
                    </w:rPr>
                    <w:t>/</w:t>
                  </w:r>
                </w:p>
              </w:tc>
            </w:tr>
            <w:tr w14:paraId="09CE71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73" w:type="pct"/>
                  <w:vMerge w:val="continue"/>
                  <w:vAlign w:val="center"/>
                </w:tcPr>
                <w:p w14:paraId="766DA8A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rPr>
                  </w:pPr>
                </w:p>
              </w:tc>
              <w:tc>
                <w:tcPr>
                  <w:tcW w:w="1412" w:type="pct"/>
                  <w:gridSpan w:val="2"/>
                  <w:vAlign w:val="center"/>
                </w:tcPr>
                <w:p w14:paraId="58941B7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color w:val="auto"/>
                      <w:szCs w:val="21"/>
                      <w:highlight w:val="none"/>
                    </w:rPr>
                  </w:pPr>
                  <w:r>
                    <w:rPr>
                      <w:rFonts w:hint="default"/>
                      <w:color w:val="auto"/>
                      <w:szCs w:val="21"/>
                      <w:highlight w:val="none"/>
                    </w:rPr>
                    <w:t>固废治理</w:t>
                  </w:r>
                </w:p>
              </w:tc>
              <w:tc>
                <w:tcPr>
                  <w:tcW w:w="2739" w:type="pct"/>
                  <w:gridSpan w:val="2"/>
                  <w:vAlign w:val="center"/>
                </w:tcPr>
                <w:p w14:paraId="41C8E81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Cs/>
                      <w:color w:val="auto"/>
                      <w:szCs w:val="21"/>
                      <w:highlight w:val="none"/>
                      <w:lang w:eastAsia="zh-CN"/>
                    </w:rPr>
                  </w:pPr>
                  <w:r>
                    <w:rPr>
                      <w:rFonts w:hint="eastAsia"/>
                      <w:b w:val="0"/>
                      <w:bCs w:val="0"/>
                      <w:color w:val="auto"/>
                      <w:szCs w:val="21"/>
                      <w:highlight w:val="none"/>
                      <w:lang w:val="en-US" w:eastAsia="zh-CN"/>
                    </w:rPr>
                    <w:t>厂房1F西部设置1处危险废物暂存间（占地面积约10m</w:t>
                  </w:r>
                  <w:r>
                    <w:rPr>
                      <w:rFonts w:hint="eastAsia"/>
                      <w:b w:val="0"/>
                      <w:bCs w:val="0"/>
                      <w:color w:val="auto"/>
                      <w:szCs w:val="21"/>
                      <w:highlight w:val="none"/>
                      <w:vertAlign w:val="superscript"/>
                      <w:lang w:val="en-US" w:eastAsia="zh-CN"/>
                    </w:rPr>
                    <w:t>2</w:t>
                  </w:r>
                  <w:r>
                    <w:rPr>
                      <w:rFonts w:hint="eastAsia"/>
                      <w:b w:val="0"/>
                      <w:bCs w:val="0"/>
                      <w:color w:val="auto"/>
                      <w:szCs w:val="21"/>
                      <w:highlight w:val="none"/>
                      <w:lang w:val="en-US" w:eastAsia="zh-CN"/>
                    </w:rPr>
                    <w:t>），用于暂存废活性炭、废机油、废油桶及废弃劳保用品等危险废物，</w:t>
                  </w:r>
                  <w:r>
                    <w:rPr>
                      <w:rFonts w:hint="default"/>
                      <w:bCs/>
                      <w:color w:val="auto"/>
                      <w:szCs w:val="21"/>
                      <w:highlight w:val="none"/>
                    </w:rPr>
                    <w:t>并定期委托有资质单位处理</w:t>
                  </w:r>
                  <w:r>
                    <w:rPr>
                      <w:rFonts w:hint="eastAsia"/>
                      <w:bCs/>
                      <w:color w:val="auto"/>
                      <w:szCs w:val="21"/>
                      <w:highlight w:val="none"/>
                      <w:lang w:eastAsia="zh-CN"/>
                    </w:rPr>
                    <w:t>。</w:t>
                  </w:r>
                </w:p>
                <w:p w14:paraId="3960453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ascii="CIDFont+F2" w:hAnsi="CIDFont+F2"/>
                      <w:color w:val="auto"/>
                      <w:szCs w:val="21"/>
                      <w:highlight w:val="none"/>
                    </w:rPr>
                  </w:pPr>
                  <w:r>
                    <w:rPr>
                      <w:rFonts w:hint="eastAsia"/>
                      <w:b w:val="0"/>
                      <w:bCs w:val="0"/>
                      <w:color w:val="auto"/>
                      <w:szCs w:val="21"/>
                      <w:highlight w:val="none"/>
                      <w:lang w:val="en-US" w:eastAsia="zh-CN"/>
                    </w:rPr>
                    <w:t>厂房1F西部、危废暂存间附近设置1处一般工业固废暂存区（占地面积约20m</w:t>
                  </w:r>
                  <w:r>
                    <w:rPr>
                      <w:rFonts w:hint="eastAsia"/>
                      <w:b w:val="0"/>
                      <w:bCs w:val="0"/>
                      <w:color w:val="auto"/>
                      <w:szCs w:val="21"/>
                      <w:highlight w:val="none"/>
                      <w:vertAlign w:val="superscript"/>
                      <w:lang w:val="en-US" w:eastAsia="zh-CN"/>
                    </w:rPr>
                    <w:t>2</w:t>
                  </w:r>
                  <w:r>
                    <w:rPr>
                      <w:rFonts w:hint="eastAsia"/>
                      <w:b w:val="0"/>
                      <w:bCs w:val="0"/>
                      <w:color w:val="auto"/>
                      <w:szCs w:val="21"/>
                      <w:highlight w:val="none"/>
                      <w:lang w:val="en-US" w:eastAsia="zh-CN"/>
                    </w:rPr>
                    <w:t>），用于存放废包装、废包材等一般固废，废包装、废包材定期外售物资部门综合利用；废塑料边角料与不合格塑料半成品分类收集并经粉碎后全部回用于生产；（粉碎工序）布袋除尘器收集粉尘分类收集后回用于生产</w:t>
                  </w:r>
                  <w:r>
                    <w:rPr>
                      <w:rFonts w:hint="default" w:ascii="CIDFont+F2" w:hAnsi="CIDFont+F2"/>
                      <w:b w:val="0"/>
                      <w:bCs w:val="0"/>
                      <w:color w:val="auto"/>
                      <w:szCs w:val="21"/>
                      <w:highlight w:val="none"/>
                    </w:rPr>
                    <w:t>。</w:t>
                  </w:r>
                </w:p>
                <w:p w14:paraId="3BD528F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bCs/>
                      <w:color w:val="auto"/>
                      <w:szCs w:val="21"/>
                      <w:highlight w:val="none"/>
                    </w:rPr>
                  </w:pPr>
                  <w:r>
                    <w:rPr>
                      <w:rFonts w:hint="default"/>
                      <w:b/>
                      <w:bCs/>
                      <w:color w:val="auto"/>
                      <w:szCs w:val="21"/>
                      <w:highlight w:val="none"/>
                    </w:rPr>
                    <w:t>生活垃圾：</w:t>
                  </w:r>
                  <w:r>
                    <w:rPr>
                      <w:rFonts w:hint="default"/>
                      <w:bCs/>
                      <w:color w:val="auto"/>
                      <w:szCs w:val="21"/>
                      <w:highlight w:val="none"/>
                    </w:rPr>
                    <w:t>交由环卫部门定期清运处理。</w:t>
                  </w:r>
                </w:p>
              </w:tc>
              <w:tc>
                <w:tcPr>
                  <w:tcW w:w="474" w:type="pct"/>
                  <w:vAlign w:val="center"/>
                </w:tcPr>
                <w:p w14:paraId="64DD554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eastAsia="宋体"/>
                      <w:bCs/>
                      <w:color w:val="auto"/>
                      <w:szCs w:val="21"/>
                      <w:highlight w:val="none"/>
                      <w:lang w:val="en-US" w:eastAsia="zh-CN"/>
                    </w:rPr>
                  </w:pPr>
                  <w:r>
                    <w:rPr>
                      <w:rFonts w:hint="eastAsia"/>
                      <w:bCs/>
                      <w:color w:val="auto"/>
                      <w:szCs w:val="21"/>
                      <w:highlight w:val="none"/>
                      <w:lang w:val="en-US" w:eastAsia="zh-CN"/>
                    </w:rPr>
                    <w:t>/</w:t>
                  </w:r>
                </w:p>
              </w:tc>
            </w:tr>
            <w:tr w14:paraId="5EC52D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73" w:type="pct"/>
                  <w:vMerge w:val="continue"/>
                  <w:vAlign w:val="center"/>
                </w:tcPr>
                <w:p w14:paraId="10294B7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rPr>
                  </w:pPr>
                </w:p>
              </w:tc>
              <w:tc>
                <w:tcPr>
                  <w:tcW w:w="1412" w:type="pct"/>
                  <w:gridSpan w:val="2"/>
                  <w:vAlign w:val="center"/>
                </w:tcPr>
                <w:p w14:paraId="61DCBF9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color w:val="auto"/>
                      <w:szCs w:val="21"/>
                      <w:highlight w:val="none"/>
                    </w:rPr>
                  </w:pPr>
                  <w:r>
                    <w:rPr>
                      <w:rFonts w:hint="default"/>
                      <w:color w:val="auto"/>
                      <w:szCs w:val="21"/>
                      <w:highlight w:val="none"/>
                    </w:rPr>
                    <w:t>地下水</w:t>
                  </w:r>
                  <w:r>
                    <w:rPr>
                      <w:rFonts w:hint="eastAsia"/>
                      <w:color w:val="auto"/>
                      <w:szCs w:val="21"/>
                      <w:highlight w:val="none"/>
                    </w:rPr>
                    <w:t>、</w:t>
                  </w:r>
                  <w:r>
                    <w:rPr>
                      <w:rFonts w:hint="default"/>
                      <w:color w:val="auto"/>
                      <w:szCs w:val="21"/>
                      <w:highlight w:val="none"/>
                    </w:rPr>
                    <w:t>土壤防治</w:t>
                  </w:r>
                </w:p>
              </w:tc>
              <w:tc>
                <w:tcPr>
                  <w:tcW w:w="2739" w:type="pct"/>
                  <w:gridSpan w:val="2"/>
                  <w:vAlign w:val="center"/>
                </w:tcPr>
                <w:p w14:paraId="2343B5C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eastAsia="宋体"/>
                      <w:bCs/>
                      <w:color w:val="auto"/>
                      <w:szCs w:val="21"/>
                      <w:highlight w:val="none"/>
                      <w:lang w:eastAsia="zh-CN"/>
                    </w:rPr>
                  </w:pPr>
                  <w:r>
                    <w:rPr>
                      <w:rFonts w:hint="eastAsia"/>
                      <w:b/>
                      <w:bCs/>
                      <w:color w:val="auto"/>
                      <w:szCs w:val="21"/>
                      <w:highlight w:val="none"/>
                    </w:rPr>
                    <w:t>重点防渗：</w:t>
                  </w:r>
                  <w:r>
                    <w:rPr>
                      <w:rFonts w:hint="eastAsia"/>
                      <w:b w:val="0"/>
                      <w:bCs w:val="0"/>
                      <w:color w:val="auto"/>
                      <w:szCs w:val="21"/>
                      <w:highlight w:val="none"/>
                    </w:rPr>
                    <w:t>危废暂存间、化学品库等区域重点防渗</w:t>
                  </w:r>
                  <w:r>
                    <w:rPr>
                      <w:rFonts w:hint="eastAsia"/>
                      <w:b w:val="0"/>
                      <w:bCs w:val="0"/>
                      <w:color w:val="auto"/>
                      <w:szCs w:val="21"/>
                      <w:highlight w:val="none"/>
                      <w:lang w:eastAsia="zh-CN"/>
                    </w:rPr>
                    <w:t>；</w:t>
                  </w:r>
                </w:p>
                <w:p w14:paraId="08DCDEE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eastAsia="宋体"/>
                      <w:bCs/>
                      <w:color w:val="auto"/>
                      <w:szCs w:val="21"/>
                      <w:highlight w:val="none"/>
                      <w:lang w:eastAsia="zh-CN"/>
                    </w:rPr>
                  </w:pPr>
                  <w:r>
                    <w:rPr>
                      <w:rFonts w:hint="eastAsia"/>
                      <w:b/>
                      <w:bCs/>
                      <w:color w:val="auto"/>
                      <w:szCs w:val="21"/>
                      <w:highlight w:val="none"/>
                    </w:rPr>
                    <w:t>一般防渗：</w:t>
                  </w:r>
                  <w:r>
                    <w:rPr>
                      <w:rFonts w:hint="eastAsia"/>
                      <w:b w:val="0"/>
                      <w:bCs w:val="0"/>
                      <w:color w:val="auto"/>
                      <w:szCs w:val="21"/>
                      <w:highlight w:val="none"/>
                      <w:lang w:val="en-US" w:eastAsia="zh-CN"/>
                    </w:rPr>
                    <w:t>生产区域</w:t>
                  </w:r>
                  <w:r>
                    <w:rPr>
                      <w:rFonts w:hint="eastAsia"/>
                      <w:b w:val="0"/>
                      <w:bCs w:val="0"/>
                      <w:color w:val="auto"/>
                      <w:szCs w:val="21"/>
                      <w:highlight w:val="none"/>
                    </w:rPr>
                    <w:t>、</w:t>
                  </w:r>
                  <w:r>
                    <w:rPr>
                      <w:rFonts w:hint="eastAsia"/>
                      <w:b w:val="0"/>
                      <w:bCs w:val="0"/>
                      <w:color w:val="auto"/>
                      <w:szCs w:val="21"/>
                      <w:highlight w:val="none"/>
                      <w:lang w:val="en-US" w:eastAsia="zh-CN"/>
                    </w:rPr>
                    <w:t>原材料存放区、包材区、</w:t>
                  </w:r>
                  <w:r>
                    <w:rPr>
                      <w:rFonts w:hint="eastAsia"/>
                      <w:b w:val="0"/>
                      <w:bCs w:val="0"/>
                      <w:color w:val="auto"/>
                      <w:szCs w:val="21"/>
                      <w:highlight w:val="none"/>
                    </w:rPr>
                    <w:t>配电房</w:t>
                  </w:r>
                  <w:r>
                    <w:rPr>
                      <w:rFonts w:hint="eastAsia"/>
                      <w:b w:val="0"/>
                      <w:bCs w:val="0"/>
                      <w:color w:val="auto"/>
                      <w:szCs w:val="21"/>
                      <w:highlight w:val="none"/>
                      <w:lang w:val="en-US" w:eastAsia="zh-CN"/>
                    </w:rPr>
                    <w:t>及一般工业固废间</w:t>
                  </w:r>
                  <w:r>
                    <w:rPr>
                      <w:rFonts w:hint="eastAsia"/>
                      <w:b w:val="0"/>
                      <w:bCs w:val="0"/>
                      <w:color w:val="auto"/>
                      <w:szCs w:val="21"/>
                      <w:highlight w:val="none"/>
                    </w:rPr>
                    <w:t>等一般防渗等</w:t>
                  </w:r>
                  <w:r>
                    <w:rPr>
                      <w:rFonts w:hint="eastAsia"/>
                      <w:b w:val="0"/>
                      <w:bCs w:val="0"/>
                      <w:color w:val="auto"/>
                      <w:szCs w:val="21"/>
                      <w:highlight w:val="none"/>
                      <w:lang w:eastAsia="zh-CN"/>
                    </w:rPr>
                    <w:t>；</w:t>
                  </w:r>
                </w:p>
                <w:p w14:paraId="6509746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eastAsia="宋体"/>
                      <w:color w:val="auto"/>
                      <w:highlight w:val="none"/>
                      <w:lang w:val="en-US" w:eastAsia="zh-CN"/>
                    </w:rPr>
                  </w:pPr>
                  <w:r>
                    <w:rPr>
                      <w:rFonts w:hint="eastAsia"/>
                      <w:b/>
                      <w:bCs/>
                      <w:color w:val="auto"/>
                      <w:szCs w:val="21"/>
                      <w:highlight w:val="none"/>
                    </w:rPr>
                    <w:t>简单防渗：</w:t>
                  </w:r>
                  <w:r>
                    <w:rPr>
                      <w:rFonts w:hint="eastAsia"/>
                      <w:b w:val="0"/>
                      <w:bCs w:val="0"/>
                      <w:color w:val="auto"/>
                      <w:szCs w:val="21"/>
                      <w:highlight w:val="none"/>
                      <w:lang w:val="en-US" w:eastAsia="zh-CN"/>
                    </w:rPr>
                    <w:t>其他区域。</w:t>
                  </w:r>
                </w:p>
              </w:tc>
              <w:tc>
                <w:tcPr>
                  <w:tcW w:w="474" w:type="pct"/>
                  <w:vAlign w:val="center"/>
                </w:tcPr>
                <w:p w14:paraId="7CAE1EB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eastAsia" w:eastAsia="宋体"/>
                      <w:bCs/>
                      <w:color w:val="auto"/>
                      <w:szCs w:val="21"/>
                      <w:highlight w:val="none"/>
                      <w:lang w:val="en-US" w:eastAsia="zh-CN"/>
                    </w:rPr>
                  </w:pPr>
                  <w:r>
                    <w:rPr>
                      <w:rFonts w:hint="eastAsia"/>
                      <w:bCs/>
                      <w:color w:val="auto"/>
                      <w:szCs w:val="21"/>
                      <w:highlight w:val="none"/>
                      <w:lang w:val="en-US" w:eastAsia="zh-CN"/>
                    </w:rPr>
                    <w:t>/</w:t>
                  </w:r>
                </w:p>
              </w:tc>
            </w:tr>
            <w:tr w14:paraId="46AEA7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73" w:type="pct"/>
                  <w:vMerge w:val="continue"/>
                  <w:vAlign w:val="center"/>
                </w:tcPr>
                <w:p w14:paraId="710B697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bCs/>
                      <w:color w:val="auto"/>
                      <w:szCs w:val="21"/>
                      <w:highlight w:val="none"/>
                    </w:rPr>
                  </w:pPr>
                </w:p>
              </w:tc>
              <w:tc>
                <w:tcPr>
                  <w:tcW w:w="810" w:type="pct"/>
                  <w:vAlign w:val="center"/>
                </w:tcPr>
                <w:p w14:paraId="05D41C5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color w:val="auto"/>
                      <w:szCs w:val="21"/>
                      <w:highlight w:val="none"/>
                    </w:rPr>
                  </w:pPr>
                  <w:r>
                    <w:rPr>
                      <w:rFonts w:hint="default"/>
                      <w:color w:val="auto"/>
                      <w:szCs w:val="21"/>
                      <w:highlight w:val="none"/>
                    </w:rPr>
                    <w:t>环境风险防范措施和应急措施</w:t>
                  </w:r>
                </w:p>
              </w:tc>
              <w:tc>
                <w:tcPr>
                  <w:tcW w:w="602" w:type="pct"/>
                  <w:shd w:val="clear" w:color="auto" w:fill="auto"/>
                  <w:vAlign w:val="center"/>
                </w:tcPr>
                <w:p w14:paraId="50A338B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color w:val="auto"/>
                      <w:szCs w:val="21"/>
                      <w:highlight w:val="none"/>
                    </w:rPr>
                  </w:pPr>
                  <w:r>
                    <w:rPr>
                      <w:rFonts w:hint="default"/>
                      <w:color w:val="auto"/>
                      <w:szCs w:val="21"/>
                      <w:highlight w:val="none"/>
                    </w:rPr>
                    <w:t>风险防范措施</w:t>
                  </w:r>
                </w:p>
              </w:tc>
              <w:tc>
                <w:tcPr>
                  <w:tcW w:w="2739" w:type="pct"/>
                  <w:gridSpan w:val="2"/>
                  <w:shd w:val="clear" w:color="auto" w:fill="auto"/>
                  <w:vAlign w:val="center"/>
                </w:tcPr>
                <w:p w14:paraId="55E98C6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eastAsia="宋体"/>
                      <w:bCs/>
                      <w:color w:val="auto"/>
                      <w:szCs w:val="21"/>
                      <w:highlight w:val="none"/>
                      <w:lang w:eastAsia="zh-CN"/>
                    </w:rPr>
                  </w:pPr>
                  <w:r>
                    <w:rPr>
                      <w:rFonts w:hint="eastAsia"/>
                      <w:bCs/>
                      <w:color w:val="auto"/>
                      <w:szCs w:val="21"/>
                      <w:highlight w:val="none"/>
                    </w:rPr>
                    <w:t>雨水总排口按要求设置截流阀</w:t>
                  </w:r>
                  <w:r>
                    <w:rPr>
                      <w:rFonts w:hint="eastAsia"/>
                      <w:bCs/>
                      <w:color w:val="auto"/>
                      <w:szCs w:val="21"/>
                      <w:highlight w:val="none"/>
                      <w:lang w:eastAsia="zh-CN"/>
                    </w:rPr>
                    <w:t>；</w:t>
                  </w:r>
                  <w:r>
                    <w:rPr>
                      <w:rFonts w:hint="eastAsia"/>
                      <w:bCs/>
                      <w:color w:val="auto"/>
                      <w:szCs w:val="21"/>
                      <w:highlight w:val="none"/>
                      <w:lang w:val="en-US" w:eastAsia="zh-CN"/>
                    </w:rPr>
                    <w:t>化学品库按要求设置围堰及导流沟；危废暂存间内按要求设置导流沟、集液池等截流导排设施。</w:t>
                  </w:r>
                </w:p>
              </w:tc>
              <w:tc>
                <w:tcPr>
                  <w:tcW w:w="474" w:type="pct"/>
                  <w:shd w:val="clear" w:color="auto" w:fill="auto"/>
                  <w:vAlign w:val="center"/>
                </w:tcPr>
                <w:p w14:paraId="147BA52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76" w:lineRule="auto"/>
                    <w:ind w:left="0" w:right="0"/>
                    <w:contextualSpacing/>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w:t>
                  </w:r>
                </w:p>
              </w:tc>
            </w:tr>
          </w:tbl>
          <w:p w14:paraId="2402CAC0">
            <w:pPr>
              <w:keepNext w:val="0"/>
              <w:keepLines w:val="0"/>
              <w:suppressLineNumbers w:val="0"/>
              <w:spacing w:before="0" w:beforeAutospacing="0" w:after="0" w:afterAutospacing="0" w:line="360" w:lineRule="auto"/>
              <w:ind w:left="0" w:right="0" w:firstLine="482" w:firstLineChars="200"/>
              <w:rPr>
                <w:rFonts w:hint="default"/>
                <w:b/>
                <w:color w:val="auto"/>
                <w:sz w:val="24"/>
                <w:highlight w:val="none"/>
              </w:rPr>
            </w:pPr>
            <w:r>
              <w:rPr>
                <w:rFonts w:hint="eastAsia"/>
                <w:b/>
                <w:color w:val="auto"/>
                <w:sz w:val="24"/>
                <w:highlight w:val="none"/>
              </w:rPr>
              <w:t>4</w:t>
            </w:r>
            <w:r>
              <w:rPr>
                <w:rFonts w:hint="eastAsia"/>
                <w:b/>
                <w:color w:val="auto"/>
                <w:sz w:val="24"/>
                <w:highlight w:val="none"/>
                <w:lang w:val="en-US" w:eastAsia="zh-CN"/>
              </w:rPr>
              <w:t>.</w:t>
            </w:r>
            <w:r>
              <w:rPr>
                <w:rFonts w:hint="eastAsia"/>
                <w:b/>
                <w:color w:val="auto"/>
                <w:sz w:val="24"/>
                <w:highlight w:val="none"/>
              </w:rPr>
              <w:t>产品方案</w:t>
            </w:r>
          </w:p>
          <w:p w14:paraId="6813D7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color w:val="auto"/>
                <w:sz w:val="24"/>
                <w:szCs w:val="24"/>
                <w:highlight w:val="none"/>
              </w:rPr>
            </w:pPr>
            <w:r>
              <w:rPr>
                <w:rFonts w:hint="eastAsia"/>
                <w:color w:val="auto"/>
                <w:sz w:val="24"/>
                <w:szCs w:val="24"/>
                <w:highlight w:val="none"/>
                <w:lang w:val="en-US" w:eastAsia="zh-CN"/>
              </w:rPr>
              <w:t>拟建项目</w:t>
            </w:r>
            <w:r>
              <w:rPr>
                <w:rFonts w:hint="eastAsia"/>
                <w:color w:val="auto"/>
                <w:sz w:val="24"/>
                <w:szCs w:val="24"/>
                <w:highlight w:val="none"/>
              </w:rPr>
              <w:t>产品方案如下表所示。</w:t>
            </w:r>
          </w:p>
          <w:p w14:paraId="4AAF6D6B">
            <w:pPr>
              <w:keepNext w:val="0"/>
              <w:keepLines w:val="0"/>
              <w:suppressLineNumbers w:val="0"/>
              <w:spacing w:before="0" w:beforeAutospacing="0" w:after="0" w:afterAutospacing="0" w:line="360" w:lineRule="auto"/>
              <w:ind w:left="0" w:right="0"/>
              <w:jc w:val="center"/>
              <w:rPr>
                <w:rFonts w:hint="default" w:ascii="Times New Roman" w:hAnsi="Times New Roman" w:eastAsia="黑体" w:cs="Times New Roman"/>
                <w:bCs/>
                <w:color w:val="auto"/>
                <w:sz w:val="24"/>
                <w:szCs w:val="24"/>
                <w:highlight w:val="none"/>
              </w:rPr>
            </w:pPr>
            <w:r>
              <w:rPr>
                <w:rFonts w:hint="default" w:ascii="Times New Roman" w:hAnsi="Times New Roman" w:eastAsia="黑体" w:cs="Times New Roman"/>
                <w:bCs/>
                <w:color w:val="auto"/>
                <w:sz w:val="24"/>
                <w:szCs w:val="24"/>
                <w:highlight w:val="none"/>
              </w:rPr>
              <w:t>表</w:t>
            </w:r>
            <w:r>
              <w:rPr>
                <w:rFonts w:hint="eastAsia" w:ascii="Times New Roman" w:hAnsi="Times New Roman" w:eastAsia="黑体" w:cs="Times New Roman"/>
                <w:bCs/>
                <w:color w:val="auto"/>
                <w:sz w:val="24"/>
                <w:szCs w:val="24"/>
                <w:highlight w:val="none"/>
              </w:rPr>
              <w:t>2-4  项目产品方案</w:t>
            </w:r>
            <w:r>
              <w:rPr>
                <w:rFonts w:hint="default" w:ascii="Times New Roman" w:hAnsi="Times New Roman" w:eastAsia="黑体" w:cs="Times New Roman"/>
                <w:bCs/>
                <w:color w:val="auto"/>
                <w:sz w:val="24"/>
                <w:szCs w:val="24"/>
                <w:highlight w:val="none"/>
              </w:rPr>
              <w:t>一览表</w:t>
            </w:r>
          </w:p>
          <w:tbl>
            <w:tblPr>
              <w:tblStyle w:val="37"/>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4"/>
              <w:gridCol w:w="1169"/>
              <w:gridCol w:w="1059"/>
              <w:gridCol w:w="1097"/>
              <w:gridCol w:w="840"/>
              <w:gridCol w:w="881"/>
              <w:gridCol w:w="652"/>
              <w:gridCol w:w="652"/>
              <w:gridCol w:w="656"/>
              <w:gridCol w:w="657"/>
            </w:tblGrid>
            <w:tr w14:paraId="393EE4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111" w:hRule="atLeast"/>
                <w:jc w:val="center"/>
              </w:trPr>
              <w:tc>
                <w:tcPr>
                  <w:tcW w:w="262" w:type="pct"/>
                  <w:tcBorders>
                    <w:tl2br w:val="nil"/>
                    <w:tr2bl w:val="nil"/>
                  </w:tcBorders>
                  <w:vAlign w:val="center"/>
                </w:tcPr>
                <w:p w14:paraId="7E5390E4">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bCs/>
                      <w:color w:val="auto"/>
                      <w:kern w:val="21"/>
                      <w:szCs w:val="21"/>
                      <w:highlight w:val="none"/>
                    </w:rPr>
                  </w:pPr>
                  <w:r>
                    <w:rPr>
                      <w:rFonts w:hint="default" w:ascii="Times New Roman" w:hAnsi="宋体" w:cs="Times New Roman"/>
                      <w:b/>
                      <w:color w:val="auto"/>
                      <w:szCs w:val="21"/>
                      <w:highlight w:val="none"/>
                    </w:rPr>
                    <w:t>序号</w:t>
                  </w:r>
                </w:p>
              </w:tc>
              <w:tc>
                <w:tcPr>
                  <w:tcW w:w="722" w:type="pct"/>
                  <w:tcBorders>
                    <w:tl2br w:val="nil"/>
                    <w:tr2bl w:val="nil"/>
                  </w:tcBorders>
                  <w:vAlign w:val="center"/>
                </w:tcPr>
                <w:p w14:paraId="3D813834">
                  <w:pPr>
                    <w:keepNext w:val="0"/>
                    <w:keepLines w:val="0"/>
                    <w:suppressLineNumbers w:val="0"/>
                    <w:spacing w:before="0" w:beforeAutospacing="0" w:after="0" w:afterAutospacing="0" w:line="276" w:lineRule="auto"/>
                    <w:ind w:left="0" w:right="0"/>
                    <w:jc w:val="center"/>
                    <w:rPr>
                      <w:rFonts w:hint="default" w:ascii="Times New Roman" w:hAnsi="宋体" w:eastAsia="宋体" w:cs="Times New Roman"/>
                      <w:b/>
                      <w:color w:val="auto"/>
                      <w:szCs w:val="21"/>
                      <w:highlight w:val="none"/>
                      <w:lang w:val="en-US" w:eastAsia="zh-CN"/>
                    </w:rPr>
                  </w:pPr>
                  <w:r>
                    <w:rPr>
                      <w:rFonts w:hint="eastAsia" w:hAnsi="宋体" w:cs="Times New Roman"/>
                      <w:b/>
                      <w:color w:val="auto"/>
                      <w:szCs w:val="21"/>
                      <w:highlight w:val="none"/>
                      <w:lang w:val="en-US" w:eastAsia="zh-CN"/>
                    </w:rPr>
                    <w:t>产品名称</w:t>
                  </w:r>
                </w:p>
              </w:tc>
              <w:tc>
                <w:tcPr>
                  <w:tcW w:w="654" w:type="pct"/>
                  <w:tcBorders>
                    <w:tl2br w:val="nil"/>
                    <w:tr2bl w:val="nil"/>
                  </w:tcBorders>
                  <w:vAlign w:val="center"/>
                </w:tcPr>
                <w:p w14:paraId="28347059">
                  <w:pPr>
                    <w:keepNext w:val="0"/>
                    <w:keepLines w:val="0"/>
                    <w:suppressLineNumbers w:val="0"/>
                    <w:spacing w:before="0" w:beforeAutospacing="0" w:after="0" w:afterAutospacing="0" w:line="276" w:lineRule="auto"/>
                    <w:ind w:left="0" w:right="0"/>
                    <w:jc w:val="center"/>
                    <w:rPr>
                      <w:rFonts w:hint="default" w:ascii="Times New Roman" w:hAnsi="宋体" w:cs="Times New Roman"/>
                      <w:b/>
                      <w:bCs/>
                      <w:color w:val="auto"/>
                      <w:szCs w:val="21"/>
                      <w:highlight w:val="none"/>
                      <w:lang w:val="en-US" w:eastAsia="zh-CN"/>
                    </w:rPr>
                  </w:pPr>
                  <w:r>
                    <w:rPr>
                      <w:rFonts w:hint="eastAsia" w:hAnsi="宋体" w:cs="Times New Roman"/>
                      <w:b/>
                      <w:bCs/>
                      <w:color w:val="auto"/>
                      <w:szCs w:val="21"/>
                      <w:highlight w:val="none"/>
                      <w:lang w:val="en-US" w:eastAsia="zh-CN"/>
                    </w:rPr>
                    <w:t>材质</w:t>
                  </w:r>
                </w:p>
              </w:tc>
              <w:tc>
                <w:tcPr>
                  <w:tcW w:w="678" w:type="pct"/>
                  <w:tcBorders>
                    <w:tl2br w:val="nil"/>
                    <w:tr2bl w:val="nil"/>
                  </w:tcBorders>
                  <w:vAlign w:val="center"/>
                </w:tcPr>
                <w:p w14:paraId="45BC5AD5">
                  <w:pPr>
                    <w:keepNext w:val="0"/>
                    <w:keepLines w:val="0"/>
                    <w:suppressLineNumbers w:val="0"/>
                    <w:spacing w:before="0" w:beforeAutospacing="0" w:after="0" w:afterAutospacing="0" w:line="276" w:lineRule="auto"/>
                    <w:ind w:left="0" w:right="0"/>
                    <w:jc w:val="center"/>
                    <w:rPr>
                      <w:rFonts w:hint="eastAsia" w:ascii="Times New Roman" w:hAnsi="宋体" w:cs="Times New Roman"/>
                      <w:b/>
                      <w:bCs/>
                      <w:color w:val="auto"/>
                      <w:szCs w:val="21"/>
                      <w:highlight w:val="none"/>
                      <w:lang w:val="en-US" w:eastAsia="zh-CN"/>
                    </w:rPr>
                  </w:pPr>
                  <w:r>
                    <w:rPr>
                      <w:rFonts w:hint="eastAsia" w:ascii="Times New Roman" w:hAnsi="宋体" w:cs="Times New Roman"/>
                      <w:b/>
                      <w:bCs/>
                      <w:color w:val="auto"/>
                      <w:szCs w:val="21"/>
                      <w:highlight w:val="none"/>
                      <w:lang w:val="en-US" w:eastAsia="zh-CN"/>
                    </w:rPr>
                    <w:t>规格</w:t>
                  </w:r>
                </w:p>
                <w:p w14:paraId="035F1587">
                  <w:pPr>
                    <w:keepNext w:val="0"/>
                    <w:keepLines w:val="0"/>
                    <w:suppressLineNumbers w:val="0"/>
                    <w:spacing w:before="0" w:beforeAutospacing="0" w:after="0" w:afterAutospacing="0" w:line="276" w:lineRule="auto"/>
                    <w:ind w:left="0" w:right="0"/>
                    <w:jc w:val="center"/>
                    <w:rPr>
                      <w:rFonts w:hint="eastAsia" w:ascii="Times New Roman" w:hAnsi="Times New Roman" w:eastAsia="宋体" w:cs="Times New Roman"/>
                      <w:b/>
                      <w:bCs/>
                      <w:color w:val="auto"/>
                      <w:kern w:val="21"/>
                      <w:szCs w:val="21"/>
                      <w:highlight w:val="none"/>
                      <w:lang w:eastAsia="zh-CN"/>
                    </w:rPr>
                  </w:pPr>
                  <w:r>
                    <w:rPr>
                      <w:rFonts w:hint="eastAsia" w:hAnsi="宋体" w:cs="Times New Roman"/>
                      <w:b/>
                      <w:bCs/>
                      <w:color w:val="auto"/>
                      <w:szCs w:val="21"/>
                      <w:highlight w:val="none"/>
                      <w:lang w:val="en-US" w:eastAsia="zh-CN"/>
                    </w:rPr>
                    <w:t>尺寸</w:t>
                  </w:r>
                </w:p>
              </w:tc>
              <w:tc>
                <w:tcPr>
                  <w:tcW w:w="519" w:type="pct"/>
                  <w:tcBorders>
                    <w:tl2br w:val="nil"/>
                    <w:tr2bl w:val="nil"/>
                  </w:tcBorders>
                  <w:vAlign w:val="center"/>
                </w:tcPr>
                <w:p w14:paraId="13CD2623">
                  <w:pPr>
                    <w:keepNext w:val="0"/>
                    <w:keepLines w:val="0"/>
                    <w:suppressLineNumbers w:val="0"/>
                    <w:spacing w:before="0" w:beforeAutospacing="0" w:after="0" w:afterAutospacing="0" w:line="276" w:lineRule="auto"/>
                    <w:ind w:left="0" w:right="0"/>
                    <w:jc w:val="center"/>
                    <w:rPr>
                      <w:rFonts w:hint="default" w:ascii="Times New Roman" w:hAnsi="宋体" w:cs="Times New Roman"/>
                      <w:b/>
                      <w:color w:val="auto"/>
                      <w:szCs w:val="21"/>
                      <w:highlight w:val="none"/>
                    </w:rPr>
                  </w:pPr>
                  <w:r>
                    <w:rPr>
                      <w:rFonts w:hint="default" w:ascii="Times New Roman" w:hAnsi="宋体" w:cs="Times New Roman"/>
                      <w:b/>
                      <w:color w:val="auto"/>
                      <w:szCs w:val="21"/>
                      <w:highlight w:val="none"/>
                    </w:rPr>
                    <w:t>年产量</w:t>
                  </w:r>
                </w:p>
                <w:p w14:paraId="0B09064A">
                  <w:pPr>
                    <w:keepNext w:val="0"/>
                    <w:keepLines w:val="0"/>
                    <w:suppressLineNumbers w:val="0"/>
                    <w:spacing w:before="0" w:beforeAutospacing="0" w:after="0" w:afterAutospacing="0" w:line="276" w:lineRule="auto"/>
                    <w:ind w:left="0" w:right="0"/>
                    <w:jc w:val="center"/>
                    <w:rPr>
                      <w:rFonts w:hint="default" w:ascii="Times New Roman" w:hAnsi="宋体" w:cs="Times New Roman" w:eastAsiaTheme="minorEastAsia"/>
                      <w:b/>
                      <w:bCs/>
                      <w:color w:val="auto"/>
                      <w:szCs w:val="21"/>
                      <w:highlight w:val="none"/>
                      <w:lang w:val="en-US" w:eastAsia="zh-CN"/>
                    </w:rPr>
                  </w:pPr>
                  <w:r>
                    <w:rPr>
                      <w:rFonts w:hint="eastAsia" w:hAnsi="宋体" w:cs="Times New Roman"/>
                      <w:b/>
                      <w:color w:val="auto"/>
                      <w:szCs w:val="21"/>
                      <w:highlight w:val="none"/>
                      <w:lang w:eastAsia="zh-CN"/>
                    </w:rPr>
                    <w:t>（</w:t>
                  </w:r>
                  <w:r>
                    <w:rPr>
                      <w:rFonts w:hint="eastAsia" w:hAnsi="宋体" w:cs="Times New Roman"/>
                      <w:b/>
                      <w:color w:val="auto"/>
                      <w:szCs w:val="21"/>
                      <w:highlight w:val="none"/>
                      <w:lang w:val="en-US" w:eastAsia="zh-CN"/>
                    </w:rPr>
                    <w:t>万件</w:t>
                  </w:r>
                  <w:r>
                    <w:rPr>
                      <w:rFonts w:hint="eastAsia" w:hAnsi="宋体" w:cs="Times New Roman"/>
                      <w:b/>
                      <w:color w:val="auto"/>
                      <w:szCs w:val="21"/>
                      <w:highlight w:val="none"/>
                      <w:lang w:eastAsia="zh-CN"/>
                    </w:rPr>
                    <w:t>）</w:t>
                  </w:r>
                </w:p>
              </w:tc>
              <w:tc>
                <w:tcPr>
                  <w:tcW w:w="544" w:type="pct"/>
                  <w:tcBorders>
                    <w:tl2br w:val="nil"/>
                    <w:tr2bl w:val="nil"/>
                  </w:tcBorders>
                  <w:vAlign w:val="center"/>
                </w:tcPr>
                <w:p w14:paraId="7DA69AB1">
                  <w:pPr>
                    <w:keepNext w:val="0"/>
                    <w:keepLines w:val="0"/>
                    <w:suppressLineNumbers w:val="0"/>
                    <w:spacing w:before="0" w:beforeAutospacing="0" w:after="0" w:afterAutospacing="0" w:line="276" w:lineRule="auto"/>
                    <w:ind w:left="0" w:right="0"/>
                    <w:jc w:val="center"/>
                    <w:rPr>
                      <w:rFonts w:hint="default" w:hAnsi="宋体" w:cs="Times New Roman" w:eastAsiaTheme="minorEastAsia"/>
                      <w:b/>
                      <w:bCs/>
                      <w:color w:val="auto"/>
                      <w:szCs w:val="21"/>
                      <w:highlight w:val="none"/>
                      <w:lang w:val="en-US" w:eastAsia="zh-CN"/>
                    </w:rPr>
                  </w:pPr>
                  <w:r>
                    <w:rPr>
                      <w:rFonts w:hint="eastAsia" w:hAnsi="宋体" w:cs="Times New Roman" w:eastAsiaTheme="minorEastAsia"/>
                      <w:b/>
                      <w:bCs/>
                      <w:color w:val="auto"/>
                      <w:szCs w:val="21"/>
                      <w:highlight w:val="none"/>
                      <w:lang w:val="en-US" w:eastAsia="zh-CN"/>
                    </w:rPr>
                    <w:t>年产能*</w:t>
                  </w:r>
                </w:p>
                <w:p w14:paraId="15FE6753">
                  <w:pPr>
                    <w:keepNext w:val="0"/>
                    <w:keepLines w:val="0"/>
                    <w:suppressLineNumbers w:val="0"/>
                    <w:spacing w:before="0" w:beforeAutospacing="0" w:after="0" w:afterAutospacing="0" w:line="276" w:lineRule="auto"/>
                    <w:ind w:left="0" w:right="0"/>
                    <w:jc w:val="center"/>
                    <w:rPr>
                      <w:rFonts w:hint="default" w:ascii="Times New Roman" w:hAnsi="宋体" w:cs="Times New Roman" w:eastAsiaTheme="minorEastAsia"/>
                      <w:b/>
                      <w:bCs/>
                      <w:color w:val="auto"/>
                      <w:szCs w:val="21"/>
                      <w:highlight w:val="none"/>
                      <w:lang w:val="en-US" w:eastAsia="zh-CN"/>
                    </w:rPr>
                  </w:pPr>
                  <w:r>
                    <w:rPr>
                      <w:rFonts w:hint="eastAsia" w:hAnsi="宋体" w:cs="Times New Roman" w:eastAsiaTheme="minorEastAsia"/>
                      <w:b/>
                      <w:bCs/>
                      <w:color w:val="auto"/>
                      <w:szCs w:val="21"/>
                      <w:highlight w:val="none"/>
                      <w:lang w:val="en-US" w:eastAsia="zh-CN"/>
                    </w:rPr>
                    <w:t>（吨）</w:t>
                  </w:r>
                </w:p>
              </w:tc>
              <w:tc>
                <w:tcPr>
                  <w:tcW w:w="403" w:type="pct"/>
                  <w:tcBorders>
                    <w:tl2br w:val="nil"/>
                    <w:tr2bl w:val="nil"/>
                  </w:tcBorders>
                  <w:vAlign w:val="center"/>
                </w:tcPr>
                <w:p w14:paraId="7D67D01B">
                  <w:pPr>
                    <w:keepNext w:val="0"/>
                    <w:keepLines w:val="0"/>
                    <w:suppressLineNumbers w:val="0"/>
                    <w:spacing w:before="0" w:beforeAutospacing="0" w:after="0" w:afterAutospacing="0" w:line="276" w:lineRule="auto"/>
                    <w:ind w:left="0" w:right="0"/>
                    <w:jc w:val="center"/>
                    <w:rPr>
                      <w:rFonts w:hint="eastAsia" w:ascii="Times New Roman" w:hAnsi="Times New Roman" w:eastAsia="宋体" w:cs="Times New Roman"/>
                      <w:b/>
                      <w:bCs/>
                      <w:color w:val="auto"/>
                      <w:kern w:val="21"/>
                      <w:szCs w:val="21"/>
                      <w:highlight w:val="none"/>
                      <w:lang w:val="en-US" w:eastAsia="zh-CN"/>
                    </w:rPr>
                  </w:pPr>
                  <w:r>
                    <w:rPr>
                      <w:rFonts w:hint="eastAsia" w:cs="Times New Roman"/>
                      <w:b/>
                      <w:bCs/>
                      <w:color w:val="auto"/>
                      <w:kern w:val="21"/>
                      <w:szCs w:val="21"/>
                      <w:highlight w:val="none"/>
                      <w:lang w:val="en-US" w:eastAsia="zh-CN"/>
                    </w:rPr>
                    <w:t>包装方式</w:t>
                  </w:r>
                </w:p>
              </w:tc>
              <w:tc>
                <w:tcPr>
                  <w:tcW w:w="403" w:type="pct"/>
                  <w:tcBorders>
                    <w:tl2br w:val="nil"/>
                    <w:tr2bl w:val="nil"/>
                  </w:tcBorders>
                  <w:vAlign w:val="center"/>
                </w:tcPr>
                <w:p w14:paraId="1491CC51">
                  <w:pPr>
                    <w:keepNext w:val="0"/>
                    <w:keepLines w:val="0"/>
                    <w:suppressLineNumbers w:val="0"/>
                    <w:spacing w:before="0" w:beforeAutospacing="0" w:after="0" w:afterAutospacing="0" w:line="276" w:lineRule="auto"/>
                    <w:ind w:left="0" w:right="0"/>
                    <w:jc w:val="center"/>
                    <w:rPr>
                      <w:rFonts w:hint="default" w:cs="Times New Roman"/>
                      <w:b/>
                      <w:bCs/>
                      <w:color w:val="auto"/>
                      <w:kern w:val="21"/>
                      <w:szCs w:val="21"/>
                      <w:highlight w:val="none"/>
                      <w:lang w:val="en-US" w:eastAsia="zh-CN"/>
                    </w:rPr>
                  </w:pPr>
                  <w:r>
                    <w:rPr>
                      <w:rFonts w:hint="eastAsia" w:cs="Times New Roman"/>
                      <w:b/>
                      <w:bCs/>
                      <w:color w:val="auto"/>
                      <w:kern w:val="21"/>
                      <w:szCs w:val="21"/>
                      <w:highlight w:val="none"/>
                      <w:lang w:val="en-US" w:eastAsia="zh-CN"/>
                    </w:rPr>
                    <w:t>储存位置</w:t>
                  </w:r>
                </w:p>
              </w:tc>
              <w:tc>
                <w:tcPr>
                  <w:tcW w:w="405" w:type="pct"/>
                  <w:tcBorders>
                    <w:tl2br w:val="nil"/>
                    <w:tr2bl w:val="nil"/>
                  </w:tcBorders>
                  <w:vAlign w:val="center"/>
                </w:tcPr>
                <w:p w14:paraId="3E52EC07">
                  <w:pPr>
                    <w:keepNext w:val="0"/>
                    <w:keepLines w:val="0"/>
                    <w:suppressLineNumbers w:val="0"/>
                    <w:spacing w:before="0" w:beforeAutospacing="0" w:after="0" w:afterAutospacing="0" w:line="276" w:lineRule="auto"/>
                    <w:ind w:left="0" w:right="0"/>
                    <w:jc w:val="center"/>
                    <w:rPr>
                      <w:rFonts w:hint="default" w:cs="Times New Roman"/>
                      <w:b/>
                      <w:bCs/>
                      <w:color w:val="auto"/>
                      <w:kern w:val="21"/>
                      <w:szCs w:val="21"/>
                      <w:highlight w:val="none"/>
                      <w:lang w:val="en-US" w:eastAsia="zh-CN"/>
                    </w:rPr>
                  </w:pPr>
                  <w:r>
                    <w:rPr>
                      <w:rFonts w:hint="eastAsia" w:cs="Times New Roman"/>
                      <w:b/>
                      <w:bCs/>
                      <w:color w:val="auto"/>
                      <w:kern w:val="21"/>
                      <w:szCs w:val="21"/>
                      <w:highlight w:val="none"/>
                      <w:lang w:val="en-US" w:eastAsia="zh-CN"/>
                    </w:rPr>
                    <w:t>储存周期</w:t>
                  </w:r>
                </w:p>
              </w:tc>
              <w:tc>
                <w:tcPr>
                  <w:tcW w:w="406" w:type="pct"/>
                  <w:tcBorders>
                    <w:tl2br w:val="nil"/>
                    <w:tr2bl w:val="nil"/>
                  </w:tcBorders>
                  <w:vAlign w:val="center"/>
                </w:tcPr>
                <w:p w14:paraId="15A2FDDD">
                  <w:pPr>
                    <w:keepNext w:val="0"/>
                    <w:keepLines w:val="0"/>
                    <w:suppressLineNumbers w:val="0"/>
                    <w:spacing w:before="0" w:beforeAutospacing="0" w:after="0" w:afterAutospacing="0" w:line="276" w:lineRule="auto"/>
                    <w:ind w:left="0" w:right="0"/>
                    <w:jc w:val="center"/>
                    <w:rPr>
                      <w:rFonts w:hint="default" w:cs="Times New Roman"/>
                      <w:b/>
                      <w:bCs/>
                      <w:color w:val="auto"/>
                      <w:kern w:val="21"/>
                      <w:szCs w:val="21"/>
                      <w:highlight w:val="none"/>
                      <w:lang w:val="en-US" w:eastAsia="zh-CN"/>
                    </w:rPr>
                  </w:pPr>
                  <w:r>
                    <w:rPr>
                      <w:rFonts w:hint="eastAsia" w:cs="Times New Roman"/>
                      <w:b/>
                      <w:bCs/>
                      <w:color w:val="auto"/>
                      <w:kern w:val="21"/>
                      <w:szCs w:val="21"/>
                      <w:highlight w:val="none"/>
                      <w:lang w:val="en-US" w:eastAsia="zh-CN"/>
                    </w:rPr>
                    <w:t>备注</w:t>
                  </w:r>
                </w:p>
              </w:tc>
            </w:tr>
            <w:tr w14:paraId="7C4710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262" w:type="pct"/>
                  <w:tcBorders>
                    <w:tl2br w:val="nil"/>
                    <w:tr2bl w:val="nil"/>
                  </w:tcBorders>
                  <w:vAlign w:val="center"/>
                </w:tcPr>
                <w:p w14:paraId="473075D9">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w:t>
                  </w:r>
                </w:p>
              </w:tc>
              <w:tc>
                <w:tcPr>
                  <w:tcW w:w="722" w:type="pct"/>
                  <w:tcBorders>
                    <w:tl2br w:val="nil"/>
                    <w:tr2bl w:val="nil"/>
                  </w:tcBorders>
                  <w:vAlign w:val="center"/>
                </w:tcPr>
                <w:p w14:paraId="0FABC399">
                  <w:pPr>
                    <w:keepNext w:val="0"/>
                    <w:keepLines w:val="0"/>
                    <w:suppressLineNumbers w:val="0"/>
                    <w:spacing w:before="0" w:beforeAutospacing="0" w:after="0" w:afterAutospacing="0" w:line="276" w:lineRule="auto"/>
                    <w:ind w:left="0" w:right="0"/>
                    <w:jc w:val="center"/>
                    <w:rPr>
                      <w:rFonts w:hint="default" w:ascii="Times New Roman" w:hAnsi="宋体" w:eastAsia="宋体" w:cs="Times New Roman"/>
                      <w:color w:val="auto"/>
                      <w:szCs w:val="21"/>
                      <w:highlight w:val="none"/>
                      <w:lang w:val="en-US" w:eastAsia="zh-CN"/>
                    </w:rPr>
                  </w:pPr>
                  <w:r>
                    <w:rPr>
                      <w:rFonts w:hint="eastAsia" w:hAnsi="宋体" w:cs="Times New Roman"/>
                      <w:color w:val="auto"/>
                      <w:szCs w:val="21"/>
                      <w:highlight w:val="none"/>
                      <w:lang w:val="en-US" w:eastAsia="zh-CN"/>
                    </w:rPr>
                    <w:t>PS衣架</w:t>
                  </w:r>
                </w:p>
              </w:tc>
              <w:tc>
                <w:tcPr>
                  <w:tcW w:w="654" w:type="pct"/>
                  <w:tcBorders>
                    <w:tl2br w:val="nil"/>
                    <w:tr2bl w:val="nil"/>
                  </w:tcBorders>
                  <w:vAlign w:val="center"/>
                </w:tcPr>
                <w:p w14:paraId="13D5A2D0">
                  <w:pPr>
                    <w:pStyle w:val="25"/>
                    <w:keepNext w:val="0"/>
                    <w:keepLines w:val="0"/>
                    <w:suppressLineNumbers w:val="0"/>
                    <w:spacing w:before="0" w:beforeAutospacing="0" w:after="0" w:afterAutospacing="0" w:line="276" w:lineRule="auto"/>
                    <w:ind w:left="0" w:right="0"/>
                    <w:jc w:val="center"/>
                    <w:rPr>
                      <w:rFonts w:hint="default" w:cs="Times New Roman"/>
                      <w:color w:val="auto"/>
                      <w:spacing w:val="-1"/>
                      <w:sz w:val="21"/>
                      <w:szCs w:val="21"/>
                      <w:highlight w:val="none"/>
                      <w:lang w:val="en-US" w:eastAsia="zh-CN"/>
                    </w:rPr>
                  </w:pPr>
                  <w:r>
                    <w:rPr>
                      <w:rFonts w:hint="eastAsia" w:cs="Times New Roman"/>
                      <w:color w:val="auto"/>
                      <w:spacing w:val="-1"/>
                      <w:sz w:val="21"/>
                      <w:szCs w:val="21"/>
                      <w:highlight w:val="none"/>
                      <w:lang w:val="en-US" w:eastAsia="zh-CN"/>
                    </w:rPr>
                    <w:t>PS</w:t>
                  </w:r>
                </w:p>
              </w:tc>
              <w:tc>
                <w:tcPr>
                  <w:tcW w:w="678" w:type="pct"/>
                  <w:tcBorders>
                    <w:tl2br w:val="nil"/>
                    <w:tr2bl w:val="nil"/>
                  </w:tcBorders>
                  <w:vAlign w:val="center"/>
                </w:tcPr>
                <w:p w14:paraId="3DD8D6FD">
                  <w:pPr>
                    <w:pStyle w:val="25"/>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pacing w:val="-1"/>
                      <w:sz w:val="21"/>
                      <w:szCs w:val="21"/>
                      <w:highlight w:val="none"/>
                      <w:lang w:val="en-US" w:eastAsia="zh-CN"/>
                    </w:rPr>
                  </w:pPr>
                  <w:r>
                    <w:rPr>
                      <w:rFonts w:hint="eastAsia" w:cs="Times New Roman"/>
                      <w:color w:val="auto"/>
                      <w:spacing w:val="-1"/>
                      <w:sz w:val="21"/>
                      <w:szCs w:val="21"/>
                      <w:highlight w:val="none"/>
                      <w:lang w:val="en-US" w:eastAsia="zh-CN"/>
                    </w:rPr>
                    <w:t>15g~20g</w:t>
                  </w:r>
                </w:p>
              </w:tc>
              <w:tc>
                <w:tcPr>
                  <w:tcW w:w="519" w:type="pct"/>
                  <w:tcBorders>
                    <w:tl2br w:val="nil"/>
                    <w:tr2bl w:val="nil"/>
                  </w:tcBorders>
                  <w:vAlign w:val="center"/>
                </w:tcPr>
                <w:p w14:paraId="0C1EF597">
                  <w:pPr>
                    <w:pStyle w:val="25"/>
                    <w:keepNext w:val="0"/>
                    <w:keepLines w:val="0"/>
                    <w:suppressLineNumbers w:val="0"/>
                    <w:spacing w:before="0" w:beforeAutospacing="0" w:after="0" w:afterAutospacing="0" w:line="276" w:lineRule="auto"/>
                    <w:ind w:left="0" w:right="0"/>
                    <w:jc w:val="center"/>
                    <w:rPr>
                      <w:rFonts w:hint="default" w:ascii="Times New Roman" w:hAnsi="Times New Roman" w:cs="宋体"/>
                      <w:snapToGrid w:val="0"/>
                      <w:color w:val="auto"/>
                      <w:sz w:val="21"/>
                      <w:szCs w:val="21"/>
                      <w:highlight w:val="none"/>
                      <w:lang w:val="en-US" w:eastAsia="zh-CN" w:bidi="ar"/>
                    </w:rPr>
                  </w:pPr>
                  <w:r>
                    <w:rPr>
                      <w:rFonts w:hint="eastAsia" w:cs="宋体"/>
                      <w:snapToGrid w:val="0"/>
                      <w:color w:val="auto"/>
                      <w:sz w:val="21"/>
                      <w:szCs w:val="21"/>
                      <w:highlight w:val="none"/>
                      <w:lang w:val="en-US" w:eastAsia="zh-CN" w:bidi="ar"/>
                    </w:rPr>
                    <w:t>1500</w:t>
                  </w:r>
                </w:p>
              </w:tc>
              <w:tc>
                <w:tcPr>
                  <w:tcW w:w="544" w:type="pct"/>
                  <w:tcBorders>
                    <w:tl2br w:val="nil"/>
                    <w:tr2bl w:val="nil"/>
                  </w:tcBorders>
                  <w:vAlign w:val="center"/>
                </w:tcPr>
                <w:p w14:paraId="5E538E76">
                  <w:pPr>
                    <w:pStyle w:val="25"/>
                    <w:keepNext w:val="0"/>
                    <w:keepLines w:val="0"/>
                    <w:suppressLineNumbers w:val="0"/>
                    <w:spacing w:before="0" w:beforeAutospacing="0" w:after="0" w:afterAutospacing="0" w:line="276" w:lineRule="auto"/>
                    <w:ind w:left="0" w:right="0"/>
                    <w:jc w:val="center"/>
                    <w:rPr>
                      <w:rFonts w:hint="default" w:ascii="Times New Roman" w:hAnsi="Times New Roman" w:cs="宋体"/>
                      <w:snapToGrid w:val="0"/>
                      <w:color w:val="auto"/>
                      <w:sz w:val="21"/>
                      <w:szCs w:val="21"/>
                      <w:highlight w:val="none"/>
                      <w:lang w:val="en-US" w:eastAsia="zh-CN" w:bidi="ar"/>
                    </w:rPr>
                  </w:pPr>
                  <w:r>
                    <w:rPr>
                      <w:rFonts w:hint="eastAsia" w:cs="宋体"/>
                      <w:snapToGrid w:val="0"/>
                      <w:color w:val="auto"/>
                      <w:sz w:val="21"/>
                      <w:szCs w:val="21"/>
                      <w:highlight w:val="none"/>
                      <w:lang w:val="en-US" w:eastAsia="zh-CN" w:bidi="ar"/>
                    </w:rPr>
                    <w:t>270</w:t>
                  </w:r>
                </w:p>
              </w:tc>
              <w:tc>
                <w:tcPr>
                  <w:tcW w:w="403" w:type="pct"/>
                  <w:tcBorders>
                    <w:tl2br w:val="nil"/>
                    <w:tr2bl w:val="nil"/>
                  </w:tcBorders>
                  <w:vAlign w:val="center"/>
                </w:tcPr>
                <w:p w14:paraId="52553BA5">
                  <w:pPr>
                    <w:keepNext w:val="0"/>
                    <w:keepLines w:val="0"/>
                    <w:suppressLineNumbers w:val="0"/>
                    <w:spacing w:before="0" w:beforeAutospacing="0" w:after="0" w:afterAutospacing="0" w:line="276" w:lineRule="auto"/>
                    <w:ind w:left="0" w:right="0"/>
                    <w:jc w:val="center"/>
                    <w:rPr>
                      <w:rFonts w:hint="default" w:ascii="Times New Roman" w:hAnsi="宋体" w:eastAsia="宋体" w:cs="Times New Roman"/>
                      <w:color w:val="auto"/>
                      <w:szCs w:val="21"/>
                      <w:highlight w:val="none"/>
                      <w:lang w:val="en-US" w:eastAsia="zh-CN"/>
                    </w:rPr>
                  </w:pPr>
                  <w:r>
                    <w:rPr>
                      <w:rFonts w:hint="eastAsia" w:hAnsi="宋体" w:cs="Times New Roman"/>
                      <w:color w:val="auto"/>
                      <w:szCs w:val="21"/>
                      <w:highlight w:val="none"/>
                      <w:lang w:val="en-US" w:eastAsia="zh-CN"/>
                    </w:rPr>
                    <w:t>箱装</w:t>
                  </w:r>
                </w:p>
              </w:tc>
              <w:tc>
                <w:tcPr>
                  <w:tcW w:w="403" w:type="pct"/>
                  <w:vMerge w:val="restart"/>
                  <w:tcBorders>
                    <w:tl2br w:val="nil"/>
                    <w:tr2bl w:val="nil"/>
                  </w:tcBorders>
                  <w:vAlign w:val="center"/>
                </w:tcPr>
                <w:p w14:paraId="08ACCD1C">
                  <w:pPr>
                    <w:keepNext w:val="0"/>
                    <w:keepLines w:val="0"/>
                    <w:suppressLineNumbers w:val="0"/>
                    <w:spacing w:before="0" w:beforeAutospacing="0" w:after="0" w:afterAutospacing="0" w:line="276" w:lineRule="auto"/>
                    <w:ind w:left="0" w:right="0"/>
                    <w:jc w:val="center"/>
                    <w:rPr>
                      <w:rFonts w:hint="default" w:ascii="Times New Roman" w:hAnsi="宋体" w:eastAsia="宋体" w:cs="Times New Roman"/>
                      <w:color w:val="auto"/>
                      <w:szCs w:val="21"/>
                      <w:highlight w:val="none"/>
                      <w:lang w:val="en-US" w:eastAsia="zh-CN"/>
                    </w:rPr>
                  </w:pPr>
                  <w:r>
                    <w:rPr>
                      <w:rFonts w:hint="eastAsia" w:hAnsi="宋体" w:cs="Times New Roman"/>
                      <w:color w:val="auto"/>
                      <w:szCs w:val="21"/>
                      <w:highlight w:val="none"/>
                      <w:lang w:val="en-US" w:eastAsia="zh-CN"/>
                    </w:rPr>
                    <w:t>成品存放区</w:t>
                  </w:r>
                </w:p>
              </w:tc>
              <w:tc>
                <w:tcPr>
                  <w:tcW w:w="405" w:type="pct"/>
                  <w:tcBorders>
                    <w:tl2br w:val="nil"/>
                    <w:tr2bl w:val="nil"/>
                  </w:tcBorders>
                  <w:vAlign w:val="center"/>
                </w:tcPr>
                <w:p w14:paraId="5AC3471D">
                  <w:pPr>
                    <w:keepNext w:val="0"/>
                    <w:keepLines w:val="0"/>
                    <w:suppressLineNumbers w:val="0"/>
                    <w:spacing w:before="0" w:beforeAutospacing="0" w:after="0" w:afterAutospacing="0" w:line="276" w:lineRule="auto"/>
                    <w:ind w:left="0" w:right="0"/>
                    <w:jc w:val="center"/>
                    <w:rPr>
                      <w:rFonts w:hint="default" w:ascii="Times New Roman" w:hAnsi="宋体" w:eastAsia="宋体" w:cs="Times New Roman"/>
                      <w:color w:val="auto"/>
                      <w:szCs w:val="21"/>
                      <w:highlight w:val="none"/>
                      <w:lang w:val="en-US" w:eastAsia="zh-CN"/>
                    </w:rPr>
                  </w:pPr>
                  <w:r>
                    <w:rPr>
                      <w:rFonts w:hint="eastAsia" w:hAnsi="宋体" w:cs="Times New Roman"/>
                      <w:color w:val="auto"/>
                      <w:szCs w:val="21"/>
                      <w:highlight w:val="none"/>
                      <w:lang w:val="en-US" w:eastAsia="zh-CN"/>
                    </w:rPr>
                    <w:t>60d</w:t>
                  </w:r>
                </w:p>
              </w:tc>
              <w:tc>
                <w:tcPr>
                  <w:tcW w:w="406" w:type="pct"/>
                  <w:tcBorders>
                    <w:tl2br w:val="nil"/>
                    <w:tr2bl w:val="nil"/>
                  </w:tcBorders>
                  <w:vAlign w:val="center"/>
                </w:tcPr>
                <w:p w14:paraId="43530282">
                  <w:pPr>
                    <w:keepNext w:val="0"/>
                    <w:keepLines w:val="0"/>
                    <w:suppressLineNumbers w:val="0"/>
                    <w:spacing w:before="0" w:beforeAutospacing="0" w:after="0" w:afterAutospacing="0" w:line="276" w:lineRule="auto"/>
                    <w:ind w:left="0" w:right="0"/>
                    <w:jc w:val="center"/>
                    <w:rPr>
                      <w:rFonts w:hint="default" w:hAnsi="宋体" w:cs="Times New Roman"/>
                      <w:color w:val="auto"/>
                      <w:szCs w:val="21"/>
                      <w:highlight w:val="none"/>
                      <w:lang w:val="en-US" w:eastAsia="zh-CN"/>
                    </w:rPr>
                  </w:pPr>
                  <w:r>
                    <w:rPr>
                      <w:rFonts w:hint="eastAsia" w:hAnsi="宋体" w:cs="Times New Roman"/>
                      <w:color w:val="auto"/>
                      <w:szCs w:val="21"/>
                      <w:highlight w:val="none"/>
                      <w:lang w:val="en-US" w:eastAsia="zh-CN"/>
                    </w:rPr>
                    <w:t>外售</w:t>
                  </w:r>
                </w:p>
              </w:tc>
            </w:tr>
            <w:tr w14:paraId="2F7980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262" w:type="pct"/>
                  <w:tcBorders>
                    <w:tl2br w:val="nil"/>
                    <w:tr2bl w:val="nil"/>
                  </w:tcBorders>
                  <w:vAlign w:val="center"/>
                </w:tcPr>
                <w:p w14:paraId="1B2781D0">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w:t>
                  </w:r>
                </w:p>
              </w:tc>
              <w:tc>
                <w:tcPr>
                  <w:tcW w:w="722" w:type="pct"/>
                  <w:tcBorders>
                    <w:tl2br w:val="nil"/>
                    <w:tr2bl w:val="nil"/>
                  </w:tcBorders>
                  <w:vAlign w:val="center"/>
                </w:tcPr>
                <w:p w14:paraId="4163CC97">
                  <w:pPr>
                    <w:keepNext w:val="0"/>
                    <w:keepLines w:val="0"/>
                    <w:suppressLineNumbers w:val="0"/>
                    <w:spacing w:before="0" w:beforeAutospacing="0" w:after="0" w:afterAutospacing="0" w:line="276" w:lineRule="auto"/>
                    <w:ind w:left="0" w:right="0"/>
                    <w:jc w:val="center"/>
                    <w:rPr>
                      <w:rFonts w:hint="default" w:ascii="Times New Roman" w:hAnsi="宋体" w:eastAsia="宋体" w:cs="Times New Roman"/>
                      <w:color w:val="auto"/>
                      <w:szCs w:val="21"/>
                      <w:highlight w:val="none"/>
                      <w:lang w:val="en-US" w:eastAsia="zh-CN"/>
                    </w:rPr>
                  </w:pPr>
                  <w:r>
                    <w:rPr>
                      <w:rFonts w:hint="eastAsia" w:hAnsi="宋体" w:cs="Times New Roman"/>
                      <w:color w:val="auto"/>
                      <w:szCs w:val="21"/>
                      <w:highlight w:val="none"/>
                      <w:lang w:val="en-US" w:eastAsia="zh-CN"/>
                    </w:rPr>
                    <w:t>日常收纳用品</w:t>
                  </w:r>
                </w:p>
              </w:tc>
              <w:tc>
                <w:tcPr>
                  <w:tcW w:w="654" w:type="pct"/>
                  <w:tcBorders>
                    <w:tl2br w:val="nil"/>
                    <w:tr2bl w:val="nil"/>
                  </w:tcBorders>
                  <w:vAlign w:val="center"/>
                </w:tcPr>
                <w:p w14:paraId="44E9C3CD">
                  <w:pPr>
                    <w:pStyle w:val="25"/>
                    <w:keepNext w:val="0"/>
                    <w:keepLines w:val="0"/>
                    <w:suppressLineNumbers w:val="0"/>
                    <w:spacing w:before="0" w:beforeAutospacing="0" w:after="0" w:afterAutospacing="0" w:line="276" w:lineRule="auto"/>
                    <w:ind w:left="0" w:right="0"/>
                    <w:jc w:val="center"/>
                    <w:rPr>
                      <w:rFonts w:hint="default" w:cs="Times New Roman"/>
                      <w:color w:val="auto"/>
                      <w:spacing w:val="-1"/>
                      <w:sz w:val="21"/>
                      <w:szCs w:val="21"/>
                      <w:highlight w:val="none"/>
                      <w:lang w:val="en-US" w:eastAsia="zh-CN"/>
                    </w:rPr>
                  </w:pPr>
                  <w:r>
                    <w:rPr>
                      <w:rFonts w:hint="eastAsia" w:cs="Times New Roman"/>
                      <w:color w:val="auto"/>
                      <w:spacing w:val="-1"/>
                      <w:sz w:val="21"/>
                      <w:szCs w:val="21"/>
                      <w:highlight w:val="none"/>
                      <w:lang w:val="en-US" w:eastAsia="zh-CN"/>
                    </w:rPr>
                    <w:t>PE/PP</w:t>
                  </w:r>
                </w:p>
              </w:tc>
              <w:tc>
                <w:tcPr>
                  <w:tcW w:w="678" w:type="pct"/>
                  <w:tcBorders>
                    <w:tl2br w:val="nil"/>
                    <w:tr2bl w:val="nil"/>
                  </w:tcBorders>
                  <w:vAlign w:val="center"/>
                </w:tcPr>
                <w:p w14:paraId="12AB4F0E">
                  <w:pPr>
                    <w:pStyle w:val="25"/>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1"/>
                      <w:sz w:val="21"/>
                      <w:szCs w:val="21"/>
                      <w:highlight w:val="none"/>
                    </w:rPr>
                  </w:pPr>
                  <w:r>
                    <w:rPr>
                      <w:rFonts w:hint="eastAsia" w:cs="Times New Roman"/>
                      <w:color w:val="auto"/>
                      <w:spacing w:val="-1"/>
                      <w:sz w:val="21"/>
                      <w:szCs w:val="21"/>
                      <w:highlight w:val="none"/>
                      <w:lang w:val="en-US" w:eastAsia="zh-CN"/>
                    </w:rPr>
                    <w:t>30g~50g</w:t>
                  </w:r>
                </w:p>
              </w:tc>
              <w:tc>
                <w:tcPr>
                  <w:tcW w:w="519" w:type="pct"/>
                  <w:tcBorders>
                    <w:tl2br w:val="nil"/>
                    <w:tr2bl w:val="nil"/>
                  </w:tcBorders>
                  <w:vAlign w:val="center"/>
                </w:tcPr>
                <w:p w14:paraId="0B7324F0">
                  <w:pPr>
                    <w:pStyle w:val="25"/>
                    <w:keepNext w:val="0"/>
                    <w:keepLines w:val="0"/>
                    <w:suppressLineNumbers w:val="0"/>
                    <w:spacing w:before="0" w:beforeAutospacing="0" w:after="0" w:afterAutospacing="0" w:line="276" w:lineRule="auto"/>
                    <w:ind w:left="0" w:right="0"/>
                    <w:jc w:val="center"/>
                    <w:rPr>
                      <w:rFonts w:hint="default" w:ascii="Times New Roman" w:hAnsi="Times New Roman" w:cs="宋体"/>
                      <w:snapToGrid w:val="0"/>
                      <w:color w:val="auto"/>
                      <w:sz w:val="21"/>
                      <w:szCs w:val="21"/>
                      <w:highlight w:val="none"/>
                      <w:lang w:val="en-US" w:eastAsia="zh-CN" w:bidi="ar"/>
                    </w:rPr>
                  </w:pPr>
                  <w:r>
                    <w:rPr>
                      <w:rFonts w:hint="eastAsia" w:cs="宋体"/>
                      <w:snapToGrid w:val="0"/>
                      <w:color w:val="auto"/>
                      <w:sz w:val="21"/>
                      <w:szCs w:val="21"/>
                      <w:highlight w:val="none"/>
                      <w:lang w:val="en-US" w:eastAsia="zh-CN" w:bidi="ar"/>
                    </w:rPr>
                    <w:t>500</w:t>
                  </w:r>
                </w:p>
              </w:tc>
              <w:tc>
                <w:tcPr>
                  <w:tcW w:w="544" w:type="pct"/>
                  <w:tcBorders>
                    <w:tl2br w:val="nil"/>
                    <w:tr2bl w:val="nil"/>
                  </w:tcBorders>
                  <w:vAlign w:val="center"/>
                </w:tcPr>
                <w:p w14:paraId="2052FEE3">
                  <w:pPr>
                    <w:pStyle w:val="25"/>
                    <w:keepNext w:val="0"/>
                    <w:keepLines w:val="0"/>
                    <w:suppressLineNumbers w:val="0"/>
                    <w:spacing w:before="0" w:beforeAutospacing="0" w:after="0" w:afterAutospacing="0" w:line="276" w:lineRule="auto"/>
                    <w:ind w:left="0" w:right="0"/>
                    <w:jc w:val="center"/>
                    <w:rPr>
                      <w:rFonts w:hint="default" w:ascii="Times New Roman" w:hAnsi="Times New Roman" w:cs="宋体"/>
                      <w:snapToGrid w:val="0"/>
                      <w:color w:val="auto"/>
                      <w:sz w:val="21"/>
                      <w:szCs w:val="21"/>
                      <w:highlight w:val="none"/>
                      <w:lang w:val="en-US" w:eastAsia="zh-CN" w:bidi="ar"/>
                    </w:rPr>
                  </w:pPr>
                  <w:r>
                    <w:rPr>
                      <w:rFonts w:hint="eastAsia" w:cs="宋体"/>
                      <w:snapToGrid w:val="0"/>
                      <w:color w:val="auto"/>
                      <w:sz w:val="21"/>
                      <w:szCs w:val="21"/>
                      <w:highlight w:val="none"/>
                      <w:lang w:val="en-US" w:eastAsia="zh-CN" w:bidi="ar"/>
                    </w:rPr>
                    <w:t>200</w:t>
                  </w:r>
                </w:p>
              </w:tc>
              <w:tc>
                <w:tcPr>
                  <w:tcW w:w="403" w:type="pct"/>
                  <w:tcBorders>
                    <w:tl2br w:val="nil"/>
                    <w:tr2bl w:val="nil"/>
                  </w:tcBorders>
                  <w:vAlign w:val="center"/>
                </w:tcPr>
                <w:p w14:paraId="0A80B70A">
                  <w:pPr>
                    <w:keepNext w:val="0"/>
                    <w:keepLines w:val="0"/>
                    <w:suppressLineNumbers w:val="0"/>
                    <w:spacing w:before="0" w:beforeAutospacing="0" w:after="0" w:afterAutospacing="0" w:line="276" w:lineRule="auto"/>
                    <w:ind w:left="0" w:right="0"/>
                    <w:jc w:val="center"/>
                    <w:rPr>
                      <w:rFonts w:hint="default" w:ascii="Times New Roman" w:hAnsi="宋体" w:cs="Times New Roman"/>
                      <w:color w:val="auto"/>
                      <w:szCs w:val="21"/>
                      <w:highlight w:val="none"/>
                    </w:rPr>
                  </w:pPr>
                  <w:r>
                    <w:rPr>
                      <w:rFonts w:hint="eastAsia" w:hAnsi="宋体" w:cs="Times New Roman"/>
                      <w:color w:val="auto"/>
                      <w:szCs w:val="21"/>
                      <w:highlight w:val="none"/>
                      <w:lang w:val="en-US" w:eastAsia="zh-CN"/>
                    </w:rPr>
                    <w:t>箱装</w:t>
                  </w:r>
                </w:p>
              </w:tc>
              <w:tc>
                <w:tcPr>
                  <w:tcW w:w="403" w:type="pct"/>
                  <w:vMerge w:val="continue"/>
                  <w:tcBorders>
                    <w:tl2br w:val="nil"/>
                    <w:tr2bl w:val="nil"/>
                  </w:tcBorders>
                  <w:vAlign w:val="center"/>
                </w:tcPr>
                <w:p w14:paraId="01847513">
                  <w:pPr>
                    <w:keepNext w:val="0"/>
                    <w:keepLines w:val="0"/>
                    <w:suppressLineNumbers w:val="0"/>
                    <w:spacing w:before="0" w:beforeAutospacing="0" w:after="0" w:afterAutospacing="0" w:line="276" w:lineRule="auto"/>
                    <w:ind w:left="0" w:right="0"/>
                    <w:jc w:val="center"/>
                    <w:rPr>
                      <w:rFonts w:hint="default" w:ascii="Times New Roman" w:hAnsi="宋体" w:cs="Times New Roman"/>
                      <w:color w:val="auto"/>
                      <w:szCs w:val="21"/>
                      <w:highlight w:val="none"/>
                    </w:rPr>
                  </w:pPr>
                </w:p>
              </w:tc>
              <w:tc>
                <w:tcPr>
                  <w:tcW w:w="405" w:type="pct"/>
                  <w:tcBorders>
                    <w:tl2br w:val="nil"/>
                    <w:tr2bl w:val="nil"/>
                  </w:tcBorders>
                  <w:vAlign w:val="center"/>
                </w:tcPr>
                <w:p w14:paraId="79A6432C">
                  <w:pPr>
                    <w:keepNext w:val="0"/>
                    <w:keepLines w:val="0"/>
                    <w:suppressLineNumbers w:val="0"/>
                    <w:spacing w:before="0" w:beforeAutospacing="0" w:after="0" w:afterAutospacing="0" w:line="276" w:lineRule="auto"/>
                    <w:ind w:left="0" w:right="0"/>
                    <w:jc w:val="center"/>
                    <w:rPr>
                      <w:rFonts w:hint="default" w:ascii="Times New Roman" w:hAnsi="宋体" w:cs="Times New Roman"/>
                      <w:color w:val="auto"/>
                      <w:szCs w:val="21"/>
                      <w:highlight w:val="none"/>
                    </w:rPr>
                  </w:pPr>
                  <w:r>
                    <w:rPr>
                      <w:rFonts w:hint="eastAsia" w:hAnsi="宋体" w:cs="Times New Roman"/>
                      <w:color w:val="auto"/>
                      <w:szCs w:val="21"/>
                      <w:highlight w:val="none"/>
                      <w:lang w:val="en-US" w:eastAsia="zh-CN"/>
                    </w:rPr>
                    <w:t>60d</w:t>
                  </w:r>
                </w:p>
              </w:tc>
              <w:tc>
                <w:tcPr>
                  <w:tcW w:w="406" w:type="pct"/>
                  <w:tcBorders>
                    <w:tl2br w:val="nil"/>
                    <w:tr2bl w:val="nil"/>
                  </w:tcBorders>
                  <w:vAlign w:val="center"/>
                </w:tcPr>
                <w:p w14:paraId="6C94F5A0">
                  <w:pPr>
                    <w:keepNext w:val="0"/>
                    <w:keepLines w:val="0"/>
                    <w:suppressLineNumbers w:val="0"/>
                    <w:spacing w:before="0" w:beforeAutospacing="0" w:after="0" w:afterAutospacing="0" w:line="276" w:lineRule="auto"/>
                    <w:ind w:left="0" w:right="0"/>
                    <w:jc w:val="center"/>
                    <w:rPr>
                      <w:rFonts w:hint="default" w:hAnsi="宋体" w:cs="Times New Roman"/>
                      <w:color w:val="auto"/>
                      <w:szCs w:val="21"/>
                      <w:highlight w:val="none"/>
                      <w:lang w:val="en-US" w:eastAsia="zh-CN"/>
                    </w:rPr>
                  </w:pPr>
                  <w:r>
                    <w:rPr>
                      <w:rFonts w:hint="eastAsia" w:hAnsi="宋体" w:cs="Times New Roman"/>
                      <w:color w:val="auto"/>
                      <w:szCs w:val="21"/>
                      <w:highlight w:val="none"/>
                      <w:lang w:val="en-US" w:eastAsia="zh-CN"/>
                    </w:rPr>
                    <w:t>外售</w:t>
                  </w:r>
                </w:p>
              </w:tc>
            </w:tr>
            <w:tr w14:paraId="7DE8C0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262" w:type="pct"/>
                  <w:tcBorders>
                    <w:tl2br w:val="nil"/>
                    <w:tr2bl w:val="nil"/>
                  </w:tcBorders>
                  <w:vAlign w:val="center"/>
                </w:tcPr>
                <w:p w14:paraId="4C71BEA0">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w:t>
                  </w:r>
                </w:p>
              </w:tc>
              <w:tc>
                <w:tcPr>
                  <w:tcW w:w="722" w:type="pct"/>
                  <w:tcBorders>
                    <w:tl2br w:val="nil"/>
                    <w:tr2bl w:val="nil"/>
                  </w:tcBorders>
                  <w:vAlign w:val="center"/>
                </w:tcPr>
                <w:p w14:paraId="3F7B1F5A">
                  <w:pPr>
                    <w:keepNext w:val="0"/>
                    <w:keepLines w:val="0"/>
                    <w:suppressLineNumbers w:val="0"/>
                    <w:spacing w:before="0" w:beforeAutospacing="0" w:after="0" w:afterAutospacing="0" w:line="276" w:lineRule="auto"/>
                    <w:ind w:left="0" w:right="0"/>
                    <w:jc w:val="center"/>
                    <w:rPr>
                      <w:rFonts w:hint="default" w:ascii="Times New Roman" w:hAnsi="宋体" w:eastAsia="宋体" w:cs="Times New Roman"/>
                      <w:color w:val="auto"/>
                      <w:szCs w:val="21"/>
                      <w:highlight w:val="none"/>
                      <w:lang w:val="en-US" w:eastAsia="zh-CN"/>
                    </w:rPr>
                  </w:pPr>
                  <w:r>
                    <w:rPr>
                      <w:rFonts w:hint="eastAsia" w:hAnsi="宋体" w:cs="Times New Roman"/>
                      <w:color w:val="auto"/>
                      <w:szCs w:val="21"/>
                      <w:highlight w:val="none"/>
                      <w:lang w:val="en-US" w:eastAsia="zh-CN"/>
                    </w:rPr>
                    <w:t>服装辅料配件</w:t>
                  </w:r>
                </w:p>
              </w:tc>
              <w:tc>
                <w:tcPr>
                  <w:tcW w:w="654" w:type="pct"/>
                  <w:tcBorders>
                    <w:tl2br w:val="nil"/>
                    <w:tr2bl w:val="nil"/>
                  </w:tcBorders>
                  <w:vAlign w:val="center"/>
                </w:tcPr>
                <w:p w14:paraId="2B0199FB">
                  <w:pPr>
                    <w:pStyle w:val="25"/>
                    <w:keepNext w:val="0"/>
                    <w:keepLines w:val="0"/>
                    <w:suppressLineNumbers w:val="0"/>
                    <w:spacing w:before="0" w:beforeAutospacing="0" w:after="0" w:afterAutospacing="0" w:line="276" w:lineRule="auto"/>
                    <w:ind w:left="0" w:right="0"/>
                    <w:jc w:val="center"/>
                    <w:rPr>
                      <w:rFonts w:hint="default" w:cs="Times New Roman"/>
                      <w:color w:val="auto"/>
                      <w:spacing w:val="-1"/>
                      <w:sz w:val="21"/>
                      <w:szCs w:val="21"/>
                      <w:highlight w:val="none"/>
                      <w:lang w:val="en-US" w:eastAsia="zh-CN"/>
                    </w:rPr>
                  </w:pPr>
                  <w:r>
                    <w:rPr>
                      <w:rFonts w:hint="eastAsia" w:cs="Times New Roman"/>
                      <w:color w:val="auto"/>
                      <w:spacing w:val="-1"/>
                      <w:sz w:val="21"/>
                      <w:szCs w:val="21"/>
                      <w:highlight w:val="none"/>
                      <w:lang w:val="en-US" w:eastAsia="zh-CN"/>
                    </w:rPr>
                    <w:t>PP/PE/PS</w:t>
                  </w:r>
                </w:p>
              </w:tc>
              <w:tc>
                <w:tcPr>
                  <w:tcW w:w="678" w:type="pct"/>
                  <w:tcBorders>
                    <w:tl2br w:val="nil"/>
                    <w:tr2bl w:val="nil"/>
                  </w:tcBorders>
                  <w:vAlign w:val="center"/>
                </w:tcPr>
                <w:p w14:paraId="503C1198">
                  <w:pPr>
                    <w:pStyle w:val="25"/>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1"/>
                      <w:sz w:val="21"/>
                      <w:szCs w:val="21"/>
                      <w:highlight w:val="none"/>
                    </w:rPr>
                  </w:pPr>
                  <w:r>
                    <w:rPr>
                      <w:rFonts w:hint="eastAsia" w:cs="Times New Roman"/>
                      <w:color w:val="auto"/>
                      <w:spacing w:val="-1"/>
                      <w:sz w:val="21"/>
                      <w:szCs w:val="21"/>
                      <w:highlight w:val="none"/>
                      <w:lang w:val="en-US" w:eastAsia="zh-CN"/>
                    </w:rPr>
                    <w:t>5g~10g</w:t>
                  </w:r>
                </w:p>
              </w:tc>
              <w:tc>
                <w:tcPr>
                  <w:tcW w:w="519" w:type="pct"/>
                  <w:tcBorders>
                    <w:tl2br w:val="nil"/>
                    <w:tr2bl w:val="nil"/>
                  </w:tcBorders>
                  <w:vAlign w:val="center"/>
                </w:tcPr>
                <w:p w14:paraId="0D6E9BC2">
                  <w:pPr>
                    <w:pStyle w:val="25"/>
                    <w:keepNext w:val="0"/>
                    <w:keepLines w:val="0"/>
                    <w:suppressLineNumbers w:val="0"/>
                    <w:spacing w:before="0" w:beforeAutospacing="0" w:after="0" w:afterAutospacing="0" w:line="276" w:lineRule="auto"/>
                    <w:ind w:left="0" w:right="0"/>
                    <w:jc w:val="center"/>
                    <w:rPr>
                      <w:rFonts w:hint="default" w:ascii="Times New Roman" w:hAnsi="Times New Roman" w:cs="宋体"/>
                      <w:snapToGrid w:val="0"/>
                      <w:color w:val="auto"/>
                      <w:sz w:val="21"/>
                      <w:szCs w:val="21"/>
                      <w:highlight w:val="none"/>
                      <w:lang w:val="en-US" w:eastAsia="zh-CN" w:bidi="ar"/>
                    </w:rPr>
                  </w:pPr>
                  <w:r>
                    <w:rPr>
                      <w:rFonts w:hint="eastAsia" w:cs="宋体"/>
                      <w:snapToGrid w:val="0"/>
                      <w:color w:val="auto"/>
                      <w:sz w:val="21"/>
                      <w:szCs w:val="21"/>
                      <w:highlight w:val="none"/>
                      <w:lang w:val="en-US" w:eastAsia="zh-CN" w:bidi="ar"/>
                    </w:rPr>
                    <w:t>500</w:t>
                  </w:r>
                </w:p>
              </w:tc>
              <w:tc>
                <w:tcPr>
                  <w:tcW w:w="544" w:type="pct"/>
                  <w:tcBorders>
                    <w:tl2br w:val="nil"/>
                    <w:tr2bl w:val="nil"/>
                  </w:tcBorders>
                  <w:vAlign w:val="center"/>
                </w:tcPr>
                <w:p w14:paraId="5EE6D259">
                  <w:pPr>
                    <w:pStyle w:val="25"/>
                    <w:keepNext w:val="0"/>
                    <w:keepLines w:val="0"/>
                    <w:suppressLineNumbers w:val="0"/>
                    <w:spacing w:before="0" w:beforeAutospacing="0" w:after="0" w:afterAutospacing="0" w:line="276" w:lineRule="auto"/>
                    <w:ind w:left="0" w:right="0"/>
                    <w:jc w:val="center"/>
                    <w:rPr>
                      <w:rFonts w:hint="default" w:ascii="Times New Roman" w:hAnsi="Times New Roman" w:cs="宋体"/>
                      <w:snapToGrid w:val="0"/>
                      <w:color w:val="auto"/>
                      <w:sz w:val="21"/>
                      <w:szCs w:val="21"/>
                      <w:highlight w:val="none"/>
                      <w:lang w:val="en-US" w:eastAsia="zh-CN" w:bidi="ar"/>
                    </w:rPr>
                  </w:pPr>
                  <w:r>
                    <w:rPr>
                      <w:rFonts w:hint="eastAsia" w:cs="宋体"/>
                      <w:snapToGrid w:val="0"/>
                      <w:color w:val="auto"/>
                      <w:sz w:val="21"/>
                      <w:szCs w:val="21"/>
                      <w:highlight w:val="none"/>
                      <w:lang w:val="en-US" w:eastAsia="zh-CN" w:bidi="ar"/>
                    </w:rPr>
                    <w:t>37.5</w:t>
                  </w:r>
                </w:p>
              </w:tc>
              <w:tc>
                <w:tcPr>
                  <w:tcW w:w="403" w:type="pct"/>
                  <w:tcBorders>
                    <w:tl2br w:val="nil"/>
                    <w:tr2bl w:val="nil"/>
                  </w:tcBorders>
                  <w:vAlign w:val="center"/>
                </w:tcPr>
                <w:p w14:paraId="5F48AF90">
                  <w:pPr>
                    <w:keepNext w:val="0"/>
                    <w:keepLines w:val="0"/>
                    <w:suppressLineNumbers w:val="0"/>
                    <w:spacing w:before="0" w:beforeAutospacing="0" w:after="0" w:afterAutospacing="0" w:line="276" w:lineRule="auto"/>
                    <w:ind w:left="0" w:right="0"/>
                    <w:jc w:val="center"/>
                    <w:rPr>
                      <w:rFonts w:hint="default" w:ascii="Times New Roman" w:hAnsi="宋体" w:cs="Times New Roman"/>
                      <w:color w:val="auto"/>
                      <w:szCs w:val="21"/>
                      <w:highlight w:val="none"/>
                    </w:rPr>
                  </w:pPr>
                  <w:r>
                    <w:rPr>
                      <w:rFonts w:hint="eastAsia" w:hAnsi="宋体" w:cs="Times New Roman"/>
                      <w:color w:val="auto"/>
                      <w:szCs w:val="21"/>
                      <w:highlight w:val="none"/>
                      <w:lang w:val="en-US" w:eastAsia="zh-CN"/>
                    </w:rPr>
                    <w:t>箱装</w:t>
                  </w:r>
                </w:p>
              </w:tc>
              <w:tc>
                <w:tcPr>
                  <w:tcW w:w="403" w:type="pct"/>
                  <w:vMerge w:val="continue"/>
                  <w:tcBorders>
                    <w:tl2br w:val="nil"/>
                    <w:tr2bl w:val="nil"/>
                  </w:tcBorders>
                  <w:vAlign w:val="center"/>
                </w:tcPr>
                <w:p w14:paraId="0232F3D3">
                  <w:pPr>
                    <w:keepNext w:val="0"/>
                    <w:keepLines w:val="0"/>
                    <w:suppressLineNumbers w:val="0"/>
                    <w:spacing w:before="0" w:beforeAutospacing="0" w:after="0" w:afterAutospacing="0" w:line="276" w:lineRule="auto"/>
                    <w:ind w:left="0" w:right="0"/>
                    <w:jc w:val="center"/>
                    <w:rPr>
                      <w:rFonts w:hint="default" w:ascii="Times New Roman" w:hAnsi="宋体" w:cs="Times New Roman"/>
                      <w:color w:val="auto"/>
                      <w:szCs w:val="21"/>
                      <w:highlight w:val="none"/>
                    </w:rPr>
                  </w:pPr>
                </w:p>
              </w:tc>
              <w:tc>
                <w:tcPr>
                  <w:tcW w:w="405" w:type="pct"/>
                  <w:tcBorders>
                    <w:tl2br w:val="nil"/>
                    <w:tr2bl w:val="nil"/>
                  </w:tcBorders>
                  <w:vAlign w:val="center"/>
                </w:tcPr>
                <w:p w14:paraId="46717103">
                  <w:pPr>
                    <w:keepNext w:val="0"/>
                    <w:keepLines w:val="0"/>
                    <w:suppressLineNumbers w:val="0"/>
                    <w:spacing w:before="0" w:beforeAutospacing="0" w:after="0" w:afterAutospacing="0" w:line="276" w:lineRule="auto"/>
                    <w:ind w:left="0" w:right="0"/>
                    <w:jc w:val="center"/>
                    <w:rPr>
                      <w:rFonts w:hint="default" w:ascii="Times New Roman" w:hAnsi="宋体" w:cs="Times New Roman"/>
                      <w:color w:val="auto"/>
                      <w:szCs w:val="21"/>
                      <w:highlight w:val="none"/>
                    </w:rPr>
                  </w:pPr>
                  <w:r>
                    <w:rPr>
                      <w:rFonts w:hint="eastAsia" w:hAnsi="宋体" w:cs="Times New Roman"/>
                      <w:color w:val="auto"/>
                      <w:szCs w:val="21"/>
                      <w:highlight w:val="none"/>
                      <w:lang w:val="en-US" w:eastAsia="zh-CN"/>
                    </w:rPr>
                    <w:t>60d</w:t>
                  </w:r>
                </w:p>
              </w:tc>
              <w:tc>
                <w:tcPr>
                  <w:tcW w:w="406" w:type="pct"/>
                  <w:tcBorders>
                    <w:tl2br w:val="nil"/>
                    <w:tr2bl w:val="nil"/>
                  </w:tcBorders>
                  <w:vAlign w:val="center"/>
                </w:tcPr>
                <w:p w14:paraId="497578DC">
                  <w:pPr>
                    <w:keepNext w:val="0"/>
                    <w:keepLines w:val="0"/>
                    <w:suppressLineNumbers w:val="0"/>
                    <w:spacing w:before="0" w:beforeAutospacing="0" w:after="0" w:afterAutospacing="0" w:line="276" w:lineRule="auto"/>
                    <w:ind w:left="0" w:right="0"/>
                    <w:jc w:val="center"/>
                    <w:rPr>
                      <w:rFonts w:hint="default" w:hAnsi="宋体" w:cs="Times New Roman"/>
                      <w:color w:val="auto"/>
                      <w:szCs w:val="21"/>
                      <w:highlight w:val="none"/>
                      <w:lang w:val="en-US" w:eastAsia="zh-CN"/>
                    </w:rPr>
                  </w:pPr>
                  <w:r>
                    <w:rPr>
                      <w:rFonts w:hint="eastAsia" w:hAnsi="宋体" w:cs="Times New Roman"/>
                      <w:color w:val="auto"/>
                      <w:szCs w:val="21"/>
                      <w:highlight w:val="none"/>
                      <w:lang w:val="en-US" w:eastAsia="zh-CN"/>
                    </w:rPr>
                    <w:t>外售</w:t>
                  </w:r>
                </w:p>
              </w:tc>
            </w:tr>
          </w:tbl>
          <w:p w14:paraId="643D5D79">
            <w:pPr>
              <w:keepNext w:val="0"/>
              <w:keepLines w:val="0"/>
              <w:suppressLineNumbers w:val="0"/>
              <w:spacing w:before="0" w:beforeAutospacing="0" w:after="0" w:afterAutospacing="0" w:line="276" w:lineRule="auto"/>
              <w:ind w:left="0" w:right="0"/>
              <w:rPr>
                <w:rFonts w:hint="default" w:eastAsia="宋体"/>
                <w:b/>
                <w:color w:val="auto"/>
                <w:sz w:val="24"/>
                <w:szCs w:val="24"/>
                <w:highlight w:val="none"/>
                <w:lang w:val="en-US" w:eastAsia="zh-CN"/>
              </w:rPr>
            </w:pPr>
            <w:r>
              <w:rPr>
                <w:rFonts w:hint="eastAsia"/>
                <w:b/>
                <w:color w:val="auto"/>
                <w:sz w:val="24"/>
                <w:szCs w:val="24"/>
                <w:highlight w:val="none"/>
                <w:lang w:val="en-US" w:eastAsia="zh-CN"/>
              </w:rPr>
              <w:t>注*：年产能按平均克重核算。</w:t>
            </w:r>
          </w:p>
          <w:p w14:paraId="132AF274">
            <w:pPr>
              <w:keepNext w:val="0"/>
              <w:keepLines w:val="0"/>
              <w:suppressLineNumbers w:val="0"/>
              <w:spacing w:before="0" w:beforeAutospacing="0" w:after="0" w:afterAutospacing="0" w:line="360" w:lineRule="auto"/>
              <w:ind w:left="0" w:right="0" w:firstLine="482" w:firstLineChars="200"/>
              <w:rPr>
                <w:rFonts w:hint="default"/>
                <w:b/>
                <w:color w:val="auto"/>
                <w:sz w:val="24"/>
                <w:highlight w:val="none"/>
              </w:rPr>
            </w:pPr>
            <w:r>
              <w:rPr>
                <w:rFonts w:hint="eastAsia"/>
                <w:b/>
                <w:color w:val="auto"/>
                <w:sz w:val="24"/>
                <w:highlight w:val="none"/>
              </w:rPr>
              <w:t>5</w:t>
            </w:r>
            <w:r>
              <w:rPr>
                <w:rFonts w:hint="eastAsia"/>
                <w:b/>
                <w:color w:val="auto"/>
                <w:sz w:val="24"/>
                <w:highlight w:val="none"/>
                <w:lang w:val="en-US" w:eastAsia="zh-CN"/>
              </w:rPr>
              <w:t>.</w:t>
            </w:r>
            <w:r>
              <w:rPr>
                <w:rFonts w:hint="eastAsia"/>
                <w:b/>
                <w:color w:val="auto"/>
                <w:sz w:val="24"/>
                <w:highlight w:val="none"/>
              </w:rPr>
              <w:t>主要生产设备</w:t>
            </w:r>
          </w:p>
          <w:p w14:paraId="1819BF0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left"/>
              <w:textAlignment w:val="auto"/>
              <w:rPr>
                <w:rFonts w:hint="default" w:hAnsi="黑体" w:eastAsia="黑体" w:cs="Times New Roman"/>
                <w:color w:val="auto"/>
                <w:highlight w:val="none"/>
              </w:rPr>
            </w:pPr>
            <w:r>
              <w:rPr>
                <w:rFonts w:hint="eastAsia"/>
                <w:color w:val="auto"/>
                <w:sz w:val="24"/>
                <w:szCs w:val="24"/>
                <w:highlight w:val="none"/>
                <w:lang w:val="en-US" w:eastAsia="zh-CN"/>
              </w:rPr>
              <w:t>拟建项目主要</w:t>
            </w:r>
            <w:r>
              <w:rPr>
                <w:rFonts w:hint="eastAsia"/>
                <w:color w:val="auto"/>
                <w:sz w:val="24"/>
                <w:szCs w:val="24"/>
                <w:highlight w:val="none"/>
              </w:rPr>
              <w:t>生产设备见下表。</w:t>
            </w:r>
          </w:p>
          <w:p w14:paraId="7B64F533">
            <w:pPr>
              <w:pStyle w:val="223"/>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default" w:eastAsia="黑体" w:cs="Times New Roman"/>
                <w:color w:val="auto"/>
                <w:highlight w:val="none"/>
              </w:rPr>
            </w:pPr>
            <w:r>
              <w:rPr>
                <w:rFonts w:hint="default" w:hAnsi="黑体" w:eastAsia="黑体" w:cs="Times New Roman"/>
                <w:color w:val="auto"/>
                <w:highlight w:val="none"/>
              </w:rPr>
              <w:t>表</w:t>
            </w:r>
            <w:r>
              <w:rPr>
                <w:rFonts w:hint="eastAsia" w:eastAsia="黑体" w:cs="Times New Roman"/>
                <w:color w:val="auto"/>
                <w:highlight w:val="none"/>
                <w:lang w:val="en-US" w:eastAsia="zh-CN"/>
              </w:rPr>
              <w:t>2-5</w:t>
            </w:r>
            <w:r>
              <w:rPr>
                <w:rFonts w:hint="default" w:eastAsia="黑体" w:cs="Times New Roman"/>
                <w:color w:val="auto"/>
                <w:highlight w:val="none"/>
              </w:rPr>
              <w:t xml:space="preserve"> </w:t>
            </w:r>
            <w:r>
              <w:rPr>
                <w:rFonts w:hint="eastAsia" w:eastAsia="黑体" w:cs="Times New Roman"/>
                <w:color w:val="auto"/>
                <w:highlight w:val="none"/>
                <w:lang w:val="en-US" w:eastAsia="zh-CN"/>
              </w:rPr>
              <w:t xml:space="preserve"> </w:t>
            </w:r>
            <w:r>
              <w:rPr>
                <w:rFonts w:hint="default" w:hAnsi="黑体" w:eastAsia="黑体" w:cs="Times New Roman"/>
                <w:color w:val="auto"/>
                <w:highlight w:val="none"/>
              </w:rPr>
              <w:t>项目主要</w:t>
            </w:r>
            <w:r>
              <w:rPr>
                <w:rFonts w:hint="eastAsia" w:hAnsi="黑体" w:eastAsia="黑体" w:cs="Times New Roman"/>
                <w:color w:val="auto"/>
                <w:highlight w:val="none"/>
                <w:lang w:val="en-US" w:eastAsia="zh-CN"/>
              </w:rPr>
              <w:t>生产</w:t>
            </w:r>
            <w:r>
              <w:rPr>
                <w:rFonts w:hint="default" w:hAnsi="黑体" w:eastAsia="黑体" w:cs="Times New Roman"/>
                <w:color w:val="auto"/>
                <w:highlight w:val="none"/>
              </w:rPr>
              <w:t>设备一览表</w:t>
            </w:r>
          </w:p>
          <w:tbl>
            <w:tblPr>
              <w:tblStyle w:val="38"/>
              <w:tblW w:w="4997"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92"/>
              <w:gridCol w:w="739"/>
              <w:gridCol w:w="764"/>
              <w:gridCol w:w="858"/>
              <w:gridCol w:w="1608"/>
              <w:gridCol w:w="2139"/>
              <w:gridCol w:w="843"/>
              <w:gridCol w:w="647"/>
            </w:tblGrid>
            <w:tr w14:paraId="3CE7A4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441" w:hRule="atLeast"/>
                <w:jc w:val="center"/>
              </w:trPr>
              <w:tc>
                <w:tcPr>
                  <w:tcW w:w="304" w:type="pct"/>
                  <w:vAlign w:val="center"/>
                </w:tcPr>
                <w:p w14:paraId="7C258F3C">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序号</w:t>
                  </w:r>
                </w:p>
              </w:tc>
              <w:tc>
                <w:tcPr>
                  <w:tcW w:w="456" w:type="pct"/>
                  <w:vAlign w:val="center"/>
                </w:tcPr>
                <w:p w14:paraId="4D61755A">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所在</w:t>
                  </w:r>
                </w:p>
                <w:p w14:paraId="71021F4D">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车间</w:t>
                  </w:r>
                </w:p>
              </w:tc>
              <w:tc>
                <w:tcPr>
                  <w:tcW w:w="472" w:type="pct"/>
                  <w:vAlign w:val="center"/>
                </w:tcPr>
                <w:p w14:paraId="3AC99506">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生产</w:t>
                  </w:r>
                </w:p>
                <w:p w14:paraId="5515E792">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区域</w:t>
                  </w:r>
                </w:p>
              </w:tc>
              <w:tc>
                <w:tcPr>
                  <w:tcW w:w="530" w:type="pct"/>
                  <w:vAlign w:val="center"/>
                </w:tcPr>
                <w:p w14:paraId="2C1EC4DA">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生产</w:t>
                  </w:r>
                </w:p>
                <w:p w14:paraId="79FBEB9A">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工序</w:t>
                  </w:r>
                </w:p>
              </w:tc>
              <w:tc>
                <w:tcPr>
                  <w:tcW w:w="993" w:type="pct"/>
                  <w:vAlign w:val="center"/>
                </w:tcPr>
                <w:p w14:paraId="65EDBB32">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设备名称</w:t>
                  </w:r>
                </w:p>
              </w:tc>
              <w:tc>
                <w:tcPr>
                  <w:tcW w:w="1321" w:type="pct"/>
                  <w:vAlign w:val="center"/>
                </w:tcPr>
                <w:p w14:paraId="0BB12008">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cs="Times New Roman"/>
                      <w:b/>
                      <w:color w:val="auto"/>
                      <w:sz w:val="21"/>
                      <w:szCs w:val="21"/>
                      <w:highlight w:val="none"/>
                    </w:rPr>
                    <w:t>规格</w:t>
                  </w:r>
                  <w:r>
                    <w:rPr>
                      <w:rFonts w:hint="default" w:ascii="Times New Roman" w:hAnsi="Times New Roman" w:cs="Times New Roman"/>
                      <w:b/>
                      <w:color w:val="auto"/>
                      <w:sz w:val="21"/>
                      <w:szCs w:val="21"/>
                      <w:highlight w:val="none"/>
                      <w:lang w:eastAsia="zh-CN"/>
                    </w:rPr>
                    <w:t>、</w:t>
                  </w:r>
                  <w:r>
                    <w:rPr>
                      <w:rFonts w:hint="default" w:ascii="Times New Roman" w:hAnsi="Times New Roman" w:cs="Times New Roman"/>
                      <w:b/>
                      <w:color w:val="auto"/>
                      <w:sz w:val="21"/>
                      <w:szCs w:val="21"/>
                      <w:highlight w:val="none"/>
                      <w:lang w:val="en-US" w:eastAsia="zh-CN"/>
                    </w:rPr>
                    <w:t>尺寸</w:t>
                  </w:r>
                </w:p>
              </w:tc>
              <w:tc>
                <w:tcPr>
                  <w:tcW w:w="520" w:type="pct"/>
                  <w:vAlign w:val="center"/>
                </w:tcPr>
                <w:p w14:paraId="790B83FE">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数量</w:t>
                  </w:r>
                </w:p>
                <w:p w14:paraId="6F7CCC3E">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（台/套）</w:t>
                  </w:r>
                </w:p>
              </w:tc>
              <w:tc>
                <w:tcPr>
                  <w:tcW w:w="399" w:type="pct"/>
                  <w:vAlign w:val="center"/>
                </w:tcPr>
                <w:p w14:paraId="5E30F352">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备注</w:t>
                  </w:r>
                </w:p>
              </w:tc>
            </w:tr>
            <w:tr w14:paraId="78DF885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04" w:type="pct"/>
                  <w:vAlign w:val="center"/>
                </w:tcPr>
                <w:p w14:paraId="4A40AE93">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456" w:type="pct"/>
                  <w:vMerge w:val="restart"/>
                  <w:vAlign w:val="center"/>
                </w:tcPr>
                <w:p w14:paraId="645DB282">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厂房2F</w:t>
                  </w:r>
                </w:p>
              </w:tc>
              <w:tc>
                <w:tcPr>
                  <w:tcW w:w="472" w:type="pct"/>
                  <w:vMerge w:val="restart"/>
                  <w:vAlign w:val="center"/>
                </w:tcPr>
                <w:p w14:paraId="12FB79B1">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投料配料区</w:t>
                  </w:r>
                </w:p>
              </w:tc>
              <w:tc>
                <w:tcPr>
                  <w:tcW w:w="530" w:type="pct"/>
                  <w:vMerge w:val="restart"/>
                  <w:vAlign w:val="center"/>
                </w:tcPr>
                <w:p w14:paraId="3195140D">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投料</w:t>
                  </w:r>
                </w:p>
                <w:p w14:paraId="07FF9D43">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配料</w:t>
                  </w:r>
                </w:p>
              </w:tc>
              <w:tc>
                <w:tcPr>
                  <w:tcW w:w="993" w:type="pct"/>
                  <w:vAlign w:val="center"/>
                </w:tcPr>
                <w:p w14:paraId="1C53AB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拌料机</w:t>
                  </w:r>
                </w:p>
              </w:tc>
              <w:tc>
                <w:tcPr>
                  <w:tcW w:w="1321" w:type="pct"/>
                  <w:vAlign w:val="center"/>
                </w:tcPr>
                <w:p w14:paraId="0F9339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50kg</w:t>
                  </w:r>
                </w:p>
              </w:tc>
              <w:tc>
                <w:tcPr>
                  <w:tcW w:w="520" w:type="pct"/>
                  <w:vAlign w:val="center"/>
                </w:tcPr>
                <w:p w14:paraId="38519F8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w:t>
                  </w:r>
                </w:p>
              </w:tc>
              <w:tc>
                <w:tcPr>
                  <w:tcW w:w="399" w:type="pct"/>
                  <w:vAlign w:val="center"/>
                </w:tcPr>
                <w:p w14:paraId="4CC1E3A8">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501BB1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04" w:type="pct"/>
                  <w:vAlign w:val="center"/>
                </w:tcPr>
                <w:p w14:paraId="680C6F50">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c>
                <w:tcPr>
                  <w:tcW w:w="456" w:type="pct"/>
                  <w:vMerge w:val="continue"/>
                  <w:vAlign w:val="center"/>
                </w:tcPr>
                <w:p w14:paraId="214B263B">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472" w:type="pct"/>
                  <w:vMerge w:val="continue"/>
                  <w:vAlign w:val="center"/>
                </w:tcPr>
                <w:p w14:paraId="2A0DF6FB">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530" w:type="pct"/>
                  <w:vMerge w:val="continue"/>
                  <w:vAlign w:val="center"/>
                </w:tcPr>
                <w:p w14:paraId="7ED611CB">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eastAsia" w:cs="Times New Roman"/>
                      <w:color w:val="auto"/>
                      <w:sz w:val="21"/>
                      <w:szCs w:val="21"/>
                      <w:highlight w:val="none"/>
                      <w:lang w:val="en-US" w:eastAsia="zh-CN"/>
                    </w:rPr>
                  </w:pPr>
                </w:p>
              </w:tc>
              <w:tc>
                <w:tcPr>
                  <w:tcW w:w="993" w:type="pct"/>
                  <w:vAlign w:val="center"/>
                </w:tcPr>
                <w:p w14:paraId="40AFBD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拌料机</w:t>
                  </w:r>
                </w:p>
              </w:tc>
              <w:tc>
                <w:tcPr>
                  <w:tcW w:w="1321" w:type="pct"/>
                  <w:vAlign w:val="center"/>
                </w:tcPr>
                <w:p w14:paraId="32B49E4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100kg</w:t>
                  </w:r>
                </w:p>
              </w:tc>
              <w:tc>
                <w:tcPr>
                  <w:tcW w:w="520" w:type="pct"/>
                  <w:vAlign w:val="center"/>
                </w:tcPr>
                <w:p w14:paraId="1BD348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w:t>
                  </w:r>
                </w:p>
              </w:tc>
              <w:tc>
                <w:tcPr>
                  <w:tcW w:w="399" w:type="pct"/>
                  <w:vAlign w:val="center"/>
                </w:tcPr>
                <w:p w14:paraId="6615348C">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5D5B4E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04" w:type="pct"/>
                  <w:vAlign w:val="center"/>
                </w:tcPr>
                <w:p w14:paraId="3E3C0809">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3</w:t>
                  </w:r>
                </w:p>
              </w:tc>
              <w:tc>
                <w:tcPr>
                  <w:tcW w:w="456" w:type="pct"/>
                  <w:vMerge w:val="continue"/>
                  <w:vAlign w:val="center"/>
                </w:tcPr>
                <w:p w14:paraId="5130E509">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472" w:type="pct"/>
                  <w:vMerge w:val="continue"/>
                  <w:vAlign w:val="center"/>
                </w:tcPr>
                <w:p w14:paraId="571CE73D">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530" w:type="pct"/>
                  <w:vMerge w:val="continue"/>
                  <w:vAlign w:val="center"/>
                </w:tcPr>
                <w:p w14:paraId="2262782F">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eastAsia" w:cs="Times New Roman"/>
                      <w:color w:val="auto"/>
                      <w:sz w:val="21"/>
                      <w:szCs w:val="21"/>
                      <w:highlight w:val="none"/>
                      <w:lang w:val="en-US" w:eastAsia="zh-CN"/>
                    </w:rPr>
                  </w:pPr>
                </w:p>
              </w:tc>
              <w:tc>
                <w:tcPr>
                  <w:tcW w:w="993" w:type="pct"/>
                  <w:vAlign w:val="center"/>
                </w:tcPr>
                <w:p w14:paraId="1B58D9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拌料机</w:t>
                  </w:r>
                </w:p>
              </w:tc>
              <w:tc>
                <w:tcPr>
                  <w:tcW w:w="1321" w:type="pct"/>
                  <w:vAlign w:val="center"/>
                </w:tcPr>
                <w:p w14:paraId="25A6C3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200kg</w:t>
                  </w:r>
                </w:p>
              </w:tc>
              <w:tc>
                <w:tcPr>
                  <w:tcW w:w="520" w:type="pct"/>
                  <w:vAlign w:val="center"/>
                </w:tcPr>
                <w:p w14:paraId="60B0C0E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w:t>
                  </w:r>
                </w:p>
              </w:tc>
              <w:tc>
                <w:tcPr>
                  <w:tcW w:w="399" w:type="pct"/>
                  <w:vAlign w:val="center"/>
                </w:tcPr>
                <w:p w14:paraId="571C519D">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56E18A0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04" w:type="pct"/>
                  <w:vAlign w:val="center"/>
                </w:tcPr>
                <w:p w14:paraId="4F1F539F">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4</w:t>
                  </w:r>
                </w:p>
              </w:tc>
              <w:tc>
                <w:tcPr>
                  <w:tcW w:w="456" w:type="pct"/>
                  <w:vMerge w:val="restart"/>
                  <w:vAlign w:val="center"/>
                </w:tcPr>
                <w:p w14:paraId="4CD5AB0C">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厂房1F</w:t>
                  </w:r>
                </w:p>
              </w:tc>
              <w:tc>
                <w:tcPr>
                  <w:tcW w:w="472" w:type="pct"/>
                  <w:vMerge w:val="restart"/>
                  <w:vAlign w:val="center"/>
                </w:tcPr>
                <w:p w14:paraId="3596FFDC">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注塑区</w:t>
                  </w:r>
                </w:p>
              </w:tc>
              <w:tc>
                <w:tcPr>
                  <w:tcW w:w="530" w:type="pct"/>
                  <w:vMerge w:val="restart"/>
                  <w:vAlign w:val="center"/>
                </w:tcPr>
                <w:p w14:paraId="19FAB5FF">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注塑</w:t>
                  </w:r>
                </w:p>
              </w:tc>
              <w:tc>
                <w:tcPr>
                  <w:tcW w:w="993" w:type="pct"/>
                  <w:vAlign w:val="center"/>
                </w:tcPr>
                <w:p w14:paraId="7E114F2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海天注塑机</w:t>
                  </w:r>
                </w:p>
              </w:tc>
              <w:tc>
                <w:tcPr>
                  <w:tcW w:w="1321" w:type="pct"/>
                  <w:vAlign w:val="center"/>
                </w:tcPr>
                <w:p w14:paraId="06AAFB7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MA1200/400GI11</w:t>
                  </w:r>
                </w:p>
              </w:tc>
              <w:tc>
                <w:tcPr>
                  <w:tcW w:w="520" w:type="pct"/>
                  <w:vAlign w:val="center"/>
                </w:tcPr>
                <w:p w14:paraId="58DF610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399" w:type="pct"/>
                  <w:vAlign w:val="center"/>
                </w:tcPr>
                <w:p w14:paraId="0C9DF193">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0FDF36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04" w:type="pct"/>
                  <w:vAlign w:val="center"/>
                </w:tcPr>
                <w:p w14:paraId="370230F7">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5</w:t>
                  </w:r>
                </w:p>
              </w:tc>
              <w:tc>
                <w:tcPr>
                  <w:tcW w:w="456" w:type="pct"/>
                  <w:vMerge w:val="continue"/>
                  <w:vAlign w:val="center"/>
                </w:tcPr>
                <w:p w14:paraId="7331DF61">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472" w:type="pct"/>
                  <w:vMerge w:val="continue"/>
                  <w:vAlign w:val="center"/>
                </w:tcPr>
                <w:p w14:paraId="62D73CAC">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530" w:type="pct"/>
                  <w:vMerge w:val="continue"/>
                  <w:vAlign w:val="center"/>
                </w:tcPr>
                <w:p w14:paraId="24C630D1">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993" w:type="pct"/>
                  <w:vAlign w:val="center"/>
                </w:tcPr>
                <w:p w14:paraId="1AD7042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海天注塑机</w:t>
                  </w:r>
                </w:p>
              </w:tc>
              <w:tc>
                <w:tcPr>
                  <w:tcW w:w="1321" w:type="pct"/>
                  <w:vAlign w:val="center"/>
                </w:tcPr>
                <w:p w14:paraId="359A544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MA1600/570G111</w:t>
                  </w:r>
                </w:p>
              </w:tc>
              <w:tc>
                <w:tcPr>
                  <w:tcW w:w="520" w:type="pct"/>
                  <w:vAlign w:val="center"/>
                </w:tcPr>
                <w:p w14:paraId="00A6311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399" w:type="pct"/>
                  <w:vAlign w:val="center"/>
                </w:tcPr>
                <w:p w14:paraId="7F8C8F63">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42EB7D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vAlign w:val="center"/>
                </w:tcPr>
                <w:p w14:paraId="00DD3E65">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6</w:t>
                  </w:r>
                </w:p>
              </w:tc>
              <w:tc>
                <w:tcPr>
                  <w:tcW w:w="456" w:type="pct"/>
                  <w:vMerge w:val="continue"/>
                  <w:vAlign w:val="center"/>
                </w:tcPr>
                <w:p w14:paraId="0D3BEBD6">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472" w:type="pct"/>
                  <w:vMerge w:val="continue"/>
                  <w:shd w:val="clear" w:color="auto" w:fill="auto"/>
                  <w:vAlign w:val="center"/>
                </w:tcPr>
                <w:p w14:paraId="1CA80932">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530" w:type="pct"/>
                  <w:vMerge w:val="continue"/>
                  <w:shd w:val="clear" w:color="auto" w:fill="auto"/>
                  <w:vAlign w:val="center"/>
                </w:tcPr>
                <w:p w14:paraId="4E646413">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993" w:type="pct"/>
                  <w:shd w:val="clear" w:color="auto" w:fill="auto"/>
                  <w:vAlign w:val="center"/>
                </w:tcPr>
                <w:p w14:paraId="105605B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海天注塑机</w:t>
                  </w:r>
                </w:p>
              </w:tc>
              <w:tc>
                <w:tcPr>
                  <w:tcW w:w="1321" w:type="pct"/>
                  <w:vAlign w:val="center"/>
                </w:tcPr>
                <w:p w14:paraId="376B821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MA2000/770GII1</w:t>
                  </w:r>
                </w:p>
              </w:tc>
              <w:tc>
                <w:tcPr>
                  <w:tcW w:w="520" w:type="pct"/>
                  <w:vAlign w:val="center"/>
                </w:tcPr>
                <w:p w14:paraId="6D87771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399" w:type="pct"/>
                  <w:vAlign w:val="center"/>
                </w:tcPr>
                <w:p w14:paraId="1630C367">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5B7B0D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vAlign w:val="center"/>
                </w:tcPr>
                <w:p w14:paraId="676336A5">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7</w:t>
                  </w:r>
                </w:p>
              </w:tc>
              <w:tc>
                <w:tcPr>
                  <w:tcW w:w="456" w:type="pct"/>
                  <w:vMerge w:val="continue"/>
                  <w:vAlign w:val="center"/>
                </w:tcPr>
                <w:p w14:paraId="2DA4F682">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472" w:type="pct"/>
                  <w:vMerge w:val="continue"/>
                  <w:shd w:val="clear" w:color="auto" w:fill="auto"/>
                  <w:vAlign w:val="center"/>
                </w:tcPr>
                <w:p w14:paraId="78A1EC53">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530" w:type="pct"/>
                  <w:vMerge w:val="continue"/>
                  <w:shd w:val="clear" w:color="auto" w:fill="auto"/>
                  <w:vAlign w:val="center"/>
                </w:tcPr>
                <w:p w14:paraId="6B703B10">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993" w:type="pct"/>
                  <w:shd w:val="clear" w:color="auto" w:fill="auto"/>
                  <w:vAlign w:val="center"/>
                </w:tcPr>
                <w:p w14:paraId="411DF49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海天注塑机</w:t>
                  </w:r>
                </w:p>
              </w:tc>
              <w:tc>
                <w:tcPr>
                  <w:tcW w:w="1321" w:type="pct"/>
                  <w:vAlign w:val="center"/>
                </w:tcPr>
                <w:p w14:paraId="349992E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MA2500/1000G111</w:t>
                  </w:r>
                </w:p>
              </w:tc>
              <w:tc>
                <w:tcPr>
                  <w:tcW w:w="520" w:type="pct"/>
                  <w:vAlign w:val="center"/>
                </w:tcPr>
                <w:p w14:paraId="595A06F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399" w:type="pct"/>
                  <w:vAlign w:val="center"/>
                </w:tcPr>
                <w:p w14:paraId="2907FEDA">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65A8EF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vAlign w:val="center"/>
                </w:tcPr>
                <w:p w14:paraId="3E23823B">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8</w:t>
                  </w:r>
                </w:p>
              </w:tc>
              <w:tc>
                <w:tcPr>
                  <w:tcW w:w="456" w:type="pct"/>
                  <w:vMerge w:val="continue"/>
                  <w:vAlign w:val="center"/>
                </w:tcPr>
                <w:p w14:paraId="713B0D6A">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472" w:type="pct"/>
                  <w:vMerge w:val="continue"/>
                  <w:shd w:val="clear" w:color="auto" w:fill="auto"/>
                  <w:vAlign w:val="center"/>
                </w:tcPr>
                <w:p w14:paraId="1B421258">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530" w:type="pct"/>
                  <w:vMerge w:val="continue"/>
                  <w:shd w:val="clear" w:color="auto" w:fill="auto"/>
                  <w:vAlign w:val="center"/>
                </w:tcPr>
                <w:p w14:paraId="49CA8D4E">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993" w:type="pct"/>
                  <w:shd w:val="clear" w:color="auto" w:fill="auto"/>
                  <w:vAlign w:val="center"/>
                </w:tcPr>
                <w:p w14:paraId="367F4F5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海天注塑机</w:t>
                  </w:r>
                </w:p>
              </w:tc>
              <w:tc>
                <w:tcPr>
                  <w:tcW w:w="1321" w:type="pct"/>
                  <w:vAlign w:val="center"/>
                </w:tcPr>
                <w:p w14:paraId="62C3B97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MA3000/1800GII1</w:t>
                  </w:r>
                </w:p>
              </w:tc>
              <w:tc>
                <w:tcPr>
                  <w:tcW w:w="520" w:type="pct"/>
                  <w:vAlign w:val="center"/>
                </w:tcPr>
                <w:p w14:paraId="7D9EBFC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399" w:type="pct"/>
                  <w:vAlign w:val="center"/>
                </w:tcPr>
                <w:p w14:paraId="25957F52">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694FFE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vAlign w:val="center"/>
                </w:tcPr>
                <w:p w14:paraId="27E98228">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9</w:t>
                  </w:r>
                </w:p>
              </w:tc>
              <w:tc>
                <w:tcPr>
                  <w:tcW w:w="456" w:type="pct"/>
                  <w:vMerge w:val="continue"/>
                  <w:vAlign w:val="center"/>
                </w:tcPr>
                <w:p w14:paraId="54143A97">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472" w:type="pct"/>
                  <w:vMerge w:val="continue"/>
                  <w:shd w:val="clear" w:color="auto" w:fill="auto"/>
                  <w:vAlign w:val="center"/>
                </w:tcPr>
                <w:p w14:paraId="0D69FAC1">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530" w:type="pct"/>
                  <w:vMerge w:val="continue"/>
                  <w:shd w:val="clear" w:color="auto" w:fill="auto"/>
                  <w:vAlign w:val="center"/>
                </w:tcPr>
                <w:p w14:paraId="1EFED0BB">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993" w:type="pct"/>
                  <w:shd w:val="clear" w:color="auto" w:fill="auto"/>
                  <w:vAlign w:val="center"/>
                </w:tcPr>
                <w:p w14:paraId="7CA7008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海天注塑机</w:t>
                  </w:r>
                </w:p>
              </w:tc>
              <w:tc>
                <w:tcPr>
                  <w:tcW w:w="1321" w:type="pct"/>
                  <w:vAlign w:val="center"/>
                </w:tcPr>
                <w:p w14:paraId="231B199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MA3600/2250G111</w:t>
                  </w:r>
                </w:p>
              </w:tc>
              <w:tc>
                <w:tcPr>
                  <w:tcW w:w="520" w:type="pct"/>
                  <w:vAlign w:val="center"/>
                </w:tcPr>
                <w:p w14:paraId="2EE38E2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399" w:type="pct"/>
                  <w:vAlign w:val="center"/>
                </w:tcPr>
                <w:p w14:paraId="66AC50C8">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710608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vAlign w:val="center"/>
                </w:tcPr>
                <w:p w14:paraId="732DF54E">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10</w:t>
                  </w:r>
                </w:p>
              </w:tc>
              <w:tc>
                <w:tcPr>
                  <w:tcW w:w="456" w:type="pct"/>
                  <w:vMerge w:val="continue"/>
                  <w:vAlign w:val="center"/>
                </w:tcPr>
                <w:p w14:paraId="1E3779C3">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472" w:type="pct"/>
                  <w:vMerge w:val="continue"/>
                  <w:shd w:val="clear" w:color="auto" w:fill="auto"/>
                  <w:vAlign w:val="center"/>
                </w:tcPr>
                <w:p w14:paraId="45CDDF47">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530" w:type="pct"/>
                  <w:vMerge w:val="continue"/>
                  <w:shd w:val="clear" w:color="auto" w:fill="auto"/>
                  <w:vAlign w:val="center"/>
                </w:tcPr>
                <w:p w14:paraId="0B5597AC">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993" w:type="pct"/>
                  <w:shd w:val="clear" w:color="auto" w:fill="auto"/>
                  <w:vAlign w:val="center"/>
                </w:tcPr>
                <w:p w14:paraId="1A8257F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海天注塑机</w:t>
                  </w:r>
                </w:p>
              </w:tc>
              <w:tc>
                <w:tcPr>
                  <w:tcW w:w="1321" w:type="pct"/>
                  <w:vAlign w:val="center"/>
                </w:tcPr>
                <w:p w14:paraId="2C6DF1C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MA4500/3200G111</w:t>
                  </w:r>
                </w:p>
              </w:tc>
              <w:tc>
                <w:tcPr>
                  <w:tcW w:w="520" w:type="pct"/>
                  <w:vAlign w:val="center"/>
                </w:tcPr>
                <w:p w14:paraId="01740F2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399" w:type="pct"/>
                  <w:vAlign w:val="center"/>
                </w:tcPr>
                <w:p w14:paraId="4CED1994">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056F23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vAlign w:val="center"/>
                </w:tcPr>
                <w:p w14:paraId="15A000C4">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11</w:t>
                  </w:r>
                </w:p>
              </w:tc>
              <w:tc>
                <w:tcPr>
                  <w:tcW w:w="456" w:type="pct"/>
                  <w:vMerge w:val="continue"/>
                  <w:vAlign w:val="center"/>
                </w:tcPr>
                <w:p w14:paraId="31FEF8B0">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472" w:type="pct"/>
                  <w:vMerge w:val="continue"/>
                  <w:shd w:val="clear" w:color="auto" w:fill="auto"/>
                  <w:vAlign w:val="center"/>
                </w:tcPr>
                <w:p w14:paraId="0434F2FF">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530" w:type="pct"/>
                  <w:vMerge w:val="continue"/>
                  <w:shd w:val="clear" w:color="auto" w:fill="auto"/>
                  <w:vAlign w:val="center"/>
                </w:tcPr>
                <w:p w14:paraId="286D3A79">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993" w:type="pct"/>
                  <w:shd w:val="clear" w:color="auto" w:fill="auto"/>
                  <w:vAlign w:val="center"/>
                </w:tcPr>
                <w:p w14:paraId="72CAD87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伊之密注塑机</w:t>
                  </w:r>
                </w:p>
              </w:tc>
              <w:tc>
                <w:tcPr>
                  <w:tcW w:w="1321" w:type="pct"/>
                  <w:vAlign w:val="center"/>
                </w:tcPr>
                <w:p w14:paraId="25388EF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260A5S</w:t>
                  </w:r>
                </w:p>
              </w:tc>
              <w:tc>
                <w:tcPr>
                  <w:tcW w:w="520" w:type="pct"/>
                  <w:vAlign w:val="center"/>
                </w:tcPr>
                <w:p w14:paraId="7FEC96C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399" w:type="pct"/>
                  <w:vAlign w:val="center"/>
                </w:tcPr>
                <w:p w14:paraId="0174DAB8">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2E5977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vAlign w:val="center"/>
                </w:tcPr>
                <w:p w14:paraId="7B2AFAF6">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12</w:t>
                  </w:r>
                </w:p>
              </w:tc>
              <w:tc>
                <w:tcPr>
                  <w:tcW w:w="456" w:type="pct"/>
                  <w:vMerge w:val="continue"/>
                  <w:vAlign w:val="center"/>
                </w:tcPr>
                <w:p w14:paraId="3BAD13A8">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472" w:type="pct"/>
                  <w:vMerge w:val="continue"/>
                  <w:shd w:val="clear" w:color="auto" w:fill="auto"/>
                  <w:vAlign w:val="center"/>
                </w:tcPr>
                <w:p w14:paraId="239FC040">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530" w:type="pct"/>
                  <w:vMerge w:val="continue"/>
                  <w:shd w:val="clear" w:color="auto" w:fill="auto"/>
                  <w:vAlign w:val="center"/>
                </w:tcPr>
                <w:p w14:paraId="275D8015">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993" w:type="pct"/>
                  <w:shd w:val="clear" w:color="auto" w:fill="auto"/>
                  <w:vAlign w:val="center"/>
                </w:tcPr>
                <w:p w14:paraId="3EB2F91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甬华注塑机</w:t>
                  </w:r>
                </w:p>
              </w:tc>
              <w:tc>
                <w:tcPr>
                  <w:tcW w:w="1321" w:type="pct"/>
                  <w:vAlign w:val="center"/>
                </w:tcPr>
                <w:p w14:paraId="77D992E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488SE</w:t>
                  </w:r>
                </w:p>
              </w:tc>
              <w:tc>
                <w:tcPr>
                  <w:tcW w:w="520" w:type="pct"/>
                  <w:vAlign w:val="center"/>
                </w:tcPr>
                <w:p w14:paraId="3C68E17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399" w:type="pct"/>
                  <w:vAlign w:val="center"/>
                </w:tcPr>
                <w:p w14:paraId="001A8B60">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5B66BC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vAlign w:val="center"/>
                </w:tcPr>
                <w:p w14:paraId="1F2718B6">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13</w:t>
                  </w:r>
                </w:p>
              </w:tc>
              <w:tc>
                <w:tcPr>
                  <w:tcW w:w="456" w:type="pct"/>
                  <w:vMerge w:val="continue"/>
                  <w:vAlign w:val="center"/>
                </w:tcPr>
                <w:p w14:paraId="6902BA07">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472" w:type="pct"/>
                  <w:vMerge w:val="continue"/>
                  <w:shd w:val="clear" w:color="auto" w:fill="auto"/>
                  <w:vAlign w:val="center"/>
                </w:tcPr>
                <w:p w14:paraId="3F606E4D">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530" w:type="pct"/>
                  <w:vMerge w:val="continue"/>
                  <w:shd w:val="clear" w:color="auto" w:fill="auto"/>
                  <w:vAlign w:val="center"/>
                </w:tcPr>
                <w:p w14:paraId="1DAC08EB">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993" w:type="pct"/>
                  <w:shd w:val="clear" w:color="auto" w:fill="auto"/>
                  <w:vAlign w:val="center"/>
                </w:tcPr>
                <w:p w14:paraId="6FC485D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甬华注塑机</w:t>
                  </w:r>
                </w:p>
              </w:tc>
              <w:tc>
                <w:tcPr>
                  <w:tcW w:w="1321" w:type="pct"/>
                  <w:vAlign w:val="center"/>
                </w:tcPr>
                <w:p w14:paraId="71384AD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308SE</w:t>
                  </w:r>
                </w:p>
              </w:tc>
              <w:tc>
                <w:tcPr>
                  <w:tcW w:w="520" w:type="pct"/>
                  <w:vAlign w:val="center"/>
                </w:tcPr>
                <w:p w14:paraId="370DF84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399" w:type="pct"/>
                  <w:vAlign w:val="center"/>
                </w:tcPr>
                <w:p w14:paraId="6DBA1B7F">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010568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vAlign w:val="center"/>
                </w:tcPr>
                <w:p w14:paraId="64CEEFED">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14</w:t>
                  </w:r>
                </w:p>
              </w:tc>
              <w:tc>
                <w:tcPr>
                  <w:tcW w:w="456" w:type="pct"/>
                  <w:vMerge w:val="continue"/>
                  <w:vAlign w:val="center"/>
                </w:tcPr>
                <w:p w14:paraId="002CC515">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472" w:type="pct"/>
                  <w:vMerge w:val="continue"/>
                  <w:shd w:val="clear" w:color="auto" w:fill="auto"/>
                  <w:vAlign w:val="center"/>
                </w:tcPr>
                <w:p w14:paraId="664D5661">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530" w:type="pct"/>
                  <w:vMerge w:val="continue"/>
                  <w:shd w:val="clear" w:color="auto" w:fill="auto"/>
                  <w:vAlign w:val="center"/>
                </w:tcPr>
                <w:p w14:paraId="06952804">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993" w:type="pct"/>
                  <w:shd w:val="clear" w:color="auto" w:fill="auto"/>
                  <w:vAlign w:val="center"/>
                </w:tcPr>
                <w:p w14:paraId="468D3C0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甬华注塑机</w:t>
                  </w:r>
                </w:p>
              </w:tc>
              <w:tc>
                <w:tcPr>
                  <w:tcW w:w="1321" w:type="pct"/>
                  <w:vAlign w:val="center"/>
                </w:tcPr>
                <w:p w14:paraId="53D94A5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128SE</w:t>
                  </w:r>
                </w:p>
              </w:tc>
              <w:tc>
                <w:tcPr>
                  <w:tcW w:w="520" w:type="pct"/>
                  <w:vAlign w:val="center"/>
                </w:tcPr>
                <w:p w14:paraId="72C4A3D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399" w:type="pct"/>
                  <w:vAlign w:val="center"/>
                </w:tcPr>
                <w:p w14:paraId="0A49162A">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706C7A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vAlign w:val="center"/>
                </w:tcPr>
                <w:p w14:paraId="75FE7B94">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15</w:t>
                  </w:r>
                </w:p>
              </w:tc>
              <w:tc>
                <w:tcPr>
                  <w:tcW w:w="456" w:type="pct"/>
                  <w:vMerge w:val="continue"/>
                  <w:vAlign w:val="center"/>
                </w:tcPr>
                <w:p w14:paraId="3BB9CF7F">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472" w:type="pct"/>
                  <w:vMerge w:val="continue"/>
                  <w:shd w:val="clear" w:color="auto" w:fill="auto"/>
                  <w:vAlign w:val="center"/>
                </w:tcPr>
                <w:p w14:paraId="3F636F74">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530" w:type="pct"/>
                  <w:vMerge w:val="continue"/>
                  <w:shd w:val="clear" w:color="auto" w:fill="auto"/>
                  <w:vAlign w:val="center"/>
                </w:tcPr>
                <w:p w14:paraId="2FA15052">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993" w:type="pct"/>
                  <w:shd w:val="clear" w:color="auto" w:fill="auto"/>
                  <w:vAlign w:val="center"/>
                </w:tcPr>
                <w:p w14:paraId="081AFE7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甬华注塑机</w:t>
                  </w:r>
                </w:p>
              </w:tc>
              <w:tc>
                <w:tcPr>
                  <w:tcW w:w="1321" w:type="pct"/>
                  <w:vAlign w:val="center"/>
                </w:tcPr>
                <w:p w14:paraId="533220B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168SE</w:t>
                  </w:r>
                </w:p>
              </w:tc>
              <w:tc>
                <w:tcPr>
                  <w:tcW w:w="520" w:type="pct"/>
                  <w:vAlign w:val="center"/>
                </w:tcPr>
                <w:p w14:paraId="5C72F5B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399" w:type="pct"/>
                  <w:vAlign w:val="center"/>
                </w:tcPr>
                <w:p w14:paraId="47CD438F">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24BE38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shd w:val="clear" w:color="auto" w:fill="auto"/>
                  <w:vAlign w:val="center"/>
                </w:tcPr>
                <w:p w14:paraId="16A45F8D">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16</w:t>
                  </w:r>
                </w:p>
              </w:tc>
              <w:tc>
                <w:tcPr>
                  <w:tcW w:w="456" w:type="pct"/>
                  <w:vMerge w:val="continue"/>
                  <w:vAlign w:val="center"/>
                </w:tcPr>
                <w:p w14:paraId="171DBC0A">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472" w:type="pct"/>
                  <w:vMerge w:val="restart"/>
                  <w:shd w:val="clear" w:color="auto" w:fill="auto"/>
                  <w:vAlign w:val="center"/>
                </w:tcPr>
                <w:p w14:paraId="16B506DC">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冷却成型区</w:t>
                  </w:r>
                </w:p>
              </w:tc>
              <w:tc>
                <w:tcPr>
                  <w:tcW w:w="530" w:type="pct"/>
                  <w:vMerge w:val="restart"/>
                  <w:shd w:val="clear" w:color="auto" w:fill="auto"/>
                  <w:vAlign w:val="center"/>
                </w:tcPr>
                <w:p w14:paraId="5E3B196B">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冷却</w:t>
                  </w:r>
                </w:p>
                <w:p w14:paraId="6BD755BB">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成型</w:t>
                  </w:r>
                </w:p>
              </w:tc>
              <w:tc>
                <w:tcPr>
                  <w:tcW w:w="993" w:type="pct"/>
                  <w:shd w:val="clear" w:color="auto" w:fill="auto"/>
                  <w:vAlign w:val="center"/>
                </w:tcPr>
                <w:p w14:paraId="547B8DF1">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冷水机</w:t>
                  </w:r>
                </w:p>
              </w:tc>
              <w:tc>
                <w:tcPr>
                  <w:tcW w:w="1321" w:type="pct"/>
                  <w:shd w:val="clear" w:color="auto" w:fill="auto"/>
                  <w:vAlign w:val="center"/>
                </w:tcPr>
                <w:p w14:paraId="2D0CC34E">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5匹，</w:t>
                  </w:r>
                  <w:r>
                    <w:rPr>
                      <w:rFonts w:hint="default" w:ascii="Times New Roman" w:hAnsi="Times New Roman" w:cs="Times New Roman"/>
                      <w:color w:val="auto"/>
                      <w:sz w:val="21"/>
                      <w:szCs w:val="21"/>
                      <w:highlight w:val="none"/>
                      <w:lang w:val="en-US" w:eastAsia="zh-CN"/>
                    </w:rPr>
                    <w:t>循环水量3.0m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/h</w:t>
                  </w:r>
                </w:p>
              </w:tc>
              <w:tc>
                <w:tcPr>
                  <w:tcW w:w="520" w:type="pct"/>
                  <w:shd w:val="clear" w:color="auto" w:fill="auto"/>
                  <w:vAlign w:val="center"/>
                </w:tcPr>
                <w:p w14:paraId="6098A08F">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10</w:t>
                  </w:r>
                </w:p>
              </w:tc>
              <w:tc>
                <w:tcPr>
                  <w:tcW w:w="399" w:type="pct"/>
                  <w:shd w:val="clear" w:color="auto" w:fill="auto"/>
                  <w:vAlign w:val="center"/>
                </w:tcPr>
                <w:p w14:paraId="5868D6C5">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间接冷却装置</w:t>
                  </w:r>
                </w:p>
              </w:tc>
            </w:tr>
            <w:tr w14:paraId="72511B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shd w:val="clear" w:color="auto" w:fill="auto"/>
                  <w:vAlign w:val="center"/>
                </w:tcPr>
                <w:p w14:paraId="7F88BC39">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17</w:t>
                  </w:r>
                </w:p>
              </w:tc>
              <w:tc>
                <w:tcPr>
                  <w:tcW w:w="456" w:type="pct"/>
                  <w:vMerge w:val="continue"/>
                  <w:vAlign w:val="center"/>
                </w:tcPr>
                <w:p w14:paraId="6E676A4F">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472" w:type="pct"/>
                  <w:vMerge w:val="continue"/>
                  <w:shd w:val="clear" w:color="auto" w:fill="auto"/>
                  <w:vAlign w:val="center"/>
                </w:tcPr>
                <w:p w14:paraId="23B7BDFA">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530" w:type="pct"/>
                  <w:vMerge w:val="continue"/>
                  <w:shd w:val="clear" w:color="auto" w:fill="auto"/>
                  <w:vAlign w:val="center"/>
                </w:tcPr>
                <w:p w14:paraId="6CA037A7">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kern w:val="2"/>
                      <w:sz w:val="21"/>
                      <w:szCs w:val="21"/>
                      <w:highlight w:val="none"/>
                      <w:lang w:val="en-US" w:eastAsia="zh-CN" w:bidi="ar-SA"/>
                    </w:rPr>
                  </w:pPr>
                </w:p>
              </w:tc>
              <w:tc>
                <w:tcPr>
                  <w:tcW w:w="993" w:type="pct"/>
                  <w:shd w:val="clear" w:color="auto" w:fill="auto"/>
                  <w:vAlign w:val="center"/>
                </w:tcPr>
                <w:p w14:paraId="21D769A3">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模温机</w:t>
                  </w:r>
                </w:p>
              </w:tc>
              <w:tc>
                <w:tcPr>
                  <w:tcW w:w="1321" w:type="pct"/>
                  <w:vAlign w:val="center"/>
                </w:tcPr>
                <w:p w14:paraId="17278D13">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5匹</w:t>
                  </w:r>
                </w:p>
              </w:tc>
              <w:tc>
                <w:tcPr>
                  <w:tcW w:w="520" w:type="pct"/>
                  <w:vAlign w:val="center"/>
                </w:tcPr>
                <w:p w14:paraId="0A68D94D">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10</w:t>
                  </w:r>
                </w:p>
              </w:tc>
              <w:tc>
                <w:tcPr>
                  <w:tcW w:w="399" w:type="pct"/>
                  <w:vAlign w:val="center"/>
                </w:tcPr>
                <w:p w14:paraId="5C86B39F">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注塑模具专用温控装置用于模具快速控温，缩短成型周期</w:t>
                  </w:r>
                </w:p>
              </w:tc>
            </w:tr>
            <w:tr w14:paraId="6205B9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shd w:val="clear" w:color="auto" w:fill="auto"/>
                  <w:vAlign w:val="center"/>
                </w:tcPr>
                <w:p w14:paraId="0AC2D8D1">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18</w:t>
                  </w:r>
                </w:p>
              </w:tc>
              <w:tc>
                <w:tcPr>
                  <w:tcW w:w="456" w:type="pct"/>
                  <w:vMerge w:val="restart"/>
                  <w:vAlign w:val="center"/>
                </w:tcPr>
                <w:p w14:paraId="61709D6F">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厂房2F</w:t>
                  </w:r>
                </w:p>
              </w:tc>
              <w:tc>
                <w:tcPr>
                  <w:tcW w:w="472" w:type="pct"/>
                  <w:vMerge w:val="restart"/>
                  <w:shd w:val="clear" w:color="auto" w:fill="auto"/>
                  <w:vAlign w:val="center"/>
                </w:tcPr>
                <w:p w14:paraId="14649211">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不合格品粉碎区</w:t>
                  </w:r>
                </w:p>
              </w:tc>
              <w:tc>
                <w:tcPr>
                  <w:tcW w:w="530" w:type="pct"/>
                  <w:vMerge w:val="restart"/>
                  <w:shd w:val="clear" w:color="auto" w:fill="auto"/>
                  <w:vAlign w:val="center"/>
                </w:tcPr>
                <w:p w14:paraId="7A741345">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粉碎</w:t>
                  </w:r>
                </w:p>
              </w:tc>
              <w:tc>
                <w:tcPr>
                  <w:tcW w:w="993" w:type="pct"/>
                  <w:shd w:val="clear" w:color="auto" w:fill="auto"/>
                  <w:vAlign w:val="center"/>
                </w:tcPr>
                <w:p w14:paraId="5A5892E2">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粉碎机</w:t>
                  </w:r>
                </w:p>
              </w:tc>
              <w:tc>
                <w:tcPr>
                  <w:tcW w:w="1321" w:type="pct"/>
                  <w:vAlign w:val="center"/>
                </w:tcPr>
                <w:p w14:paraId="3A3E162F">
                  <w:pPr>
                    <w:keepNext w:val="0"/>
                    <w:keepLines w:val="0"/>
                    <w:pageBreakBefore w:val="0"/>
                    <w:widowControl/>
                    <w:suppressLineNumbers w:val="0"/>
                    <w:kinsoku/>
                    <w:wordWrap/>
                    <w:overflowPunct/>
                    <w:topLinePunct w:val="0"/>
                    <w:bidi w:val="0"/>
                    <w:spacing w:before="0" w:beforeAutospacing="0" w:after="0" w:afterAutospacing="0" w:line="276" w:lineRule="auto"/>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150</w:t>
                  </w:r>
                </w:p>
              </w:tc>
              <w:tc>
                <w:tcPr>
                  <w:tcW w:w="520" w:type="pct"/>
                  <w:vAlign w:val="center"/>
                </w:tcPr>
                <w:p w14:paraId="5BCF1D44">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399" w:type="pct"/>
                  <w:vAlign w:val="center"/>
                </w:tcPr>
                <w:p w14:paraId="26B09384">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012356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shd w:val="clear" w:color="auto" w:fill="auto"/>
                  <w:vAlign w:val="center"/>
                </w:tcPr>
                <w:p w14:paraId="2BC3821E">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19</w:t>
                  </w:r>
                </w:p>
              </w:tc>
              <w:tc>
                <w:tcPr>
                  <w:tcW w:w="456" w:type="pct"/>
                  <w:vMerge w:val="continue"/>
                  <w:vAlign w:val="center"/>
                </w:tcPr>
                <w:p w14:paraId="254DBE4E">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472" w:type="pct"/>
                  <w:vMerge w:val="continue"/>
                  <w:shd w:val="clear" w:color="auto" w:fill="auto"/>
                  <w:vAlign w:val="center"/>
                </w:tcPr>
                <w:p w14:paraId="050EF145">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530" w:type="pct"/>
                  <w:vMerge w:val="continue"/>
                  <w:shd w:val="clear" w:color="auto" w:fill="auto"/>
                  <w:vAlign w:val="center"/>
                </w:tcPr>
                <w:p w14:paraId="59C53987">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kern w:val="2"/>
                      <w:sz w:val="21"/>
                      <w:szCs w:val="21"/>
                      <w:highlight w:val="none"/>
                      <w:lang w:val="en-US" w:eastAsia="zh-CN" w:bidi="ar-SA"/>
                    </w:rPr>
                  </w:pPr>
                </w:p>
              </w:tc>
              <w:tc>
                <w:tcPr>
                  <w:tcW w:w="993" w:type="pct"/>
                  <w:shd w:val="clear" w:color="auto" w:fill="auto"/>
                  <w:vAlign w:val="center"/>
                </w:tcPr>
                <w:p w14:paraId="05B35609">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粉碎机</w:t>
                  </w:r>
                </w:p>
              </w:tc>
              <w:tc>
                <w:tcPr>
                  <w:tcW w:w="1321" w:type="pct"/>
                  <w:vAlign w:val="center"/>
                </w:tcPr>
                <w:p w14:paraId="58AD9D4D">
                  <w:pPr>
                    <w:keepNext w:val="0"/>
                    <w:keepLines w:val="0"/>
                    <w:pageBreakBefore w:val="0"/>
                    <w:widowControl/>
                    <w:suppressLineNumbers w:val="0"/>
                    <w:kinsoku/>
                    <w:wordWrap/>
                    <w:overflowPunct/>
                    <w:topLinePunct w:val="0"/>
                    <w:bidi w:val="0"/>
                    <w:spacing w:before="0" w:beforeAutospacing="0" w:after="0" w:afterAutospacing="0" w:line="276" w:lineRule="auto"/>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200</w:t>
                  </w:r>
                </w:p>
              </w:tc>
              <w:tc>
                <w:tcPr>
                  <w:tcW w:w="520" w:type="pct"/>
                  <w:vAlign w:val="center"/>
                </w:tcPr>
                <w:p w14:paraId="30417338">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399" w:type="pct"/>
                  <w:vAlign w:val="center"/>
                </w:tcPr>
                <w:p w14:paraId="3897D940">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26A67E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shd w:val="clear" w:color="auto" w:fill="auto"/>
                  <w:vAlign w:val="center"/>
                </w:tcPr>
                <w:p w14:paraId="636BE269">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20</w:t>
                  </w:r>
                </w:p>
              </w:tc>
              <w:tc>
                <w:tcPr>
                  <w:tcW w:w="456" w:type="pct"/>
                  <w:vMerge w:val="continue"/>
                  <w:vAlign w:val="center"/>
                </w:tcPr>
                <w:p w14:paraId="212F95E2">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472" w:type="pct"/>
                  <w:vMerge w:val="continue"/>
                  <w:shd w:val="clear" w:color="auto" w:fill="auto"/>
                  <w:vAlign w:val="center"/>
                </w:tcPr>
                <w:p w14:paraId="469FA5EC">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530" w:type="pct"/>
                  <w:vMerge w:val="continue"/>
                  <w:shd w:val="clear" w:color="auto" w:fill="auto"/>
                  <w:vAlign w:val="center"/>
                </w:tcPr>
                <w:p w14:paraId="1D1825DE">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kern w:val="2"/>
                      <w:sz w:val="21"/>
                      <w:szCs w:val="21"/>
                      <w:highlight w:val="none"/>
                      <w:lang w:val="en-US" w:eastAsia="zh-CN" w:bidi="ar-SA"/>
                    </w:rPr>
                  </w:pPr>
                </w:p>
              </w:tc>
              <w:tc>
                <w:tcPr>
                  <w:tcW w:w="993" w:type="pct"/>
                  <w:shd w:val="clear" w:color="auto" w:fill="auto"/>
                  <w:vAlign w:val="center"/>
                </w:tcPr>
                <w:p w14:paraId="04F061C0">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粉碎机</w:t>
                  </w:r>
                </w:p>
              </w:tc>
              <w:tc>
                <w:tcPr>
                  <w:tcW w:w="1321" w:type="pct"/>
                  <w:vAlign w:val="center"/>
                </w:tcPr>
                <w:p w14:paraId="1DD5F66A">
                  <w:pPr>
                    <w:keepNext w:val="0"/>
                    <w:keepLines w:val="0"/>
                    <w:pageBreakBefore w:val="0"/>
                    <w:widowControl/>
                    <w:suppressLineNumbers w:val="0"/>
                    <w:kinsoku/>
                    <w:wordWrap/>
                    <w:overflowPunct/>
                    <w:topLinePunct w:val="0"/>
                    <w:bidi w:val="0"/>
                    <w:spacing w:before="0" w:beforeAutospacing="0" w:after="0" w:afterAutospacing="0" w:line="276" w:lineRule="auto"/>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300</w:t>
                  </w:r>
                </w:p>
              </w:tc>
              <w:tc>
                <w:tcPr>
                  <w:tcW w:w="520" w:type="pct"/>
                  <w:vAlign w:val="center"/>
                </w:tcPr>
                <w:p w14:paraId="701003FC">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399" w:type="pct"/>
                  <w:vAlign w:val="center"/>
                </w:tcPr>
                <w:p w14:paraId="19FBA53F">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7E7003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shd w:val="clear" w:color="auto" w:fill="auto"/>
                  <w:vAlign w:val="center"/>
                </w:tcPr>
                <w:p w14:paraId="5C334D64">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21</w:t>
                  </w:r>
                </w:p>
              </w:tc>
              <w:tc>
                <w:tcPr>
                  <w:tcW w:w="456" w:type="pct"/>
                  <w:vMerge w:val="continue"/>
                  <w:vAlign w:val="center"/>
                </w:tcPr>
                <w:p w14:paraId="24D903B0">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472" w:type="pct"/>
                  <w:vMerge w:val="continue"/>
                  <w:shd w:val="clear" w:color="auto" w:fill="auto"/>
                  <w:vAlign w:val="center"/>
                </w:tcPr>
                <w:p w14:paraId="6D25449C">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530" w:type="pct"/>
                  <w:vMerge w:val="continue"/>
                  <w:shd w:val="clear" w:color="auto" w:fill="auto"/>
                  <w:vAlign w:val="center"/>
                </w:tcPr>
                <w:p w14:paraId="49A87357">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kern w:val="2"/>
                      <w:sz w:val="21"/>
                      <w:szCs w:val="21"/>
                      <w:highlight w:val="none"/>
                      <w:lang w:val="en-US" w:eastAsia="zh-CN" w:bidi="ar-SA"/>
                    </w:rPr>
                  </w:pPr>
                </w:p>
              </w:tc>
              <w:tc>
                <w:tcPr>
                  <w:tcW w:w="993" w:type="pct"/>
                  <w:shd w:val="clear" w:color="auto" w:fill="auto"/>
                  <w:vAlign w:val="center"/>
                </w:tcPr>
                <w:p w14:paraId="3944E3ED">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粉碎机</w:t>
                  </w:r>
                </w:p>
              </w:tc>
              <w:tc>
                <w:tcPr>
                  <w:tcW w:w="1321" w:type="pct"/>
                  <w:vAlign w:val="center"/>
                </w:tcPr>
                <w:p w14:paraId="65911AA0">
                  <w:pPr>
                    <w:keepNext w:val="0"/>
                    <w:keepLines w:val="0"/>
                    <w:pageBreakBefore w:val="0"/>
                    <w:widowControl/>
                    <w:suppressLineNumbers w:val="0"/>
                    <w:kinsoku/>
                    <w:wordWrap/>
                    <w:overflowPunct/>
                    <w:topLinePunct w:val="0"/>
                    <w:bidi w:val="0"/>
                    <w:spacing w:before="0" w:beforeAutospacing="0" w:after="0" w:afterAutospacing="0" w:line="276" w:lineRule="auto"/>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350</w:t>
                  </w:r>
                </w:p>
              </w:tc>
              <w:tc>
                <w:tcPr>
                  <w:tcW w:w="520" w:type="pct"/>
                  <w:vAlign w:val="center"/>
                </w:tcPr>
                <w:p w14:paraId="6CD0E524">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399" w:type="pct"/>
                  <w:vAlign w:val="center"/>
                </w:tcPr>
                <w:p w14:paraId="16408D25">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2E555D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shd w:val="clear" w:color="auto" w:fill="auto"/>
                  <w:vAlign w:val="center"/>
                </w:tcPr>
                <w:p w14:paraId="0A846A97">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22</w:t>
                  </w:r>
                </w:p>
              </w:tc>
              <w:tc>
                <w:tcPr>
                  <w:tcW w:w="456" w:type="pct"/>
                  <w:vMerge w:val="continue"/>
                  <w:vAlign w:val="center"/>
                </w:tcPr>
                <w:p w14:paraId="6CB4DC9C">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472" w:type="pct"/>
                  <w:vMerge w:val="continue"/>
                  <w:shd w:val="clear" w:color="auto" w:fill="auto"/>
                  <w:vAlign w:val="center"/>
                </w:tcPr>
                <w:p w14:paraId="08F36ECB">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530" w:type="pct"/>
                  <w:vMerge w:val="continue"/>
                  <w:shd w:val="clear" w:color="auto" w:fill="auto"/>
                  <w:vAlign w:val="center"/>
                </w:tcPr>
                <w:p w14:paraId="7464BA2A">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kern w:val="2"/>
                      <w:sz w:val="21"/>
                      <w:szCs w:val="21"/>
                      <w:highlight w:val="none"/>
                      <w:lang w:val="en-US" w:eastAsia="zh-CN" w:bidi="ar-SA"/>
                    </w:rPr>
                  </w:pPr>
                </w:p>
              </w:tc>
              <w:tc>
                <w:tcPr>
                  <w:tcW w:w="993" w:type="pct"/>
                  <w:shd w:val="clear" w:color="auto" w:fill="auto"/>
                  <w:vAlign w:val="center"/>
                </w:tcPr>
                <w:p w14:paraId="7ECB3F22">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粉碎机</w:t>
                  </w:r>
                </w:p>
              </w:tc>
              <w:tc>
                <w:tcPr>
                  <w:tcW w:w="1321" w:type="pct"/>
                  <w:vAlign w:val="center"/>
                </w:tcPr>
                <w:p w14:paraId="7FAD5076">
                  <w:pPr>
                    <w:keepNext w:val="0"/>
                    <w:keepLines w:val="0"/>
                    <w:pageBreakBefore w:val="0"/>
                    <w:widowControl/>
                    <w:suppressLineNumbers w:val="0"/>
                    <w:kinsoku/>
                    <w:wordWrap/>
                    <w:overflowPunct/>
                    <w:topLinePunct w:val="0"/>
                    <w:bidi w:val="0"/>
                    <w:spacing w:before="0" w:beforeAutospacing="0" w:after="0" w:afterAutospacing="0" w:line="276" w:lineRule="auto"/>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400</w:t>
                  </w:r>
                </w:p>
              </w:tc>
              <w:tc>
                <w:tcPr>
                  <w:tcW w:w="520" w:type="pct"/>
                  <w:vAlign w:val="center"/>
                </w:tcPr>
                <w:p w14:paraId="43FD3D33">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399" w:type="pct"/>
                  <w:vAlign w:val="center"/>
                </w:tcPr>
                <w:p w14:paraId="40D23FC5">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01E037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04" w:type="pct"/>
                  <w:shd w:val="clear" w:color="auto" w:fill="auto"/>
                  <w:vAlign w:val="center"/>
                </w:tcPr>
                <w:p w14:paraId="6E119C95">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23</w:t>
                  </w:r>
                </w:p>
              </w:tc>
              <w:tc>
                <w:tcPr>
                  <w:tcW w:w="456" w:type="pct"/>
                  <w:vMerge w:val="continue"/>
                  <w:vAlign w:val="center"/>
                </w:tcPr>
                <w:p w14:paraId="7FC1235C">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472" w:type="pct"/>
                  <w:vMerge w:val="continue"/>
                  <w:shd w:val="clear" w:color="auto" w:fill="auto"/>
                  <w:vAlign w:val="center"/>
                </w:tcPr>
                <w:p w14:paraId="4CCF4BA1">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p>
              </w:tc>
              <w:tc>
                <w:tcPr>
                  <w:tcW w:w="530" w:type="pct"/>
                  <w:vMerge w:val="continue"/>
                  <w:shd w:val="clear" w:color="auto" w:fill="auto"/>
                  <w:vAlign w:val="center"/>
                </w:tcPr>
                <w:p w14:paraId="6CB8614D">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kern w:val="2"/>
                      <w:sz w:val="21"/>
                      <w:szCs w:val="21"/>
                      <w:highlight w:val="none"/>
                      <w:lang w:val="en-US" w:eastAsia="zh-CN" w:bidi="ar-SA"/>
                    </w:rPr>
                  </w:pPr>
                </w:p>
              </w:tc>
              <w:tc>
                <w:tcPr>
                  <w:tcW w:w="993" w:type="pct"/>
                  <w:shd w:val="clear" w:color="auto" w:fill="auto"/>
                  <w:vAlign w:val="center"/>
                </w:tcPr>
                <w:p w14:paraId="738256AE">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276"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粉碎机</w:t>
                  </w:r>
                </w:p>
              </w:tc>
              <w:tc>
                <w:tcPr>
                  <w:tcW w:w="1321" w:type="pct"/>
                  <w:vAlign w:val="center"/>
                </w:tcPr>
                <w:p w14:paraId="59EA96ED">
                  <w:pPr>
                    <w:keepNext w:val="0"/>
                    <w:keepLines w:val="0"/>
                    <w:pageBreakBefore w:val="0"/>
                    <w:widowControl/>
                    <w:suppressLineNumbers w:val="0"/>
                    <w:kinsoku/>
                    <w:wordWrap/>
                    <w:overflowPunct/>
                    <w:topLinePunct w:val="0"/>
                    <w:bidi w:val="0"/>
                    <w:spacing w:before="0" w:beforeAutospacing="0" w:after="0" w:afterAutospacing="0" w:line="276" w:lineRule="auto"/>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600</w:t>
                  </w:r>
                </w:p>
              </w:tc>
              <w:tc>
                <w:tcPr>
                  <w:tcW w:w="520" w:type="pct"/>
                  <w:vAlign w:val="center"/>
                </w:tcPr>
                <w:p w14:paraId="2688575A">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399" w:type="pct"/>
                  <w:vAlign w:val="center"/>
                </w:tcPr>
                <w:p w14:paraId="06B6ED2D">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35C34E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04" w:type="pct"/>
                  <w:vAlign w:val="center"/>
                </w:tcPr>
                <w:p w14:paraId="3890F4F6">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24</w:t>
                  </w:r>
                </w:p>
              </w:tc>
              <w:tc>
                <w:tcPr>
                  <w:tcW w:w="456" w:type="pct"/>
                  <w:vMerge w:val="restart"/>
                  <w:shd w:val="clear" w:color="auto" w:fill="auto"/>
                  <w:vAlign w:val="center"/>
                </w:tcPr>
                <w:p w14:paraId="4F73D753">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公用区域</w:t>
                  </w:r>
                </w:p>
              </w:tc>
              <w:tc>
                <w:tcPr>
                  <w:tcW w:w="472" w:type="pct"/>
                  <w:shd w:val="clear" w:color="auto" w:fill="auto"/>
                  <w:vAlign w:val="center"/>
                </w:tcPr>
                <w:p w14:paraId="3901DE8E">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w:t>
                  </w:r>
                </w:p>
              </w:tc>
              <w:tc>
                <w:tcPr>
                  <w:tcW w:w="530" w:type="pct"/>
                  <w:shd w:val="clear" w:color="auto" w:fill="auto"/>
                  <w:vAlign w:val="center"/>
                </w:tcPr>
                <w:p w14:paraId="6FF50910">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公用</w:t>
                  </w:r>
                </w:p>
              </w:tc>
              <w:tc>
                <w:tcPr>
                  <w:tcW w:w="993" w:type="pct"/>
                  <w:shd w:val="clear" w:color="auto" w:fill="auto"/>
                  <w:vAlign w:val="center"/>
                </w:tcPr>
                <w:p w14:paraId="444AAF7B">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空压机</w:t>
                  </w:r>
                </w:p>
              </w:tc>
              <w:tc>
                <w:tcPr>
                  <w:tcW w:w="1321" w:type="pct"/>
                  <w:shd w:val="clear" w:color="auto" w:fill="auto"/>
                  <w:vAlign w:val="center"/>
                </w:tcPr>
                <w:p w14:paraId="59CDFC99">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w:t>
                  </w:r>
                </w:p>
              </w:tc>
              <w:tc>
                <w:tcPr>
                  <w:tcW w:w="520" w:type="pct"/>
                  <w:shd w:val="clear" w:color="auto" w:fill="auto"/>
                  <w:vAlign w:val="center"/>
                </w:tcPr>
                <w:p w14:paraId="65A53757">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w:t>
                  </w:r>
                </w:p>
              </w:tc>
              <w:tc>
                <w:tcPr>
                  <w:tcW w:w="399" w:type="pct"/>
                  <w:vAlign w:val="center"/>
                </w:tcPr>
                <w:p w14:paraId="644C7B95">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14:paraId="47B45D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04" w:type="pct"/>
                  <w:vAlign w:val="center"/>
                </w:tcPr>
                <w:p w14:paraId="2F276676">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25</w:t>
                  </w:r>
                </w:p>
              </w:tc>
              <w:tc>
                <w:tcPr>
                  <w:tcW w:w="456" w:type="pct"/>
                  <w:vMerge w:val="continue"/>
                  <w:vAlign w:val="center"/>
                </w:tcPr>
                <w:p w14:paraId="5AA660CD">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472" w:type="pct"/>
                  <w:vAlign w:val="center"/>
                </w:tcPr>
                <w:p w14:paraId="7120B862">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530" w:type="pct"/>
                  <w:shd w:val="clear" w:color="auto" w:fill="auto"/>
                  <w:vAlign w:val="center"/>
                </w:tcPr>
                <w:p w14:paraId="66B3031D">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运输</w:t>
                  </w:r>
                </w:p>
              </w:tc>
              <w:tc>
                <w:tcPr>
                  <w:tcW w:w="993" w:type="pct"/>
                  <w:shd w:val="clear" w:color="auto" w:fill="auto"/>
                  <w:vAlign w:val="center"/>
                </w:tcPr>
                <w:p w14:paraId="3B0A99E0">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自动化机械手</w:t>
                  </w:r>
                </w:p>
              </w:tc>
              <w:tc>
                <w:tcPr>
                  <w:tcW w:w="1321" w:type="pct"/>
                  <w:shd w:val="clear" w:color="auto" w:fill="auto"/>
                  <w:vAlign w:val="center"/>
                </w:tcPr>
                <w:p w14:paraId="79116A19">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新科之星600~1400</w:t>
                  </w:r>
                </w:p>
              </w:tc>
              <w:tc>
                <w:tcPr>
                  <w:tcW w:w="520" w:type="pct"/>
                  <w:shd w:val="clear" w:color="auto" w:fill="auto"/>
                  <w:vAlign w:val="center"/>
                </w:tcPr>
                <w:p w14:paraId="66D63AB2">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14</w:t>
                  </w:r>
                </w:p>
              </w:tc>
              <w:tc>
                <w:tcPr>
                  <w:tcW w:w="399" w:type="pct"/>
                  <w:vAlign w:val="center"/>
                </w:tcPr>
                <w:p w14:paraId="5B372DFA">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生产线配套</w:t>
                  </w:r>
                </w:p>
              </w:tc>
            </w:tr>
            <w:tr w14:paraId="2CF48B1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04" w:type="pct"/>
                  <w:vAlign w:val="center"/>
                </w:tcPr>
                <w:p w14:paraId="0926F8F6">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26</w:t>
                  </w:r>
                </w:p>
              </w:tc>
              <w:tc>
                <w:tcPr>
                  <w:tcW w:w="456" w:type="pct"/>
                  <w:vMerge w:val="continue"/>
                  <w:vAlign w:val="center"/>
                </w:tcPr>
                <w:p w14:paraId="68FC8A15">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472" w:type="pct"/>
                  <w:vAlign w:val="center"/>
                </w:tcPr>
                <w:p w14:paraId="1FDFE4BC">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530" w:type="pct"/>
                  <w:shd w:val="clear" w:color="auto" w:fill="auto"/>
                  <w:vAlign w:val="center"/>
                </w:tcPr>
                <w:p w14:paraId="5700F226">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运输</w:t>
                  </w:r>
                </w:p>
              </w:tc>
              <w:tc>
                <w:tcPr>
                  <w:tcW w:w="993" w:type="pct"/>
                  <w:shd w:val="clear" w:color="auto" w:fill="auto"/>
                  <w:vAlign w:val="center"/>
                </w:tcPr>
                <w:p w14:paraId="4311AD0A">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叉车</w:t>
                  </w:r>
                </w:p>
              </w:tc>
              <w:tc>
                <w:tcPr>
                  <w:tcW w:w="1321" w:type="pct"/>
                  <w:shd w:val="clear" w:color="auto" w:fill="auto"/>
                  <w:vAlign w:val="center"/>
                </w:tcPr>
                <w:p w14:paraId="7D3DDAE1">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2吨</w:t>
                  </w:r>
                </w:p>
              </w:tc>
              <w:tc>
                <w:tcPr>
                  <w:tcW w:w="520" w:type="pct"/>
                  <w:shd w:val="clear" w:color="auto" w:fill="auto"/>
                  <w:vAlign w:val="center"/>
                </w:tcPr>
                <w:p w14:paraId="0F79034F">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2</w:t>
                  </w:r>
                </w:p>
              </w:tc>
              <w:tc>
                <w:tcPr>
                  <w:tcW w:w="399" w:type="pct"/>
                  <w:vAlign w:val="center"/>
                </w:tcPr>
                <w:p w14:paraId="0BADFA22">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14:paraId="57B929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04" w:type="pct"/>
                  <w:vAlign w:val="center"/>
                </w:tcPr>
                <w:p w14:paraId="0BA675E8">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27</w:t>
                  </w:r>
                </w:p>
              </w:tc>
              <w:tc>
                <w:tcPr>
                  <w:tcW w:w="456" w:type="pct"/>
                  <w:vMerge w:val="continue"/>
                  <w:vAlign w:val="center"/>
                </w:tcPr>
                <w:p w14:paraId="75BCA32C">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p>
              </w:tc>
              <w:tc>
                <w:tcPr>
                  <w:tcW w:w="472" w:type="pct"/>
                  <w:vAlign w:val="center"/>
                </w:tcPr>
                <w:p w14:paraId="1A262B2E">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530" w:type="pct"/>
                  <w:shd w:val="clear" w:color="auto" w:fill="auto"/>
                  <w:vAlign w:val="center"/>
                </w:tcPr>
                <w:p w14:paraId="287D6604">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运输</w:t>
                  </w:r>
                </w:p>
              </w:tc>
              <w:tc>
                <w:tcPr>
                  <w:tcW w:w="993" w:type="pct"/>
                  <w:shd w:val="clear" w:color="auto" w:fill="auto"/>
                  <w:vAlign w:val="center"/>
                </w:tcPr>
                <w:p w14:paraId="4C7678D3">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叉车</w:t>
                  </w:r>
                </w:p>
              </w:tc>
              <w:tc>
                <w:tcPr>
                  <w:tcW w:w="1321" w:type="pct"/>
                  <w:shd w:val="clear" w:color="auto" w:fill="auto"/>
                  <w:vAlign w:val="center"/>
                </w:tcPr>
                <w:p w14:paraId="6D906B30">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3.5吨</w:t>
                  </w:r>
                </w:p>
              </w:tc>
              <w:tc>
                <w:tcPr>
                  <w:tcW w:w="520" w:type="pct"/>
                  <w:shd w:val="clear" w:color="auto" w:fill="auto"/>
                  <w:vAlign w:val="center"/>
                </w:tcPr>
                <w:p w14:paraId="0F8E8CD8">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w:t>
                  </w:r>
                </w:p>
              </w:tc>
              <w:tc>
                <w:tcPr>
                  <w:tcW w:w="399" w:type="pct"/>
                  <w:vAlign w:val="center"/>
                </w:tcPr>
                <w:p w14:paraId="1604CD07">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14:paraId="60269C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04" w:type="pct"/>
                  <w:shd w:val="clear" w:color="auto" w:fill="auto"/>
                  <w:vAlign w:val="center"/>
                </w:tcPr>
                <w:p w14:paraId="5DB2AF73">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28</w:t>
                  </w:r>
                </w:p>
              </w:tc>
              <w:tc>
                <w:tcPr>
                  <w:tcW w:w="456" w:type="pct"/>
                  <w:vMerge w:val="continue"/>
                  <w:vAlign w:val="center"/>
                </w:tcPr>
                <w:p w14:paraId="5484EE81">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rPr>
                  </w:pPr>
                </w:p>
              </w:tc>
              <w:tc>
                <w:tcPr>
                  <w:tcW w:w="472" w:type="pct"/>
                  <w:vAlign w:val="center"/>
                </w:tcPr>
                <w:p w14:paraId="06BB02E5">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530" w:type="pct"/>
                  <w:vMerge w:val="restart"/>
                  <w:vAlign w:val="center"/>
                </w:tcPr>
                <w:p w14:paraId="367F7BE5">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废气</w:t>
                  </w:r>
                </w:p>
                <w:p w14:paraId="436B90D5">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治理</w:t>
                  </w:r>
                </w:p>
              </w:tc>
              <w:tc>
                <w:tcPr>
                  <w:tcW w:w="993" w:type="pct"/>
                  <w:vAlign w:val="center"/>
                </w:tcPr>
                <w:p w14:paraId="3E7B9FA5">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风机</w:t>
                  </w:r>
                </w:p>
              </w:tc>
              <w:tc>
                <w:tcPr>
                  <w:tcW w:w="1321" w:type="pct"/>
                  <w:vAlign w:val="center"/>
                </w:tcPr>
                <w:p w14:paraId="48E6A476">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5.5kW</w:t>
                  </w:r>
                </w:p>
              </w:tc>
              <w:tc>
                <w:tcPr>
                  <w:tcW w:w="520" w:type="pct"/>
                  <w:vAlign w:val="center"/>
                </w:tcPr>
                <w:p w14:paraId="2241D771">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c>
                <w:tcPr>
                  <w:tcW w:w="399" w:type="pct"/>
                  <w:vAlign w:val="center"/>
                </w:tcPr>
                <w:p w14:paraId="3143320F">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14:paraId="5BED3A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04" w:type="pct"/>
                  <w:vAlign w:val="center"/>
                </w:tcPr>
                <w:p w14:paraId="631B5BDA">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29</w:t>
                  </w:r>
                </w:p>
              </w:tc>
              <w:tc>
                <w:tcPr>
                  <w:tcW w:w="456" w:type="pct"/>
                  <w:vMerge w:val="continue"/>
                  <w:vAlign w:val="center"/>
                </w:tcPr>
                <w:p w14:paraId="1BD1FF6B">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rPr>
                  </w:pPr>
                </w:p>
              </w:tc>
              <w:tc>
                <w:tcPr>
                  <w:tcW w:w="472" w:type="pct"/>
                  <w:vAlign w:val="center"/>
                </w:tcPr>
                <w:p w14:paraId="43398EFB">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530" w:type="pct"/>
                  <w:vMerge w:val="continue"/>
                  <w:vAlign w:val="center"/>
                </w:tcPr>
                <w:p w14:paraId="25385E07">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rPr>
                  </w:pPr>
                </w:p>
              </w:tc>
              <w:tc>
                <w:tcPr>
                  <w:tcW w:w="993" w:type="pct"/>
                  <w:shd w:val="clear" w:color="auto" w:fill="auto"/>
                  <w:vAlign w:val="center"/>
                </w:tcPr>
                <w:p w14:paraId="71066C90">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布袋除尘器</w:t>
                  </w:r>
                </w:p>
              </w:tc>
              <w:tc>
                <w:tcPr>
                  <w:tcW w:w="1321" w:type="pct"/>
                  <w:shd w:val="clear" w:color="auto" w:fill="auto"/>
                  <w:vAlign w:val="center"/>
                </w:tcPr>
                <w:p w14:paraId="52C823CD">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w:t>
                  </w:r>
                </w:p>
              </w:tc>
              <w:tc>
                <w:tcPr>
                  <w:tcW w:w="520" w:type="pct"/>
                  <w:shd w:val="clear" w:color="auto" w:fill="auto"/>
                  <w:vAlign w:val="center"/>
                </w:tcPr>
                <w:p w14:paraId="2883E7E2">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w:t>
                  </w:r>
                </w:p>
              </w:tc>
              <w:tc>
                <w:tcPr>
                  <w:tcW w:w="399" w:type="pct"/>
                  <w:shd w:val="clear" w:color="auto" w:fill="auto"/>
                  <w:vAlign w:val="center"/>
                </w:tcPr>
                <w:p w14:paraId="0569382B">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r>
            <w:tr w14:paraId="232FD28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04" w:type="pct"/>
                  <w:vAlign w:val="center"/>
                </w:tcPr>
                <w:p w14:paraId="2D4D78D8">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30</w:t>
                  </w:r>
                </w:p>
              </w:tc>
              <w:tc>
                <w:tcPr>
                  <w:tcW w:w="456" w:type="pct"/>
                  <w:vMerge w:val="continue"/>
                  <w:vAlign w:val="center"/>
                </w:tcPr>
                <w:p w14:paraId="44149748">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rPr>
                  </w:pPr>
                </w:p>
              </w:tc>
              <w:tc>
                <w:tcPr>
                  <w:tcW w:w="472" w:type="pct"/>
                  <w:vAlign w:val="center"/>
                </w:tcPr>
                <w:p w14:paraId="668B1CF8">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530" w:type="pct"/>
                  <w:vMerge w:val="continue"/>
                  <w:vAlign w:val="center"/>
                </w:tcPr>
                <w:p w14:paraId="07B7B731">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rPr>
                  </w:pPr>
                </w:p>
              </w:tc>
              <w:tc>
                <w:tcPr>
                  <w:tcW w:w="993" w:type="pct"/>
                  <w:vAlign w:val="center"/>
                </w:tcPr>
                <w:p w14:paraId="5654C3D5">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二级活性炭吸附装置</w:t>
                  </w:r>
                </w:p>
              </w:tc>
              <w:tc>
                <w:tcPr>
                  <w:tcW w:w="1321" w:type="pct"/>
                  <w:vAlign w:val="center"/>
                </w:tcPr>
                <w:p w14:paraId="61E325D3">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520" w:type="pct"/>
                  <w:vAlign w:val="center"/>
                </w:tcPr>
                <w:p w14:paraId="6DD301EC">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399" w:type="pct"/>
                  <w:vAlign w:val="center"/>
                </w:tcPr>
                <w:p w14:paraId="61FF1BE0">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bl>
          <w:p w14:paraId="730D30D4">
            <w:pPr>
              <w:keepNext w:val="0"/>
              <w:keepLines w:val="0"/>
              <w:suppressLineNumbers w:val="0"/>
              <w:spacing w:before="0" w:beforeAutospacing="0" w:after="0" w:afterAutospacing="0" w:line="360" w:lineRule="auto"/>
              <w:ind w:left="0" w:right="0" w:firstLine="482" w:firstLineChars="200"/>
              <w:rPr>
                <w:rFonts w:hint="default"/>
                <w:b/>
                <w:color w:val="auto"/>
                <w:sz w:val="24"/>
                <w:highlight w:val="none"/>
              </w:rPr>
            </w:pPr>
            <w:r>
              <w:rPr>
                <w:rFonts w:hint="eastAsia"/>
                <w:b/>
                <w:color w:val="auto"/>
                <w:sz w:val="24"/>
                <w:highlight w:val="none"/>
              </w:rPr>
              <w:t>6</w:t>
            </w:r>
            <w:r>
              <w:rPr>
                <w:rFonts w:hint="eastAsia"/>
                <w:b/>
                <w:color w:val="auto"/>
                <w:sz w:val="24"/>
                <w:highlight w:val="none"/>
                <w:lang w:val="en-US" w:eastAsia="zh-CN"/>
              </w:rPr>
              <w:t>.</w:t>
            </w:r>
            <w:r>
              <w:rPr>
                <w:rFonts w:hint="eastAsia"/>
                <w:b/>
                <w:color w:val="auto"/>
                <w:sz w:val="24"/>
                <w:highlight w:val="none"/>
              </w:rPr>
              <w:t>主要原辅材料、能源消耗及原辅材料理化性质</w:t>
            </w:r>
          </w:p>
          <w:p w14:paraId="095174F9">
            <w:pPr>
              <w:keepNext w:val="0"/>
              <w:keepLines w:val="0"/>
              <w:suppressLineNumbers w:val="0"/>
              <w:spacing w:before="0" w:beforeAutospacing="0" w:after="0" w:afterAutospacing="0" w:line="360" w:lineRule="auto"/>
              <w:ind w:left="0" w:right="0" w:firstLine="480" w:firstLineChars="200"/>
              <w:rPr>
                <w:rFonts w:hint="eastAsia"/>
                <w:color w:val="auto"/>
                <w:sz w:val="24"/>
                <w:highlight w:val="none"/>
              </w:rPr>
            </w:pPr>
            <w:r>
              <w:rPr>
                <w:rFonts w:hint="eastAsia"/>
                <w:color w:val="auto"/>
                <w:sz w:val="24"/>
                <w:highlight w:val="none"/>
              </w:rPr>
              <w:t>（1）主要原辅材料及能源消耗</w:t>
            </w:r>
          </w:p>
          <w:p w14:paraId="6C2798C7">
            <w:pPr>
              <w:pStyle w:val="223"/>
              <w:keepNext w:val="0"/>
              <w:keepLines w:val="0"/>
              <w:suppressLineNumbers w:val="0"/>
              <w:spacing w:before="0" w:beforeAutospacing="0" w:after="0" w:afterAutospacing="0"/>
              <w:ind w:left="0" w:right="0"/>
              <w:jc w:val="center"/>
              <w:rPr>
                <w:rFonts w:hint="default" w:eastAsia="黑体" w:cs="Times New Roman"/>
                <w:color w:val="auto"/>
                <w:highlight w:val="none"/>
              </w:rPr>
            </w:pPr>
            <w:r>
              <w:rPr>
                <w:rFonts w:hint="default" w:hAnsi="黑体" w:eastAsia="黑体" w:cs="Times New Roman"/>
                <w:color w:val="auto"/>
                <w:highlight w:val="none"/>
              </w:rPr>
              <w:t>表</w:t>
            </w:r>
            <w:r>
              <w:rPr>
                <w:rFonts w:hint="eastAsia" w:eastAsia="黑体" w:cs="Times New Roman"/>
                <w:color w:val="auto"/>
                <w:highlight w:val="none"/>
                <w:lang w:val="en-US" w:eastAsia="zh-CN"/>
              </w:rPr>
              <w:t>2-6</w:t>
            </w:r>
            <w:r>
              <w:rPr>
                <w:rFonts w:hint="default" w:eastAsia="黑体" w:cs="Times New Roman"/>
                <w:color w:val="auto"/>
                <w:highlight w:val="none"/>
              </w:rPr>
              <w:t xml:space="preserve"> </w:t>
            </w:r>
            <w:r>
              <w:rPr>
                <w:rFonts w:hint="default" w:hAnsi="黑体" w:eastAsia="黑体" w:cs="Times New Roman"/>
                <w:color w:val="auto"/>
                <w:highlight w:val="none"/>
              </w:rPr>
              <w:t>主要原辅材料及能源消耗一览表</w:t>
            </w:r>
          </w:p>
          <w:tbl>
            <w:tblPr>
              <w:tblStyle w:val="38"/>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84"/>
              <w:gridCol w:w="904"/>
              <w:gridCol w:w="750"/>
              <w:gridCol w:w="1350"/>
              <w:gridCol w:w="1065"/>
              <w:gridCol w:w="764"/>
              <w:gridCol w:w="560"/>
              <w:gridCol w:w="653"/>
              <w:gridCol w:w="984"/>
              <w:gridCol w:w="581"/>
            </w:tblGrid>
            <w:tr w14:paraId="0FEC60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484" w:type="dxa"/>
                  <w:vAlign w:val="center"/>
                </w:tcPr>
                <w:p w14:paraId="3F4046E3">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b/>
                      <w:color w:val="auto"/>
                      <w:szCs w:val="21"/>
                      <w:highlight w:val="none"/>
                    </w:rPr>
                  </w:pPr>
                  <w:r>
                    <w:rPr>
                      <w:rFonts w:hint="default"/>
                      <w:b/>
                      <w:color w:val="auto"/>
                      <w:szCs w:val="21"/>
                      <w:highlight w:val="none"/>
                    </w:rPr>
                    <w:t>序号</w:t>
                  </w:r>
                </w:p>
              </w:tc>
              <w:tc>
                <w:tcPr>
                  <w:tcW w:w="904" w:type="dxa"/>
                  <w:vAlign w:val="center"/>
                </w:tcPr>
                <w:p w14:paraId="07770BD5">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b/>
                      <w:color w:val="auto"/>
                      <w:szCs w:val="21"/>
                      <w:highlight w:val="none"/>
                    </w:rPr>
                  </w:pPr>
                  <w:r>
                    <w:rPr>
                      <w:rFonts w:hint="default"/>
                      <w:b/>
                      <w:color w:val="auto"/>
                      <w:szCs w:val="21"/>
                      <w:highlight w:val="none"/>
                    </w:rPr>
                    <w:t>名称</w:t>
                  </w:r>
                </w:p>
              </w:tc>
              <w:tc>
                <w:tcPr>
                  <w:tcW w:w="750" w:type="dxa"/>
                  <w:vAlign w:val="center"/>
                </w:tcPr>
                <w:p w14:paraId="13D48F7F">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b/>
                      <w:color w:val="auto"/>
                      <w:szCs w:val="21"/>
                      <w:highlight w:val="none"/>
                    </w:rPr>
                  </w:pPr>
                  <w:r>
                    <w:rPr>
                      <w:rFonts w:hint="default"/>
                      <w:b/>
                      <w:color w:val="auto"/>
                      <w:szCs w:val="21"/>
                      <w:highlight w:val="none"/>
                    </w:rPr>
                    <w:t>性状</w:t>
                  </w:r>
                </w:p>
              </w:tc>
              <w:tc>
                <w:tcPr>
                  <w:tcW w:w="1350" w:type="dxa"/>
                  <w:vAlign w:val="center"/>
                </w:tcPr>
                <w:p w14:paraId="11FC989D">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b/>
                      <w:color w:val="auto"/>
                      <w:szCs w:val="21"/>
                      <w:highlight w:val="none"/>
                    </w:rPr>
                  </w:pPr>
                  <w:r>
                    <w:rPr>
                      <w:rFonts w:hint="eastAsia"/>
                      <w:b/>
                      <w:color w:val="auto"/>
                      <w:szCs w:val="21"/>
                      <w:highlight w:val="none"/>
                      <w:lang w:val="en-US" w:eastAsia="zh-CN"/>
                    </w:rPr>
                    <w:t>成分、</w:t>
                  </w:r>
                  <w:r>
                    <w:rPr>
                      <w:rFonts w:hint="default"/>
                      <w:b/>
                      <w:color w:val="auto"/>
                      <w:szCs w:val="21"/>
                      <w:highlight w:val="none"/>
                    </w:rPr>
                    <w:t>规格</w:t>
                  </w:r>
                </w:p>
              </w:tc>
              <w:tc>
                <w:tcPr>
                  <w:tcW w:w="1065" w:type="dxa"/>
                  <w:vAlign w:val="center"/>
                </w:tcPr>
                <w:p w14:paraId="6E326C09">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b/>
                      <w:color w:val="auto"/>
                      <w:szCs w:val="21"/>
                      <w:highlight w:val="none"/>
                    </w:rPr>
                  </w:pPr>
                  <w:r>
                    <w:rPr>
                      <w:rFonts w:hint="eastAsia"/>
                      <w:b/>
                      <w:color w:val="auto"/>
                      <w:szCs w:val="21"/>
                      <w:highlight w:val="none"/>
                      <w:lang w:val="en-US" w:eastAsia="zh-CN"/>
                    </w:rPr>
                    <w:t>年消耗量</w:t>
                  </w:r>
                  <w:r>
                    <w:rPr>
                      <w:rFonts w:hint="default"/>
                      <w:b/>
                      <w:color w:val="auto"/>
                      <w:szCs w:val="21"/>
                      <w:highlight w:val="none"/>
                    </w:rPr>
                    <w:t>（t/a）</w:t>
                  </w:r>
                </w:p>
              </w:tc>
              <w:tc>
                <w:tcPr>
                  <w:tcW w:w="764" w:type="dxa"/>
                  <w:vAlign w:val="center"/>
                </w:tcPr>
                <w:p w14:paraId="2B99E829">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b/>
                      <w:color w:val="auto"/>
                      <w:szCs w:val="21"/>
                      <w:highlight w:val="none"/>
                    </w:rPr>
                  </w:pPr>
                  <w:r>
                    <w:rPr>
                      <w:rFonts w:hint="default"/>
                      <w:b/>
                      <w:color w:val="auto"/>
                      <w:szCs w:val="21"/>
                      <w:highlight w:val="none"/>
                    </w:rPr>
                    <w:t>最大</w:t>
                  </w:r>
                </w:p>
                <w:p w14:paraId="0FAD87F9">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b/>
                      <w:color w:val="auto"/>
                      <w:szCs w:val="21"/>
                      <w:highlight w:val="none"/>
                    </w:rPr>
                  </w:pPr>
                  <w:r>
                    <w:rPr>
                      <w:rFonts w:hint="default"/>
                      <w:b/>
                      <w:color w:val="auto"/>
                      <w:szCs w:val="21"/>
                      <w:highlight w:val="none"/>
                    </w:rPr>
                    <w:t>储存量</w:t>
                  </w:r>
                </w:p>
                <w:p w14:paraId="4CBB5E8E">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b/>
                      <w:color w:val="auto"/>
                      <w:szCs w:val="21"/>
                      <w:highlight w:val="none"/>
                    </w:rPr>
                  </w:pPr>
                  <w:r>
                    <w:rPr>
                      <w:rFonts w:hint="default"/>
                      <w:b/>
                      <w:color w:val="auto"/>
                      <w:szCs w:val="21"/>
                      <w:highlight w:val="none"/>
                    </w:rPr>
                    <w:t>（t）</w:t>
                  </w:r>
                </w:p>
              </w:tc>
              <w:tc>
                <w:tcPr>
                  <w:tcW w:w="560" w:type="dxa"/>
                  <w:vAlign w:val="center"/>
                </w:tcPr>
                <w:p w14:paraId="2C569603">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b/>
                      <w:color w:val="auto"/>
                      <w:szCs w:val="21"/>
                      <w:highlight w:val="none"/>
                    </w:rPr>
                  </w:pPr>
                  <w:r>
                    <w:rPr>
                      <w:rFonts w:hint="default"/>
                      <w:b/>
                      <w:color w:val="auto"/>
                      <w:szCs w:val="21"/>
                      <w:highlight w:val="none"/>
                    </w:rPr>
                    <w:t>转运</w:t>
                  </w:r>
                </w:p>
                <w:p w14:paraId="15043C6F">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b/>
                      <w:color w:val="auto"/>
                      <w:szCs w:val="21"/>
                      <w:highlight w:val="none"/>
                    </w:rPr>
                  </w:pPr>
                  <w:r>
                    <w:rPr>
                      <w:rFonts w:hint="default"/>
                      <w:b/>
                      <w:color w:val="auto"/>
                      <w:szCs w:val="21"/>
                      <w:highlight w:val="none"/>
                    </w:rPr>
                    <w:t>周期</w:t>
                  </w:r>
                </w:p>
              </w:tc>
              <w:tc>
                <w:tcPr>
                  <w:tcW w:w="653" w:type="dxa"/>
                  <w:vAlign w:val="center"/>
                </w:tcPr>
                <w:p w14:paraId="67A1C46F">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b/>
                      <w:color w:val="auto"/>
                      <w:szCs w:val="21"/>
                      <w:highlight w:val="none"/>
                    </w:rPr>
                  </w:pPr>
                  <w:r>
                    <w:rPr>
                      <w:rFonts w:hint="default"/>
                      <w:b/>
                      <w:color w:val="auto"/>
                      <w:szCs w:val="21"/>
                      <w:highlight w:val="none"/>
                    </w:rPr>
                    <w:t>储存位置</w:t>
                  </w:r>
                </w:p>
              </w:tc>
              <w:tc>
                <w:tcPr>
                  <w:tcW w:w="984" w:type="dxa"/>
                  <w:vAlign w:val="center"/>
                </w:tcPr>
                <w:p w14:paraId="690C4601">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eastAsia" w:eastAsia="宋体"/>
                      <w:b/>
                      <w:color w:val="auto"/>
                      <w:szCs w:val="21"/>
                      <w:highlight w:val="none"/>
                      <w:lang w:val="en-US" w:eastAsia="zh-CN"/>
                    </w:rPr>
                  </w:pPr>
                  <w:r>
                    <w:rPr>
                      <w:rFonts w:hint="eastAsia"/>
                      <w:b/>
                      <w:color w:val="auto"/>
                      <w:szCs w:val="21"/>
                      <w:highlight w:val="none"/>
                      <w:lang w:val="en-US" w:eastAsia="zh-CN"/>
                    </w:rPr>
                    <w:t>包装储存方式</w:t>
                  </w:r>
                </w:p>
              </w:tc>
              <w:tc>
                <w:tcPr>
                  <w:tcW w:w="581" w:type="dxa"/>
                  <w:vAlign w:val="center"/>
                </w:tcPr>
                <w:p w14:paraId="7C5722CE">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b/>
                      <w:color w:val="auto"/>
                      <w:szCs w:val="21"/>
                      <w:highlight w:val="none"/>
                    </w:rPr>
                  </w:pPr>
                  <w:r>
                    <w:rPr>
                      <w:rFonts w:hint="default"/>
                      <w:b/>
                      <w:color w:val="auto"/>
                      <w:szCs w:val="21"/>
                      <w:highlight w:val="none"/>
                    </w:rPr>
                    <w:t>备注</w:t>
                  </w:r>
                </w:p>
              </w:tc>
            </w:tr>
            <w:tr w14:paraId="4A809A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484" w:type="dxa"/>
                  <w:vAlign w:val="center"/>
                </w:tcPr>
                <w:p w14:paraId="538CE5FD">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1</w:t>
                  </w:r>
                </w:p>
              </w:tc>
              <w:tc>
                <w:tcPr>
                  <w:tcW w:w="904" w:type="dxa"/>
                  <w:vAlign w:val="center"/>
                </w:tcPr>
                <w:p w14:paraId="7AA7B340">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PP</w:t>
                  </w:r>
                </w:p>
              </w:tc>
              <w:tc>
                <w:tcPr>
                  <w:tcW w:w="750" w:type="dxa"/>
                  <w:vAlign w:val="center"/>
                </w:tcPr>
                <w:p w14:paraId="3FFFC0CF">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固态粒子</w:t>
                  </w:r>
                </w:p>
              </w:tc>
              <w:tc>
                <w:tcPr>
                  <w:tcW w:w="1350" w:type="dxa"/>
                  <w:vAlign w:val="center"/>
                </w:tcPr>
                <w:p w14:paraId="72C4D13C">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2mm~5mm</w:t>
                  </w:r>
                </w:p>
              </w:tc>
              <w:tc>
                <w:tcPr>
                  <w:tcW w:w="1065" w:type="dxa"/>
                  <w:vAlign w:val="center"/>
                </w:tcPr>
                <w:p w14:paraId="3D53E524">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200</w:t>
                  </w:r>
                </w:p>
              </w:tc>
              <w:tc>
                <w:tcPr>
                  <w:tcW w:w="764" w:type="dxa"/>
                  <w:vAlign w:val="center"/>
                </w:tcPr>
                <w:p w14:paraId="1284B964">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190</w:t>
                  </w:r>
                </w:p>
              </w:tc>
              <w:tc>
                <w:tcPr>
                  <w:tcW w:w="560" w:type="dxa"/>
                  <w:vAlign w:val="center"/>
                </w:tcPr>
                <w:p w14:paraId="42D234C6">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30d</w:t>
                  </w:r>
                </w:p>
              </w:tc>
              <w:tc>
                <w:tcPr>
                  <w:tcW w:w="653" w:type="dxa"/>
                  <w:vAlign w:val="center"/>
                </w:tcPr>
                <w:p w14:paraId="28F695B9">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原材料存放区</w:t>
                  </w:r>
                </w:p>
              </w:tc>
              <w:tc>
                <w:tcPr>
                  <w:tcW w:w="984" w:type="dxa"/>
                  <w:vAlign w:val="center"/>
                </w:tcPr>
                <w:p w14:paraId="3F351508">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25kg/袋</w:t>
                  </w:r>
                </w:p>
              </w:tc>
              <w:tc>
                <w:tcPr>
                  <w:tcW w:w="581" w:type="dxa"/>
                  <w:vAlign w:val="center"/>
                </w:tcPr>
                <w:p w14:paraId="7D3AB787">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r>
            <w:tr w14:paraId="2B7D382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484" w:type="dxa"/>
                  <w:vAlign w:val="center"/>
                </w:tcPr>
                <w:p w14:paraId="58421C74">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2</w:t>
                  </w:r>
                </w:p>
              </w:tc>
              <w:tc>
                <w:tcPr>
                  <w:tcW w:w="904" w:type="dxa"/>
                  <w:vAlign w:val="center"/>
                </w:tcPr>
                <w:p w14:paraId="5FB9BBE6">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PS</w:t>
                  </w:r>
                </w:p>
              </w:tc>
              <w:tc>
                <w:tcPr>
                  <w:tcW w:w="750" w:type="dxa"/>
                  <w:vAlign w:val="center"/>
                </w:tcPr>
                <w:p w14:paraId="7E6EB5CD">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eastAsia"/>
                      <w:color w:val="auto"/>
                      <w:szCs w:val="21"/>
                      <w:highlight w:val="none"/>
                      <w:lang w:val="en-US" w:eastAsia="zh-CN"/>
                    </w:rPr>
                  </w:pPr>
                  <w:r>
                    <w:rPr>
                      <w:rFonts w:hint="eastAsia"/>
                      <w:color w:val="auto"/>
                      <w:szCs w:val="21"/>
                      <w:highlight w:val="none"/>
                      <w:lang w:val="en-US" w:eastAsia="zh-CN"/>
                    </w:rPr>
                    <w:t>固态粒子</w:t>
                  </w:r>
                </w:p>
              </w:tc>
              <w:tc>
                <w:tcPr>
                  <w:tcW w:w="1350" w:type="dxa"/>
                  <w:vAlign w:val="center"/>
                </w:tcPr>
                <w:p w14:paraId="579D6898">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eastAsia"/>
                      <w:color w:val="auto"/>
                      <w:szCs w:val="21"/>
                      <w:highlight w:val="none"/>
                      <w:lang w:val="en-US" w:eastAsia="zh-CN"/>
                    </w:rPr>
                  </w:pPr>
                  <w:r>
                    <w:rPr>
                      <w:rFonts w:hint="eastAsia"/>
                      <w:color w:val="auto"/>
                      <w:szCs w:val="21"/>
                      <w:highlight w:val="none"/>
                      <w:lang w:val="en-US" w:eastAsia="zh-CN"/>
                    </w:rPr>
                    <w:t>2mm~5mm</w:t>
                  </w:r>
                </w:p>
              </w:tc>
              <w:tc>
                <w:tcPr>
                  <w:tcW w:w="1065" w:type="dxa"/>
                  <w:vAlign w:val="center"/>
                </w:tcPr>
                <w:p w14:paraId="54BAE434">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300</w:t>
                  </w:r>
                </w:p>
              </w:tc>
              <w:tc>
                <w:tcPr>
                  <w:tcW w:w="764" w:type="dxa"/>
                  <w:vAlign w:val="center"/>
                </w:tcPr>
                <w:p w14:paraId="47B3C27D">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90</w:t>
                  </w:r>
                </w:p>
              </w:tc>
              <w:tc>
                <w:tcPr>
                  <w:tcW w:w="560" w:type="dxa"/>
                  <w:vAlign w:val="center"/>
                </w:tcPr>
                <w:p w14:paraId="18EB7407">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30d</w:t>
                  </w:r>
                </w:p>
              </w:tc>
              <w:tc>
                <w:tcPr>
                  <w:tcW w:w="653" w:type="dxa"/>
                  <w:vAlign w:val="center"/>
                </w:tcPr>
                <w:p w14:paraId="151D5588">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eastAsia"/>
                      <w:color w:val="auto"/>
                      <w:szCs w:val="21"/>
                      <w:highlight w:val="none"/>
                      <w:lang w:val="en-US" w:eastAsia="zh-CN"/>
                    </w:rPr>
                  </w:pPr>
                  <w:r>
                    <w:rPr>
                      <w:rFonts w:hint="eastAsia"/>
                      <w:color w:val="auto"/>
                      <w:szCs w:val="21"/>
                      <w:highlight w:val="none"/>
                      <w:lang w:val="en-US" w:eastAsia="zh-CN"/>
                    </w:rPr>
                    <w:t>原材料存放区</w:t>
                  </w:r>
                </w:p>
              </w:tc>
              <w:tc>
                <w:tcPr>
                  <w:tcW w:w="984" w:type="dxa"/>
                  <w:vAlign w:val="center"/>
                </w:tcPr>
                <w:p w14:paraId="72DC04A0">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eastAsia"/>
                      <w:color w:val="auto"/>
                      <w:szCs w:val="21"/>
                      <w:highlight w:val="none"/>
                      <w:lang w:val="en-US" w:eastAsia="zh-CN"/>
                    </w:rPr>
                  </w:pPr>
                  <w:r>
                    <w:rPr>
                      <w:rFonts w:hint="eastAsia"/>
                      <w:color w:val="auto"/>
                      <w:szCs w:val="21"/>
                      <w:highlight w:val="none"/>
                      <w:lang w:val="en-US" w:eastAsia="zh-CN"/>
                    </w:rPr>
                    <w:t>25kg/袋</w:t>
                  </w:r>
                </w:p>
              </w:tc>
              <w:tc>
                <w:tcPr>
                  <w:tcW w:w="581" w:type="dxa"/>
                  <w:vAlign w:val="center"/>
                </w:tcPr>
                <w:p w14:paraId="30DA4162">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r>
            <w:tr w14:paraId="0F753D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484" w:type="dxa"/>
                  <w:vAlign w:val="center"/>
                </w:tcPr>
                <w:p w14:paraId="7D267D5C">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3</w:t>
                  </w:r>
                </w:p>
              </w:tc>
              <w:tc>
                <w:tcPr>
                  <w:tcW w:w="904" w:type="dxa"/>
                  <w:vAlign w:val="center"/>
                </w:tcPr>
                <w:p w14:paraId="5D17CF65">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PE</w:t>
                  </w:r>
                </w:p>
              </w:tc>
              <w:tc>
                <w:tcPr>
                  <w:tcW w:w="750" w:type="dxa"/>
                  <w:vAlign w:val="center"/>
                </w:tcPr>
                <w:p w14:paraId="5CD63C8F">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eastAsia"/>
                      <w:color w:val="auto"/>
                      <w:szCs w:val="21"/>
                      <w:highlight w:val="none"/>
                      <w:lang w:val="en-US" w:eastAsia="zh-CN"/>
                    </w:rPr>
                  </w:pPr>
                  <w:r>
                    <w:rPr>
                      <w:rFonts w:hint="eastAsia"/>
                      <w:color w:val="auto"/>
                      <w:szCs w:val="21"/>
                      <w:highlight w:val="none"/>
                      <w:lang w:val="en-US" w:eastAsia="zh-CN"/>
                    </w:rPr>
                    <w:t>固态粒子</w:t>
                  </w:r>
                </w:p>
              </w:tc>
              <w:tc>
                <w:tcPr>
                  <w:tcW w:w="1350" w:type="dxa"/>
                  <w:vAlign w:val="center"/>
                </w:tcPr>
                <w:p w14:paraId="68685E89">
                  <w:pPr>
                    <w:keepNext w:val="0"/>
                    <w:keepLines w:val="0"/>
                    <w:suppressLineNumbers w:val="0"/>
                    <w:autoSpaceDE w:val="0"/>
                    <w:autoSpaceDN w:val="0"/>
                    <w:adjustRightInd w:val="0"/>
                    <w:snapToGrid w:val="0"/>
                    <w:spacing w:before="0" w:beforeAutospacing="0" w:after="0" w:afterAutospacing="0" w:line="276" w:lineRule="auto"/>
                    <w:ind w:left="0" w:leftChars="0" w:right="0" w:rightChars="0"/>
                    <w:jc w:val="center"/>
                    <w:rPr>
                      <w:rFonts w:hint="eastAsia"/>
                      <w:color w:val="auto"/>
                      <w:szCs w:val="21"/>
                      <w:highlight w:val="none"/>
                      <w:lang w:val="en-US" w:eastAsia="zh-CN"/>
                    </w:rPr>
                  </w:pPr>
                  <w:r>
                    <w:rPr>
                      <w:rFonts w:hint="eastAsia"/>
                      <w:color w:val="auto"/>
                      <w:szCs w:val="21"/>
                      <w:highlight w:val="none"/>
                      <w:lang w:val="en-US" w:eastAsia="zh-CN"/>
                    </w:rPr>
                    <w:t>2mm~5mm</w:t>
                  </w:r>
                </w:p>
              </w:tc>
              <w:tc>
                <w:tcPr>
                  <w:tcW w:w="1065" w:type="dxa"/>
                  <w:vAlign w:val="center"/>
                </w:tcPr>
                <w:p w14:paraId="75F772F1">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50</w:t>
                  </w:r>
                </w:p>
              </w:tc>
              <w:tc>
                <w:tcPr>
                  <w:tcW w:w="764" w:type="dxa"/>
                  <w:vAlign w:val="center"/>
                </w:tcPr>
                <w:p w14:paraId="6126A021">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12.5</w:t>
                  </w:r>
                </w:p>
              </w:tc>
              <w:tc>
                <w:tcPr>
                  <w:tcW w:w="560" w:type="dxa"/>
                  <w:vAlign w:val="center"/>
                </w:tcPr>
                <w:p w14:paraId="5BE2524F">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30d</w:t>
                  </w:r>
                </w:p>
              </w:tc>
              <w:tc>
                <w:tcPr>
                  <w:tcW w:w="653" w:type="dxa"/>
                  <w:vAlign w:val="center"/>
                </w:tcPr>
                <w:p w14:paraId="215ED9BF">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eastAsia"/>
                      <w:color w:val="auto"/>
                      <w:szCs w:val="21"/>
                      <w:highlight w:val="none"/>
                      <w:lang w:val="en-US" w:eastAsia="zh-CN"/>
                    </w:rPr>
                  </w:pPr>
                  <w:r>
                    <w:rPr>
                      <w:rFonts w:hint="eastAsia"/>
                      <w:color w:val="auto"/>
                      <w:szCs w:val="21"/>
                      <w:highlight w:val="none"/>
                      <w:lang w:val="en-US" w:eastAsia="zh-CN"/>
                    </w:rPr>
                    <w:t>原材料存放区</w:t>
                  </w:r>
                </w:p>
              </w:tc>
              <w:tc>
                <w:tcPr>
                  <w:tcW w:w="984" w:type="dxa"/>
                  <w:vAlign w:val="center"/>
                </w:tcPr>
                <w:p w14:paraId="5FE21121">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eastAsia"/>
                      <w:color w:val="auto"/>
                      <w:szCs w:val="21"/>
                      <w:highlight w:val="none"/>
                      <w:lang w:val="en-US" w:eastAsia="zh-CN"/>
                    </w:rPr>
                  </w:pPr>
                  <w:r>
                    <w:rPr>
                      <w:rFonts w:hint="eastAsia"/>
                      <w:color w:val="auto"/>
                      <w:szCs w:val="21"/>
                      <w:highlight w:val="none"/>
                      <w:lang w:val="en-US" w:eastAsia="zh-CN"/>
                    </w:rPr>
                    <w:t>25kg/袋</w:t>
                  </w:r>
                </w:p>
              </w:tc>
              <w:tc>
                <w:tcPr>
                  <w:tcW w:w="581" w:type="dxa"/>
                  <w:vAlign w:val="center"/>
                </w:tcPr>
                <w:p w14:paraId="40EFE984">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r>
            <w:tr w14:paraId="180A3C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484" w:type="dxa"/>
                  <w:vAlign w:val="center"/>
                </w:tcPr>
                <w:p w14:paraId="18B5F228">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4</w:t>
                  </w:r>
                </w:p>
              </w:tc>
              <w:tc>
                <w:tcPr>
                  <w:tcW w:w="904" w:type="dxa"/>
                  <w:vAlign w:val="center"/>
                </w:tcPr>
                <w:p w14:paraId="68AA6073">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机油</w:t>
                  </w:r>
                </w:p>
              </w:tc>
              <w:tc>
                <w:tcPr>
                  <w:tcW w:w="750" w:type="dxa"/>
                  <w:vAlign w:val="center"/>
                </w:tcPr>
                <w:p w14:paraId="2C7DB373">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液态</w:t>
                  </w:r>
                </w:p>
              </w:tc>
              <w:tc>
                <w:tcPr>
                  <w:tcW w:w="1350" w:type="dxa"/>
                  <w:vAlign w:val="center"/>
                </w:tcPr>
                <w:p w14:paraId="31E39BFB">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c>
                <w:tcPr>
                  <w:tcW w:w="1065" w:type="dxa"/>
                  <w:vAlign w:val="center"/>
                </w:tcPr>
                <w:p w14:paraId="1077CA59">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1.0</w:t>
                  </w:r>
                </w:p>
              </w:tc>
              <w:tc>
                <w:tcPr>
                  <w:tcW w:w="764" w:type="dxa"/>
                  <w:vAlign w:val="center"/>
                </w:tcPr>
                <w:p w14:paraId="2C033C7F">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1.0</w:t>
                  </w:r>
                </w:p>
              </w:tc>
              <w:tc>
                <w:tcPr>
                  <w:tcW w:w="560" w:type="dxa"/>
                  <w:vAlign w:val="center"/>
                </w:tcPr>
                <w:p w14:paraId="1A366691">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1a</w:t>
                  </w:r>
                </w:p>
              </w:tc>
              <w:tc>
                <w:tcPr>
                  <w:tcW w:w="653" w:type="dxa"/>
                  <w:vAlign w:val="center"/>
                </w:tcPr>
                <w:p w14:paraId="48016420">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eastAsia"/>
                      <w:color w:val="auto"/>
                      <w:szCs w:val="21"/>
                      <w:highlight w:val="none"/>
                      <w:lang w:val="en-US" w:eastAsia="zh-CN"/>
                    </w:rPr>
                  </w:pPr>
                  <w:r>
                    <w:rPr>
                      <w:rFonts w:hint="eastAsia"/>
                      <w:color w:val="auto"/>
                      <w:szCs w:val="21"/>
                      <w:highlight w:val="none"/>
                      <w:lang w:val="en-US" w:eastAsia="zh-CN"/>
                    </w:rPr>
                    <w:t>化学品库</w:t>
                  </w:r>
                </w:p>
              </w:tc>
              <w:tc>
                <w:tcPr>
                  <w:tcW w:w="984" w:type="dxa"/>
                  <w:vAlign w:val="center"/>
                </w:tcPr>
                <w:p w14:paraId="079BED2D">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250kg/桶</w:t>
                  </w:r>
                </w:p>
              </w:tc>
              <w:tc>
                <w:tcPr>
                  <w:tcW w:w="581" w:type="dxa"/>
                  <w:vAlign w:val="center"/>
                </w:tcPr>
                <w:p w14:paraId="74E4907B">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r>
            <w:tr w14:paraId="0DC668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484" w:type="dxa"/>
                  <w:vAlign w:val="center"/>
                </w:tcPr>
                <w:p w14:paraId="0AD479D4">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5</w:t>
                  </w:r>
                </w:p>
              </w:tc>
              <w:tc>
                <w:tcPr>
                  <w:tcW w:w="904" w:type="dxa"/>
                  <w:vAlign w:val="center"/>
                </w:tcPr>
                <w:p w14:paraId="7E77A3E3">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纸箱</w:t>
                  </w:r>
                </w:p>
              </w:tc>
              <w:tc>
                <w:tcPr>
                  <w:tcW w:w="750" w:type="dxa"/>
                  <w:vAlign w:val="center"/>
                </w:tcPr>
                <w:p w14:paraId="44B7FE63">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eastAsia"/>
                      <w:color w:val="auto"/>
                      <w:szCs w:val="21"/>
                      <w:highlight w:val="none"/>
                      <w:lang w:val="en-US" w:eastAsia="zh-CN"/>
                    </w:rPr>
                  </w:pPr>
                  <w:r>
                    <w:rPr>
                      <w:rFonts w:hint="eastAsia"/>
                      <w:color w:val="auto"/>
                      <w:szCs w:val="21"/>
                      <w:highlight w:val="none"/>
                      <w:lang w:val="en-US" w:eastAsia="zh-CN"/>
                    </w:rPr>
                    <w:t>固态</w:t>
                  </w:r>
                </w:p>
              </w:tc>
              <w:tc>
                <w:tcPr>
                  <w:tcW w:w="1350" w:type="dxa"/>
                  <w:vAlign w:val="center"/>
                </w:tcPr>
                <w:p w14:paraId="570CC76B">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c>
                <w:tcPr>
                  <w:tcW w:w="1065" w:type="dxa"/>
                  <w:vAlign w:val="center"/>
                </w:tcPr>
                <w:p w14:paraId="294D3370">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5万只</w:t>
                  </w:r>
                </w:p>
              </w:tc>
              <w:tc>
                <w:tcPr>
                  <w:tcW w:w="764" w:type="dxa"/>
                  <w:vAlign w:val="center"/>
                </w:tcPr>
                <w:p w14:paraId="253B191A">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1万只</w:t>
                  </w:r>
                </w:p>
              </w:tc>
              <w:tc>
                <w:tcPr>
                  <w:tcW w:w="560" w:type="dxa"/>
                  <w:vAlign w:val="center"/>
                </w:tcPr>
                <w:p w14:paraId="0A974ADD">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eastAsia"/>
                      <w:color w:val="auto"/>
                      <w:szCs w:val="21"/>
                      <w:highlight w:val="none"/>
                      <w:lang w:val="en-US" w:eastAsia="zh-CN"/>
                    </w:rPr>
                  </w:pPr>
                  <w:r>
                    <w:rPr>
                      <w:rFonts w:hint="eastAsia"/>
                      <w:color w:val="auto"/>
                      <w:szCs w:val="21"/>
                      <w:highlight w:val="none"/>
                      <w:lang w:val="en-US" w:eastAsia="zh-CN"/>
                    </w:rPr>
                    <w:t>50d</w:t>
                  </w:r>
                </w:p>
              </w:tc>
              <w:tc>
                <w:tcPr>
                  <w:tcW w:w="653" w:type="dxa"/>
                  <w:vAlign w:val="center"/>
                </w:tcPr>
                <w:p w14:paraId="16863659">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eastAsia"/>
                      <w:color w:val="auto"/>
                      <w:szCs w:val="21"/>
                      <w:highlight w:val="none"/>
                      <w:lang w:val="en-US" w:eastAsia="zh-CN"/>
                    </w:rPr>
                  </w:pPr>
                  <w:r>
                    <w:rPr>
                      <w:rFonts w:hint="eastAsia"/>
                      <w:color w:val="auto"/>
                      <w:szCs w:val="21"/>
                      <w:highlight w:val="none"/>
                      <w:lang w:val="en-US" w:eastAsia="zh-CN"/>
                    </w:rPr>
                    <w:t>包材存放区</w:t>
                  </w:r>
                </w:p>
              </w:tc>
              <w:tc>
                <w:tcPr>
                  <w:tcW w:w="984" w:type="dxa"/>
                  <w:vAlign w:val="center"/>
                </w:tcPr>
                <w:p w14:paraId="59FF90A8">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木框</w:t>
                  </w:r>
                </w:p>
              </w:tc>
              <w:tc>
                <w:tcPr>
                  <w:tcW w:w="581" w:type="dxa"/>
                  <w:vAlign w:val="center"/>
                </w:tcPr>
                <w:p w14:paraId="053E2BF1">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r>
            <w:tr w14:paraId="39B05C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484" w:type="dxa"/>
                  <w:vAlign w:val="center"/>
                </w:tcPr>
                <w:p w14:paraId="3C5194FE">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6</w:t>
                  </w:r>
                </w:p>
              </w:tc>
              <w:tc>
                <w:tcPr>
                  <w:tcW w:w="904" w:type="dxa"/>
                  <w:vAlign w:val="center"/>
                </w:tcPr>
                <w:p w14:paraId="2A13749D">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打包带</w:t>
                  </w:r>
                </w:p>
              </w:tc>
              <w:tc>
                <w:tcPr>
                  <w:tcW w:w="750" w:type="dxa"/>
                  <w:vAlign w:val="center"/>
                </w:tcPr>
                <w:p w14:paraId="3FD8162A">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eastAsia"/>
                      <w:color w:val="auto"/>
                      <w:szCs w:val="21"/>
                      <w:highlight w:val="none"/>
                      <w:lang w:val="en-US" w:eastAsia="zh-CN"/>
                    </w:rPr>
                  </w:pPr>
                  <w:r>
                    <w:rPr>
                      <w:rFonts w:hint="eastAsia"/>
                      <w:color w:val="auto"/>
                      <w:szCs w:val="21"/>
                      <w:highlight w:val="none"/>
                      <w:lang w:val="en-US" w:eastAsia="zh-CN"/>
                    </w:rPr>
                    <w:t>固态</w:t>
                  </w:r>
                </w:p>
              </w:tc>
              <w:tc>
                <w:tcPr>
                  <w:tcW w:w="1350" w:type="dxa"/>
                  <w:vAlign w:val="center"/>
                </w:tcPr>
                <w:p w14:paraId="7EE839A5">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c>
                <w:tcPr>
                  <w:tcW w:w="1065" w:type="dxa"/>
                  <w:vAlign w:val="center"/>
                </w:tcPr>
                <w:p w14:paraId="159F53F6">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250卷</w:t>
                  </w:r>
                </w:p>
              </w:tc>
              <w:tc>
                <w:tcPr>
                  <w:tcW w:w="764" w:type="dxa"/>
                  <w:vAlign w:val="center"/>
                </w:tcPr>
                <w:p w14:paraId="424BEBE8">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12卷</w:t>
                  </w:r>
                </w:p>
              </w:tc>
              <w:tc>
                <w:tcPr>
                  <w:tcW w:w="560" w:type="dxa"/>
                  <w:vAlign w:val="center"/>
                </w:tcPr>
                <w:p w14:paraId="76C2EA64">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eastAsia"/>
                      <w:color w:val="auto"/>
                      <w:szCs w:val="21"/>
                      <w:highlight w:val="none"/>
                      <w:lang w:val="en-US" w:eastAsia="zh-CN"/>
                    </w:rPr>
                  </w:pPr>
                  <w:r>
                    <w:rPr>
                      <w:rFonts w:hint="eastAsia"/>
                      <w:color w:val="auto"/>
                      <w:szCs w:val="21"/>
                      <w:highlight w:val="none"/>
                      <w:lang w:val="en-US" w:eastAsia="zh-CN"/>
                    </w:rPr>
                    <w:t>21d</w:t>
                  </w:r>
                </w:p>
              </w:tc>
              <w:tc>
                <w:tcPr>
                  <w:tcW w:w="653" w:type="dxa"/>
                  <w:vAlign w:val="center"/>
                </w:tcPr>
                <w:p w14:paraId="4342EC9E">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eastAsia"/>
                      <w:color w:val="auto"/>
                      <w:szCs w:val="21"/>
                      <w:highlight w:val="none"/>
                      <w:lang w:val="en-US" w:eastAsia="zh-CN"/>
                    </w:rPr>
                  </w:pPr>
                  <w:r>
                    <w:rPr>
                      <w:rFonts w:hint="eastAsia"/>
                      <w:color w:val="auto"/>
                      <w:szCs w:val="21"/>
                      <w:highlight w:val="none"/>
                      <w:lang w:val="en-US" w:eastAsia="zh-CN"/>
                    </w:rPr>
                    <w:t>包材存放区</w:t>
                  </w:r>
                </w:p>
              </w:tc>
              <w:tc>
                <w:tcPr>
                  <w:tcW w:w="984" w:type="dxa"/>
                  <w:vAlign w:val="center"/>
                </w:tcPr>
                <w:p w14:paraId="2154C92A">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吨袋</w:t>
                  </w:r>
                </w:p>
              </w:tc>
              <w:tc>
                <w:tcPr>
                  <w:tcW w:w="581" w:type="dxa"/>
                  <w:vAlign w:val="center"/>
                </w:tcPr>
                <w:p w14:paraId="7E0600DA">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r>
            <w:tr w14:paraId="56252C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484" w:type="dxa"/>
                  <w:vAlign w:val="center"/>
                </w:tcPr>
                <w:p w14:paraId="7E7ABC0C">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7</w:t>
                  </w:r>
                </w:p>
              </w:tc>
              <w:tc>
                <w:tcPr>
                  <w:tcW w:w="904" w:type="dxa"/>
                  <w:vAlign w:val="center"/>
                </w:tcPr>
                <w:p w14:paraId="49388ABD">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封箱带</w:t>
                  </w:r>
                </w:p>
              </w:tc>
              <w:tc>
                <w:tcPr>
                  <w:tcW w:w="750" w:type="dxa"/>
                  <w:vAlign w:val="center"/>
                </w:tcPr>
                <w:p w14:paraId="50481CB9">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eastAsia"/>
                      <w:color w:val="auto"/>
                      <w:szCs w:val="21"/>
                      <w:highlight w:val="none"/>
                      <w:lang w:val="en-US" w:eastAsia="zh-CN"/>
                    </w:rPr>
                  </w:pPr>
                  <w:r>
                    <w:rPr>
                      <w:rFonts w:hint="eastAsia"/>
                      <w:color w:val="auto"/>
                      <w:szCs w:val="21"/>
                      <w:highlight w:val="none"/>
                      <w:lang w:val="en-US" w:eastAsia="zh-CN"/>
                    </w:rPr>
                    <w:t>固态</w:t>
                  </w:r>
                </w:p>
              </w:tc>
              <w:tc>
                <w:tcPr>
                  <w:tcW w:w="1350" w:type="dxa"/>
                  <w:vAlign w:val="center"/>
                </w:tcPr>
                <w:p w14:paraId="1C3AD10E">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c>
                <w:tcPr>
                  <w:tcW w:w="1065" w:type="dxa"/>
                  <w:vAlign w:val="center"/>
                </w:tcPr>
                <w:p w14:paraId="1C9A9975">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420卷</w:t>
                  </w:r>
                </w:p>
              </w:tc>
              <w:tc>
                <w:tcPr>
                  <w:tcW w:w="764" w:type="dxa"/>
                  <w:vAlign w:val="center"/>
                </w:tcPr>
                <w:p w14:paraId="3E247E6A">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20卷</w:t>
                  </w:r>
                </w:p>
              </w:tc>
              <w:tc>
                <w:tcPr>
                  <w:tcW w:w="560" w:type="dxa"/>
                  <w:vAlign w:val="center"/>
                </w:tcPr>
                <w:p w14:paraId="5DE47078">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eastAsia"/>
                      <w:color w:val="auto"/>
                      <w:szCs w:val="21"/>
                      <w:highlight w:val="none"/>
                      <w:lang w:val="en-US" w:eastAsia="zh-CN"/>
                    </w:rPr>
                  </w:pPr>
                  <w:r>
                    <w:rPr>
                      <w:rFonts w:hint="eastAsia"/>
                      <w:color w:val="auto"/>
                      <w:szCs w:val="21"/>
                      <w:highlight w:val="none"/>
                      <w:lang w:val="en-US" w:eastAsia="zh-CN"/>
                    </w:rPr>
                    <w:t>21d</w:t>
                  </w:r>
                </w:p>
              </w:tc>
              <w:tc>
                <w:tcPr>
                  <w:tcW w:w="653" w:type="dxa"/>
                  <w:vAlign w:val="center"/>
                </w:tcPr>
                <w:p w14:paraId="28FC5A6A">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eastAsia"/>
                      <w:color w:val="auto"/>
                      <w:szCs w:val="21"/>
                      <w:highlight w:val="none"/>
                      <w:lang w:val="en-US" w:eastAsia="zh-CN"/>
                    </w:rPr>
                  </w:pPr>
                  <w:r>
                    <w:rPr>
                      <w:rFonts w:hint="eastAsia"/>
                      <w:color w:val="auto"/>
                      <w:szCs w:val="21"/>
                      <w:highlight w:val="none"/>
                      <w:lang w:val="en-US" w:eastAsia="zh-CN"/>
                    </w:rPr>
                    <w:t>包材存放区</w:t>
                  </w:r>
                </w:p>
              </w:tc>
              <w:tc>
                <w:tcPr>
                  <w:tcW w:w="984" w:type="dxa"/>
                  <w:vAlign w:val="center"/>
                </w:tcPr>
                <w:p w14:paraId="7698DA44">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纸箱</w:t>
                  </w:r>
                </w:p>
              </w:tc>
              <w:tc>
                <w:tcPr>
                  <w:tcW w:w="581" w:type="dxa"/>
                  <w:vAlign w:val="center"/>
                </w:tcPr>
                <w:p w14:paraId="4F0CFC02">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r>
            <w:tr w14:paraId="2CFBAF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8095" w:type="dxa"/>
                  <w:gridSpan w:val="10"/>
                  <w:vAlign w:val="center"/>
                </w:tcPr>
                <w:p w14:paraId="467518FF">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能源</w:t>
                  </w:r>
                </w:p>
              </w:tc>
            </w:tr>
            <w:tr w14:paraId="147D9A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484" w:type="dxa"/>
                  <w:vAlign w:val="center"/>
                </w:tcPr>
                <w:p w14:paraId="70B52B6C">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rPr>
                  </w:pPr>
                  <w:r>
                    <w:rPr>
                      <w:rFonts w:hint="eastAsia"/>
                      <w:color w:val="auto"/>
                      <w:szCs w:val="21"/>
                      <w:highlight w:val="none"/>
                    </w:rPr>
                    <w:t>1</w:t>
                  </w:r>
                </w:p>
              </w:tc>
              <w:tc>
                <w:tcPr>
                  <w:tcW w:w="904" w:type="dxa"/>
                  <w:vAlign w:val="center"/>
                </w:tcPr>
                <w:p w14:paraId="3EBA67B1">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rPr>
                  </w:pPr>
                  <w:r>
                    <w:rPr>
                      <w:rFonts w:hint="default"/>
                      <w:color w:val="auto"/>
                      <w:szCs w:val="21"/>
                      <w:highlight w:val="none"/>
                    </w:rPr>
                    <w:t>电</w:t>
                  </w:r>
                </w:p>
              </w:tc>
              <w:tc>
                <w:tcPr>
                  <w:tcW w:w="750" w:type="dxa"/>
                  <w:vAlign w:val="center"/>
                </w:tcPr>
                <w:p w14:paraId="65AA6D72">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rPr>
                  </w:pPr>
                  <w:r>
                    <w:rPr>
                      <w:rFonts w:hint="eastAsia"/>
                      <w:color w:val="auto"/>
                      <w:szCs w:val="21"/>
                      <w:highlight w:val="none"/>
                    </w:rPr>
                    <w:t>/</w:t>
                  </w:r>
                </w:p>
              </w:tc>
              <w:tc>
                <w:tcPr>
                  <w:tcW w:w="1350" w:type="dxa"/>
                  <w:vAlign w:val="center"/>
                </w:tcPr>
                <w:p w14:paraId="5C4B3956">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rPr>
                  </w:pPr>
                  <w:r>
                    <w:rPr>
                      <w:rFonts w:hint="eastAsia"/>
                      <w:color w:val="auto"/>
                      <w:szCs w:val="21"/>
                      <w:highlight w:val="none"/>
                    </w:rPr>
                    <w:t>/</w:t>
                  </w:r>
                </w:p>
              </w:tc>
              <w:tc>
                <w:tcPr>
                  <w:tcW w:w="1065" w:type="dxa"/>
                  <w:vAlign w:val="center"/>
                </w:tcPr>
                <w:p w14:paraId="5CB6A6DB">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rPr>
                  </w:pPr>
                  <w:r>
                    <w:rPr>
                      <w:rFonts w:hint="eastAsia"/>
                      <w:color w:val="auto"/>
                      <w:szCs w:val="21"/>
                      <w:highlight w:val="none"/>
                    </w:rPr>
                    <w:t>+</w:t>
                  </w:r>
                  <w:r>
                    <w:rPr>
                      <w:rFonts w:hint="eastAsia"/>
                      <w:color w:val="auto"/>
                      <w:szCs w:val="21"/>
                      <w:highlight w:val="none"/>
                      <w:lang w:val="en-US" w:eastAsia="zh-CN"/>
                    </w:rPr>
                    <w:t>200</w:t>
                  </w:r>
                  <w:r>
                    <w:rPr>
                      <w:rFonts w:hint="eastAsia"/>
                      <w:color w:val="auto"/>
                      <w:szCs w:val="21"/>
                      <w:highlight w:val="none"/>
                    </w:rPr>
                    <w:t>万kWh</w:t>
                  </w:r>
                </w:p>
              </w:tc>
              <w:tc>
                <w:tcPr>
                  <w:tcW w:w="764" w:type="dxa"/>
                  <w:vAlign w:val="center"/>
                </w:tcPr>
                <w:p w14:paraId="31ACEAF7">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rPr>
                  </w:pPr>
                  <w:r>
                    <w:rPr>
                      <w:rFonts w:hint="eastAsia"/>
                      <w:color w:val="auto"/>
                      <w:szCs w:val="21"/>
                      <w:highlight w:val="none"/>
                    </w:rPr>
                    <w:t>/</w:t>
                  </w:r>
                </w:p>
              </w:tc>
              <w:tc>
                <w:tcPr>
                  <w:tcW w:w="560" w:type="dxa"/>
                  <w:vAlign w:val="center"/>
                </w:tcPr>
                <w:p w14:paraId="00F16DBA">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rPr>
                  </w:pPr>
                  <w:r>
                    <w:rPr>
                      <w:rFonts w:hint="eastAsia"/>
                      <w:color w:val="auto"/>
                      <w:szCs w:val="21"/>
                      <w:highlight w:val="none"/>
                    </w:rPr>
                    <w:t>/</w:t>
                  </w:r>
                </w:p>
              </w:tc>
              <w:tc>
                <w:tcPr>
                  <w:tcW w:w="653" w:type="dxa"/>
                  <w:vAlign w:val="center"/>
                </w:tcPr>
                <w:p w14:paraId="64329DC9">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rPr>
                  </w:pPr>
                  <w:r>
                    <w:rPr>
                      <w:rFonts w:hint="eastAsia"/>
                      <w:color w:val="auto"/>
                      <w:szCs w:val="21"/>
                      <w:highlight w:val="none"/>
                    </w:rPr>
                    <w:t>/</w:t>
                  </w:r>
                </w:p>
              </w:tc>
              <w:tc>
                <w:tcPr>
                  <w:tcW w:w="984" w:type="dxa"/>
                  <w:vAlign w:val="center"/>
                </w:tcPr>
                <w:p w14:paraId="382FC304">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w:t>
                  </w:r>
                </w:p>
              </w:tc>
              <w:tc>
                <w:tcPr>
                  <w:tcW w:w="581" w:type="dxa"/>
                  <w:vAlign w:val="center"/>
                </w:tcPr>
                <w:p w14:paraId="74669840">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rPr>
                  </w:pPr>
                  <w:r>
                    <w:rPr>
                      <w:rFonts w:hint="default"/>
                      <w:color w:val="auto"/>
                      <w:szCs w:val="21"/>
                      <w:highlight w:val="none"/>
                    </w:rPr>
                    <w:t>市政</w:t>
                  </w:r>
                </w:p>
                <w:p w14:paraId="1CAA12D9">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rPr>
                  </w:pPr>
                  <w:r>
                    <w:rPr>
                      <w:rFonts w:hint="default"/>
                      <w:color w:val="auto"/>
                      <w:szCs w:val="21"/>
                      <w:highlight w:val="none"/>
                    </w:rPr>
                    <w:t>电网</w:t>
                  </w:r>
                </w:p>
              </w:tc>
            </w:tr>
            <w:tr w14:paraId="07861F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484" w:type="dxa"/>
                  <w:vAlign w:val="center"/>
                </w:tcPr>
                <w:p w14:paraId="2A3C4A6D">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rPr>
                  </w:pPr>
                  <w:r>
                    <w:rPr>
                      <w:rFonts w:hint="eastAsia"/>
                      <w:color w:val="auto"/>
                      <w:szCs w:val="21"/>
                      <w:highlight w:val="none"/>
                    </w:rPr>
                    <w:t>2</w:t>
                  </w:r>
                </w:p>
              </w:tc>
              <w:tc>
                <w:tcPr>
                  <w:tcW w:w="904" w:type="dxa"/>
                  <w:vAlign w:val="center"/>
                </w:tcPr>
                <w:p w14:paraId="739E15AA">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rPr>
                  </w:pPr>
                  <w:r>
                    <w:rPr>
                      <w:rFonts w:hint="default"/>
                      <w:color w:val="auto"/>
                      <w:szCs w:val="21"/>
                      <w:highlight w:val="none"/>
                    </w:rPr>
                    <w:t>水</w:t>
                  </w:r>
                </w:p>
              </w:tc>
              <w:tc>
                <w:tcPr>
                  <w:tcW w:w="750" w:type="dxa"/>
                  <w:vAlign w:val="center"/>
                </w:tcPr>
                <w:p w14:paraId="609AF2BE">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rPr>
                  </w:pPr>
                  <w:r>
                    <w:rPr>
                      <w:rFonts w:hint="eastAsia"/>
                      <w:color w:val="auto"/>
                      <w:szCs w:val="21"/>
                      <w:highlight w:val="none"/>
                    </w:rPr>
                    <w:t>/</w:t>
                  </w:r>
                </w:p>
              </w:tc>
              <w:tc>
                <w:tcPr>
                  <w:tcW w:w="1350" w:type="dxa"/>
                  <w:vAlign w:val="center"/>
                </w:tcPr>
                <w:p w14:paraId="5456BB7E">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rPr>
                  </w:pPr>
                  <w:r>
                    <w:rPr>
                      <w:rFonts w:hint="eastAsia"/>
                      <w:color w:val="auto"/>
                      <w:szCs w:val="21"/>
                      <w:highlight w:val="none"/>
                    </w:rPr>
                    <w:t>/</w:t>
                  </w:r>
                </w:p>
              </w:tc>
              <w:tc>
                <w:tcPr>
                  <w:tcW w:w="1065" w:type="dxa"/>
                  <w:vAlign w:val="center"/>
                </w:tcPr>
                <w:p w14:paraId="703B3C11">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rPr>
                  </w:pPr>
                  <w:r>
                    <w:rPr>
                      <w:rFonts w:hint="eastAsia"/>
                      <w:color w:val="auto"/>
                      <w:szCs w:val="21"/>
                      <w:highlight w:val="none"/>
                    </w:rPr>
                    <w:t>+</w:t>
                  </w:r>
                  <w:r>
                    <w:rPr>
                      <w:rFonts w:hint="eastAsia"/>
                      <w:color w:val="auto"/>
                      <w:szCs w:val="21"/>
                      <w:highlight w:val="none"/>
                      <w:lang w:val="en-US" w:eastAsia="zh-CN"/>
                    </w:rPr>
                    <w:t>2574</w:t>
                  </w:r>
                  <w:r>
                    <w:rPr>
                      <w:rFonts w:hint="eastAsia"/>
                      <w:color w:val="auto"/>
                      <w:szCs w:val="21"/>
                      <w:highlight w:val="none"/>
                    </w:rPr>
                    <w:t>m</w:t>
                  </w:r>
                  <w:r>
                    <w:rPr>
                      <w:rFonts w:hint="eastAsia"/>
                      <w:color w:val="auto"/>
                      <w:szCs w:val="21"/>
                      <w:highlight w:val="none"/>
                      <w:vertAlign w:val="superscript"/>
                    </w:rPr>
                    <w:t>3</w:t>
                  </w:r>
                  <w:r>
                    <w:rPr>
                      <w:rFonts w:hint="eastAsia"/>
                      <w:color w:val="auto"/>
                      <w:szCs w:val="21"/>
                      <w:highlight w:val="none"/>
                    </w:rPr>
                    <w:t>/a</w:t>
                  </w:r>
                </w:p>
              </w:tc>
              <w:tc>
                <w:tcPr>
                  <w:tcW w:w="764" w:type="dxa"/>
                  <w:vAlign w:val="center"/>
                </w:tcPr>
                <w:p w14:paraId="5ECDBE8B">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rPr>
                  </w:pPr>
                  <w:r>
                    <w:rPr>
                      <w:rFonts w:hint="eastAsia"/>
                      <w:color w:val="auto"/>
                      <w:szCs w:val="21"/>
                      <w:highlight w:val="none"/>
                    </w:rPr>
                    <w:t>/</w:t>
                  </w:r>
                </w:p>
              </w:tc>
              <w:tc>
                <w:tcPr>
                  <w:tcW w:w="560" w:type="dxa"/>
                  <w:vAlign w:val="center"/>
                </w:tcPr>
                <w:p w14:paraId="2B4725F9">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rPr>
                  </w:pPr>
                  <w:r>
                    <w:rPr>
                      <w:rFonts w:hint="eastAsia"/>
                      <w:color w:val="auto"/>
                      <w:szCs w:val="21"/>
                      <w:highlight w:val="none"/>
                    </w:rPr>
                    <w:t>/</w:t>
                  </w:r>
                </w:p>
              </w:tc>
              <w:tc>
                <w:tcPr>
                  <w:tcW w:w="653" w:type="dxa"/>
                  <w:vAlign w:val="center"/>
                </w:tcPr>
                <w:p w14:paraId="08CC32FA">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rPr>
                  </w:pPr>
                  <w:r>
                    <w:rPr>
                      <w:rFonts w:hint="eastAsia"/>
                      <w:color w:val="auto"/>
                      <w:szCs w:val="21"/>
                      <w:highlight w:val="none"/>
                    </w:rPr>
                    <w:t>/</w:t>
                  </w:r>
                </w:p>
              </w:tc>
              <w:tc>
                <w:tcPr>
                  <w:tcW w:w="984" w:type="dxa"/>
                  <w:vAlign w:val="center"/>
                </w:tcPr>
                <w:p w14:paraId="590A603F">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w:t>
                  </w:r>
                </w:p>
              </w:tc>
              <w:tc>
                <w:tcPr>
                  <w:tcW w:w="581" w:type="dxa"/>
                  <w:vAlign w:val="center"/>
                </w:tcPr>
                <w:p w14:paraId="4C298265">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rPr>
                  </w:pPr>
                  <w:r>
                    <w:rPr>
                      <w:rFonts w:hint="default"/>
                      <w:color w:val="auto"/>
                      <w:szCs w:val="21"/>
                      <w:highlight w:val="none"/>
                    </w:rPr>
                    <w:t>市政</w:t>
                  </w:r>
                </w:p>
                <w:p w14:paraId="1058DFDC">
                  <w:pPr>
                    <w:keepNext w:val="0"/>
                    <w:keepLines w:val="0"/>
                    <w:suppressLineNumbers w:val="0"/>
                    <w:autoSpaceDE w:val="0"/>
                    <w:autoSpaceDN w:val="0"/>
                    <w:adjustRightInd w:val="0"/>
                    <w:snapToGrid w:val="0"/>
                    <w:spacing w:before="0" w:beforeAutospacing="0" w:after="0" w:afterAutospacing="0" w:line="276" w:lineRule="auto"/>
                    <w:ind w:left="0" w:right="0"/>
                    <w:jc w:val="center"/>
                    <w:rPr>
                      <w:rFonts w:hint="default"/>
                      <w:color w:val="auto"/>
                      <w:szCs w:val="21"/>
                      <w:highlight w:val="none"/>
                    </w:rPr>
                  </w:pPr>
                  <w:r>
                    <w:rPr>
                      <w:rFonts w:hint="default"/>
                      <w:color w:val="auto"/>
                      <w:szCs w:val="21"/>
                      <w:highlight w:val="none"/>
                    </w:rPr>
                    <w:t>给水</w:t>
                  </w:r>
                </w:p>
              </w:tc>
            </w:tr>
          </w:tbl>
          <w:p w14:paraId="3DAE03B8">
            <w:pPr>
              <w:keepNext w:val="0"/>
              <w:keepLines w:val="0"/>
              <w:numPr>
                <w:ilvl w:val="0"/>
                <w:numId w:val="0"/>
              </w:numPr>
              <w:suppressLineNumbers w:val="0"/>
              <w:spacing w:before="0" w:beforeAutospacing="0" w:after="0" w:afterAutospacing="0" w:line="360" w:lineRule="auto"/>
              <w:ind w:left="420" w:leftChars="200" w:right="0" w:rightChars="0"/>
              <w:rPr>
                <w:rFonts w:hint="default"/>
                <w:color w:val="auto"/>
                <w:sz w:val="24"/>
                <w:highlight w:val="none"/>
              </w:rPr>
            </w:pPr>
            <w:r>
              <w:rPr>
                <w:rFonts w:hint="eastAsia"/>
                <w:color w:val="auto"/>
                <w:sz w:val="24"/>
                <w:highlight w:val="none"/>
                <w:lang w:eastAsia="zh-CN"/>
              </w:rPr>
              <w:t>（</w:t>
            </w:r>
            <w:r>
              <w:rPr>
                <w:rFonts w:hint="eastAsia"/>
                <w:color w:val="auto"/>
                <w:sz w:val="24"/>
                <w:highlight w:val="none"/>
                <w:lang w:val="en-US" w:eastAsia="zh-CN"/>
              </w:rPr>
              <w:t>2</w:t>
            </w:r>
            <w:r>
              <w:rPr>
                <w:rFonts w:hint="eastAsia"/>
                <w:color w:val="auto"/>
                <w:sz w:val="24"/>
                <w:highlight w:val="none"/>
                <w:lang w:eastAsia="zh-CN"/>
              </w:rPr>
              <w:t>）</w:t>
            </w:r>
            <w:r>
              <w:rPr>
                <w:rFonts w:hint="eastAsia"/>
                <w:color w:val="auto"/>
                <w:sz w:val="24"/>
                <w:highlight w:val="none"/>
              </w:rPr>
              <w:t>原辅材料主要成分及理化性质</w:t>
            </w:r>
          </w:p>
          <w:p w14:paraId="5FD1D022">
            <w:pPr>
              <w:pStyle w:val="223"/>
              <w:keepNext w:val="0"/>
              <w:keepLines w:val="0"/>
              <w:suppressLineNumbers w:val="0"/>
              <w:spacing w:before="0" w:beforeAutospacing="0" w:after="0" w:afterAutospacing="0"/>
              <w:ind w:left="0" w:right="0"/>
              <w:jc w:val="center"/>
              <w:rPr>
                <w:rFonts w:hint="default" w:hAnsi="黑体" w:eastAsia="黑体" w:cs="Times New Roman"/>
                <w:color w:val="auto"/>
                <w:highlight w:val="none"/>
              </w:rPr>
            </w:pPr>
            <w:r>
              <w:rPr>
                <w:rFonts w:hint="default" w:hAnsi="黑体" w:eastAsia="黑体" w:cs="Times New Roman"/>
                <w:color w:val="auto"/>
                <w:highlight w:val="none"/>
              </w:rPr>
              <w:t>表</w:t>
            </w:r>
            <w:r>
              <w:rPr>
                <w:rFonts w:hint="eastAsia" w:eastAsia="黑体" w:cs="Times New Roman"/>
                <w:color w:val="auto"/>
                <w:highlight w:val="none"/>
                <w:lang w:val="en-US" w:eastAsia="zh-CN"/>
              </w:rPr>
              <w:t>2-7</w:t>
            </w:r>
            <w:r>
              <w:rPr>
                <w:rFonts w:hint="default" w:eastAsia="黑体" w:cs="Times New Roman"/>
                <w:color w:val="auto"/>
                <w:highlight w:val="none"/>
              </w:rPr>
              <w:t xml:space="preserve"> </w:t>
            </w:r>
            <w:r>
              <w:rPr>
                <w:rFonts w:hint="default" w:hAnsi="黑体" w:eastAsia="黑体" w:cs="Times New Roman"/>
                <w:color w:val="auto"/>
                <w:highlight w:val="none"/>
              </w:rPr>
              <w:t>项目原辅材料主要成分及理化性质表</w:t>
            </w:r>
          </w:p>
          <w:tbl>
            <w:tblPr>
              <w:tblStyle w:val="38"/>
              <w:tblW w:w="4998" w:type="pct"/>
              <w:tblInd w:w="0" w:type="dxa"/>
              <w:tblBorders>
                <w:top w:val="single" w:color="auto" w:sz="12" w:space="0"/>
                <w:left w:val="none" w:color="000000" w:sz="4" w:space="0"/>
                <w:bottom w:val="single" w:color="auto" w:sz="12" w:space="0"/>
                <w:right w:val="none" w:color="000000" w:sz="4"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630"/>
              <w:gridCol w:w="675"/>
              <w:gridCol w:w="2860"/>
              <w:gridCol w:w="2083"/>
              <w:gridCol w:w="1844"/>
            </w:tblGrid>
            <w:tr w14:paraId="12FBA5A8">
              <w:tblPrEx>
                <w:tblBorders>
                  <w:top w:val="single" w:color="auto" w:sz="12" w:space="0"/>
                  <w:left w:val="none" w:color="000000" w:sz="4" w:space="0"/>
                  <w:bottom w:val="single" w:color="auto" w:sz="12" w:space="0"/>
                  <w:right w:val="none" w:color="000000" w:sz="4" w:space="0"/>
                  <w:insideH w:val="single" w:color="auto" w:sz="6" w:space="0"/>
                  <w:insideV w:val="single" w:color="auto" w:sz="6" w:space="0"/>
                </w:tblBorders>
                <w:shd w:val="clear" w:color="auto" w:fill="auto"/>
                <w:tblCellMar>
                  <w:top w:w="0" w:type="dxa"/>
                  <w:left w:w="108" w:type="dxa"/>
                  <w:bottom w:w="0" w:type="dxa"/>
                  <w:right w:w="108" w:type="dxa"/>
                </w:tblCellMar>
              </w:tblPrEx>
              <w:tc>
                <w:tcPr>
                  <w:tcW w:w="389" w:type="pct"/>
                  <w:tcBorders>
                    <w:top w:val="single" w:color="auto" w:sz="12" w:space="0"/>
                    <w:left w:val="nil"/>
                    <w:bottom w:val="single" w:color="auto" w:sz="6" w:space="0"/>
                    <w:right w:val="single" w:color="auto" w:sz="6" w:space="0"/>
                  </w:tcBorders>
                  <w:shd w:val="clear" w:color="auto" w:fill="auto"/>
                  <w:vAlign w:val="center"/>
                </w:tcPr>
                <w:p w14:paraId="1C69354E">
                  <w:pPr>
                    <w:pStyle w:val="2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s="Times New Roman"/>
                      <w:color w:val="auto"/>
                      <w:kern w:val="2"/>
                      <w:szCs w:val="21"/>
                      <w:highlight w:val="none"/>
                      <w:lang w:val="en-US"/>
                    </w:rPr>
                  </w:pPr>
                  <w:r>
                    <w:rPr>
                      <w:rFonts w:hint="default" w:ascii="Times New Roman" w:hAnsi="Times New Roman" w:eastAsia="宋体" w:cs="Times New Roman"/>
                      <w:color w:val="auto"/>
                      <w:kern w:val="2"/>
                      <w:szCs w:val="21"/>
                      <w:highlight w:val="none"/>
                    </w:rPr>
                    <w:t>序号</w:t>
                  </w:r>
                </w:p>
              </w:tc>
              <w:tc>
                <w:tcPr>
                  <w:tcW w:w="417" w:type="pct"/>
                  <w:tcBorders>
                    <w:top w:val="single" w:color="auto" w:sz="12" w:space="0"/>
                    <w:left w:val="single" w:color="auto" w:sz="6" w:space="0"/>
                    <w:bottom w:val="single" w:color="auto" w:sz="6" w:space="0"/>
                    <w:right w:val="single" w:color="auto" w:sz="6" w:space="0"/>
                  </w:tcBorders>
                  <w:shd w:val="clear" w:color="auto" w:fill="auto"/>
                  <w:vAlign w:val="center"/>
                </w:tcPr>
                <w:p w14:paraId="36314375">
                  <w:pPr>
                    <w:pStyle w:val="2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s="Times New Roman"/>
                      <w:color w:val="auto"/>
                      <w:kern w:val="2"/>
                      <w:szCs w:val="21"/>
                      <w:highlight w:val="none"/>
                      <w:lang w:val="en-US"/>
                    </w:rPr>
                  </w:pPr>
                  <w:r>
                    <w:rPr>
                      <w:rFonts w:hint="default" w:ascii="Times New Roman" w:hAnsi="Times New Roman" w:eastAsia="宋体" w:cs="Times New Roman"/>
                      <w:color w:val="auto"/>
                      <w:kern w:val="2"/>
                      <w:szCs w:val="21"/>
                      <w:highlight w:val="none"/>
                    </w:rPr>
                    <w:t>物质名称</w:t>
                  </w:r>
                </w:p>
              </w:tc>
              <w:tc>
                <w:tcPr>
                  <w:tcW w:w="1767" w:type="pct"/>
                  <w:tcBorders>
                    <w:top w:val="single" w:color="auto" w:sz="12" w:space="0"/>
                    <w:left w:val="single" w:color="auto" w:sz="6" w:space="0"/>
                    <w:bottom w:val="single" w:color="auto" w:sz="6" w:space="0"/>
                    <w:right w:val="single" w:color="auto" w:sz="6" w:space="0"/>
                  </w:tcBorders>
                  <w:shd w:val="clear" w:color="auto" w:fill="auto"/>
                  <w:vAlign w:val="center"/>
                </w:tcPr>
                <w:p w14:paraId="00D78D81">
                  <w:pPr>
                    <w:pStyle w:val="2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s="Times New Roman"/>
                      <w:color w:val="auto"/>
                      <w:kern w:val="2"/>
                      <w:szCs w:val="21"/>
                      <w:highlight w:val="none"/>
                      <w:lang w:val="en-US"/>
                    </w:rPr>
                  </w:pPr>
                  <w:r>
                    <w:rPr>
                      <w:rFonts w:hint="default" w:ascii="Times New Roman" w:hAnsi="Times New Roman" w:eastAsia="宋体" w:cs="Times New Roman"/>
                      <w:color w:val="auto"/>
                      <w:kern w:val="2"/>
                      <w:szCs w:val="21"/>
                      <w:highlight w:val="none"/>
                    </w:rPr>
                    <w:t>理化特性</w:t>
                  </w:r>
                </w:p>
              </w:tc>
              <w:tc>
                <w:tcPr>
                  <w:tcW w:w="1287" w:type="pct"/>
                  <w:tcBorders>
                    <w:top w:val="single" w:color="auto" w:sz="12" w:space="0"/>
                    <w:left w:val="single" w:color="auto" w:sz="6" w:space="0"/>
                    <w:bottom w:val="single" w:color="auto" w:sz="6" w:space="0"/>
                    <w:right w:val="single" w:color="auto" w:sz="6" w:space="0"/>
                  </w:tcBorders>
                  <w:shd w:val="clear" w:color="auto" w:fill="auto"/>
                  <w:vAlign w:val="center"/>
                </w:tcPr>
                <w:p w14:paraId="3871C6A4">
                  <w:pPr>
                    <w:pStyle w:val="2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s="Times New Roman"/>
                      <w:color w:val="auto"/>
                      <w:kern w:val="2"/>
                      <w:szCs w:val="21"/>
                      <w:highlight w:val="none"/>
                      <w:lang w:val="en-US"/>
                    </w:rPr>
                  </w:pPr>
                  <w:r>
                    <w:rPr>
                      <w:rFonts w:hint="default" w:ascii="Times New Roman" w:hAnsi="Times New Roman" w:eastAsia="宋体" w:cs="Times New Roman"/>
                      <w:color w:val="auto"/>
                      <w:kern w:val="2"/>
                      <w:szCs w:val="21"/>
                      <w:highlight w:val="none"/>
                    </w:rPr>
                    <w:t>有毒有害性</w:t>
                  </w:r>
                </w:p>
              </w:tc>
              <w:tc>
                <w:tcPr>
                  <w:tcW w:w="1139" w:type="pct"/>
                  <w:tcBorders>
                    <w:top w:val="single" w:color="auto" w:sz="12" w:space="0"/>
                    <w:left w:val="single" w:color="auto" w:sz="6" w:space="0"/>
                    <w:bottom w:val="single" w:color="auto" w:sz="6" w:space="0"/>
                    <w:right w:val="nil"/>
                  </w:tcBorders>
                  <w:shd w:val="clear" w:color="auto" w:fill="auto"/>
                  <w:vAlign w:val="center"/>
                </w:tcPr>
                <w:p w14:paraId="3DA5740F">
                  <w:pPr>
                    <w:pStyle w:val="2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s="Times New Roman"/>
                      <w:color w:val="auto"/>
                      <w:kern w:val="2"/>
                      <w:szCs w:val="21"/>
                      <w:highlight w:val="none"/>
                      <w:lang w:val="en-US"/>
                    </w:rPr>
                  </w:pPr>
                  <w:r>
                    <w:rPr>
                      <w:rFonts w:hint="default" w:ascii="Times New Roman" w:hAnsi="Times New Roman" w:eastAsia="宋体" w:cs="Times New Roman"/>
                      <w:color w:val="auto"/>
                      <w:kern w:val="2"/>
                      <w:szCs w:val="21"/>
                      <w:highlight w:val="none"/>
                    </w:rPr>
                    <w:t>易燃易爆性</w:t>
                  </w:r>
                </w:p>
              </w:tc>
            </w:tr>
            <w:tr w14:paraId="2A6C5B46">
              <w:tblPrEx>
                <w:tblBorders>
                  <w:top w:val="single" w:color="auto" w:sz="12" w:space="0"/>
                  <w:left w:val="none" w:color="000000" w:sz="4" w:space="0"/>
                  <w:bottom w:val="single" w:color="auto" w:sz="12" w:space="0"/>
                  <w:right w:val="none" w:color="000000" w:sz="4" w:space="0"/>
                  <w:insideH w:val="single" w:color="auto" w:sz="6" w:space="0"/>
                  <w:insideV w:val="single" w:color="auto" w:sz="6" w:space="0"/>
                </w:tblBorders>
                <w:tblCellMar>
                  <w:top w:w="0" w:type="dxa"/>
                  <w:left w:w="108" w:type="dxa"/>
                  <w:bottom w:w="0" w:type="dxa"/>
                  <w:right w:w="108" w:type="dxa"/>
                </w:tblCellMar>
              </w:tblPrEx>
              <w:tc>
                <w:tcPr>
                  <w:tcW w:w="389" w:type="pct"/>
                  <w:tcBorders>
                    <w:top w:val="single" w:color="auto" w:sz="6" w:space="0"/>
                    <w:left w:val="nil"/>
                    <w:bottom w:val="single" w:color="auto" w:sz="6" w:space="0"/>
                    <w:right w:val="single" w:color="auto" w:sz="6" w:space="0"/>
                  </w:tcBorders>
                  <w:shd w:val="clear" w:color="auto" w:fill="auto"/>
                  <w:vAlign w:val="center"/>
                </w:tcPr>
                <w:p w14:paraId="30E2D6A9">
                  <w:pPr>
                    <w:pStyle w:val="2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textAlignment w:val="auto"/>
                    <w:rPr>
                      <w:rFonts w:hint="default" w:cs="Times New Roman"/>
                      <w:b w:val="0"/>
                      <w:bCs/>
                      <w:color w:val="auto"/>
                      <w:kern w:val="2"/>
                      <w:szCs w:val="21"/>
                      <w:highlight w:val="none"/>
                      <w:lang w:val="en-US" w:eastAsia="zh-CN"/>
                    </w:rPr>
                  </w:pPr>
                  <w:r>
                    <w:rPr>
                      <w:rFonts w:hint="eastAsia" w:cs="Times New Roman"/>
                      <w:b w:val="0"/>
                      <w:bCs/>
                      <w:color w:val="auto"/>
                      <w:kern w:val="2"/>
                      <w:szCs w:val="21"/>
                      <w:highlight w:val="none"/>
                      <w:lang w:val="en-US" w:eastAsia="zh-CN"/>
                    </w:rPr>
                    <w:t>1</w:t>
                  </w:r>
                </w:p>
              </w:tc>
              <w:tc>
                <w:tcPr>
                  <w:tcW w:w="417" w:type="pct"/>
                  <w:tcBorders>
                    <w:top w:val="single" w:color="auto" w:sz="6" w:space="0"/>
                    <w:left w:val="single" w:color="auto" w:sz="6" w:space="0"/>
                    <w:bottom w:val="single" w:color="auto" w:sz="6" w:space="0"/>
                    <w:right w:val="single" w:color="auto" w:sz="6" w:space="0"/>
                  </w:tcBorders>
                  <w:shd w:val="clear" w:color="auto" w:fill="auto"/>
                  <w:vAlign w:val="center"/>
                </w:tcPr>
                <w:p w14:paraId="2E0AE027">
                  <w:pPr>
                    <w:pStyle w:val="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bCs/>
                      <w:color w:val="auto"/>
                      <w:kern w:val="0"/>
                      <w:sz w:val="21"/>
                      <w:szCs w:val="21"/>
                      <w:lang w:val="en-US" w:eastAsia="zh-CN" w:bidi="ar"/>
                    </w:rPr>
                  </w:pPr>
                  <w:r>
                    <w:rPr>
                      <w:rFonts w:hint="default" w:ascii="Times New Roman" w:hAnsi="Times New Roman" w:cs="Times New Roman"/>
                      <w:bCs/>
                      <w:color w:val="auto"/>
                      <w:sz w:val="21"/>
                      <w:szCs w:val="21"/>
                      <w:lang w:val="en-US" w:eastAsia="zh-CN" w:bidi="ar"/>
                    </w:rPr>
                    <w:t>PP</w:t>
                  </w:r>
                </w:p>
              </w:tc>
              <w:tc>
                <w:tcPr>
                  <w:tcW w:w="1767" w:type="pct"/>
                  <w:tcBorders>
                    <w:top w:val="single" w:color="auto" w:sz="6" w:space="0"/>
                    <w:left w:val="single" w:color="auto" w:sz="6" w:space="0"/>
                    <w:bottom w:val="single" w:color="auto" w:sz="6" w:space="0"/>
                    <w:right w:val="single" w:color="auto" w:sz="6" w:space="0"/>
                  </w:tcBorders>
                  <w:shd w:val="clear" w:color="auto" w:fill="auto"/>
                  <w:vAlign w:val="center"/>
                </w:tcPr>
                <w:p w14:paraId="58BE7C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cs="Times New Roman"/>
                      <w:bCs/>
                      <w:color w:val="auto"/>
                      <w:kern w:val="2"/>
                      <w:sz w:val="21"/>
                      <w:szCs w:val="21"/>
                      <w:lang w:val="en-US" w:eastAsia="zh-CN" w:bidi="ar"/>
                    </w:rPr>
                    <w:t>聚丙烯，是由丙烯单体通过加聚反应制成的半结晶的热塑性聚合物。白色蜡状固体，半透明至不透明，无色、无毒、无臭，质轻且光滑，密度约0.89g/cm</w:t>
                  </w:r>
                  <w:r>
                    <w:rPr>
                      <w:rFonts w:hint="default" w:ascii="Times New Roman" w:hAnsi="Times New Roman" w:cs="Times New Roman"/>
                      <w:bCs/>
                      <w:color w:val="auto"/>
                      <w:kern w:val="2"/>
                      <w:sz w:val="21"/>
                      <w:szCs w:val="21"/>
                      <w:vertAlign w:val="superscript"/>
                      <w:lang w:val="en-US" w:eastAsia="zh-CN" w:bidi="ar"/>
                    </w:rPr>
                    <w:t>3</w:t>
                  </w:r>
                  <w:r>
                    <w:rPr>
                      <w:rFonts w:hint="default" w:ascii="Times New Roman" w:hAnsi="Times New Roman" w:cs="Times New Roman"/>
                      <w:bCs/>
                      <w:color w:val="auto"/>
                      <w:kern w:val="2"/>
                      <w:sz w:val="21"/>
                      <w:szCs w:val="21"/>
                      <w:lang w:val="en-US" w:eastAsia="zh-CN" w:bidi="ar"/>
                    </w:rPr>
                    <w:t>~0.96g/cm</w:t>
                  </w:r>
                  <w:r>
                    <w:rPr>
                      <w:rFonts w:hint="default" w:ascii="Times New Roman" w:hAnsi="Times New Roman" w:cs="Times New Roman"/>
                      <w:bCs/>
                      <w:color w:val="auto"/>
                      <w:kern w:val="2"/>
                      <w:sz w:val="21"/>
                      <w:szCs w:val="21"/>
                      <w:vertAlign w:val="superscript"/>
                      <w:lang w:val="en-US" w:eastAsia="zh-CN" w:bidi="ar"/>
                    </w:rPr>
                    <w:t>3</w:t>
                  </w:r>
                  <w:r>
                    <w:rPr>
                      <w:rFonts w:hint="default" w:ascii="Times New Roman" w:hAnsi="Times New Roman" w:cs="Times New Roman"/>
                      <w:bCs/>
                      <w:color w:val="auto"/>
                      <w:kern w:val="2"/>
                      <w:sz w:val="21"/>
                      <w:szCs w:val="21"/>
                      <w:lang w:val="en-US" w:eastAsia="zh-CN" w:bidi="ar"/>
                    </w:rPr>
                    <w:t>，属于低密度热塑性树脂。熔点约180~280℃，软化温度约155℃，对大多数酸、碱及有机溶剂温度，高温下可溶于四氢化萘、十氢化萘及某些</w:t>
                  </w:r>
                  <w:r>
                    <w:rPr>
                      <w:rFonts w:hint="eastAsia" w:cs="Times New Roman"/>
                      <w:bCs/>
                      <w:color w:val="auto"/>
                      <w:kern w:val="2"/>
                      <w:sz w:val="21"/>
                      <w:szCs w:val="21"/>
                      <w:lang w:val="en-US" w:eastAsia="zh-CN" w:bidi="ar"/>
                    </w:rPr>
                    <w:t>氯</w:t>
                  </w:r>
                  <w:r>
                    <w:rPr>
                      <w:rFonts w:hint="default" w:ascii="Times New Roman" w:hAnsi="Times New Roman" w:cs="Times New Roman"/>
                      <w:bCs/>
                      <w:color w:val="auto"/>
                      <w:kern w:val="2"/>
                      <w:sz w:val="21"/>
                      <w:szCs w:val="21"/>
                      <w:lang w:val="en-US" w:eastAsia="zh-CN" w:bidi="ar"/>
                    </w:rPr>
                    <w:t>代芳烃，但对强氧化剂敏感，挤出温度通常为220℃~280℃，使用温度范围为-30℃~140℃，是一种高结晶性、低密度、耐热、耐化学腐蚀的热塑性聚合物，广泛应用于纤维、包装、汽车及医疗器械等领域。</w:t>
                  </w:r>
                </w:p>
              </w:tc>
              <w:tc>
                <w:tcPr>
                  <w:tcW w:w="1287" w:type="pct"/>
                  <w:tcBorders>
                    <w:top w:val="single" w:color="auto" w:sz="6" w:space="0"/>
                    <w:left w:val="single" w:color="auto" w:sz="6" w:space="0"/>
                    <w:bottom w:val="single" w:color="auto" w:sz="6" w:space="0"/>
                    <w:right w:val="single" w:color="auto" w:sz="6" w:space="0"/>
                  </w:tcBorders>
                  <w:shd w:val="clear" w:color="auto" w:fill="auto"/>
                  <w:vAlign w:val="center"/>
                </w:tcPr>
                <w:p w14:paraId="488B903C">
                  <w:pPr>
                    <w:pStyle w:val="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cs="Times New Roman"/>
                      <w:b w:val="0"/>
                      <w:bCs/>
                      <w:color w:val="auto"/>
                      <w:kern w:val="2"/>
                      <w:sz w:val="21"/>
                      <w:szCs w:val="21"/>
                      <w:lang w:val="en-US" w:eastAsia="zh-CN" w:bidi="ar"/>
                    </w:rPr>
                    <w:t>无毒</w:t>
                  </w:r>
                </w:p>
              </w:tc>
              <w:tc>
                <w:tcPr>
                  <w:tcW w:w="1139" w:type="pct"/>
                  <w:tcBorders>
                    <w:top w:val="single" w:color="auto" w:sz="6" w:space="0"/>
                    <w:left w:val="single" w:color="auto" w:sz="6" w:space="0"/>
                    <w:bottom w:val="single" w:color="auto" w:sz="6" w:space="0"/>
                    <w:right w:val="nil"/>
                  </w:tcBorders>
                  <w:shd w:val="clear" w:color="auto" w:fill="auto"/>
                  <w:vAlign w:val="center"/>
                </w:tcPr>
                <w:p w14:paraId="65286673">
                  <w:pPr>
                    <w:pStyle w:val="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cs="Times New Roman"/>
                      <w:b w:val="0"/>
                      <w:bCs w:val="0"/>
                      <w:color w:val="auto"/>
                      <w:sz w:val="21"/>
                      <w:szCs w:val="21"/>
                      <w:lang w:val="en-US" w:eastAsia="zh-CN" w:bidi="ar"/>
                    </w:rPr>
                    <w:t>可燃</w:t>
                  </w:r>
                </w:p>
              </w:tc>
            </w:tr>
            <w:tr w14:paraId="3202DF4F">
              <w:tblPrEx>
                <w:tblBorders>
                  <w:top w:val="single" w:color="auto" w:sz="12" w:space="0"/>
                  <w:left w:val="none" w:color="000000" w:sz="4" w:space="0"/>
                  <w:bottom w:val="single" w:color="auto" w:sz="12" w:space="0"/>
                  <w:right w:val="none" w:color="000000" w:sz="4" w:space="0"/>
                  <w:insideH w:val="single" w:color="auto" w:sz="6" w:space="0"/>
                  <w:insideV w:val="single" w:color="auto" w:sz="6" w:space="0"/>
                </w:tblBorders>
                <w:tblCellMar>
                  <w:top w:w="0" w:type="dxa"/>
                  <w:left w:w="108" w:type="dxa"/>
                  <w:bottom w:w="0" w:type="dxa"/>
                  <w:right w:w="108" w:type="dxa"/>
                </w:tblCellMar>
              </w:tblPrEx>
              <w:tc>
                <w:tcPr>
                  <w:tcW w:w="389" w:type="pct"/>
                  <w:tcBorders>
                    <w:top w:val="single" w:color="auto" w:sz="6" w:space="0"/>
                    <w:left w:val="nil"/>
                    <w:bottom w:val="single" w:color="auto" w:sz="6" w:space="0"/>
                    <w:right w:val="single" w:color="auto" w:sz="6" w:space="0"/>
                  </w:tcBorders>
                  <w:shd w:val="clear" w:color="auto" w:fill="auto"/>
                  <w:vAlign w:val="center"/>
                </w:tcPr>
                <w:p w14:paraId="208574AA">
                  <w:pPr>
                    <w:pStyle w:val="2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textAlignment w:val="auto"/>
                    <w:rPr>
                      <w:rFonts w:hint="default" w:cs="Times New Roman"/>
                      <w:b w:val="0"/>
                      <w:bCs/>
                      <w:color w:val="auto"/>
                      <w:kern w:val="2"/>
                      <w:szCs w:val="21"/>
                      <w:highlight w:val="none"/>
                      <w:lang w:val="en-US" w:eastAsia="zh-CN"/>
                    </w:rPr>
                  </w:pPr>
                  <w:r>
                    <w:rPr>
                      <w:rFonts w:hint="eastAsia" w:cs="Times New Roman"/>
                      <w:b w:val="0"/>
                      <w:bCs/>
                      <w:color w:val="auto"/>
                      <w:kern w:val="2"/>
                      <w:szCs w:val="21"/>
                      <w:highlight w:val="none"/>
                      <w:lang w:val="en-US" w:eastAsia="zh-CN"/>
                    </w:rPr>
                    <w:t>2</w:t>
                  </w:r>
                </w:p>
              </w:tc>
              <w:tc>
                <w:tcPr>
                  <w:tcW w:w="417" w:type="pct"/>
                  <w:tcBorders>
                    <w:top w:val="single" w:color="auto" w:sz="6" w:space="0"/>
                    <w:left w:val="single" w:color="auto" w:sz="6" w:space="0"/>
                    <w:bottom w:val="single" w:color="auto" w:sz="6" w:space="0"/>
                    <w:right w:val="single" w:color="auto" w:sz="6" w:space="0"/>
                  </w:tcBorders>
                  <w:shd w:val="clear" w:color="auto" w:fill="auto"/>
                  <w:vAlign w:val="center"/>
                </w:tcPr>
                <w:p w14:paraId="595C70A1">
                  <w:pPr>
                    <w:pStyle w:val="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bCs/>
                      <w:color w:val="auto"/>
                      <w:kern w:val="0"/>
                      <w:sz w:val="21"/>
                      <w:szCs w:val="21"/>
                      <w:lang w:val="en-US" w:eastAsia="zh-CN" w:bidi="ar"/>
                    </w:rPr>
                  </w:pPr>
                  <w:r>
                    <w:rPr>
                      <w:rFonts w:hint="default" w:ascii="Times New Roman" w:hAnsi="Times New Roman" w:cs="Times New Roman"/>
                      <w:bCs/>
                      <w:color w:val="auto"/>
                      <w:sz w:val="21"/>
                      <w:szCs w:val="21"/>
                      <w:lang w:val="en-US" w:eastAsia="zh-CN" w:bidi="ar"/>
                    </w:rPr>
                    <w:t>PE</w:t>
                  </w:r>
                </w:p>
              </w:tc>
              <w:tc>
                <w:tcPr>
                  <w:tcW w:w="1767" w:type="pct"/>
                  <w:tcBorders>
                    <w:top w:val="single" w:color="auto" w:sz="6" w:space="0"/>
                    <w:left w:val="single" w:color="auto" w:sz="6" w:space="0"/>
                    <w:bottom w:val="single" w:color="auto" w:sz="6" w:space="0"/>
                    <w:right w:val="single" w:color="auto" w:sz="6" w:space="0"/>
                  </w:tcBorders>
                  <w:shd w:val="clear" w:color="auto" w:fill="auto"/>
                  <w:vAlign w:val="center"/>
                </w:tcPr>
                <w:p w14:paraId="20B364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cs="Times New Roman"/>
                      <w:bCs/>
                      <w:color w:val="auto"/>
                      <w:kern w:val="2"/>
                      <w:sz w:val="21"/>
                      <w:szCs w:val="21"/>
                      <w:lang w:val="en-US" w:eastAsia="zh-CN" w:bidi="ar"/>
                    </w:rPr>
                    <w:t>聚乙烯是乙烯单体经聚合反应制得的热塑性树脂，无毒、无味、乳白色或半透明的热塑性塑料，具有低密度、良好的耐化学性和高电绝缘性。密度约0.92~0.96g/cm</w:t>
                  </w:r>
                  <w:r>
                    <w:rPr>
                      <w:rFonts w:hint="default" w:ascii="Times New Roman" w:hAnsi="Times New Roman" w:cs="Times New Roman"/>
                      <w:bCs/>
                      <w:color w:val="auto"/>
                      <w:kern w:val="2"/>
                      <w:sz w:val="21"/>
                      <w:szCs w:val="21"/>
                      <w:vertAlign w:val="superscript"/>
                      <w:lang w:val="en-US" w:eastAsia="zh-CN" w:bidi="ar"/>
                    </w:rPr>
                    <w:t>3</w:t>
                  </w:r>
                  <w:r>
                    <w:rPr>
                      <w:rFonts w:hint="default" w:ascii="Times New Roman" w:hAnsi="Times New Roman" w:cs="Times New Roman"/>
                      <w:bCs/>
                      <w:color w:val="auto"/>
                      <w:kern w:val="2"/>
                      <w:sz w:val="21"/>
                      <w:szCs w:val="21"/>
                      <w:lang w:val="en-US" w:eastAsia="zh-CN" w:bidi="ar"/>
                    </w:rPr>
                    <w:t>，熔点一般在85~126℃，闪点270℃，常温下不溶于水，微溶于烃类溶剂，70℃以上可稍溶于甲苯、乙酸戊酯等。</w:t>
                  </w:r>
                </w:p>
              </w:tc>
              <w:tc>
                <w:tcPr>
                  <w:tcW w:w="1287" w:type="pct"/>
                  <w:tcBorders>
                    <w:top w:val="single" w:color="auto" w:sz="6" w:space="0"/>
                    <w:left w:val="single" w:color="auto" w:sz="6" w:space="0"/>
                    <w:bottom w:val="single" w:color="auto" w:sz="6" w:space="0"/>
                    <w:right w:val="single" w:color="auto" w:sz="6" w:space="0"/>
                  </w:tcBorders>
                  <w:shd w:val="clear" w:color="auto" w:fill="auto"/>
                  <w:vAlign w:val="center"/>
                </w:tcPr>
                <w:p w14:paraId="5CFF3531">
                  <w:pPr>
                    <w:pStyle w:val="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cs="Times New Roman"/>
                      <w:b w:val="0"/>
                      <w:bCs/>
                      <w:color w:val="auto"/>
                      <w:kern w:val="2"/>
                      <w:sz w:val="21"/>
                      <w:szCs w:val="21"/>
                      <w:lang w:val="en-US" w:eastAsia="zh-CN" w:bidi="ar"/>
                    </w:rPr>
                    <w:t>无毒</w:t>
                  </w:r>
                </w:p>
              </w:tc>
              <w:tc>
                <w:tcPr>
                  <w:tcW w:w="1139" w:type="pct"/>
                  <w:tcBorders>
                    <w:top w:val="single" w:color="auto" w:sz="6" w:space="0"/>
                    <w:left w:val="single" w:color="auto" w:sz="6" w:space="0"/>
                    <w:bottom w:val="single" w:color="auto" w:sz="6" w:space="0"/>
                    <w:right w:val="nil"/>
                  </w:tcBorders>
                  <w:shd w:val="clear" w:color="auto" w:fill="auto"/>
                  <w:vAlign w:val="center"/>
                </w:tcPr>
                <w:p w14:paraId="7C1551FC">
                  <w:pPr>
                    <w:pStyle w:val="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cs="Times New Roman"/>
                      <w:b w:val="0"/>
                      <w:bCs w:val="0"/>
                      <w:color w:val="auto"/>
                      <w:sz w:val="21"/>
                      <w:szCs w:val="21"/>
                      <w:lang w:val="en-US" w:eastAsia="zh-CN" w:bidi="ar"/>
                    </w:rPr>
                    <w:t>可燃</w:t>
                  </w:r>
                </w:p>
              </w:tc>
            </w:tr>
            <w:tr w14:paraId="10C3A087">
              <w:tblPrEx>
                <w:tblBorders>
                  <w:top w:val="single" w:color="auto" w:sz="12" w:space="0"/>
                  <w:left w:val="none" w:color="000000" w:sz="4" w:space="0"/>
                  <w:bottom w:val="single" w:color="auto" w:sz="12" w:space="0"/>
                  <w:right w:val="none" w:color="000000" w:sz="4" w:space="0"/>
                  <w:insideH w:val="single" w:color="auto" w:sz="6" w:space="0"/>
                  <w:insideV w:val="single" w:color="auto" w:sz="6" w:space="0"/>
                </w:tblBorders>
                <w:tblCellMar>
                  <w:top w:w="0" w:type="dxa"/>
                  <w:left w:w="108" w:type="dxa"/>
                  <w:bottom w:w="0" w:type="dxa"/>
                  <w:right w:w="108" w:type="dxa"/>
                </w:tblCellMar>
              </w:tblPrEx>
              <w:tc>
                <w:tcPr>
                  <w:tcW w:w="389" w:type="pct"/>
                  <w:tcBorders>
                    <w:top w:val="single" w:color="auto" w:sz="6" w:space="0"/>
                    <w:left w:val="nil"/>
                    <w:bottom w:val="single" w:color="auto" w:sz="6" w:space="0"/>
                    <w:right w:val="single" w:color="auto" w:sz="6" w:space="0"/>
                  </w:tcBorders>
                  <w:shd w:val="clear" w:color="auto" w:fill="auto"/>
                  <w:vAlign w:val="center"/>
                </w:tcPr>
                <w:p w14:paraId="4742EDC5">
                  <w:pPr>
                    <w:pStyle w:val="2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textAlignment w:val="auto"/>
                    <w:rPr>
                      <w:rFonts w:hint="default" w:cs="Times New Roman"/>
                      <w:b w:val="0"/>
                      <w:bCs/>
                      <w:color w:val="auto"/>
                      <w:kern w:val="2"/>
                      <w:szCs w:val="21"/>
                      <w:highlight w:val="none"/>
                      <w:lang w:val="en-US" w:eastAsia="zh-CN"/>
                    </w:rPr>
                  </w:pPr>
                  <w:r>
                    <w:rPr>
                      <w:rFonts w:hint="eastAsia" w:cs="Times New Roman"/>
                      <w:b w:val="0"/>
                      <w:bCs/>
                      <w:color w:val="auto"/>
                      <w:kern w:val="2"/>
                      <w:szCs w:val="21"/>
                      <w:highlight w:val="none"/>
                      <w:lang w:val="en-US" w:eastAsia="zh-CN"/>
                    </w:rPr>
                    <w:t>3</w:t>
                  </w:r>
                </w:p>
              </w:tc>
              <w:tc>
                <w:tcPr>
                  <w:tcW w:w="417" w:type="pct"/>
                  <w:tcBorders>
                    <w:top w:val="single" w:color="auto" w:sz="6" w:space="0"/>
                    <w:left w:val="single" w:color="auto" w:sz="6" w:space="0"/>
                    <w:bottom w:val="single" w:color="auto" w:sz="6" w:space="0"/>
                    <w:right w:val="single" w:color="auto" w:sz="6" w:space="0"/>
                  </w:tcBorders>
                  <w:shd w:val="clear" w:color="auto" w:fill="auto"/>
                  <w:vAlign w:val="center"/>
                </w:tcPr>
                <w:p w14:paraId="1CFDB1F2">
                  <w:pPr>
                    <w:pStyle w:val="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bCs/>
                      <w:color w:val="auto"/>
                      <w:kern w:val="0"/>
                      <w:sz w:val="21"/>
                      <w:szCs w:val="21"/>
                      <w:lang w:val="en-US" w:eastAsia="zh-CN" w:bidi="ar"/>
                    </w:rPr>
                  </w:pPr>
                  <w:r>
                    <w:rPr>
                      <w:rFonts w:hint="default" w:ascii="Times New Roman" w:hAnsi="Times New Roman" w:cs="Times New Roman"/>
                      <w:bCs/>
                      <w:color w:val="auto"/>
                      <w:sz w:val="21"/>
                      <w:szCs w:val="21"/>
                      <w:lang w:val="en-US" w:eastAsia="zh-CN" w:bidi="ar"/>
                    </w:rPr>
                    <w:t>PS</w:t>
                  </w:r>
                </w:p>
              </w:tc>
              <w:tc>
                <w:tcPr>
                  <w:tcW w:w="1767" w:type="pct"/>
                  <w:tcBorders>
                    <w:top w:val="single" w:color="auto" w:sz="6" w:space="0"/>
                    <w:left w:val="single" w:color="auto" w:sz="6" w:space="0"/>
                    <w:bottom w:val="single" w:color="auto" w:sz="6" w:space="0"/>
                    <w:right w:val="single" w:color="auto" w:sz="6" w:space="0"/>
                  </w:tcBorders>
                  <w:shd w:val="clear" w:color="auto" w:fill="auto"/>
                  <w:vAlign w:val="center"/>
                </w:tcPr>
                <w:p w14:paraId="572668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cs="Times New Roman"/>
                      <w:bCs/>
                      <w:color w:val="auto"/>
                      <w:kern w:val="2"/>
                      <w:sz w:val="21"/>
                      <w:szCs w:val="21"/>
                      <w:lang w:val="en-US" w:eastAsia="zh-CN" w:bidi="ar"/>
                    </w:rPr>
                    <w:t>聚苯乙烯，是一种由苯乙烯单体通过自由基聚合反应生成的热塑性聚合物。白色不透明珠状或粒状热塑性树脂，具有较高的韧性和冲击性，无色、无臭、无味而有光泽的透明固体，与强氧化剂不相容，溶于芳香烃、氯化烃、脂肪烃酮和酯等。密度1.04~1.06g/cm</w:t>
                  </w:r>
                  <w:r>
                    <w:rPr>
                      <w:rFonts w:hint="default" w:ascii="Times New Roman" w:hAnsi="Times New Roman" w:cs="Times New Roman"/>
                      <w:bCs/>
                      <w:color w:val="auto"/>
                      <w:kern w:val="2"/>
                      <w:sz w:val="21"/>
                      <w:szCs w:val="21"/>
                      <w:vertAlign w:val="superscript"/>
                      <w:lang w:val="en-US" w:eastAsia="zh-CN" w:bidi="ar"/>
                    </w:rPr>
                    <w:t>3</w:t>
                  </w:r>
                  <w:r>
                    <w:rPr>
                      <w:rFonts w:hint="default" w:ascii="Times New Roman" w:hAnsi="Times New Roman" w:cs="Times New Roman"/>
                      <w:bCs/>
                      <w:color w:val="auto"/>
                      <w:kern w:val="2"/>
                      <w:sz w:val="21"/>
                      <w:szCs w:val="21"/>
                      <w:lang w:val="en-US" w:eastAsia="zh-CN" w:bidi="ar"/>
                    </w:rPr>
                    <w:t>，熔点140℃~180℃，沸点30℃~80℃，闪点＞230℃。注射成型时需料筒温度在180℃~250℃，挤塑成型时料筒中央温度为200℃，两端温度为220℃。</w:t>
                  </w:r>
                </w:p>
              </w:tc>
              <w:tc>
                <w:tcPr>
                  <w:tcW w:w="1287" w:type="pct"/>
                  <w:tcBorders>
                    <w:top w:val="single" w:color="auto" w:sz="6" w:space="0"/>
                    <w:left w:val="single" w:color="auto" w:sz="6" w:space="0"/>
                    <w:bottom w:val="single" w:color="auto" w:sz="6" w:space="0"/>
                    <w:right w:val="single" w:color="auto" w:sz="6" w:space="0"/>
                  </w:tcBorders>
                  <w:shd w:val="clear" w:color="auto" w:fill="auto"/>
                  <w:vAlign w:val="center"/>
                </w:tcPr>
                <w:p w14:paraId="312CD6C7">
                  <w:pPr>
                    <w:pStyle w:val="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cs="Times New Roman"/>
                      <w:b w:val="0"/>
                      <w:bCs/>
                      <w:color w:val="auto"/>
                      <w:kern w:val="2"/>
                      <w:sz w:val="21"/>
                      <w:szCs w:val="21"/>
                      <w:lang w:val="en-US" w:eastAsia="zh-CN" w:bidi="ar"/>
                    </w:rPr>
                    <w:t>无毒</w:t>
                  </w:r>
                </w:p>
              </w:tc>
              <w:tc>
                <w:tcPr>
                  <w:tcW w:w="1139" w:type="pct"/>
                  <w:tcBorders>
                    <w:top w:val="single" w:color="auto" w:sz="6" w:space="0"/>
                    <w:left w:val="single" w:color="auto" w:sz="6" w:space="0"/>
                    <w:bottom w:val="single" w:color="auto" w:sz="6" w:space="0"/>
                    <w:right w:val="nil"/>
                  </w:tcBorders>
                  <w:shd w:val="clear" w:color="auto" w:fill="auto"/>
                  <w:vAlign w:val="center"/>
                </w:tcPr>
                <w:p w14:paraId="67E36997">
                  <w:pPr>
                    <w:pStyle w:val="3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cs="Times New Roman"/>
                      <w:b w:val="0"/>
                      <w:bCs w:val="0"/>
                      <w:color w:val="auto"/>
                      <w:sz w:val="21"/>
                      <w:szCs w:val="21"/>
                      <w:lang w:val="en-US" w:eastAsia="zh-CN" w:bidi="ar"/>
                    </w:rPr>
                    <w:t>可燃</w:t>
                  </w:r>
                </w:p>
              </w:tc>
            </w:tr>
            <w:tr w14:paraId="65FD2C5D">
              <w:tblPrEx>
                <w:tblBorders>
                  <w:top w:val="single" w:color="auto" w:sz="12" w:space="0"/>
                  <w:left w:val="none" w:color="000000" w:sz="4" w:space="0"/>
                  <w:bottom w:val="single" w:color="auto" w:sz="12" w:space="0"/>
                  <w:right w:val="none" w:color="000000" w:sz="4" w:space="0"/>
                  <w:insideH w:val="single" w:color="auto" w:sz="6" w:space="0"/>
                  <w:insideV w:val="single" w:color="auto" w:sz="6" w:space="0"/>
                </w:tblBorders>
                <w:tblCellMar>
                  <w:top w:w="0" w:type="dxa"/>
                  <w:left w:w="108" w:type="dxa"/>
                  <w:bottom w:w="0" w:type="dxa"/>
                  <w:right w:w="108" w:type="dxa"/>
                </w:tblCellMar>
              </w:tblPrEx>
              <w:tc>
                <w:tcPr>
                  <w:tcW w:w="389" w:type="pct"/>
                  <w:tcBorders>
                    <w:top w:val="single" w:color="auto" w:sz="6" w:space="0"/>
                    <w:left w:val="nil"/>
                    <w:bottom w:val="single" w:color="auto" w:sz="6" w:space="0"/>
                    <w:right w:val="single" w:color="auto" w:sz="6" w:space="0"/>
                  </w:tcBorders>
                  <w:shd w:val="clear" w:color="auto" w:fill="auto"/>
                  <w:vAlign w:val="center"/>
                </w:tcPr>
                <w:p w14:paraId="7831B7C1">
                  <w:pPr>
                    <w:pStyle w:val="2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eastAsia" w:cs="Times New Roman"/>
                      <w:b w:val="0"/>
                      <w:bCs/>
                      <w:color w:val="auto"/>
                      <w:kern w:val="2"/>
                      <w:szCs w:val="21"/>
                      <w:highlight w:val="none"/>
                      <w:lang w:val="en-US" w:eastAsia="zh-CN"/>
                    </w:rPr>
                    <w:t>4</w:t>
                  </w:r>
                </w:p>
              </w:tc>
              <w:tc>
                <w:tcPr>
                  <w:tcW w:w="417" w:type="pct"/>
                  <w:tcBorders>
                    <w:top w:val="single" w:color="auto" w:sz="6" w:space="0"/>
                    <w:left w:val="single" w:color="auto" w:sz="6" w:space="0"/>
                    <w:bottom w:val="single" w:color="auto" w:sz="6" w:space="0"/>
                    <w:right w:val="single" w:color="auto" w:sz="6" w:space="0"/>
                  </w:tcBorders>
                  <w:shd w:val="clear" w:color="auto" w:fill="auto"/>
                  <w:vAlign w:val="center"/>
                </w:tcPr>
                <w:p w14:paraId="4E786432">
                  <w:pPr>
                    <w:pStyle w:val="3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cs="Times New Roman"/>
                      <w:b w:val="0"/>
                      <w:bCs/>
                      <w:color w:val="auto"/>
                      <w:kern w:val="2"/>
                      <w:szCs w:val="21"/>
                      <w:highlight w:val="none"/>
                      <w:lang w:val="en-US"/>
                    </w:rPr>
                  </w:pPr>
                  <w:r>
                    <w:rPr>
                      <w:rFonts w:hint="default" w:ascii="Times New Roman" w:hAnsi="Times New Roman" w:eastAsia="宋体" w:cs="Times New Roman"/>
                      <w:snapToGrid w:val="0"/>
                      <w:color w:val="auto"/>
                      <w:kern w:val="2"/>
                      <w:sz w:val="21"/>
                      <w:szCs w:val="21"/>
                      <w:highlight w:val="none"/>
                      <w:lang w:val="en-US" w:eastAsia="zh-CN" w:bidi="ar"/>
                    </w:rPr>
                    <w:t>甲苯</w:t>
                  </w:r>
                </w:p>
              </w:tc>
              <w:tc>
                <w:tcPr>
                  <w:tcW w:w="1767" w:type="pct"/>
                  <w:tcBorders>
                    <w:top w:val="single" w:color="auto" w:sz="6" w:space="0"/>
                    <w:left w:val="single" w:color="auto" w:sz="6" w:space="0"/>
                    <w:bottom w:val="single" w:color="auto" w:sz="6" w:space="0"/>
                    <w:right w:val="single" w:color="auto" w:sz="6" w:space="0"/>
                  </w:tcBorders>
                  <w:shd w:val="clear" w:color="auto" w:fill="auto"/>
                  <w:vAlign w:val="center"/>
                </w:tcPr>
                <w:p w14:paraId="6254531A">
                  <w:pPr>
                    <w:pStyle w:val="3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rPr>
                  </w:pPr>
                  <w:r>
                    <w:rPr>
                      <w:rFonts w:hint="default" w:ascii="Times New Roman" w:hAnsi="Times New Roman" w:eastAsia="宋体" w:cs="Times New Roman"/>
                      <w:snapToGrid w:val="0"/>
                      <w:color w:val="auto"/>
                      <w:kern w:val="2"/>
                      <w:sz w:val="21"/>
                      <w:szCs w:val="21"/>
                      <w:highlight w:val="none"/>
                      <w:lang w:val="en-US" w:eastAsia="zh-CN" w:bidi="ar"/>
                    </w:rPr>
                    <w:t>分子式C</w:t>
                  </w:r>
                  <w:r>
                    <w:rPr>
                      <w:rFonts w:hint="default" w:ascii="Times New Roman" w:hAnsi="Times New Roman" w:eastAsia="宋体" w:cs="Times New Roman"/>
                      <w:snapToGrid w:val="0"/>
                      <w:color w:val="auto"/>
                      <w:kern w:val="2"/>
                      <w:sz w:val="21"/>
                      <w:szCs w:val="21"/>
                      <w:highlight w:val="none"/>
                      <w:vertAlign w:val="subscript"/>
                      <w:lang w:val="en-US" w:eastAsia="zh-CN" w:bidi="ar"/>
                    </w:rPr>
                    <w:t>7</w:t>
                  </w:r>
                  <w:r>
                    <w:rPr>
                      <w:rFonts w:hint="default" w:ascii="Times New Roman" w:hAnsi="Times New Roman" w:eastAsia="宋体" w:cs="Times New Roman"/>
                      <w:snapToGrid w:val="0"/>
                      <w:color w:val="auto"/>
                      <w:kern w:val="2"/>
                      <w:sz w:val="21"/>
                      <w:szCs w:val="21"/>
                      <w:highlight w:val="none"/>
                      <w:lang w:val="en-US" w:eastAsia="zh-CN" w:bidi="ar"/>
                    </w:rPr>
                    <w:t>H</w:t>
                  </w:r>
                  <w:r>
                    <w:rPr>
                      <w:rFonts w:hint="default" w:ascii="Times New Roman" w:hAnsi="Times New Roman" w:eastAsia="宋体" w:cs="Times New Roman"/>
                      <w:snapToGrid w:val="0"/>
                      <w:color w:val="auto"/>
                      <w:kern w:val="2"/>
                      <w:sz w:val="21"/>
                      <w:szCs w:val="21"/>
                      <w:highlight w:val="none"/>
                      <w:vertAlign w:val="subscript"/>
                      <w:lang w:val="en-US" w:eastAsia="zh-CN" w:bidi="ar"/>
                    </w:rPr>
                    <w:t>8</w:t>
                  </w:r>
                  <w:r>
                    <w:rPr>
                      <w:rFonts w:hint="default" w:ascii="Times New Roman" w:hAnsi="Times New Roman" w:eastAsia="宋体" w:cs="Times New Roman"/>
                      <w:snapToGrid w:val="0"/>
                      <w:color w:val="auto"/>
                      <w:kern w:val="2"/>
                      <w:sz w:val="21"/>
                      <w:szCs w:val="21"/>
                      <w:highlight w:val="none"/>
                      <w:lang w:val="en-US" w:eastAsia="zh-CN" w:bidi="ar"/>
                    </w:rPr>
                    <w:t>，CAS号108-88-3，无色澄清液体。有苯样气味。有强折光性。能与乙醇、乙醚、丙酮、氯仿、二硫化碳和冰乙酸混溶，极微溶于水。相对密度0.866g/cm</w:t>
                  </w:r>
                  <w:r>
                    <w:rPr>
                      <w:rFonts w:hint="default" w:ascii="Times New Roman" w:hAnsi="Times New Roman" w:eastAsia="宋体" w:cs="Times New Roman"/>
                      <w:snapToGrid w:val="0"/>
                      <w:color w:val="auto"/>
                      <w:kern w:val="2"/>
                      <w:sz w:val="21"/>
                      <w:szCs w:val="21"/>
                      <w:highlight w:val="none"/>
                      <w:vertAlign w:val="superscript"/>
                      <w:lang w:val="en-US" w:eastAsia="zh-CN" w:bidi="ar"/>
                    </w:rPr>
                    <w:t>3</w:t>
                  </w:r>
                  <w:r>
                    <w:rPr>
                      <w:rFonts w:hint="default" w:ascii="Times New Roman" w:hAnsi="Times New Roman" w:eastAsia="宋体" w:cs="Times New Roman"/>
                      <w:snapToGrid w:val="0"/>
                      <w:color w:val="auto"/>
                      <w:kern w:val="2"/>
                      <w:sz w:val="21"/>
                      <w:szCs w:val="21"/>
                      <w:highlight w:val="none"/>
                      <w:lang w:val="en-US" w:eastAsia="zh-CN" w:bidi="ar"/>
                    </w:rPr>
                    <w:t>，凝固点-95℃，沸点110.6℃，折光率1.4967。闪点(闭杯)4.4℃，蒸气能与空气形成爆炸性混合物，爆炸极限1.2%~7.0%(体积)。</w:t>
                  </w:r>
                </w:p>
              </w:tc>
              <w:tc>
                <w:tcPr>
                  <w:tcW w:w="1287" w:type="pct"/>
                  <w:tcBorders>
                    <w:top w:val="single" w:color="auto" w:sz="6" w:space="0"/>
                    <w:left w:val="single" w:color="auto" w:sz="6" w:space="0"/>
                    <w:bottom w:val="single" w:color="auto" w:sz="6" w:space="0"/>
                    <w:right w:val="single" w:color="auto" w:sz="6" w:space="0"/>
                  </w:tcBorders>
                  <w:shd w:val="clear" w:color="auto" w:fill="auto"/>
                  <w:vAlign w:val="center"/>
                </w:tcPr>
                <w:p w14:paraId="40963B3C">
                  <w:pPr>
                    <w:pStyle w:val="3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rPr>
                  </w:pPr>
                  <w:r>
                    <w:rPr>
                      <w:rFonts w:hint="default" w:ascii="Times New Roman" w:hAnsi="Times New Roman" w:eastAsia="宋体" w:cs="Times New Roman"/>
                      <w:snapToGrid w:val="0"/>
                      <w:color w:val="auto"/>
                      <w:kern w:val="2"/>
                      <w:sz w:val="21"/>
                      <w:szCs w:val="21"/>
                      <w:highlight w:val="none"/>
                      <w:lang w:val="en-US" w:eastAsia="zh-CN" w:bidi="ar"/>
                    </w:rPr>
                    <w:t>LD</w:t>
                  </w:r>
                  <w:r>
                    <w:rPr>
                      <w:rFonts w:hint="default" w:ascii="Times New Roman" w:hAnsi="Times New Roman" w:eastAsia="宋体" w:cs="Times New Roman"/>
                      <w:snapToGrid w:val="0"/>
                      <w:color w:val="auto"/>
                      <w:kern w:val="2"/>
                      <w:sz w:val="21"/>
                      <w:szCs w:val="21"/>
                      <w:highlight w:val="none"/>
                      <w:vertAlign w:val="subscript"/>
                      <w:lang w:val="en-US" w:eastAsia="zh-CN" w:bidi="ar"/>
                    </w:rPr>
                    <w:t>50</w:t>
                  </w:r>
                  <w:r>
                    <w:rPr>
                      <w:rFonts w:hint="default" w:ascii="Times New Roman" w:hAnsi="Times New Roman" w:eastAsia="宋体" w:cs="Times New Roman"/>
                      <w:snapToGrid w:val="0"/>
                      <w:color w:val="auto"/>
                      <w:kern w:val="2"/>
                      <w:sz w:val="21"/>
                      <w:szCs w:val="21"/>
                      <w:highlight w:val="none"/>
                      <w:lang w:val="en-US" w:eastAsia="zh-CN" w:bidi="ar"/>
                    </w:rPr>
                    <w:t>：5000mg/kg（大鼠经口）</w:t>
                  </w:r>
                </w:p>
              </w:tc>
              <w:tc>
                <w:tcPr>
                  <w:tcW w:w="1139" w:type="pct"/>
                  <w:tcBorders>
                    <w:top w:val="single" w:color="auto" w:sz="6" w:space="0"/>
                    <w:left w:val="single" w:color="auto" w:sz="6" w:space="0"/>
                    <w:bottom w:val="single" w:color="auto" w:sz="6" w:space="0"/>
                    <w:right w:val="nil"/>
                  </w:tcBorders>
                  <w:shd w:val="clear" w:color="auto" w:fill="auto"/>
                  <w:vAlign w:val="center"/>
                </w:tcPr>
                <w:p w14:paraId="077AA2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Cs/>
                      <w:color w:val="auto"/>
                      <w:sz w:val="21"/>
                      <w:szCs w:val="21"/>
                      <w:highlight w:val="none"/>
                      <w:lang w:val="en-US"/>
                    </w:rPr>
                  </w:pPr>
                  <w:r>
                    <w:rPr>
                      <w:rFonts w:hint="default" w:ascii="Times New Roman" w:hAnsi="Times New Roman" w:cs="Times New Roman"/>
                      <w:b w:val="0"/>
                      <w:bCs w:val="0"/>
                      <w:color w:val="auto"/>
                      <w:sz w:val="21"/>
                      <w:szCs w:val="21"/>
                      <w:highlight w:val="none"/>
                      <w:lang w:val="en-US" w:eastAsia="zh-CN" w:bidi="ar"/>
                    </w:rPr>
                    <w:t>可燃，其蒸气与空气形成爆炸性混合物，遇明火、高热能引起燃烧爆炸</w:t>
                  </w:r>
                </w:p>
              </w:tc>
            </w:tr>
            <w:tr w14:paraId="46C3E70E">
              <w:tblPrEx>
                <w:tblBorders>
                  <w:top w:val="single" w:color="auto" w:sz="12" w:space="0"/>
                  <w:left w:val="none" w:color="000000" w:sz="4" w:space="0"/>
                  <w:bottom w:val="single" w:color="auto" w:sz="12" w:space="0"/>
                  <w:right w:val="none" w:color="000000" w:sz="4" w:space="0"/>
                  <w:insideH w:val="single" w:color="auto" w:sz="6" w:space="0"/>
                  <w:insideV w:val="single" w:color="auto" w:sz="6" w:space="0"/>
                </w:tblBorders>
                <w:tblCellMar>
                  <w:top w:w="0" w:type="dxa"/>
                  <w:left w:w="108" w:type="dxa"/>
                  <w:bottom w:w="0" w:type="dxa"/>
                  <w:right w:w="108" w:type="dxa"/>
                </w:tblCellMar>
              </w:tblPrEx>
              <w:tc>
                <w:tcPr>
                  <w:tcW w:w="389" w:type="pct"/>
                  <w:tcBorders>
                    <w:top w:val="single" w:color="auto" w:sz="6" w:space="0"/>
                    <w:left w:val="nil"/>
                    <w:bottom w:val="single" w:color="auto" w:sz="6" w:space="0"/>
                    <w:right w:val="single" w:color="auto" w:sz="6" w:space="0"/>
                  </w:tcBorders>
                  <w:shd w:val="clear" w:color="auto" w:fill="auto"/>
                  <w:vAlign w:val="center"/>
                </w:tcPr>
                <w:p w14:paraId="56B8A2D3">
                  <w:pPr>
                    <w:pStyle w:val="2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eastAsia" w:cs="Times New Roman"/>
                      <w:b w:val="0"/>
                      <w:bCs/>
                      <w:color w:val="auto"/>
                      <w:kern w:val="2"/>
                      <w:szCs w:val="21"/>
                      <w:highlight w:val="none"/>
                      <w:lang w:val="en-US" w:eastAsia="zh-CN"/>
                    </w:rPr>
                    <w:t>5</w:t>
                  </w:r>
                </w:p>
              </w:tc>
              <w:tc>
                <w:tcPr>
                  <w:tcW w:w="417" w:type="pct"/>
                  <w:tcBorders>
                    <w:top w:val="single" w:color="auto" w:sz="6" w:space="0"/>
                    <w:left w:val="single" w:color="auto" w:sz="6" w:space="0"/>
                    <w:bottom w:val="single" w:color="auto" w:sz="6" w:space="0"/>
                    <w:right w:val="single" w:color="auto" w:sz="6" w:space="0"/>
                  </w:tcBorders>
                  <w:shd w:val="clear" w:color="auto" w:fill="auto"/>
                  <w:vAlign w:val="center"/>
                </w:tcPr>
                <w:p w14:paraId="06847D42">
                  <w:pPr>
                    <w:pStyle w:val="3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4"/>
                      <w:szCs w:val="21"/>
                      <w:highlight w:val="none"/>
                      <w:lang w:val="en-US" w:eastAsia="zh-CN" w:bidi="ar-SA"/>
                    </w:rPr>
                  </w:pPr>
                  <w:r>
                    <w:rPr>
                      <w:rFonts w:hint="default" w:ascii="Times New Roman" w:hAnsi="Times New Roman" w:eastAsia="宋体" w:cs="Times New Roman"/>
                      <w:snapToGrid w:val="0"/>
                      <w:color w:val="auto"/>
                      <w:kern w:val="2"/>
                      <w:sz w:val="21"/>
                      <w:szCs w:val="21"/>
                      <w:highlight w:val="none"/>
                      <w:lang w:val="en-US" w:eastAsia="zh-CN" w:bidi="ar"/>
                    </w:rPr>
                    <w:t>二甲苯</w:t>
                  </w:r>
                </w:p>
              </w:tc>
              <w:tc>
                <w:tcPr>
                  <w:tcW w:w="1767" w:type="pct"/>
                  <w:tcBorders>
                    <w:top w:val="single" w:color="auto" w:sz="6" w:space="0"/>
                    <w:left w:val="single" w:color="auto" w:sz="6" w:space="0"/>
                    <w:bottom w:val="single" w:color="auto" w:sz="6" w:space="0"/>
                    <w:right w:val="single" w:color="auto" w:sz="6" w:space="0"/>
                  </w:tcBorders>
                  <w:shd w:val="clear" w:color="auto" w:fill="auto"/>
                  <w:vAlign w:val="center"/>
                </w:tcPr>
                <w:p w14:paraId="751660D5">
                  <w:pPr>
                    <w:pStyle w:val="3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snapToGrid w:val="0"/>
                      <w:color w:val="auto"/>
                      <w:kern w:val="2"/>
                      <w:sz w:val="21"/>
                      <w:szCs w:val="21"/>
                      <w:highlight w:val="none"/>
                      <w:lang w:val="en-US" w:eastAsia="zh-CN" w:bidi="ar"/>
                    </w:rPr>
                    <w:t>分子式C</w:t>
                  </w:r>
                  <w:r>
                    <w:rPr>
                      <w:rFonts w:hint="default" w:ascii="Times New Roman" w:hAnsi="Times New Roman" w:eastAsia="宋体" w:cs="Times New Roman"/>
                      <w:snapToGrid w:val="0"/>
                      <w:color w:val="auto"/>
                      <w:kern w:val="2"/>
                      <w:sz w:val="21"/>
                      <w:szCs w:val="21"/>
                      <w:highlight w:val="none"/>
                      <w:vertAlign w:val="subscript"/>
                      <w:lang w:val="en-US" w:eastAsia="zh-CN" w:bidi="ar"/>
                    </w:rPr>
                    <w:t>8</w:t>
                  </w:r>
                  <w:r>
                    <w:rPr>
                      <w:rFonts w:hint="default" w:ascii="Times New Roman" w:hAnsi="Times New Roman" w:eastAsia="宋体" w:cs="Times New Roman"/>
                      <w:snapToGrid w:val="0"/>
                      <w:color w:val="auto"/>
                      <w:kern w:val="2"/>
                      <w:sz w:val="21"/>
                      <w:szCs w:val="21"/>
                      <w:highlight w:val="none"/>
                      <w:lang w:val="en-US" w:eastAsia="zh-CN" w:bidi="ar"/>
                    </w:rPr>
                    <w:t>H</w:t>
                  </w:r>
                  <w:r>
                    <w:rPr>
                      <w:rFonts w:hint="default" w:ascii="Times New Roman" w:hAnsi="Times New Roman" w:eastAsia="宋体" w:cs="Times New Roman"/>
                      <w:snapToGrid w:val="0"/>
                      <w:color w:val="auto"/>
                      <w:kern w:val="2"/>
                      <w:sz w:val="21"/>
                      <w:szCs w:val="21"/>
                      <w:highlight w:val="none"/>
                      <w:vertAlign w:val="subscript"/>
                      <w:lang w:val="en-US" w:eastAsia="zh-CN" w:bidi="ar"/>
                    </w:rPr>
                    <w:t>10</w:t>
                  </w:r>
                  <w:r>
                    <w:rPr>
                      <w:rFonts w:hint="default" w:ascii="Times New Roman" w:hAnsi="Times New Roman" w:eastAsia="宋体" w:cs="Times New Roman"/>
                      <w:snapToGrid w:val="0"/>
                      <w:color w:val="auto"/>
                      <w:kern w:val="2"/>
                      <w:sz w:val="21"/>
                      <w:szCs w:val="21"/>
                      <w:highlight w:val="none"/>
                      <w:lang w:val="en-US" w:eastAsia="zh-CN" w:bidi="ar"/>
                    </w:rPr>
                    <w:t>，CAS号1330-20-7，无色透明液体。有芳香烃的特殊气味。由45%～70%的间二甲苯、15%～25%的对二甲苯和10%～15%邻二甲苯三种异构体所组成的混合物，易流动，能与无水乙醇、乙醚和其他许多有机溶剂混溶。沸点为137～140℃，相对密度约0.86g/cm</w:t>
                  </w:r>
                  <w:r>
                    <w:rPr>
                      <w:rFonts w:hint="default" w:ascii="Times New Roman" w:hAnsi="Times New Roman" w:eastAsia="宋体" w:cs="Times New Roman"/>
                      <w:snapToGrid w:val="0"/>
                      <w:color w:val="auto"/>
                      <w:kern w:val="2"/>
                      <w:sz w:val="21"/>
                      <w:szCs w:val="21"/>
                      <w:highlight w:val="none"/>
                      <w:vertAlign w:val="superscript"/>
                      <w:lang w:val="en-US" w:eastAsia="zh-CN" w:bidi="ar"/>
                    </w:rPr>
                    <w:t>3</w:t>
                  </w:r>
                  <w:r>
                    <w:rPr>
                      <w:rFonts w:hint="default" w:ascii="Times New Roman" w:hAnsi="Times New Roman" w:eastAsia="宋体" w:cs="Times New Roman"/>
                      <w:snapToGrid w:val="0"/>
                      <w:color w:val="auto"/>
                      <w:kern w:val="2"/>
                      <w:sz w:val="21"/>
                      <w:szCs w:val="21"/>
                      <w:highlight w:val="none"/>
                      <w:lang w:val="en-US" w:eastAsia="zh-CN" w:bidi="ar"/>
                    </w:rPr>
                    <w:t>。</w:t>
                  </w:r>
                </w:p>
              </w:tc>
              <w:tc>
                <w:tcPr>
                  <w:tcW w:w="1287" w:type="pct"/>
                  <w:tcBorders>
                    <w:top w:val="single" w:color="auto" w:sz="6" w:space="0"/>
                    <w:left w:val="single" w:color="auto" w:sz="6" w:space="0"/>
                    <w:bottom w:val="single" w:color="auto" w:sz="6" w:space="0"/>
                    <w:right w:val="single" w:color="auto" w:sz="6" w:space="0"/>
                  </w:tcBorders>
                  <w:shd w:val="clear" w:color="auto" w:fill="auto"/>
                  <w:vAlign w:val="center"/>
                </w:tcPr>
                <w:p w14:paraId="248602A4">
                  <w:pPr>
                    <w:pStyle w:val="3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snapToGrid w:val="0"/>
                      <w:color w:val="auto"/>
                      <w:kern w:val="2"/>
                      <w:sz w:val="21"/>
                      <w:szCs w:val="21"/>
                      <w:highlight w:val="none"/>
                      <w:lang w:val="en-US" w:eastAsia="zh-CN" w:bidi="ar"/>
                    </w:rPr>
                    <w:t>LD</w:t>
                  </w:r>
                  <w:r>
                    <w:rPr>
                      <w:rFonts w:hint="default" w:ascii="Times New Roman" w:hAnsi="Times New Roman" w:eastAsia="宋体" w:cs="Times New Roman"/>
                      <w:snapToGrid w:val="0"/>
                      <w:color w:val="auto"/>
                      <w:kern w:val="2"/>
                      <w:sz w:val="21"/>
                      <w:szCs w:val="21"/>
                      <w:highlight w:val="none"/>
                      <w:vertAlign w:val="subscript"/>
                      <w:lang w:val="en-US" w:eastAsia="zh-CN" w:bidi="ar"/>
                    </w:rPr>
                    <w:t>50</w:t>
                  </w:r>
                  <w:r>
                    <w:rPr>
                      <w:rFonts w:hint="default" w:ascii="Times New Roman" w:hAnsi="Times New Roman" w:eastAsia="宋体" w:cs="Times New Roman"/>
                      <w:snapToGrid w:val="0"/>
                      <w:color w:val="auto"/>
                      <w:kern w:val="2"/>
                      <w:sz w:val="21"/>
                      <w:szCs w:val="21"/>
                      <w:highlight w:val="none"/>
                      <w:lang w:val="en-US" w:eastAsia="zh-CN" w:bidi="ar"/>
                    </w:rPr>
                    <w:t>：136mg/kg（小鼠静脉）</w:t>
                  </w:r>
                </w:p>
              </w:tc>
              <w:tc>
                <w:tcPr>
                  <w:tcW w:w="1139" w:type="pct"/>
                  <w:tcBorders>
                    <w:top w:val="single" w:color="auto" w:sz="6" w:space="0"/>
                    <w:left w:val="single" w:color="auto" w:sz="6" w:space="0"/>
                    <w:bottom w:val="single" w:color="auto" w:sz="6" w:space="0"/>
                    <w:right w:val="nil"/>
                  </w:tcBorders>
                  <w:shd w:val="clear" w:color="auto" w:fill="auto"/>
                  <w:vAlign w:val="center"/>
                </w:tcPr>
                <w:p w14:paraId="1071D9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 w:val="0"/>
                      <w:bCs w:val="0"/>
                      <w:color w:val="auto"/>
                      <w:sz w:val="21"/>
                      <w:szCs w:val="21"/>
                      <w:highlight w:val="none"/>
                      <w:lang w:val="en-US" w:eastAsia="zh-CN" w:bidi="ar"/>
                    </w:rPr>
                    <w:t>可燃，其蒸气与空气形成爆炸性混合物，遇明火、高热能引起燃烧爆炸</w:t>
                  </w:r>
                </w:p>
              </w:tc>
            </w:tr>
            <w:tr w14:paraId="1025422B">
              <w:tblPrEx>
                <w:tblBorders>
                  <w:top w:val="single" w:color="auto" w:sz="12" w:space="0"/>
                  <w:left w:val="none" w:color="000000" w:sz="4" w:space="0"/>
                  <w:bottom w:val="single" w:color="auto" w:sz="12" w:space="0"/>
                  <w:right w:val="none" w:color="000000" w:sz="4" w:space="0"/>
                  <w:insideH w:val="single" w:color="auto" w:sz="6" w:space="0"/>
                  <w:insideV w:val="single" w:color="auto" w:sz="6" w:space="0"/>
                </w:tblBorders>
                <w:tblCellMar>
                  <w:top w:w="0" w:type="dxa"/>
                  <w:left w:w="108" w:type="dxa"/>
                  <w:bottom w:w="0" w:type="dxa"/>
                  <w:right w:w="108" w:type="dxa"/>
                </w:tblCellMar>
              </w:tblPrEx>
              <w:tc>
                <w:tcPr>
                  <w:tcW w:w="389" w:type="pct"/>
                  <w:tcBorders>
                    <w:top w:val="single" w:color="auto" w:sz="6" w:space="0"/>
                    <w:left w:val="nil"/>
                    <w:bottom w:val="single" w:color="auto" w:sz="6" w:space="0"/>
                    <w:right w:val="single" w:color="auto" w:sz="6" w:space="0"/>
                  </w:tcBorders>
                  <w:shd w:val="clear" w:color="auto" w:fill="auto"/>
                  <w:vAlign w:val="center"/>
                </w:tcPr>
                <w:p w14:paraId="2E435C8E">
                  <w:pPr>
                    <w:pStyle w:val="2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eastAsia="宋体" w:cs="Times New Roman"/>
                      <w:b w:val="0"/>
                      <w:bCs/>
                      <w:color w:val="auto"/>
                      <w:kern w:val="2"/>
                      <w:szCs w:val="21"/>
                      <w:highlight w:val="none"/>
                      <w:lang w:val="en-US" w:eastAsia="zh-CN"/>
                    </w:rPr>
                  </w:pPr>
                  <w:r>
                    <w:rPr>
                      <w:rFonts w:hint="eastAsia" w:cs="Times New Roman"/>
                      <w:b w:val="0"/>
                      <w:bCs/>
                      <w:color w:val="auto"/>
                      <w:kern w:val="2"/>
                      <w:szCs w:val="21"/>
                      <w:highlight w:val="none"/>
                      <w:lang w:val="en-US" w:eastAsia="zh-CN"/>
                    </w:rPr>
                    <w:t>6</w:t>
                  </w:r>
                </w:p>
              </w:tc>
              <w:tc>
                <w:tcPr>
                  <w:tcW w:w="417" w:type="pct"/>
                  <w:tcBorders>
                    <w:top w:val="single" w:color="auto" w:sz="6" w:space="0"/>
                    <w:left w:val="single" w:color="auto" w:sz="6" w:space="0"/>
                    <w:bottom w:val="single" w:color="auto" w:sz="6" w:space="0"/>
                    <w:right w:val="single" w:color="auto" w:sz="6" w:space="0"/>
                  </w:tcBorders>
                  <w:shd w:val="clear" w:color="auto" w:fill="auto"/>
                  <w:vAlign w:val="center"/>
                </w:tcPr>
                <w:p w14:paraId="47DD84CD">
                  <w:pPr>
                    <w:pStyle w:val="2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eastAsia="宋体" w:cs="Times New Roman"/>
                      <w:b w:val="0"/>
                      <w:bCs/>
                      <w:color w:val="auto"/>
                      <w:kern w:val="2"/>
                      <w:szCs w:val="21"/>
                      <w:highlight w:val="none"/>
                      <w:lang w:val="en-US" w:eastAsia="zh-CN"/>
                    </w:rPr>
                  </w:pPr>
                  <w:r>
                    <w:rPr>
                      <w:rFonts w:hint="default" w:ascii="Times New Roman" w:hAnsi="Times New Roman" w:cs="Times New Roman"/>
                      <w:b w:val="0"/>
                      <w:bCs/>
                      <w:color w:val="auto"/>
                      <w:kern w:val="2"/>
                      <w:szCs w:val="21"/>
                      <w:highlight w:val="none"/>
                      <w:lang w:val="en-US" w:eastAsia="zh-CN"/>
                    </w:rPr>
                    <w:t>机油</w:t>
                  </w:r>
                </w:p>
              </w:tc>
              <w:tc>
                <w:tcPr>
                  <w:tcW w:w="1767" w:type="pct"/>
                  <w:tcBorders>
                    <w:top w:val="single" w:color="auto" w:sz="6" w:space="0"/>
                    <w:left w:val="single" w:color="auto" w:sz="6" w:space="0"/>
                    <w:bottom w:val="single" w:color="auto" w:sz="6" w:space="0"/>
                    <w:right w:val="single" w:color="auto" w:sz="6" w:space="0"/>
                  </w:tcBorders>
                  <w:shd w:val="clear" w:color="auto" w:fill="auto"/>
                  <w:vAlign w:val="center"/>
                </w:tcPr>
                <w:p w14:paraId="05C6F8C0">
                  <w:pPr>
                    <w:pStyle w:val="2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s="Times New Roman"/>
                      <w:b w:val="0"/>
                      <w:bCs/>
                      <w:color w:val="auto"/>
                      <w:kern w:val="2"/>
                      <w:szCs w:val="21"/>
                      <w:highlight w:val="none"/>
                      <w:lang w:val="en-US"/>
                    </w:rPr>
                  </w:pPr>
                  <w:r>
                    <w:rPr>
                      <w:rFonts w:hint="default" w:ascii="Times New Roman" w:hAnsi="Times New Roman" w:eastAsia="宋体" w:cs="Times New Roman"/>
                      <w:b w:val="0"/>
                      <w:bCs/>
                      <w:color w:val="auto"/>
                      <w:kern w:val="2"/>
                      <w:szCs w:val="21"/>
                      <w:highlight w:val="none"/>
                    </w:rPr>
                    <w:t>油状液体、淡黄色至褐色，无气味或略带异味液体</w:t>
                  </w:r>
                </w:p>
              </w:tc>
              <w:tc>
                <w:tcPr>
                  <w:tcW w:w="1287" w:type="pct"/>
                  <w:tcBorders>
                    <w:top w:val="single" w:color="auto" w:sz="6" w:space="0"/>
                    <w:left w:val="single" w:color="auto" w:sz="6" w:space="0"/>
                    <w:bottom w:val="single" w:color="auto" w:sz="6" w:space="0"/>
                    <w:right w:val="single" w:color="auto" w:sz="6" w:space="0"/>
                  </w:tcBorders>
                  <w:shd w:val="clear" w:color="auto" w:fill="auto"/>
                  <w:vAlign w:val="center"/>
                </w:tcPr>
                <w:p w14:paraId="0729D73A">
                  <w:pPr>
                    <w:pStyle w:val="2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s="Times New Roman"/>
                      <w:b w:val="0"/>
                      <w:bCs/>
                      <w:color w:val="auto"/>
                      <w:kern w:val="2"/>
                      <w:szCs w:val="21"/>
                      <w:highlight w:val="none"/>
                      <w:lang w:val="en-US"/>
                    </w:rPr>
                  </w:pPr>
                  <w:r>
                    <w:rPr>
                      <w:rFonts w:hint="default" w:ascii="Times New Roman" w:hAnsi="Times New Roman" w:eastAsia="宋体" w:cs="Times New Roman"/>
                      <w:b w:val="0"/>
                      <w:bCs/>
                      <w:color w:val="auto"/>
                      <w:kern w:val="2"/>
                      <w:szCs w:val="21"/>
                      <w:highlight w:val="none"/>
                    </w:rPr>
                    <w:t>急性吸入可出现乏力、头晕、头痛、恶心，严重者可引起油脂性肺炎，慢性接触者，暴露可发生油性痤疮和接触性皮炎，可引起神经衰弱综合征</w:t>
                  </w:r>
                </w:p>
              </w:tc>
              <w:tc>
                <w:tcPr>
                  <w:tcW w:w="1139" w:type="pct"/>
                  <w:tcBorders>
                    <w:top w:val="single" w:color="auto" w:sz="6" w:space="0"/>
                    <w:left w:val="single" w:color="auto" w:sz="6" w:space="0"/>
                    <w:bottom w:val="single" w:color="auto" w:sz="6" w:space="0"/>
                    <w:right w:val="nil"/>
                  </w:tcBorders>
                  <w:shd w:val="clear" w:color="auto" w:fill="auto"/>
                  <w:vAlign w:val="center"/>
                </w:tcPr>
                <w:p w14:paraId="4C0A328A">
                  <w:pPr>
                    <w:pStyle w:val="2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imes New Roman" w:hAnsi="Times New Roman" w:cs="Times New Roman"/>
                      <w:b w:val="0"/>
                      <w:bCs/>
                      <w:color w:val="auto"/>
                      <w:kern w:val="2"/>
                      <w:szCs w:val="21"/>
                      <w:highlight w:val="none"/>
                      <w:lang w:val="en-US"/>
                    </w:rPr>
                  </w:pPr>
                  <w:r>
                    <w:rPr>
                      <w:rFonts w:hint="default" w:ascii="Times New Roman" w:hAnsi="Times New Roman" w:eastAsia="宋体" w:cs="Times New Roman"/>
                      <w:b w:val="0"/>
                      <w:bCs/>
                      <w:color w:val="auto"/>
                      <w:kern w:val="2"/>
                      <w:szCs w:val="21"/>
                      <w:highlight w:val="none"/>
                    </w:rPr>
                    <w:t>遇明火、高热可燃，</w:t>
                  </w:r>
                </w:p>
              </w:tc>
            </w:tr>
          </w:tbl>
          <w:p w14:paraId="12E6D452">
            <w:pPr>
              <w:keepNext w:val="0"/>
              <w:keepLines w:val="0"/>
              <w:suppressLineNumbers w:val="0"/>
              <w:spacing w:before="0" w:beforeAutospacing="0" w:after="0" w:afterAutospacing="0" w:line="360" w:lineRule="auto"/>
              <w:ind w:left="0" w:right="0" w:firstLine="482" w:firstLineChars="200"/>
              <w:rPr>
                <w:rFonts w:hint="default"/>
                <w:b/>
                <w:color w:val="auto"/>
                <w:sz w:val="24"/>
                <w:lang w:val="en-US"/>
              </w:rPr>
            </w:pPr>
            <w:r>
              <w:rPr>
                <w:rFonts w:hint="eastAsia"/>
                <w:b/>
                <w:color w:val="auto"/>
                <w:sz w:val="24"/>
              </w:rPr>
              <w:t>7</w:t>
            </w:r>
            <w:r>
              <w:rPr>
                <w:rFonts w:hint="eastAsia"/>
                <w:b/>
                <w:color w:val="auto"/>
                <w:sz w:val="24"/>
                <w:lang w:val="en-US" w:eastAsia="zh-CN"/>
              </w:rPr>
              <w:t>.项目产能匹配性分析</w:t>
            </w:r>
          </w:p>
          <w:p w14:paraId="45F3D424">
            <w:pPr>
              <w:keepNext w:val="0"/>
              <w:keepLines w:val="0"/>
              <w:suppressLineNumbers w:val="0"/>
              <w:spacing w:before="0" w:beforeAutospacing="0" w:after="0" w:afterAutospacing="0" w:line="360" w:lineRule="auto"/>
              <w:ind w:left="0" w:leftChars="0" w:right="0" w:firstLine="480" w:firstLineChars="200"/>
              <w:jc w:val="left"/>
              <w:rPr>
                <w:rFonts w:hint="default"/>
                <w:highlight w:val="none"/>
                <w:lang w:val="en-US" w:eastAsia="zh-CN"/>
              </w:rPr>
            </w:pPr>
            <w:r>
              <w:rPr>
                <w:rFonts w:hint="eastAsia"/>
                <w:bCs/>
                <w:color w:val="auto"/>
                <w:sz w:val="24"/>
                <w:lang w:val="en-US" w:eastAsia="zh-CN"/>
              </w:rPr>
              <w:t>厂房1F注塑区配置16</w:t>
            </w:r>
            <w:r>
              <w:rPr>
                <w:rFonts w:hint="eastAsia"/>
                <w:bCs/>
                <w:color w:val="auto"/>
                <w:sz w:val="24"/>
                <w:highlight w:val="none"/>
                <w:lang w:val="en-US" w:eastAsia="zh-CN"/>
              </w:rPr>
              <w:t>台注塑机，各注塑机均根据产品类别分别投加单一塑料粒子（PP/PE/PS）进行生产，不涉及混料，注塑机单批次操作时间约50s，年注塑时间约3000h，注塑设备产能匹配性分析如下：</w:t>
            </w:r>
          </w:p>
          <w:p w14:paraId="021913A3">
            <w:pPr>
              <w:keepNext w:val="0"/>
              <w:keepLines w:val="0"/>
              <w:suppressLineNumbers w:val="0"/>
              <w:spacing w:before="0" w:beforeAutospacing="0" w:after="0" w:afterAutospacing="0" w:line="360" w:lineRule="auto"/>
              <w:ind w:left="0" w:right="0" w:firstLine="480" w:firstLineChars="200"/>
              <w:jc w:val="center"/>
              <w:rPr>
                <w:rFonts w:hint="default"/>
                <w:b/>
                <w:color w:val="auto"/>
                <w:sz w:val="24"/>
              </w:rPr>
            </w:pPr>
            <w:r>
              <w:rPr>
                <w:rFonts w:hint="default" w:hAnsi="黑体" w:eastAsia="黑体"/>
                <w:color w:val="auto"/>
                <w:sz w:val="24"/>
                <w:szCs w:val="24"/>
              </w:rPr>
              <w:t>表</w:t>
            </w:r>
            <w:r>
              <w:rPr>
                <w:rFonts w:hint="eastAsia" w:hAnsi="黑体" w:eastAsia="黑体"/>
                <w:color w:val="auto"/>
                <w:sz w:val="24"/>
                <w:szCs w:val="24"/>
                <w:lang w:val="en-US" w:eastAsia="zh-CN"/>
              </w:rPr>
              <w:t>2-8</w:t>
            </w:r>
            <w:r>
              <w:rPr>
                <w:rFonts w:hint="default" w:hAnsi="黑体" w:eastAsia="黑体"/>
                <w:color w:val="auto"/>
                <w:sz w:val="24"/>
                <w:szCs w:val="24"/>
              </w:rPr>
              <w:t xml:space="preserve">  </w:t>
            </w:r>
            <w:r>
              <w:rPr>
                <w:rFonts w:hint="eastAsia" w:hAnsi="黑体" w:eastAsia="黑体"/>
                <w:color w:val="auto"/>
                <w:sz w:val="24"/>
                <w:szCs w:val="24"/>
                <w:lang w:val="en-US" w:eastAsia="zh-CN"/>
              </w:rPr>
              <w:t>注塑</w:t>
            </w:r>
            <w:r>
              <w:rPr>
                <w:rFonts w:hint="default" w:hAnsi="黑体" w:eastAsia="黑体"/>
                <w:color w:val="auto"/>
                <w:sz w:val="24"/>
                <w:szCs w:val="24"/>
              </w:rPr>
              <w:t>设备产能</w:t>
            </w:r>
            <w:r>
              <w:rPr>
                <w:rFonts w:hint="eastAsia" w:hAnsi="黑体" w:eastAsia="黑体"/>
                <w:color w:val="auto"/>
                <w:sz w:val="24"/>
                <w:szCs w:val="24"/>
                <w:lang w:val="en-US" w:eastAsia="zh-CN"/>
              </w:rPr>
              <w:t>匹配性</w:t>
            </w:r>
            <w:r>
              <w:rPr>
                <w:rFonts w:hint="default" w:hAnsi="黑体" w:eastAsia="黑体"/>
                <w:color w:val="auto"/>
                <w:sz w:val="24"/>
                <w:szCs w:val="24"/>
              </w:rPr>
              <w:t>分析</w:t>
            </w:r>
          </w:p>
          <w:tbl>
            <w:tblPr>
              <w:tblStyle w:val="38"/>
              <w:tblW w:w="498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550"/>
              <w:gridCol w:w="559"/>
              <w:gridCol w:w="884"/>
              <w:gridCol w:w="728"/>
              <w:gridCol w:w="1000"/>
              <w:gridCol w:w="1061"/>
              <w:gridCol w:w="843"/>
              <w:gridCol w:w="957"/>
              <w:gridCol w:w="815"/>
              <w:gridCol w:w="679"/>
            </w:tblGrid>
            <w:tr w14:paraId="36F47F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40" w:type="pct"/>
                  <w:shd w:val="clear" w:color="auto" w:fill="auto"/>
                  <w:vAlign w:val="center"/>
                </w:tcPr>
                <w:p w14:paraId="2C924951">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b/>
                      <w:color w:val="auto"/>
                      <w:kern w:val="2"/>
                      <w:sz w:val="21"/>
                      <w:szCs w:val="21"/>
                      <w:lang w:val="en-US" w:eastAsia="zh-CN" w:bidi="ar-SA"/>
                    </w:rPr>
                  </w:pPr>
                  <w:r>
                    <w:rPr>
                      <w:rFonts w:hint="eastAsia"/>
                      <w:b/>
                      <w:color w:val="auto"/>
                      <w:szCs w:val="21"/>
                      <w:lang w:val="en-US" w:eastAsia="zh-CN"/>
                    </w:rPr>
                    <w:t>材质</w:t>
                  </w:r>
                </w:p>
              </w:tc>
              <w:tc>
                <w:tcPr>
                  <w:tcW w:w="346" w:type="pct"/>
                  <w:vAlign w:val="center"/>
                </w:tcPr>
                <w:p w14:paraId="2CED1B6C">
                  <w:pPr>
                    <w:keepNext w:val="0"/>
                    <w:keepLines w:val="0"/>
                    <w:suppressLineNumbers w:val="0"/>
                    <w:spacing w:before="0" w:beforeAutospacing="0" w:after="0" w:afterAutospacing="0" w:line="276" w:lineRule="auto"/>
                    <w:ind w:left="0" w:right="0"/>
                    <w:jc w:val="center"/>
                    <w:rPr>
                      <w:rFonts w:hint="eastAsia" w:eastAsia="宋体"/>
                      <w:b/>
                      <w:color w:val="auto"/>
                      <w:szCs w:val="21"/>
                      <w:lang w:val="en-US" w:eastAsia="zh-CN"/>
                    </w:rPr>
                  </w:pPr>
                  <w:r>
                    <w:rPr>
                      <w:rFonts w:hint="eastAsia"/>
                      <w:b/>
                      <w:color w:val="auto"/>
                      <w:szCs w:val="21"/>
                    </w:rPr>
                    <w:t>设备</w:t>
                  </w:r>
                </w:p>
              </w:tc>
              <w:tc>
                <w:tcPr>
                  <w:tcW w:w="547" w:type="pct"/>
                  <w:shd w:val="clear" w:color="auto" w:fill="auto"/>
                  <w:vAlign w:val="center"/>
                </w:tcPr>
                <w:p w14:paraId="554A34B6">
                  <w:pPr>
                    <w:keepNext w:val="0"/>
                    <w:keepLines w:val="0"/>
                    <w:suppressLineNumbers w:val="0"/>
                    <w:spacing w:before="0" w:beforeAutospacing="0" w:after="0" w:afterAutospacing="0" w:line="276" w:lineRule="auto"/>
                    <w:ind w:left="0" w:leftChars="0" w:right="0" w:rightChars="0"/>
                    <w:jc w:val="center"/>
                    <w:rPr>
                      <w:rFonts w:hint="eastAsia"/>
                      <w:b/>
                      <w:color w:val="auto"/>
                      <w:szCs w:val="21"/>
                    </w:rPr>
                  </w:pPr>
                  <w:r>
                    <w:rPr>
                      <w:rFonts w:hint="eastAsia"/>
                      <w:b/>
                      <w:color w:val="auto"/>
                      <w:szCs w:val="21"/>
                    </w:rPr>
                    <w:t>产品</w:t>
                  </w:r>
                </w:p>
                <w:p w14:paraId="0290BF35">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b/>
                      <w:color w:val="auto"/>
                      <w:kern w:val="2"/>
                      <w:sz w:val="21"/>
                      <w:szCs w:val="21"/>
                      <w:lang w:val="en-US" w:eastAsia="zh-CN" w:bidi="ar-SA"/>
                    </w:rPr>
                  </w:pPr>
                  <w:r>
                    <w:rPr>
                      <w:rFonts w:hint="eastAsia"/>
                      <w:b/>
                      <w:color w:val="auto"/>
                      <w:szCs w:val="21"/>
                    </w:rPr>
                    <w:t>种类</w:t>
                  </w:r>
                </w:p>
              </w:tc>
              <w:tc>
                <w:tcPr>
                  <w:tcW w:w="450" w:type="pct"/>
                  <w:vAlign w:val="center"/>
                </w:tcPr>
                <w:p w14:paraId="3A3B0DEA">
                  <w:pPr>
                    <w:keepNext w:val="0"/>
                    <w:keepLines w:val="0"/>
                    <w:suppressLineNumbers w:val="0"/>
                    <w:spacing w:before="0" w:beforeAutospacing="0" w:after="0" w:afterAutospacing="0" w:line="276" w:lineRule="auto"/>
                    <w:ind w:left="0" w:right="0"/>
                    <w:jc w:val="center"/>
                    <w:rPr>
                      <w:rFonts w:hint="default"/>
                      <w:b/>
                      <w:color w:val="auto"/>
                      <w:szCs w:val="21"/>
                    </w:rPr>
                  </w:pPr>
                  <w:r>
                    <w:rPr>
                      <w:rFonts w:hint="eastAsia"/>
                      <w:b/>
                      <w:color w:val="auto"/>
                      <w:szCs w:val="21"/>
                    </w:rPr>
                    <w:t>数量（台）</w:t>
                  </w:r>
                </w:p>
              </w:tc>
              <w:tc>
                <w:tcPr>
                  <w:tcW w:w="619" w:type="pct"/>
                  <w:shd w:val="clear" w:color="auto" w:fill="auto"/>
                  <w:vAlign w:val="center"/>
                </w:tcPr>
                <w:p w14:paraId="2384786E">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b/>
                      <w:color w:val="auto"/>
                      <w:kern w:val="2"/>
                      <w:sz w:val="21"/>
                      <w:szCs w:val="21"/>
                      <w:lang w:val="en-US" w:eastAsia="zh-CN" w:bidi="ar-SA"/>
                    </w:rPr>
                  </w:pPr>
                  <w:r>
                    <w:rPr>
                      <w:rFonts w:hint="eastAsia"/>
                      <w:b/>
                      <w:color w:val="auto"/>
                      <w:szCs w:val="21"/>
                      <w:lang w:val="en-US" w:eastAsia="zh-CN"/>
                    </w:rPr>
                    <w:t>单台设备设计能力（g/批次）</w:t>
                  </w:r>
                </w:p>
              </w:tc>
              <w:tc>
                <w:tcPr>
                  <w:tcW w:w="656" w:type="pct"/>
                  <w:shd w:val="clear" w:color="auto" w:fill="auto"/>
                  <w:vAlign w:val="center"/>
                </w:tcPr>
                <w:p w14:paraId="000A5852">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b/>
                      <w:color w:val="auto"/>
                      <w:kern w:val="2"/>
                      <w:sz w:val="21"/>
                      <w:szCs w:val="21"/>
                      <w:lang w:val="en-US" w:eastAsia="zh-CN" w:bidi="ar-SA"/>
                    </w:rPr>
                  </w:pPr>
                  <w:r>
                    <w:rPr>
                      <w:rFonts w:hint="eastAsia"/>
                      <w:b/>
                      <w:color w:val="auto"/>
                      <w:szCs w:val="21"/>
                      <w:lang w:val="en-US" w:eastAsia="zh-CN"/>
                    </w:rPr>
                    <w:t>单个</w:t>
                  </w:r>
                  <w:r>
                    <w:rPr>
                      <w:rFonts w:hint="eastAsia"/>
                      <w:b/>
                      <w:color w:val="auto"/>
                      <w:szCs w:val="21"/>
                    </w:rPr>
                    <w:t>周期</w:t>
                  </w:r>
                  <w:r>
                    <w:rPr>
                      <w:rFonts w:hint="eastAsia"/>
                      <w:b/>
                      <w:color w:val="auto"/>
                      <w:szCs w:val="21"/>
                      <w:lang w:val="en-US" w:eastAsia="zh-CN"/>
                    </w:rPr>
                    <w:t>设计</w:t>
                  </w:r>
                  <w:r>
                    <w:rPr>
                      <w:rFonts w:hint="eastAsia"/>
                      <w:b/>
                      <w:color w:val="auto"/>
                      <w:szCs w:val="21"/>
                    </w:rPr>
                    <w:t>能</w:t>
                  </w:r>
                  <w:r>
                    <w:rPr>
                      <w:rFonts w:hint="eastAsia"/>
                      <w:b/>
                      <w:color w:val="auto"/>
                      <w:szCs w:val="21"/>
                      <w:lang w:val="en-US" w:eastAsia="zh-CN"/>
                    </w:rPr>
                    <w:t>力</w:t>
                  </w:r>
                  <w:r>
                    <w:rPr>
                      <w:rFonts w:hint="eastAsia"/>
                      <w:b/>
                      <w:color w:val="auto"/>
                      <w:szCs w:val="21"/>
                    </w:rPr>
                    <w:t>（g）</w:t>
                  </w:r>
                </w:p>
              </w:tc>
              <w:tc>
                <w:tcPr>
                  <w:tcW w:w="521" w:type="pct"/>
                  <w:shd w:val="clear" w:color="auto" w:fill="auto"/>
                  <w:vAlign w:val="center"/>
                </w:tcPr>
                <w:p w14:paraId="6CA9C237">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b/>
                      <w:color w:val="auto"/>
                      <w:kern w:val="2"/>
                      <w:sz w:val="21"/>
                      <w:szCs w:val="21"/>
                      <w:lang w:val="en-US" w:eastAsia="zh-CN" w:bidi="ar-SA"/>
                    </w:rPr>
                  </w:pPr>
                  <w:r>
                    <w:rPr>
                      <w:rFonts w:hint="eastAsia"/>
                      <w:b/>
                      <w:color w:val="auto"/>
                      <w:szCs w:val="21"/>
                      <w:lang w:val="en-US" w:eastAsia="zh-CN"/>
                    </w:rPr>
                    <w:t>单个周期时间（s）</w:t>
                  </w:r>
                </w:p>
              </w:tc>
              <w:tc>
                <w:tcPr>
                  <w:tcW w:w="592" w:type="pct"/>
                  <w:vAlign w:val="center"/>
                </w:tcPr>
                <w:p w14:paraId="5FB3E020">
                  <w:pPr>
                    <w:keepNext w:val="0"/>
                    <w:keepLines w:val="0"/>
                    <w:suppressLineNumbers w:val="0"/>
                    <w:spacing w:before="0" w:beforeAutospacing="0" w:after="0" w:afterAutospacing="0" w:line="276" w:lineRule="auto"/>
                    <w:ind w:left="0" w:right="0"/>
                    <w:jc w:val="center"/>
                    <w:rPr>
                      <w:rFonts w:hint="default"/>
                      <w:b/>
                      <w:color w:val="auto"/>
                      <w:szCs w:val="21"/>
                    </w:rPr>
                  </w:pPr>
                  <w:r>
                    <w:rPr>
                      <w:rFonts w:hint="eastAsia"/>
                      <w:b/>
                      <w:color w:val="auto"/>
                      <w:szCs w:val="21"/>
                    </w:rPr>
                    <w:t>日</w:t>
                  </w:r>
                  <w:r>
                    <w:rPr>
                      <w:rFonts w:hint="eastAsia"/>
                      <w:b/>
                      <w:color w:val="auto"/>
                      <w:szCs w:val="21"/>
                      <w:lang w:val="en-US" w:eastAsia="zh-CN"/>
                    </w:rPr>
                    <w:t>设计能力</w:t>
                  </w:r>
                  <w:r>
                    <w:rPr>
                      <w:rFonts w:hint="eastAsia"/>
                      <w:b/>
                      <w:color w:val="auto"/>
                      <w:szCs w:val="21"/>
                    </w:rPr>
                    <w:t>（</w:t>
                  </w:r>
                  <w:r>
                    <w:rPr>
                      <w:rFonts w:hint="eastAsia"/>
                      <w:b/>
                      <w:color w:val="auto"/>
                      <w:szCs w:val="21"/>
                      <w:lang w:val="en-US" w:eastAsia="zh-CN"/>
                    </w:rPr>
                    <w:t>kg</w:t>
                  </w:r>
                  <w:r>
                    <w:rPr>
                      <w:rFonts w:hint="eastAsia"/>
                      <w:b/>
                      <w:color w:val="auto"/>
                      <w:szCs w:val="21"/>
                    </w:rPr>
                    <w:t>）</w:t>
                  </w:r>
                </w:p>
              </w:tc>
              <w:tc>
                <w:tcPr>
                  <w:tcW w:w="504" w:type="pct"/>
                  <w:vAlign w:val="center"/>
                </w:tcPr>
                <w:p w14:paraId="60734402">
                  <w:pPr>
                    <w:keepNext w:val="0"/>
                    <w:keepLines w:val="0"/>
                    <w:suppressLineNumbers w:val="0"/>
                    <w:spacing w:before="0" w:beforeAutospacing="0" w:after="0" w:afterAutospacing="0" w:line="276" w:lineRule="auto"/>
                    <w:ind w:left="0" w:right="0"/>
                    <w:jc w:val="center"/>
                    <w:rPr>
                      <w:rFonts w:hint="default"/>
                      <w:b/>
                      <w:color w:val="auto"/>
                      <w:szCs w:val="21"/>
                    </w:rPr>
                  </w:pPr>
                  <w:r>
                    <w:rPr>
                      <w:rFonts w:hint="eastAsia"/>
                      <w:b/>
                      <w:color w:val="auto"/>
                      <w:szCs w:val="21"/>
                    </w:rPr>
                    <w:t>年设计</w:t>
                  </w:r>
                  <w:r>
                    <w:rPr>
                      <w:rFonts w:hint="eastAsia"/>
                      <w:b/>
                      <w:color w:val="auto"/>
                      <w:szCs w:val="21"/>
                      <w:lang w:val="en-US" w:eastAsia="zh-CN"/>
                    </w:rPr>
                    <w:t>能力</w:t>
                  </w:r>
                  <w:r>
                    <w:rPr>
                      <w:rFonts w:hint="eastAsia"/>
                      <w:b/>
                      <w:color w:val="auto"/>
                      <w:szCs w:val="21"/>
                    </w:rPr>
                    <w:t>（t）</w:t>
                  </w:r>
                </w:p>
              </w:tc>
              <w:tc>
                <w:tcPr>
                  <w:tcW w:w="420" w:type="pct"/>
                  <w:vAlign w:val="center"/>
                </w:tcPr>
                <w:p w14:paraId="15CE1F30">
                  <w:pPr>
                    <w:keepNext w:val="0"/>
                    <w:keepLines w:val="0"/>
                    <w:suppressLineNumbers w:val="0"/>
                    <w:spacing w:before="0" w:beforeAutospacing="0" w:after="0" w:afterAutospacing="0" w:line="276" w:lineRule="auto"/>
                    <w:ind w:left="0" w:right="0"/>
                    <w:jc w:val="center"/>
                    <w:rPr>
                      <w:rFonts w:hint="default"/>
                      <w:b/>
                      <w:color w:val="auto"/>
                      <w:szCs w:val="21"/>
                    </w:rPr>
                  </w:pPr>
                  <w:r>
                    <w:rPr>
                      <w:rFonts w:hint="eastAsia"/>
                      <w:b/>
                      <w:color w:val="auto"/>
                      <w:szCs w:val="21"/>
                    </w:rPr>
                    <w:t>约合（t）</w:t>
                  </w:r>
                </w:p>
              </w:tc>
            </w:tr>
            <w:tr w14:paraId="1F59EE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40" w:type="pct"/>
                  <w:shd w:val="clear" w:color="auto" w:fill="auto"/>
                  <w:vAlign w:val="center"/>
                </w:tcPr>
                <w:p w14:paraId="4D0D9B09">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PS</w:t>
                  </w:r>
                </w:p>
              </w:tc>
              <w:tc>
                <w:tcPr>
                  <w:tcW w:w="346" w:type="pct"/>
                  <w:vAlign w:val="center"/>
                </w:tcPr>
                <w:p w14:paraId="6ECDE0F9">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注塑机</w:t>
                  </w:r>
                </w:p>
              </w:tc>
              <w:tc>
                <w:tcPr>
                  <w:tcW w:w="547" w:type="pct"/>
                  <w:shd w:val="clear" w:color="auto" w:fill="auto"/>
                  <w:vAlign w:val="center"/>
                </w:tcPr>
                <w:p w14:paraId="5016B1FE">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PS衣架/服装辅料配件</w:t>
                  </w:r>
                </w:p>
              </w:tc>
              <w:tc>
                <w:tcPr>
                  <w:tcW w:w="450" w:type="pct"/>
                  <w:vAlign w:val="center"/>
                </w:tcPr>
                <w:p w14:paraId="6A47E559">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9</w:t>
                  </w:r>
                </w:p>
              </w:tc>
              <w:tc>
                <w:tcPr>
                  <w:tcW w:w="619" w:type="pct"/>
                  <w:shd w:val="clear" w:color="auto" w:fill="auto"/>
                  <w:vAlign w:val="center"/>
                </w:tcPr>
                <w:p w14:paraId="078ECA72">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150~230</w:t>
                  </w:r>
                </w:p>
              </w:tc>
              <w:tc>
                <w:tcPr>
                  <w:tcW w:w="656" w:type="pct"/>
                  <w:shd w:val="clear" w:color="auto" w:fill="auto"/>
                  <w:vAlign w:val="center"/>
                </w:tcPr>
                <w:p w14:paraId="6D978C49">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1350~2070</w:t>
                  </w:r>
                </w:p>
              </w:tc>
              <w:tc>
                <w:tcPr>
                  <w:tcW w:w="521" w:type="pct"/>
                  <w:shd w:val="clear" w:color="auto" w:fill="auto"/>
                  <w:vAlign w:val="center"/>
                </w:tcPr>
                <w:p w14:paraId="6F4EE4D9">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50</w:t>
                  </w:r>
                </w:p>
              </w:tc>
              <w:tc>
                <w:tcPr>
                  <w:tcW w:w="592" w:type="pct"/>
                  <w:vAlign w:val="center"/>
                </w:tcPr>
                <w:p w14:paraId="33317196">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1477</w:t>
                  </w:r>
                </w:p>
              </w:tc>
              <w:tc>
                <w:tcPr>
                  <w:tcW w:w="504" w:type="pct"/>
                  <w:vAlign w:val="center"/>
                </w:tcPr>
                <w:p w14:paraId="4E9DBF6B">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369.25</w:t>
                  </w:r>
                </w:p>
              </w:tc>
              <w:tc>
                <w:tcPr>
                  <w:tcW w:w="420" w:type="pct"/>
                  <w:vMerge w:val="restart"/>
                  <w:vAlign w:val="center"/>
                </w:tcPr>
                <w:p w14:paraId="65677D66">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690.25</w:t>
                  </w:r>
                </w:p>
              </w:tc>
            </w:tr>
            <w:tr w14:paraId="3D563F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40" w:type="pct"/>
                  <w:shd w:val="clear" w:color="auto" w:fill="auto"/>
                  <w:vAlign w:val="center"/>
                </w:tcPr>
                <w:p w14:paraId="60C8D40A">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PP</w:t>
                  </w:r>
                </w:p>
              </w:tc>
              <w:tc>
                <w:tcPr>
                  <w:tcW w:w="346" w:type="pct"/>
                  <w:vAlign w:val="center"/>
                </w:tcPr>
                <w:p w14:paraId="10CCEFF5">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注塑机</w:t>
                  </w:r>
                </w:p>
              </w:tc>
              <w:tc>
                <w:tcPr>
                  <w:tcW w:w="547" w:type="pct"/>
                  <w:shd w:val="clear" w:color="auto" w:fill="auto"/>
                  <w:vAlign w:val="center"/>
                </w:tcPr>
                <w:p w14:paraId="418B753E">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日常收纳用品/服装辅料配件</w:t>
                  </w:r>
                </w:p>
              </w:tc>
              <w:tc>
                <w:tcPr>
                  <w:tcW w:w="450" w:type="pct"/>
                  <w:vAlign w:val="center"/>
                </w:tcPr>
                <w:p w14:paraId="377D3737">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6</w:t>
                  </w:r>
                </w:p>
              </w:tc>
              <w:tc>
                <w:tcPr>
                  <w:tcW w:w="619" w:type="pct"/>
                  <w:shd w:val="clear" w:color="auto" w:fill="auto"/>
                  <w:vAlign w:val="center"/>
                </w:tcPr>
                <w:p w14:paraId="3431240C">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120~275</w:t>
                  </w:r>
                </w:p>
              </w:tc>
              <w:tc>
                <w:tcPr>
                  <w:tcW w:w="656" w:type="pct"/>
                  <w:shd w:val="clear" w:color="auto" w:fill="auto"/>
                  <w:vAlign w:val="center"/>
                </w:tcPr>
                <w:p w14:paraId="60FCA6FF">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720~1650</w:t>
                  </w:r>
                </w:p>
              </w:tc>
              <w:tc>
                <w:tcPr>
                  <w:tcW w:w="521" w:type="pct"/>
                  <w:shd w:val="clear" w:color="auto" w:fill="auto"/>
                  <w:vAlign w:val="center"/>
                </w:tcPr>
                <w:p w14:paraId="55AA0802">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50</w:t>
                  </w:r>
                </w:p>
              </w:tc>
              <w:tc>
                <w:tcPr>
                  <w:tcW w:w="592" w:type="pct"/>
                  <w:vAlign w:val="center"/>
                </w:tcPr>
                <w:p w14:paraId="52F2A0C7">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1024</w:t>
                  </w:r>
                </w:p>
              </w:tc>
              <w:tc>
                <w:tcPr>
                  <w:tcW w:w="504" w:type="pct"/>
                  <w:vAlign w:val="center"/>
                </w:tcPr>
                <w:p w14:paraId="7D8A1225">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256</w:t>
                  </w:r>
                </w:p>
              </w:tc>
              <w:tc>
                <w:tcPr>
                  <w:tcW w:w="420" w:type="pct"/>
                  <w:vMerge w:val="continue"/>
                  <w:vAlign w:val="center"/>
                </w:tcPr>
                <w:p w14:paraId="31A712EC">
                  <w:pPr>
                    <w:keepNext w:val="0"/>
                    <w:keepLines w:val="0"/>
                    <w:suppressLineNumbers w:val="0"/>
                    <w:spacing w:before="0" w:beforeAutospacing="0" w:after="0" w:afterAutospacing="0" w:line="276" w:lineRule="auto"/>
                    <w:ind w:left="0" w:right="0"/>
                    <w:jc w:val="center"/>
                    <w:rPr>
                      <w:rFonts w:hint="eastAsia"/>
                      <w:color w:val="auto"/>
                      <w:szCs w:val="21"/>
                      <w:lang w:val="en-US" w:eastAsia="zh-CN"/>
                    </w:rPr>
                  </w:pPr>
                </w:p>
              </w:tc>
            </w:tr>
            <w:tr w14:paraId="385489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340" w:type="pct"/>
                  <w:shd w:val="clear" w:color="auto" w:fill="auto"/>
                  <w:vAlign w:val="center"/>
                </w:tcPr>
                <w:p w14:paraId="28963197">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PE</w:t>
                  </w:r>
                </w:p>
              </w:tc>
              <w:tc>
                <w:tcPr>
                  <w:tcW w:w="346" w:type="pct"/>
                  <w:vAlign w:val="center"/>
                </w:tcPr>
                <w:p w14:paraId="0F475AA2">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注塑机</w:t>
                  </w:r>
                </w:p>
              </w:tc>
              <w:tc>
                <w:tcPr>
                  <w:tcW w:w="547" w:type="pct"/>
                  <w:shd w:val="clear" w:color="auto" w:fill="auto"/>
                  <w:vAlign w:val="center"/>
                </w:tcPr>
                <w:p w14:paraId="2A02211F">
                  <w:pPr>
                    <w:keepNext w:val="0"/>
                    <w:keepLines w:val="0"/>
                    <w:suppressLineNumbers w:val="0"/>
                    <w:spacing w:before="0" w:beforeAutospacing="0" w:after="0" w:afterAutospacing="0" w:line="276" w:lineRule="auto"/>
                    <w:ind w:left="0" w:leftChars="0" w:right="0" w:rightChars="0"/>
                    <w:jc w:val="center"/>
                    <w:rPr>
                      <w:rFonts w:hint="eastAsia"/>
                      <w:color w:val="auto"/>
                      <w:szCs w:val="21"/>
                      <w:highlight w:val="none"/>
                      <w:lang w:val="en-US" w:eastAsia="zh-CN"/>
                    </w:rPr>
                  </w:pPr>
                  <w:r>
                    <w:rPr>
                      <w:rFonts w:hint="eastAsia"/>
                      <w:color w:val="auto"/>
                      <w:szCs w:val="21"/>
                      <w:highlight w:val="none"/>
                      <w:lang w:val="en-US" w:eastAsia="zh-CN"/>
                    </w:rPr>
                    <w:t>日常收纳用品/服装辅料配件</w:t>
                  </w:r>
                </w:p>
              </w:tc>
              <w:tc>
                <w:tcPr>
                  <w:tcW w:w="450" w:type="pct"/>
                  <w:vAlign w:val="center"/>
                </w:tcPr>
                <w:p w14:paraId="6F036491">
                  <w:pPr>
                    <w:keepNext w:val="0"/>
                    <w:keepLines w:val="0"/>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1</w:t>
                  </w:r>
                </w:p>
              </w:tc>
              <w:tc>
                <w:tcPr>
                  <w:tcW w:w="619" w:type="pct"/>
                  <w:shd w:val="clear" w:color="auto" w:fill="auto"/>
                  <w:vAlign w:val="center"/>
                </w:tcPr>
                <w:p w14:paraId="414BCDCB">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220~380</w:t>
                  </w:r>
                </w:p>
              </w:tc>
              <w:tc>
                <w:tcPr>
                  <w:tcW w:w="656" w:type="pct"/>
                  <w:shd w:val="clear" w:color="auto" w:fill="auto"/>
                  <w:vAlign w:val="center"/>
                </w:tcPr>
                <w:p w14:paraId="255D40EB">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220~380</w:t>
                  </w:r>
                </w:p>
              </w:tc>
              <w:tc>
                <w:tcPr>
                  <w:tcW w:w="521" w:type="pct"/>
                  <w:shd w:val="clear" w:color="auto" w:fill="auto"/>
                  <w:vAlign w:val="center"/>
                </w:tcPr>
                <w:p w14:paraId="4FB56E7D">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50</w:t>
                  </w:r>
                </w:p>
              </w:tc>
              <w:tc>
                <w:tcPr>
                  <w:tcW w:w="592" w:type="pct"/>
                  <w:vAlign w:val="center"/>
                </w:tcPr>
                <w:p w14:paraId="4E07B834">
                  <w:pPr>
                    <w:keepNext w:val="0"/>
                    <w:keepLines w:val="0"/>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260</w:t>
                  </w:r>
                </w:p>
              </w:tc>
              <w:tc>
                <w:tcPr>
                  <w:tcW w:w="504" w:type="pct"/>
                  <w:vAlign w:val="center"/>
                </w:tcPr>
                <w:p w14:paraId="3602B31A">
                  <w:pPr>
                    <w:keepNext w:val="0"/>
                    <w:keepLines w:val="0"/>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65</w:t>
                  </w:r>
                </w:p>
              </w:tc>
              <w:tc>
                <w:tcPr>
                  <w:tcW w:w="420" w:type="pct"/>
                  <w:vMerge w:val="continue"/>
                  <w:vAlign w:val="center"/>
                </w:tcPr>
                <w:p w14:paraId="05E2725C">
                  <w:pPr>
                    <w:keepNext w:val="0"/>
                    <w:keepLines w:val="0"/>
                    <w:suppressLineNumbers w:val="0"/>
                    <w:spacing w:before="0" w:beforeAutospacing="0" w:after="0" w:afterAutospacing="0" w:line="276" w:lineRule="auto"/>
                    <w:ind w:left="0" w:right="0"/>
                    <w:jc w:val="center"/>
                    <w:rPr>
                      <w:rFonts w:hint="eastAsia"/>
                      <w:color w:val="auto"/>
                      <w:szCs w:val="21"/>
                      <w:lang w:val="en-US" w:eastAsia="zh-CN"/>
                    </w:rPr>
                  </w:pPr>
                </w:p>
              </w:tc>
            </w:tr>
            <w:tr w14:paraId="1EBC83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10"/>
                  <w:vAlign w:val="center"/>
                </w:tcPr>
                <w:p w14:paraId="7D7168D1">
                  <w:pPr>
                    <w:keepNext w:val="0"/>
                    <w:keepLines w:val="0"/>
                    <w:suppressLineNumbers w:val="0"/>
                    <w:spacing w:before="0" w:beforeAutospacing="0" w:after="0" w:afterAutospacing="0" w:line="276" w:lineRule="auto"/>
                    <w:ind w:left="0" w:right="0"/>
                    <w:jc w:val="left"/>
                    <w:rPr>
                      <w:rFonts w:hint="eastAsia" w:eastAsia="宋体"/>
                      <w:color w:val="auto"/>
                      <w:szCs w:val="21"/>
                      <w:lang w:eastAsia="zh-CN"/>
                    </w:rPr>
                  </w:pPr>
                  <w:r>
                    <w:rPr>
                      <w:rFonts w:hint="eastAsia"/>
                      <w:b/>
                      <w:bCs/>
                      <w:color w:val="auto"/>
                      <w:szCs w:val="21"/>
                      <w:lang w:val="en-US" w:eastAsia="zh-CN"/>
                    </w:rPr>
                    <w:t>注</w:t>
                  </w:r>
                  <w:r>
                    <w:rPr>
                      <w:rFonts w:hint="eastAsia"/>
                      <w:b/>
                      <w:bCs/>
                      <w:color w:val="auto"/>
                      <w:szCs w:val="21"/>
                      <w:lang w:eastAsia="zh-CN"/>
                    </w:rPr>
                    <w:t>：</w:t>
                  </w:r>
                  <w:r>
                    <w:rPr>
                      <w:rFonts w:hint="eastAsia"/>
                      <w:b/>
                      <w:bCs/>
                      <w:color w:val="auto"/>
                      <w:szCs w:val="21"/>
                      <w:lang w:val="en-US" w:eastAsia="zh-CN"/>
                    </w:rPr>
                    <w:t>单个周期时间</w:t>
                  </w:r>
                  <w:r>
                    <w:rPr>
                      <w:rFonts w:hint="eastAsia"/>
                      <w:b/>
                      <w:bCs/>
                      <w:color w:val="auto"/>
                      <w:szCs w:val="21"/>
                    </w:rPr>
                    <w:t>按每批次计</w:t>
                  </w:r>
                  <w:r>
                    <w:rPr>
                      <w:rFonts w:hint="eastAsia"/>
                      <w:b/>
                      <w:bCs/>
                      <w:color w:val="auto"/>
                      <w:szCs w:val="21"/>
                      <w:lang w:eastAsia="zh-CN"/>
                    </w:rPr>
                    <w:t>；</w:t>
                  </w:r>
                  <w:r>
                    <w:rPr>
                      <w:rFonts w:hint="eastAsia"/>
                      <w:b/>
                      <w:bCs/>
                      <w:color w:val="auto"/>
                      <w:szCs w:val="21"/>
                      <w:lang w:val="en-US" w:eastAsia="zh-CN"/>
                    </w:rPr>
                    <w:t>日设计能力以中间值计；注塑</w:t>
                  </w:r>
                  <w:r>
                    <w:rPr>
                      <w:rFonts w:hint="eastAsia"/>
                      <w:b/>
                      <w:bCs/>
                      <w:color w:val="auto"/>
                      <w:szCs w:val="21"/>
                    </w:rPr>
                    <w:t>工序工作时间为</w:t>
                  </w:r>
                  <w:r>
                    <w:rPr>
                      <w:rFonts w:hint="eastAsia"/>
                      <w:b/>
                      <w:bCs/>
                      <w:color w:val="auto"/>
                      <w:szCs w:val="21"/>
                      <w:lang w:val="en-US" w:eastAsia="zh-CN"/>
                    </w:rPr>
                    <w:t>12</w:t>
                  </w:r>
                  <w:r>
                    <w:rPr>
                      <w:rFonts w:hint="eastAsia"/>
                      <w:b/>
                      <w:bCs/>
                      <w:color w:val="auto"/>
                      <w:szCs w:val="21"/>
                    </w:rPr>
                    <w:t>h/d计</w:t>
                  </w:r>
                  <w:r>
                    <w:rPr>
                      <w:rFonts w:hint="eastAsia"/>
                      <w:b/>
                      <w:bCs/>
                      <w:color w:val="auto"/>
                      <w:szCs w:val="21"/>
                      <w:lang w:eastAsia="zh-CN"/>
                    </w:rPr>
                    <w:t>，</w:t>
                  </w:r>
                  <w:r>
                    <w:rPr>
                      <w:rFonts w:hint="eastAsia"/>
                      <w:b/>
                      <w:bCs/>
                      <w:color w:val="auto"/>
                      <w:szCs w:val="21"/>
                    </w:rPr>
                    <w:t>年工作天数以</w:t>
                  </w:r>
                  <w:r>
                    <w:rPr>
                      <w:rFonts w:hint="eastAsia"/>
                      <w:b/>
                      <w:bCs/>
                      <w:color w:val="auto"/>
                      <w:szCs w:val="21"/>
                      <w:lang w:val="en-US" w:eastAsia="zh-CN"/>
                    </w:rPr>
                    <w:t>250</w:t>
                  </w:r>
                  <w:r>
                    <w:rPr>
                      <w:rFonts w:hint="eastAsia"/>
                      <w:b/>
                      <w:bCs/>
                      <w:color w:val="auto"/>
                      <w:szCs w:val="21"/>
                    </w:rPr>
                    <w:t>d计</w:t>
                  </w:r>
                  <w:r>
                    <w:rPr>
                      <w:rFonts w:hint="eastAsia"/>
                      <w:b/>
                      <w:bCs/>
                      <w:color w:val="auto"/>
                      <w:szCs w:val="21"/>
                      <w:lang w:eastAsia="zh-CN"/>
                    </w:rPr>
                    <w:t>。</w:t>
                  </w:r>
                </w:p>
              </w:tc>
            </w:tr>
          </w:tbl>
          <w:p w14:paraId="407912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bCs/>
                <w:color w:val="auto"/>
                <w:sz w:val="24"/>
                <w:lang w:val="en-US" w:eastAsia="zh-CN"/>
              </w:rPr>
            </w:pPr>
            <w:r>
              <w:rPr>
                <w:rFonts w:hint="eastAsia"/>
                <w:bCs/>
                <w:color w:val="auto"/>
                <w:sz w:val="24"/>
                <w:lang w:val="en-US" w:eastAsia="zh-CN"/>
              </w:rPr>
              <w:t>预计塑料制品生产时，原料总量为550t/a，其中PS塑料粒子用量为300t/a、PP塑料粒子用量为200t/a、PE塑料粒子50t/a，分别为PS、PP、PE注塑设备设计能力的81.2%、78.1%、76.9%，符合企业设备产能设计要求。</w:t>
            </w:r>
          </w:p>
          <w:p w14:paraId="7526A8B9">
            <w:pPr>
              <w:keepNext w:val="0"/>
              <w:keepLines w:val="0"/>
              <w:suppressLineNumbers w:val="0"/>
              <w:spacing w:before="0" w:beforeAutospacing="0" w:after="0" w:afterAutospacing="0" w:line="360" w:lineRule="auto"/>
              <w:ind w:left="0" w:right="0" w:firstLine="482" w:firstLineChars="200"/>
              <w:rPr>
                <w:rFonts w:hint="default"/>
                <w:b/>
                <w:color w:val="auto"/>
                <w:sz w:val="24"/>
                <w:highlight w:val="none"/>
              </w:rPr>
            </w:pPr>
            <w:r>
              <w:rPr>
                <w:rFonts w:hint="eastAsia"/>
                <w:b/>
                <w:color w:val="auto"/>
                <w:sz w:val="24"/>
                <w:highlight w:val="none"/>
                <w:lang w:val="en-US" w:eastAsia="zh-CN"/>
              </w:rPr>
              <w:t>8.</w:t>
            </w:r>
            <w:r>
              <w:rPr>
                <w:rFonts w:hint="eastAsia"/>
                <w:b/>
                <w:color w:val="auto"/>
                <w:sz w:val="24"/>
                <w:highlight w:val="none"/>
              </w:rPr>
              <w:t>公用工程</w:t>
            </w:r>
          </w:p>
          <w:p w14:paraId="44E1B9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bCs/>
                <w:color w:val="auto"/>
                <w:sz w:val="24"/>
                <w:highlight w:val="none"/>
              </w:rPr>
            </w:pPr>
            <w:r>
              <w:rPr>
                <w:rFonts w:hint="eastAsia"/>
                <w:bCs/>
                <w:color w:val="auto"/>
                <w:sz w:val="24"/>
                <w:highlight w:val="none"/>
              </w:rPr>
              <w:t>（1）给排水</w:t>
            </w:r>
          </w:p>
          <w:p w14:paraId="569ADB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宋体"/>
                <w:bCs/>
                <w:color w:val="auto"/>
                <w:sz w:val="24"/>
                <w:highlight w:val="none"/>
                <w:lang w:val="en-US" w:eastAsia="zh-CN"/>
              </w:rPr>
            </w:pPr>
            <w:r>
              <w:rPr>
                <w:rFonts w:hint="eastAsia"/>
                <w:bCs/>
                <w:color w:val="auto"/>
                <w:sz w:val="24"/>
                <w:highlight w:val="none"/>
                <w:lang w:val="en-US" w:eastAsia="zh-CN"/>
              </w:rPr>
              <w:t>本项目用水主要包括循环冷却系统用水及生活用水，全厂用水量约2574m</w:t>
            </w:r>
            <w:r>
              <w:rPr>
                <w:rFonts w:hint="eastAsia"/>
                <w:bCs/>
                <w:color w:val="auto"/>
                <w:sz w:val="24"/>
                <w:highlight w:val="none"/>
                <w:vertAlign w:val="superscript"/>
                <w:lang w:val="en-US" w:eastAsia="zh-CN"/>
              </w:rPr>
              <w:t>3</w:t>
            </w:r>
            <w:r>
              <w:rPr>
                <w:rFonts w:hint="eastAsia"/>
                <w:bCs/>
                <w:color w:val="auto"/>
                <w:sz w:val="24"/>
                <w:highlight w:val="none"/>
                <w:lang w:val="en-US" w:eastAsia="zh-CN"/>
              </w:rPr>
              <w:t>/a（最大一次10.296m</w:t>
            </w:r>
            <w:r>
              <w:rPr>
                <w:rFonts w:hint="eastAsia"/>
                <w:bCs/>
                <w:color w:val="auto"/>
                <w:sz w:val="24"/>
                <w:highlight w:val="none"/>
                <w:vertAlign w:val="superscript"/>
                <w:lang w:val="en-US" w:eastAsia="zh-CN"/>
              </w:rPr>
              <w:t>3</w:t>
            </w:r>
            <w:r>
              <w:rPr>
                <w:rFonts w:hint="eastAsia"/>
                <w:bCs/>
                <w:color w:val="auto"/>
                <w:sz w:val="24"/>
                <w:highlight w:val="none"/>
                <w:lang w:val="en-US" w:eastAsia="zh-CN"/>
              </w:rPr>
              <w:t>/d），排水量约</w:t>
            </w:r>
            <w:r>
              <w:rPr>
                <w:rFonts w:hint="eastAsia"/>
                <w:b w:val="0"/>
                <w:bCs/>
                <w:snapToGrid w:val="0"/>
                <w:color w:val="auto"/>
                <w:kern w:val="0"/>
                <w:sz w:val="24"/>
                <w:highlight w:val="none"/>
                <w:lang w:val="en-US" w:eastAsia="zh-CN"/>
              </w:rPr>
              <w:t>661.5</w:t>
            </w:r>
            <w:r>
              <w:rPr>
                <w:rFonts w:hint="eastAsia"/>
                <w:bCs/>
                <w:color w:val="auto"/>
                <w:sz w:val="24"/>
                <w:highlight w:val="none"/>
              </w:rPr>
              <w:t>m</w:t>
            </w:r>
            <w:r>
              <w:rPr>
                <w:rFonts w:hint="eastAsia"/>
                <w:bCs/>
                <w:color w:val="auto"/>
                <w:sz w:val="24"/>
                <w:highlight w:val="none"/>
                <w:vertAlign w:val="superscript"/>
              </w:rPr>
              <w:t>3</w:t>
            </w:r>
            <w:r>
              <w:rPr>
                <w:rFonts w:hint="eastAsia"/>
                <w:bCs/>
                <w:color w:val="auto"/>
                <w:sz w:val="24"/>
                <w:highlight w:val="none"/>
              </w:rPr>
              <w:t>/a</w:t>
            </w:r>
            <w:r>
              <w:rPr>
                <w:rFonts w:hint="eastAsia"/>
                <w:bCs/>
                <w:color w:val="auto"/>
                <w:sz w:val="24"/>
                <w:highlight w:val="none"/>
                <w:lang w:eastAsia="zh-CN"/>
              </w:rPr>
              <w:t>，</w:t>
            </w:r>
            <w:r>
              <w:rPr>
                <w:rFonts w:hint="eastAsia"/>
                <w:bCs/>
                <w:color w:val="auto"/>
                <w:sz w:val="24"/>
                <w:highlight w:val="none"/>
                <w:lang w:val="en-US" w:eastAsia="zh-CN"/>
              </w:rPr>
              <w:t>最大排水量4.55</w:t>
            </w:r>
            <w:r>
              <w:rPr>
                <w:rFonts w:hint="eastAsia"/>
                <w:bCs/>
                <w:color w:val="auto"/>
                <w:sz w:val="24"/>
                <w:highlight w:val="none"/>
              </w:rPr>
              <w:t>m</w:t>
            </w:r>
            <w:r>
              <w:rPr>
                <w:rFonts w:hint="eastAsia"/>
                <w:bCs/>
                <w:color w:val="auto"/>
                <w:sz w:val="24"/>
                <w:highlight w:val="none"/>
                <w:vertAlign w:val="superscript"/>
              </w:rPr>
              <w:t>3</w:t>
            </w:r>
            <w:r>
              <w:rPr>
                <w:rFonts w:hint="eastAsia"/>
                <w:bCs/>
                <w:color w:val="auto"/>
                <w:sz w:val="24"/>
                <w:highlight w:val="none"/>
              </w:rPr>
              <w:t>/d</w:t>
            </w:r>
            <w:r>
              <w:rPr>
                <w:rFonts w:hint="eastAsia"/>
                <w:bCs/>
                <w:color w:val="auto"/>
                <w:sz w:val="24"/>
                <w:highlight w:val="none"/>
                <w:lang w:eastAsia="zh-CN"/>
              </w:rPr>
              <w:t>。</w:t>
            </w:r>
          </w:p>
          <w:p w14:paraId="5B31F3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bCs/>
                <w:color w:val="auto"/>
                <w:sz w:val="24"/>
                <w:highlight w:val="none"/>
                <w:lang w:val="en-US" w:eastAsia="zh-CN"/>
              </w:rPr>
            </w:pPr>
            <w:r>
              <w:rPr>
                <w:rFonts w:hint="eastAsia"/>
                <w:bCs/>
                <w:color w:val="auto"/>
                <w:sz w:val="24"/>
                <w:highlight w:val="none"/>
                <w:lang w:val="en-US" w:eastAsia="zh-CN"/>
              </w:rPr>
              <w:t>①循环冷却系统用水</w:t>
            </w:r>
          </w:p>
          <w:p w14:paraId="1549BB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宋体"/>
                <w:bCs/>
                <w:color w:val="auto"/>
                <w:sz w:val="24"/>
                <w:highlight w:val="none"/>
                <w:lang w:val="en-US" w:eastAsia="zh-CN"/>
              </w:rPr>
            </w:pPr>
            <w:r>
              <w:rPr>
                <w:rFonts w:hint="default" w:ascii="Times New Roman" w:hAnsi="Times New Roman" w:eastAsia="宋体" w:cs="Times New Roman"/>
                <w:color w:val="auto"/>
                <w:sz w:val="24"/>
                <w:szCs w:val="28"/>
                <w:highlight w:val="none"/>
              </w:rPr>
              <w:t>本项目生产过程中需要对注塑机挤出模头进行降温处理（维持工艺温度40℃），</w:t>
            </w:r>
            <w:r>
              <w:rPr>
                <w:rFonts w:hint="eastAsia" w:cs="Times New Roman"/>
                <w:color w:val="auto"/>
                <w:sz w:val="24"/>
                <w:szCs w:val="28"/>
                <w:highlight w:val="none"/>
                <w:lang w:val="en-US" w:eastAsia="zh-CN"/>
              </w:rPr>
              <w:t>厂房1F设置</w:t>
            </w:r>
            <w:r>
              <w:rPr>
                <w:rFonts w:hint="default" w:ascii="Times New Roman" w:hAnsi="Times New Roman" w:eastAsia="宋体" w:cs="Times New Roman"/>
                <w:color w:val="auto"/>
                <w:sz w:val="24"/>
                <w:szCs w:val="28"/>
                <w:highlight w:val="none"/>
              </w:rPr>
              <w:t>一套循环冷却装置</w:t>
            </w:r>
            <w:r>
              <w:rPr>
                <w:rFonts w:hint="eastAsia" w:cs="Times New Roman"/>
                <w:color w:val="auto"/>
                <w:sz w:val="24"/>
                <w:szCs w:val="28"/>
                <w:highlight w:val="none"/>
                <w:lang w:eastAsia="zh-CN"/>
              </w:rPr>
              <w:t>（</w:t>
            </w:r>
            <w:r>
              <w:rPr>
                <w:rFonts w:hint="eastAsia" w:cs="Times New Roman"/>
                <w:color w:val="auto"/>
                <w:sz w:val="24"/>
                <w:szCs w:val="28"/>
                <w:highlight w:val="none"/>
                <w:lang w:val="en-US" w:eastAsia="zh-CN"/>
              </w:rPr>
              <w:t>配套10台单台循环水量为3.0m</w:t>
            </w:r>
            <w:r>
              <w:rPr>
                <w:rFonts w:hint="eastAsia" w:cs="Times New Roman"/>
                <w:color w:val="auto"/>
                <w:sz w:val="24"/>
                <w:szCs w:val="28"/>
                <w:highlight w:val="none"/>
                <w:vertAlign w:val="superscript"/>
                <w:lang w:val="en-US" w:eastAsia="zh-CN"/>
              </w:rPr>
              <w:t>3</w:t>
            </w:r>
            <w:r>
              <w:rPr>
                <w:rFonts w:hint="eastAsia" w:cs="Times New Roman"/>
                <w:color w:val="auto"/>
                <w:sz w:val="24"/>
                <w:szCs w:val="28"/>
                <w:highlight w:val="none"/>
                <w:lang w:val="en-US" w:eastAsia="zh-CN"/>
              </w:rPr>
              <w:t>/h的冷水机，配套水箱200L/台</w:t>
            </w:r>
            <w:r>
              <w:rPr>
                <w:rFonts w:hint="eastAsia" w:cs="Times New Roman"/>
                <w:color w:val="auto"/>
                <w:sz w:val="24"/>
                <w:szCs w:val="28"/>
                <w:highlight w:val="none"/>
                <w:lang w:eastAsia="zh-CN"/>
              </w:rPr>
              <w:t>），</w:t>
            </w:r>
            <w:r>
              <w:rPr>
                <w:rFonts w:hint="eastAsia" w:cs="Times New Roman"/>
                <w:color w:val="auto"/>
                <w:sz w:val="24"/>
                <w:szCs w:val="28"/>
                <w:highlight w:val="none"/>
                <w:lang w:val="en-US" w:eastAsia="zh-CN"/>
              </w:rPr>
              <w:t>总循环水量约30m</w:t>
            </w:r>
            <w:r>
              <w:rPr>
                <w:rFonts w:hint="eastAsia" w:cs="Times New Roman"/>
                <w:color w:val="auto"/>
                <w:sz w:val="24"/>
                <w:szCs w:val="28"/>
                <w:highlight w:val="none"/>
                <w:vertAlign w:val="superscript"/>
                <w:lang w:val="en-US" w:eastAsia="zh-CN"/>
              </w:rPr>
              <w:t>3</w:t>
            </w:r>
            <w:r>
              <w:rPr>
                <w:rFonts w:hint="eastAsia" w:cs="Times New Roman"/>
                <w:color w:val="auto"/>
                <w:sz w:val="24"/>
                <w:szCs w:val="28"/>
                <w:highlight w:val="none"/>
                <w:lang w:val="en-US" w:eastAsia="zh-CN"/>
              </w:rPr>
              <w:t>/h</w:t>
            </w:r>
            <w:r>
              <w:rPr>
                <w:rFonts w:hint="default" w:ascii="Times New Roman" w:hAnsi="Times New Roman" w:eastAsia="宋体" w:cs="Times New Roman"/>
                <w:color w:val="auto"/>
                <w:sz w:val="24"/>
                <w:szCs w:val="28"/>
                <w:highlight w:val="none"/>
              </w:rPr>
              <w:t>，</w:t>
            </w:r>
            <w:r>
              <w:rPr>
                <w:rFonts w:hint="eastAsia" w:ascii="Times New Roman" w:hAnsi="Times New Roman" w:eastAsia="宋体" w:cs="Times New Roman"/>
                <w:color w:val="auto"/>
                <w:sz w:val="24"/>
                <w:szCs w:val="24"/>
                <w:highlight w:val="none"/>
              </w:rPr>
              <w:t>该部分水因蒸发有</w:t>
            </w:r>
            <w:r>
              <w:rPr>
                <w:rFonts w:hint="default" w:ascii="Times New Roman" w:hAnsi="Times New Roman" w:eastAsia="宋体" w:cs="Times New Roman"/>
                <w:color w:val="auto"/>
                <w:sz w:val="24"/>
                <w:szCs w:val="24"/>
                <w:highlight w:val="none"/>
              </w:rPr>
              <w:t>2%</w:t>
            </w:r>
            <w:r>
              <w:rPr>
                <w:rFonts w:hint="eastAsia" w:ascii="Times New Roman" w:hAnsi="Times New Roman" w:eastAsia="宋体" w:cs="Times New Roman"/>
                <w:color w:val="auto"/>
                <w:sz w:val="24"/>
                <w:szCs w:val="24"/>
                <w:highlight w:val="none"/>
              </w:rPr>
              <w:t>损失</w:t>
            </w:r>
            <w:r>
              <w:rPr>
                <w:rFonts w:hint="eastAsia" w:ascii="Times New Roman" w:hAnsi="Times New Roman" w:eastAsia="宋体" w:cs="Times New Roman"/>
                <w:color w:val="auto"/>
                <w:szCs w:val="24"/>
                <w:highlight w:val="none"/>
              </w:rPr>
              <w:t>，</w:t>
            </w:r>
            <w:r>
              <w:rPr>
                <w:rFonts w:hint="eastAsia" w:ascii="Times New Roman" w:hAnsi="Times New Roman" w:eastAsia="宋体" w:cs="Times New Roman"/>
                <w:color w:val="auto"/>
                <w:sz w:val="24"/>
                <w:szCs w:val="24"/>
                <w:highlight w:val="none"/>
              </w:rPr>
              <w:t>则损耗水量为</w:t>
            </w:r>
            <w:r>
              <w:rPr>
                <w:rFonts w:hint="eastAsia" w:cs="Times New Roman"/>
                <w:color w:val="auto"/>
                <w:sz w:val="24"/>
                <w:szCs w:val="24"/>
                <w:highlight w:val="none"/>
                <w:lang w:val="en-US" w:eastAsia="zh-CN"/>
              </w:rPr>
              <w:t>0.6</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/h</w:t>
            </w:r>
            <w:r>
              <w:rPr>
                <w:rFonts w:hint="eastAsia" w:ascii="Times New Roman" w:hAnsi="Times New Roman" w:eastAsia="宋体" w:cs="Times New Roman"/>
                <w:color w:val="auto"/>
                <w:sz w:val="24"/>
                <w:szCs w:val="24"/>
                <w:highlight w:val="none"/>
              </w:rPr>
              <w:t>，循环系统每天按运行</w:t>
            </w:r>
            <w:r>
              <w:rPr>
                <w:rFonts w:hint="eastAsia"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rPr>
              <w:t>h</w:t>
            </w:r>
            <w:r>
              <w:rPr>
                <w:rFonts w:hint="eastAsia" w:ascii="Times New Roman" w:hAnsi="Times New Roman" w:eastAsia="宋体" w:cs="Times New Roman"/>
                <w:color w:val="auto"/>
                <w:sz w:val="24"/>
                <w:szCs w:val="24"/>
                <w:highlight w:val="none"/>
              </w:rPr>
              <w:t>计算，则每天损耗量为</w:t>
            </w:r>
            <w:r>
              <w:rPr>
                <w:rFonts w:hint="eastAsia" w:cs="Times New Roman"/>
                <w:color w:val="auto"/>
                <w:sz w:val="24"/>
                <w:szCs w:val="24"/>
                <w:highlight w:val="none"/>
                <w:lang w:val="en-US" w:eastAsia="zh-CN"/>
              </w:rPr>
              <w:t>7.2</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eastAsia" w:ascii="Times New Roman" w:hAnsi="Times New Roman" w:eastAsia="宋体" w:cs="Times New Roman"/>
                <w:color w:val="auto"/>
                <w:sz w:val="24"/>
                <w:szCs w:val="24"/>
                <w:highlight w:val="none"/>
              </w:rPr>
              <w:t>，年损耗量为</w:t>
            </w:r>
            <w:r>
              <w:rPr>
                <w:rFonts w:hint="eastAsia" w:cs="Times New Roman"/>
                <w:color w:val="auto"/>
                <w:sz w:val="24"/>
                <w:szCs w:val="24"/>
                <w:highlight w:val="none"/>
                <w:lang w:val="en-US" w:eastAsia="zh-CN"/>
              </w:rPr>
              <w:t>1800</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eastAsia" w:ascii="Times New Roman" w:hAnsi="Times New Roman" w:eastAsia="宋体" w:cs="Times New Roman"/>
                <w:color w:val="auto"/>
                <w:sz w:val="24"/>
                <w:szCs w:val="24"/>
                <w:highlight w:val="none"/>
              </w:rPr>
              <w:t>。循环冷却</w:t>
            </w:r>
            <w:r>
              <w:rPr>
                <w:rFonts w:hint="eastAsia" w:cs="Times New Roman"/>
                <w:color w:val="auto"/>
                <w:sz w:val="24"/>
                <w:szCs w:val="24"/>
                <w:highlight w:val="none"/>
                <w:lang w:val="en-US" w:eastAsia="zh-CN"/>
              </w:rPr>
              <w:t>系统</w:t>
            </w:r>
            <w:r>
              <w:rPr>
                <w:rFonts w:hint="eastAsia" w:ascii="Times New Roman" w:hAnsi="Times New Roman" w:eastAsia="宋体" w:cs="Times New Roman"/>
                <w:color w:val="auto"/>
                <w:sz w:val="24"/>
                <w:szCs w:val="24"/>
                <w:highlight w:val="none"/>
              </w:rPr>
              <w:t>新鲜水</w:t>
            </w:r>
            <w:r>
              <w:rPr>
                <w:rFonts w:hint="eastAsia" w:cs="Times New Roman"/>
                <w:color w:val="auto"/>
                <w:sz w:val="24"/>
                <w:szCs w:val="24"/>
                <w:highlight w:val="none"/>
                <w:lang w:val="en-US" w:eastAsia="zh-CN"/>
              </w:rPr>
              <w:t>补水</w:t>
            </w:r>
            <w:r>
              <w:rPr>
                <w:rFonts w:hint="eastAsia" w:ascii="Times New Roman" w:hAnsi="Times New Roman" w:eastAsia="宋体" w:cs="Times New Roman"/>
                <w:color w:val="auto"/>
                <w:sz w:val="24"/>
                <w:szCs w:val="24"/>
                <w:highlight w:val="none"/>
              </w:rPr>
              <w:t>量为</w:t>
            </w:r>
            <w:r>
              <w:rPr>
                <w:rFonts w:hint="eastAsia" w:cs="Times New Roman"/>
                <w:color w:val="auto"/>
                <w:sz w:val="24"/>
                <w:szCs w:val="24"/>
                <w:highlight w:val="none"/>
                <w:lang w:val="en-US" w:eastAsia="zh-CN"/>
              </w:rPr>
              <w:t>1800</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/a</w:t>
            </w:r>
            <w:r>
              <w:rPr>
                <w:rFonts w:hint="eastAsia" w:ascii="Times New Roman" w:hAnsi="Times New Roman" w:eastAsia="宋体" w:cs="Times New Roman"/>
                <w:color w:val="auto"/>
                <w:sz w:val="24"/>
                <w:szCs w:val="24"/>
                <w:highlight w:val="none"/>
              </w:rPr>
              <w:t>。本项目循环冷却水对水质无特殊要求，但随着生产的不断进行，循环水质会逐渐恶化，长时间使用会影响产品的质量，根据企业提供的资料，循环水</w:t>
            </w:r>
            <w:r>
              <w:rPr>
                <w:rFonts w:hint="eastAsia" w:cs="Times New Roman"/>
                <w:color w:val="auto"/>
                <w:sz w:val="24"/>
                <w:szCs w:val="24"/>
                <w:highlight w:val="none"/>
                <w:lang w:val="en-US" w:eastAsia="zh-CN"/>
              </w:rPr>
              <w:t>每月</w:t>
            </w:r>
            <w:r>
              <w:rPr>
                <w:rFonts w:hint="eastAsia" w:ascii="Times New Roman" w:hAnsi="Times New Roman" w:eastAsia="宋体" w:cs="Times New Roman"/>
                <w:color w:val="auto"/>
                <w:sz w:val="24"/>
                <w:szCs w:val="24"/>
                <w:highlight w:val="none"/>
              </w:rPr>
              <w:t>更换一次，</w:t>
            </w:r>
            <w:r>
              <w:rPr>
                <w:rFonts w:hint="eastAsia" w:cs="Times New Roman"/>
                <w:color w:val="auto"/>
                <w:sz w:val="24"/>
                <w:szCs w:val="24"/>
                <w:highlight w:val="none"/>
                <w:lang w:val="en-US" w:eastAsia="zh-CN"/>
              </w:rPr>
              <w:t>水箱</w:t>
            </w:r>
            <w:r>
              <w:rPr>
                <w:rFonts w:hint="eastAsia" w:ascii="Times New Roman" w:hAnsi="Times New Roman" w:eastAsia="宋体" w:cs="Times New Roman"/>
                <w:color w:val="auto"/>
                <w:sz w:val="24"/>
                <w:szCs w:val="24"/>
                <w:highlight w:val="none"/>
              </w:rPr>
              <w:t>一次排放量约为</w:t>
            </w:r>
            <w:r>
              <w:rPr>
                <w:rFonts w:hint="eastAsia" w:cs="Times New Roman"/>
                <w:color w:val="auto"/>
                <w:sz w:val="24"/>
                <w:szCs w:val="24"/>
                <w:highlight w:val="none"/>
                <w:lang w:val="en-US" w:eastAsia="zh-CN"/>
              </w:rPr>
              <w:t>2.0</w:t>
            </w:r>
            <w:r>
              <w:rPr>
                <w:rFonts w:hint="eastAsia" w:ascii="Times New Roman" w:hAnsi="Times New Roman" w:eastAsia="宋体" w:cs="Times New Roman"/>
                <w:color w:val="auto"/>
                <w:sz w:val="24"/>
                <w:szCs w:val="24"/>
                <w:highlight w:val="none"/>
              </w:rPr>
              <w:t>m</w:t>
            </w:r>
            <w:r>
              <w:rPr>
                <w:rFonts w:hint="eastAsia" w:ascii="Times New Roman" w:hAnsi="Times New Roman" w:eastAsia="宋体" w:cs="Times New Roman"/>
                <w:color w:val="auto"/>
                <w:sz w:val="24"/>
                <w:szCs w:val="24"/>
                <w:highlight w:val="none"/>
                <w:vertAlign w:val="superscript"/>
              </w:rPr>
              <w:t>3</w:t>
            </w:r>
            <w:r>
              <w:rPr>
                <w:rFonts w:hint="eastAsia" w:ascii="Times New Roman" w:hAnsi="Times New Roman" w:eastAsia="宋体" w:cs="Times New Roman"/>
                <w:color w:val="auto"/>
                <w:sz w:val="24"/>
                <w:szCs w:val="24"/>
                <w:highlight w:val="none"/>
              </w:rPr>
              <w:t>/次，因此冷却循环水更换水量为</w:t>
            </w:r>
            <w:r>
              <w:rPr>
                <w:rFonts w:hint="eastAsia" w:cs="Times New Roman"/>
                <w:color w:val="auto"/>
                <w:sz w:val="24"/>
                <w:szCs w:val="24"/>
                <w:highlight w:val="none"/>
                <w:lang w:val="en-US" w:eastAsia="zh-CN"/>
              </w:rPr>
              <w:t>24</w:t>
            </w:r>
            <w:r>
              <w:rPr>
                <w:rFonts w:hint="eastAsia" w:ascii="Times New Roman" w:hAnsi="Times New Roman" w:eastAsia="宋体" w:cs="Times New Roman"/>
                <w:color w:val="auto"/>
                <w:sz w:val="24"/>
                <w:szCs w:val="24"/>
                <w:highlight w:val="none"/>
              </w:rPr>
              <w:t>m</w:t>
            </w:r>
            <w:r>
              <w:rPr>
                <w:rFonts w:hint="eastAsia" w:ascii="Times New Roman" w:hAnsi="Times New Roman" w:eastAsia="宋体" w:cs="Times New Roman"/>
                <w:color w:val="auto"/>
                <w:sz w:val="24"/>
                <w:szCs w:val="24"/>
                <w:highlight w:val="none"/>
                <w:vertAlign w:val="superscript"/>
              </w:rPr>
              <w:t>3</w:t>
            </w:r>
            <w:r>
              <w:rPr>
                <w:rFonts w:hint="eastAsia" w:ascii="Times New Roman" w:hAnsi="Times New Roman" w:eastAsia="宋体" w:cs="Times New Roman"/>
                <w:color w:val="auto"/>
                <w:sz w:val="24"/>
                <w:szCs w:val="24"/>
                <w:highlight w:val="none"/>
              </w:rPr>
              <w:t>/a。因此，项目冷却循环系统用水量约为</w:t>
            </w:r>
            <w:r>
              <w:rPr>
                <w:rFonts w:hint="eastAsia" w:cs="Times New Roman"/>
                <w:color w:val="auto"/>
                <w:sz w:val="24"/>
                <w:szCs w:val="24"/>
                <w:highlight w:val="none"/>
                <w:lang w:val="en-US" w:eastAsia="zh-CN"/>
              </w:rPr>
              <w:t>1824</w:t>
            </w:r>
            <w:r>
              <w:rPr>
                <w:rFonts w:hint="eastAsia" w:ascii="Times New Roman" w:hAnsi="Times New Roman" w:eastAsia="宋体" w:cs="Times New Roman"/>
                <w:color w:val="auto"/>
                <w:sz w:val="24"/>
                <w:szCs w:val="24"/>
                <w:highlight w:val="none"/>
              </w:rPr>
              <w:t>m</w:t>
            </w:r>
            <w:r>
              <w:rPr>
                <w:rFonts w:hint="eastAsia" w:ascii="Times New Roman" w:hAnsi="Times New Roman" w:eastAsia="宋体" w:cs="Times New Roman"/>
                <w:color w:val="auto"/>
                <w:sz w:val="24"/>
                <w:szCs w:val="24"/>
                <w:highlight w:val="none"/>
                <w:vertAlign w:val="superscript"/>
              </w:rPr>
              <w:t>3</w:t>
            </w:r>
            <w:r>
              <w:rPr>
                <w:rFonts w:hint="eastAsia" w:ascii="Times New Roman" w:hAnsi="Times New Roman" w:eastAsia="宋体" w:cs="Times New Roman"/>
                <w:color w:val="auto"/>
                <w:sz w:val="24"/>
                <w:szCs w:val="24"/>
                <w:highlight w:val="none"/>
              </w:rPr>
              <w:t>/a</w:t>
            </w:r>
            <w:r>
              <w:rPr>
                <w:rFonts w:hint="eastAsia" w:cs="Times New Roman"/>
                <w:color w:val="auto"/>
                <w:sz w:val="24"/>
                <w:szCs w:val="24"/>
                <w:highlight w:val="none"/>
                <w:lang w:eastAsia="zh-CN"/>
              </w:rPr>
              <w:t>。</w:t>
            </w:r>
          </w:p>
          <w:p w14:paraId="412396E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textAlignment w:val="auto"/>
              <w:rPr>
                <w:rFonts w:hint="default"/>
                <w:bCs/>
                <w:color w:val="auto"/>
                <w:sz w:val="24"/>
                <w:highlight w:val="none"/>
                <w:lang w:val="en-US" w:eastAsia="zh-CN"/>
              </w:rPr>
            </w:pPr>
            <w:r>
              <w:rPr>
                <w:rFonts w:hint="eastAsia"/>
                <w:bCs/>
                <w:color w:val="auto"/>
                <w:sz w:val="24"/>
                <w:highlight w:val="none"/>
                <w:lang w:val="en-US" w:eastAsia="zh-CN"/>
              </w:rPr>
              <w:t>②生活用水</w:t>
            </w:r>
          </w:p>
          <w:p w14:paraId="041159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eastAsia="宋体"/>
                <w:bCs/>
                <w:color w:val="auto"/>
                <w:sz w:val="24"/>
                <w:highlight w:val="none"/>
                <w:lang w:val="en-US" w:eastAsia="zh-CN"/>
              </w:rPr>
            </w:pPr>
            <w:r>
              <w:rPr>
                <w:rFonts w:hint="eastAsia"/>
                <w:bCs/>
                <w:color w:val="auto"/>
                <w:sz w:val="24"/>
                <w:highlight w:val="none"/>
                <w:lang w:val="en-US" w:eastAsia="zh-CN"/>
              </w:rPr>
              <w:t>项目劳动定员50人，厂区内不设食堂和职工宿舍。</w:t>
            </w:r>
            <w:r>
              <w:rPr>
                <w:rFonts w:hint="default" w:ascii="Times New Roman" w:hAnsi="Times New Roman" w:eastAsia="宋体" w:cs="Times New Roman"/>
                <w:color w:val="auto"/>
                <w:sz w:val="24"/>
                <w:szCs w:val="28"/>
                <w:highlight w:val="none"/>
              </w:rPr>
              <w:t>根据《安徽省行业用水定额》（</w:t>
            </w:r>
            <w:r>
              <w:rPr>
                <w:rFonts w:hint="eastAsia" w:cs="Times New Roman"/>
                <w:color w:val="auto"/>
                <w:sz w:val="24"/>
                <w:szCs w:val="28"/>
                <w:highlight w:val="none"/>
                <w:lang w:val="en-US" w:eastAsia="zh-CN"/>
              </w:rPr>
              <w:t>DB</w:t>
            </w:r>
            <w:r>
              <w:rPr>
                <w:rFonts w:hint="default" w:ascii="Times New Roman" w:hAnsi="Times New Roman" w:eastAsia="宋体" w:cs="Times New Roman"/>
                <w:color w:val="auto"/>
                <w:sz w:val="24"/>
                <w:szCs w:val="28"/>
                <w:highlight w:val="none"/>
              </w:rPr>
              <w:t>34/T679-</w:t>
            </w:r>
            <w:r>
              <w:rPr>
                <w:rFonts w:hint="eastAsia" w:ascii="Times New Roman" w:hAnsi="Times New Roman" w:eastAsia="宋体" w:cs="Times New Roman"/>
                <w:color w:val="auto"/>
                <w:sz w:val="24"/>
                <w:szCs w:val="28"/>
                <w:highlight w:val="none"/>
              </w:rPr>
              <w:t>2025</w:t>
            </w:r>
            <w:r>
              <w:rPr>
                <w:rFonts w:hint="default" w:ascii="Times New Roman" w:hAnsi="Times New Roman" w:eastAsia="宋体" w:cs="Times New Roman"/>
                <w:color w:val="auto"/>
                <w:sz w:val="24"/>
                <w:szCs w:val="28"/>
                <w:highlight w:val="none"/>
              </w:rPr>
              <w:t>），</w:t>
            </w:r>
            <w:r>
              <w:rPr>
                <w:rFonts w:hint="eastAsia" w:cs="Times New Roman"/>
                <w:color w:val="auto"/>
                <w:sz w:val="24"/>
                <w:szCs w:val="28"/>
                <w:highlight w:val="none"/>
                <w:lang w:val="en-US" w:eastAsia="zh-CN"/>
              </w:rPr>
              <w:t>办公</w:t>
            </w:r>
            <w:r>
              <w:rPr>
                <w:rFonts w:hint="eastAsia" w:ascii="Times New Roman" w:hAnsi="Times New Roman" w:eastAsia="宋体" w:cs="Times New Roman"/>
                <w:color w:val="auto"/>
                <w:sz w:val="24"/>
                <w:szCs w:val="28"/>
                <w:highlight w:val="none"/>
              </w:rPr>
              <w:t>生活</w:t>
            </w:r>
            <w:r>
              <w:rPr>
                <w:rFonts w:hint="default" w:ascii="Times New Roman" w:hAnsi="Times New Roman" w:eastAsia="宋体" w:cs="Times New Roman"/>
                <w:color w:val="auto"/>
                <w:sz w:val="24"/>
                <w:szCs w:val="28"/>
                <w:highlight w:val="none"/>
              </w:rPr>
              <w:t>用水量以</w:t>
            </w:r>
            <w:r>
              <w:rPr>
                <w:rFonts w:hint="eastAsia" w:ascii="Times New Roman" w:hAnsi="Times New Roman" w:eastAsia="宋体" w:cs="Times New Roman"/>
                <w:color w:val="auto"/>
                <w:sz w:val="24"/>
                <w:szCs w:val="28"/>
                <w:highlight w:val="none"/>
                <w:lang w:val="en-US" w:eastAsia="zh-CN"/>
              </w:rPr>
              <w:t>15</w:t>
            </w:r>
            <w:r>
              <w:rPr>
                <w:rFonts w:hint="default" w:ascii="Times New Roman" w:hAnsi="Times New Roman" w:eastAsia="宋体" w:cs="Times New Roman"/>
                <w:color w:val="auto"/>
                <w:sz w:val="24"/>
                <w:szCs w:val="28"/>
                <w:highlight w:val="none"/>
              </w:rPr>
              <w:t>m</w:t>
            </w:r>
            <w:r>
              <w:rPr>
                <w:rFonts w:hint="default" w:ascii="Times New Roman" w:hAnsi="Times New Roman" w:eastAsia="宋体" w:cs="Times New Roman"/>
                <w:color w:val="auto"/>
                <w:sz w:val="24"/>
                <w:szCs w:val="28"/>
                <w:highlight w:val="none"/>
                <w:vertAlign w:val="superscript"/>
              </w:rPr>
              <w:t>3</w:t>
            </w:r>
            <w:r>
              <w:rPr>
                <w:rFonts w:hint="default" w:ascii="Times New Roman" w:hAnsi="Times New Roman" w:eastAsia="宋体" w:cs="Times New Roman"/>
                <w:color w:val="auto"/>
                <w:sz w:val="24"/>
                <w:szCs w:val="28"/>
                <w:highlight w:val="none"/>
              </w:rPr>
              <w:t>/（人·</w:t>
            </w:r>
            <w:r>
              <w:rPr>
                <w:rFonts w:hint="eastAsia" w:ascii="Times New Roman" w:hAnsi="Times New Roman" w:eastAsia="宋体" w:cs="Times New Roman"/>
                <w:color w:val="auto"/>
                <w:sz w:val="24"/>
                <w:szCs w:val="28"/>
                <w:highlight w:val="none"/>
              </w:rPr>
              <w:t>a</w:t>
            </w:r>
            <w:r>
              <w:rPr>
                <w:rFonts w:hint="default" w:ascii="Times New Roman" w:hAnsi="Times New Roman" w:eastAsia="宋体" w:cs="Times New Roman"/>
                <w:color w:val="auto"/>
                <w:sz w:val="24"/>
                <w:szCs w:val="28"/>
                <w:highlight w:val="none"/>
              </w:rPr>
              <w:t>）计</w:t>
            </w:r>
            <w:r>
              <w:rPr>
                <w:rFonts w:hint="eastAsia" w:cs="Times New Roman"/>
                <w:color w:val="auto"/>
                <w:sz w:val="24"/>
                <w:szCs w:val="28"/>
                <w:highlight w:val="none"/>
                <w:lang w:eastAsia="zh-CN"/>
              </w:rPr>
              <w:t>，</w:t>
            </w:r>
            <w:r>
              <w:rPr>
                <w:rFonts w:hint="eastAsia" w:cs="Times New Roman"/>
                <w:color w:val="auto"/>
                <w:sz w:val="24"/>
                <w:szCs w:val="28"/>
                <w:highlight w:val="none"/>
                <w:lang w:val="en-US" w:eastAsia="zh-CN"/>
              </w:rPr>
              <w:t>用水量为750</w:t>
            </w:r>
            <w:r>
              <w:rPr>
                <w:rFonts w:hint="default" w:ascii="Times New Roman" w:hAnsi="Times New Roman" w:eastAsia="宋体" w:cs="Times New Roman"/>
                <w:color w:val="auto"/>
                <w:sz w:val="24"/>
                <w:szCs w:val="28"/>
                <w:highlight w:val="none"/>
              </w:rPr>
              <w:t>m</w:t>
            </w:r>
            <w:r>
              <w:rPr>
                <w:rFonts w:hint="default" w:ascii="Times New Roman" w:hAnsi="Times New Roman" w:eastAsia="宋体" w:cs="Times New Roman"/>
                <w:color w:val="auto"/>
                <w:sz w:val="24"/>
                <w:szCs w:val="28"/>
                <w:highlight w:val="none"/>
                <w:vertAlign w:val="superscript"/>
              </w:rPr>
              <w:t>3</w:t>
            </w:r>
            <w:r>
              <w:rPr>
                <w:rFonts w:hint="eastAsia" w:cs="Times New Roman"/>
                <w:color w:val="auto"/>
                <w:sz w:val="24"/>
                <w:szCs w:val="28"/>
                <w:highlight w:val="none"/>
                <w:vertAlign w:val="baseline"/>
                <w:lang w:val="en-US" w:eastAsia="zh-CN"/>
              </w:rPr>
              <w:t>/</w:t>
            </w:r>
            <w:r>
              <w:rPr>
                <w:rFonts w:hint="eastAsia" w:ascii="Times New Roman" w:hAnsi="Times New Roman" w:eastAsia="宋体" w:cs="Times New Roman"/>
                <w:color w:val="auto"/>
                <w:sz w:val="24"/>
                <w:szCs w:val="28"/>
                <w:highlight w:val="none"/>
              </w:rPr>
              <w:t>a</w:t>
            </w:r>
            <w:r>
              <w:rPr>
                <w:rFonts w:hint="eastAsia" w:cs="Times New Roman"/>
                <w:color w:val="auto"/>
                <w:sz w:val="24"/>
                <w:szCs w:val="28"/>
                <w:highlight w:val="none"/>
                <w:lang w:eastAsia="zh-CN"/>
              </w:rPr>
              <w:t>（</w:t>
            </w:r>
            <w:r>
              <w:rPr>
                <w:rFonts w:hint="eastAsia" w:cs="Times New Roman"/>
                <w:color w:val="auto"/>
                <w:sz w:val="24"/>
                <w:szCs w:val="28"/>
                <w:highlight w:val="none"/>
                <w:lang w:val="en-US" w:eastAsia="zh-CN"/>
              </w:rPr>
              <w:t>3</w:t>
            </w:r>
            <w:r>
              <w:rPr>
                <w:rFonts w:hint="default" w:ascii="Times New Roman" w:hAnsi="Times New Roman" w:eastAsia="宋体" w:cs="Times New Roman"/>
                <w:color w:val="auto"/>
                <w:sz w:val="24"/>
                <w:szCs w:val="28"/>
                <w:highlight w:val="none"/>
              </w:rPr>
              <w:t>m</w:t>
            </w:r>
            <w:r>
              <w:rPr>
                <w:rFonts w:hint="default" w:ascii="Times New Roman" w:hAnsi="Times New Roman" w:eastAsia="宋体" w:cs="Times New Roman"/>
                <w:color w:val="auto"/>
                <w:sz w:val="24"/>
                <w:szCs w:val="28"/>
                <w:highlight w:val="none"/>
                <w:vertAlign w:val="superscript"/>
              </w:rPr>
              <w:t>3</w:t>
            </w:r>
            <w:r>
              <w:rPr>
                <w:rFonts w:hint="eastAsia" w:cs="Times New Roman"/>
                <w:color w:val="auto"/>
                <w:sz w:val="24"/>
                <w:szCs w:val="28"/>
                <w:highlight w:val="none"/>
                <w:vertAlign w:val="baseline"/>
                <w:lang w:val="en-US" w:eastAsia="zh-CN"/>
              </w:rPr>
              <w:t>/d</w:t>
            </w:r>
            <w:r>
              <w:rPr>
                <w:rFonts w:hint="eastAsia" w:cs="Times New Roman"/>
                <w:color w:val="auto"/>
                <w:sz w:val="24"/>
                <w:szCs w:val="28"/>
                <w:highlight w:val="none"/>
                <w:lang w:eastAsia="zh-CN"/>
              </w:rPr>
              <w:t>）。</w:t>
            </w:r>
          </w:p>
          <w:p w14:paraId="03005A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bCs/>
                <w:color w:val="auto"/>
                <w:sz w:val="24"/>
                <w:highlight w:val="none"/>
                <w:lang w:val="en-US" w:eastAsia="zh-CN"/>
              </w:rPr>
            </w:pPr>
            <w:r>
              <w:rPr>
                <w:rFonts w:hint="eastAsia"/>
                <w:bCs/>
                <w:color w:val="auto"/>
                <w:sz w:val="24"/>
                <w:highlight w:val="none"/>
              </w:rPr>
              <w:t>厂区实行雨污分流制度，雨水通过雨水管网收集，经雨水总排口汇入园区雨水管网</w:t>
            </w:r>
            <w:r>
              <w:rPr>
                <w:rFonts w:hint="eastAsia"/>
                <w:bCs/>
                <w:color w:val="auto"/>
                <w:sz w:val="24"/>
                <w:highlight w:val="none"/>
                <w:lang w:eastAsia="zh-CN"/>
              </w:rPr>
              <w:t>。</w:t>
            </w:r>
            <w:r>
              <w:rPr>
                <w:rFonts w:hint="eastAsia"/>
                <w:bCs/>
                <w:color w:val="auto"/>
                <w:sz w:val="24"/>
                <w:highlight w:val="none"/>
                <w:lang w:val="en-US" w:eastAsia="zh-CN"/>
              </w:rPr>
              <w:t>项目废水主要为循环冷却系统排水及生活污水，生活污水经化粪池预处理，废水处理达到《污水综合排放标准》（GB8978-1996）及凤台县污水处理厂接管限值后由废水总排口一并接至凤台县污水处理厂深度处理。</w:t>
            </w:r>
          </w:p>
          <w:p w14:paraId="4C1A26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bCs/>
                <w:color w:val="auto"/>
                <w:sz w:val="24"/>
                <w:highlight w:val="none"/>
              </w:rPr>
            </w:pPr>
            <w:r>
              <w:rPr>
                <w:rFonts w:hint="default"/>
                <w:color w:val="auto"/>
                <w:sz w:val="21"/>
                <w:highlight w:val="none"/>
              </w:rPr>
              <mc:AlternateContent>
                <mc:Choice Requires="wpc">
                  <w:drawing>
                    <wp:anchor distT="0" distB="0" distL="114300" distR="114300" simplePos="0" relativeHeight="251666432" behindDoc="0" locked="0" layoutInCell="1" allowOverlap="1">
                      <wp:simplePos x="0" y="0"/>
                      <wp:positionH relativeFrom="column">
                        <wp:posOffset>-31750</wp:posOffset>
                      </wp:positionH>
                      <wp:positionV relativeFrom="paragraph">
                        <wp:posOffset>173355</wp:posOffset>
                      </wp:positionV>
                      <wp:extent cx="5172710" cy="2880995"/>
                      <wp:effectExtent l="0" t="0" r="0" b="0"/>
                      <wp:wrapNone/>
                      <wp:docPr id="481" name="画布 45"/>
                      <wp:cNvGraphicFramePr/>
                      <a:graphic xmlns:a="http://schemas.openxmlformats.org/drawingml/2006/main">
                        <a:graphicData uri="http://schemas.microsoft.com/office/word/2010/wordprocessingCanvas">
                          <wpc:wpc>
                            <wpc:bg>
                              <a:noFill/>
                            </wpc:bg>
                            <wpc:whole>
                              <a:ln>
                                <a:noFill/>
                              </a:ln>
                            </wpc:whole>
                            <wps:wsp>
                              <wps:cNvPr id="1" name="Text Box 10596"/>
                              <wps:cNvSpPr txBox="1"/>
                              <wps:spPr>
                                <a:xfrm>
                                  <a:off x="276225" y="554990"/>
                                  <a:ext cx="914400" cy="304800"/>
                                </a:xfrm>
                                <a:prstGeom prst="rect">
                                  <a:avLst/>
                                </a:prstGeom>
                                <a:noFill/>
                                <a:ln>
                                  <a:noFill/>
                                </a:ln>
                              </wps:spPr>
                              <wps:txbx>
                                <w:txbxContent>
                                  <w:p w14:paraId="25ECBF43">
                                    <w:pPr>
                                      <w:jc w:val="center"/>
                                      <w:rPr>
                                        <w:rFonts w:hint="default" w:eastAsia="黑体"/>
                                        <w:sz w:val="18"/>
                                        <w:szCs w:val="18"/>
                                        <w:lang w:val="en-US" w:eastAsia="zh-CN"/>
                                      </w:rPr>
                                    </w:pPr>
                                    <w:r>
                                      <w:rPr>
                                        <w:rFonts w:hAnsi="黑体" w:eastAsia="黑体"/>
                                        <w:sz w:val="18"/>
                                        <w:szCs w:val="18"/>
                                      </w:rPr>
                                      <w:t>新鲜水</w:t>
                                    </w:r>
                                    <w:r>
                                      <w:rPr>
                                        <w:rFonts w:hint="eastAsia" w:hAnsi="黑体" w:eastAsia="黑体"/>
                                        <w:sz w:val="18"/>
                                        <w:szCs w:val="18"/>
                                        <w:lang w:eastAsia="zh-CN"/>
                                      </w:rPr>
                                      <w:t>：</w:t>
                                    </w:r>
                                    <w:r>
                                      <w:rPr>
                                        <w:rFonts w:hint="eastAsia" w:hAnsi="黑体" w:eastAsia="黑体"/>
                                        <w:sz w:val="18"/>
                                        <w:szCs w:val="18"/>
                                        <w:lang w:val="en-US" w:eastAsia="zh-CN"/>
                                      </w:rPr>
                                      <w:t>10.296</w:t>
                                    </w:r>
                                  </w:p>
                                </w:txbxContent>
                              </wps:txbx>
                              <wps:bodyPr upright="1"/>
                            </wps:wsp>
                            <wps:wsp>
                              <wps:cNvPr id="490" name="文本框 135"/>
                              <wps:cNvSpPr txBox="1"/>
                              <wps:spPr>
                                <a:xfrm>
                                  <a:off x="3108960" y="2105025"/>
                                  <a:ext cx="558800" cy="309880"/>
                                </a:xfrm>
                                <a:prstGeom prst="rect">
                                  <a:avLst/>
                                </a:prstGeom>
                                <a:solidFill>
                                  <a:srgbClr val="FFFFFF"/>
                                </a:solidFill>
                                <a:ln w="9525" cap="flat" cmpd="sng">
                                  <a:solidFill>
                                    <a:srgbClr val="000000"/>
                                  </a:solidFill>
                                  <a:prstDash val="solid"/>
                                  <a:miter/>
                                  <a:headEnd type="none" w="med" len="med"/>
                                  <a:tailEnd type="none" w="sm" len="lg"/>
                                </a:ln>
                              </wps:spPr>
                              <wps:txbx>
                                <w:txbxContent>
                                  <w:p w14:paraId="1B44717F">
                                    <w:pPr>
                                      <w:jc w:val="center"/>
                                      <w:rPr>
                                        <w:rFonts w:hint="default" w:ascii="黑体" w:hAnsi="黑体" w:eastAsia="黑体"/>
                                        <w:sz w:val="18"/>
                                        <w:szCs w:val="18"/>
                                        <w:lang w:val="en-US" w:eastAsia="zh-CN"/>
                                      </w:rPr>
                                    </w:pPr>
                                    <w:r>
                                      <w:rPr>
                                        <w:rFonts w:hint="eastAsia" w:ascii="黑体" w:hAnsi="黑体" w:eastAsia="黑体"/>
                                        <w:sz w:val="18"/>
                                        <w:szCs w:val="18"/>
                                        <w:lang w:val="en-US" w:eastAsia="zh-CN"/>
                                      </w:rPr>
                                      <w:t>化粪池</w:t>
                                    </w:r>
                                  </w:p>
                                </w:txbxContent>
                              </wps:txbx>
                              <wps:bodyPr upright="1"/>
                            </wps:wsp>
                            <wps:wsp>
                              <wps:cNvPr id="596" name="Text Box 10596"/>
                              <wps:cNvSpPr txBox="1"/>
                              <wps:spPr>
                                <a:xfrm>
                                  <a:off x="773430" y="1005840"/>
                                  <a:ext cx="482600" cy="292100"/>
                                </a:xfrm>
                                <a:prstGeom prst="rect">
                                  <a:avLst/>
                                </a:prstGeom>
                                <a:noFill/>
                                <a:ln>
                                  <a:noFill/>
                                </a:ln>
                              </wps:spPr>
                              <wps:txbx>
                                <w:txbxContent>
                                  <w:p w14:paraId="6D816011">
                                    <w:pPr>
                                      <w:jc w:val="center"/>
                                      <w:rPr>
                                        <w:rFonts w:hint="default" w:eastAsia="黑体"/>
                                        <w:sz w:val="18"/>
                                        <w:szCs w:val="18"/>
                                        <w:lang w:val="en-US" w:eastAsia="zh-CN"/>
                                      </w:rPr>
                                    </w:pPr>
                                    <w:r>
                                      <w:rPr>
                                        <w:rFonts w:hint="eastAsia" w:eastAsia="黑体"/>
                                        <w:sz w:val="18"/>
                                        <w:szCs w:val="18"/>
                                        <w:lang w:val="en-US" w:eastAsia="zh-CN"/>
                                      </w:rPr>
                                      <w:t>7.296</w:t>
                                    </w:r>
                                  </w:p>
                                </w:txbxContent>
                              </wps:txbx>
                              <wps:bodyPr upright="1"/>
                            </wps:wsp>
                            <wps:wsp>
                              <wps:cNvPr id="599" name="任意多边形 177"/>
                              <wps:cNvSpPr/>
                              <wps:spPr>
                                <a:xfrm>
                                  <a:off x="2470150" y="1906270"/>
                                  <a:ext cx="228600" cy="190500"/>
                                </a:xfrm>
                                <a:custGeom>
                                  <a:avLst/>
                                  <a:gdLst/>
                                  <a:ahLst/>
                                  <a:cxnLst/>
                                  <a:pathLst>
                                    <a:path w="548" h="388">
                                      <a:moveTo>
                                        <a:pt x="0" y="388"/>
                                      </a:moveTo>
                                      <a:cubicBezTo>
                                        <a:pt x="94" y="267"/>
                                        <a:pt x="189" y="146"/>
                                        <a:pt x="238" y="130"/>
                                      </a:cubicBezTo>
                                      <a:cubicBezTo>
                                        <a:pt x="287" y="114"/>
                                        <a:pt x="242" y="314"/>
                                        <a:pt x="294" y="292"/>
                                      </a:cubicBezTo>
                                      <a:cubicBezTo>
                                        <a:pt x="346" y="270"/>
                                        <a:pt x="447" y="135"/>
                                        <a:pt x="548" y="0"/>
                                      </a:cubicBezTo>
                                    </a:path>
                                  </a:pathLst>
                                </a:custGeom>
                                <a:noFill/>
                                <a:ln w="9525" cap="flat" cmpd="sng">
                                  <a:solidFill>
                                    <a:srgbClr val="000000"/>
                                  </a:solidFill>
                                  <a:prstDash val="dash"/>
                                  <a:headEnd type="none" w="med" len="med"/>
                                  <a:tailEnd type="triangle" w="sm" len="med"/>
                                </a:ln>
                              </wps:spPr>
                              <wps:bodyPr upright="1"/>
                            </wps:wsp>
                            <wps:wsp>
                              <wps:cNvPr id="600" name="Text Box 10596"/>
                              <wps:cNvSpPr txBox="1"/>
                              <wps:spPr>
                                <a:xfrm>
                                  <a:off x="2593340" y="1721485"/>
                                  <a:ext cx="498475" cy="300990"/>
                                </a:xfrm>
                                <a:prstGeom prst="rect">
                                  <a:avLst/>
                                </a:prstGeom>
                                <a:noFill/>
                                <a:ln>
                                  <a:noFill/>
                                </a:ln>
                              </wps:spPr>
                              <wps:txbx>
                                <w:txbxContent>
                                  <w:p w14:paraId="4D1AAE55">
                                    <w:pPr>
                                      <w:jc w:val="center"/>
                                      <w:rPr>
                                        <w:rFonts w:hint="default" w:eastAsia="黑体"/>
                                        <w:sz w:val="18"/>
                                        <w:szCs w:val="18"/>
                                        <w:lang w:val="en-US" w:eastAsia="zh-CN"/>
                                      </w:rPr>
                                    </w:pPr>
                                    <w:r>
                                      <w:rPr>
                                        <w:rFonts w:hint="eastAsia" w:eastAsia="黑体"/>
                                        <w:sz w:val="18"/>
                                        <w:szCs w:val="18"/>
                                        <w:lang w:val="en-US" w:eastAsia="zh-CN"/>
                                      </w:rPr>
                                      <w:t>0.45</w:t>
                                    </w:r>
                                  </w:p>
                                </w:txbxContent>
                              </wps:txbx>
                              <wps:bodyPr upright="1"/>
                            </wps:wsp>
                            <wps:wsp>
                              <wps:cNvPr id="602" name="Text Box 10596"/>
                              <wps:cNvSpPr txBox="1"/>
                              <wps:spPr>
                                <a:xfrm>
                                  <a:off x="4333875" y="931545"/>
                                  <a:ext cx="648970" cy="1719580"/>
                                </a:xfrm>
                                <a:prstGeom prst="rect">
                                  <a:avLst/>
                                </a:prstGeom>
                                <a:noFill/>
                                <a:ln w="9525" cmpd="sng">
                                  <a:solidFill>
                                    <a:schemeClr val="tx1"/>
                                  </a:solidFill>
                                  <a:prstDash val="solid"/>
                                </a:ln>
                              </wps:spPr>
                              <wps:txbx>
                                <w:txbxContent>
                                  <w:p w14:paraId="2A6287B5">
                                    <w:pPr>
                                      <w:jc w:val="center"/>
                                      <w:rPr>
                                        <w:rFonts w:hint="eastAsia" w:eastAsia="黑体"/>
                                        <w:sz w:val="18"/>
                                        <w:szCs w:val="18"/>
                                        <w:lang w:val="en-US" w:eastAsia="zh-CN"/>
                                      </w:rPr>
                                    </w:pPr>
                                  </w:p>
                                  <w:p w14:paraId="1576FCDD">
                                    <w:pPr>
                                      <w:jc w:val="center"/>
                                      <w:rPr>
                                        <w:rFonts w:hint="eastAsia" w:eastAsia="黑体"/>
                                        <w:sz w:val="18"/>
                                        <w:szCs w:val="18"/>
                                        <w:lang w:val="en-US" w:eastAsia="zh-CN"/>
                                      </w:rPr>
                                    </w:pPr>
                                  </w:p>
                                  <w:p w14:paraId="560C3502">
                                    <w:pPr>
                                      <w:jc w:val="center"/>
                                      <w:rPr>
                                        <w:rFonts w:hint="eastAsia" w:eastAsia="黑体"/>
                                        <w:sz w:val="18"/>
                                        <w:szCs w:val="18"/>
                                        <w:lang w:val="en-US" w:eastAsia="zh-CN"/>
                                      </w:rPr>
                                    </w:pPr>
                                  </w:p>
                                  <w:p w14:paraId="7BA1C4F4">
                                    <w:pPr>
                                      <w:jc w:val="center"/>
                                      <w:rPr>
                                        <w:rFonts w:hint="default" w:eastAsia="黑体"/>
                                        <w:sz w:val="18"/>
                                        <w:szCs w:val="18"/>
                                        <w:lang w:val="en-US" w:eastAsia="zh-CN"/>
                                      </w:rPr>
                                    </w:pPr>
                                    <w:r>
                                      <w:rPr>
                                        <w:rFonts w:hint="eastAsia" w:eastAsia="黑体"/>
                                        <w:sz w:val="18"/>
                                        <w:szCs w:val="18"/>
                                        <w:lang w:val="en-US" w:eastAsia="zh-CN"/>
                                      </w:rPr>
                                      <w:t>凤台县污水处理厂</w:t>
                                    </w:r>
                                  </w:p>
                                </w:txbxContent>
                              </wps:txbx>
                              <wps:bodyPr upright="1"/>
                            </wps:wsp>
                            <wps:wsp>
                              <wps:cNvPr id="605" name="Text Box 10596"/>
                              <wps:cNvSpPr txBox="1"/>
                              <wps:spPr>
                                <a:xfrm>
                                  <a:off x="3024505" y="1019810"/>
                                  <a:ext cx="1080770" cy="272415"/>
                                </a:xfrm>
                                <a:prstGeom prst="rect">
                                  <a:avLst/>
                                </a:prstGeom>
                                <a:noFill/>
                                <a:ln>
                                  <a:noFill/>
                                </a:ln>
                              </wps:spPr>
                              <wps:txbx>
                                <w:txbxContent>
                                  <w:p w14:paraId="27DD3806">
                                    <w:pPr>
                                      <w:pStyle w:val="11"/>
                                      <w:jc w:val="center"/>
                                      <w:rPr>
                                        <w:rFonts w:hint="default"/>
                                        <w:lang w:val="en-US" w:eastAsia="zh-CN"/>
                                      </w:rPr>
                                    </w:pPr>
                                    <w:r>
                                      <w:rPr>
                                        <w:rFonts w:hint="eastAsia" w:eastAsia="黑体"/>
                                        <w:sz w:val="18"/>
                                        <w:szCs w:val="18"/>
                                        <w:lang w:val="en-US" w:eastAsia="zh-CN"/>
                                      </w:rPr>
                                      <w:t>最大一次量：2.0m</w:t>
                                    </w:r>
                                    <w:r>
                                      <w:rPr>
                                        <w:rFonts w:hint="eastAsia" w:eastAsia="黑体"/>
                                        <w:sz w:val="18"/>
                                        <w:szCs w:val="18"/>
                                        <w:vertAlign w:val="superscript"/>
                                        <w:lang w:val="en-US" w:eastAsia="zh-CN"/>
                                      </w:rPr>
                                      <w:t>3</w:t>
                                    </w:r>
                                  </w:p>
                                </w:txbxContent>
                              </wps:txbx>
                              <wps:bodyPr upright="1"/>
                            </wps:wsp>
                            <wps:wsp>
                              <wps:cNvPr id="616" name="直线 261"/>
                              <wps:cNvCnPr/>
                              <wps:spPr>
                                <a:xfrm>
                                  <a:off x="728980" y="916305"/>
                                  <a:ext cx="0" cy="1333500"/>
                                </a:xfrm>
                                <a:prstGeom prst="line">
                                  <a:avLst/>
                                </a:prstGeom>
                                <a:ln w="9525" cap="flat" cmpd="sng">
                                  <a:solidFill>
                                    <a:srgbClr val="000000"/>
                                  </a:solidFill>
                                  <a:prstDash val="solid"/>
                                  <a:headEnd type="none" w="med" len="med"/>
                                  <a:tailEnd type="none" w="sm" len="lg"/>
                                </a:ln>
                              </wps:spPr>
                              <wps:bodyPr upright="1"/>
                            </wps:wsp>
                            <wps:wsp>
                              <wps:cNvPr id="30" name="文本框 139"/>
                              <wps:cNvSpPr txBox="1"/>
                              <wps:spPr>
                                <a:xfrm>
                                  <a:off x="1284605" y="1122680"/>
                                  <a:ext cx="1249045" cy="335280"/>
                                </a:xfrm>
                                <a:prstGeom prst="rect">
                                  <a:avLst/>
                                </a:prstGeom>
                                <a:solidFill>
                                  <a:srgbClr val="FFFFFF"/>
                                </a:solidFill>
                                <a:ln w="9525" cap="flat" cmpd="sng">
                                  <a:solidFill>
                                    <a:srgbClr val="000000"/>
                                  </a:solidFill>
                                  <a:prstDash val="solid"/>
                                  <a:miter/>
                                  <a:headEnd type="none" w="med" len="med"/>
                                  <a:tailEnd type="none" w="sm" len="lg"/>
                                </a:ln>
                              </wps:spPr>
                              <wps:txbx>
                                <w:txbxContent>
                                  <w:p w14:paraId="37B0F800">
                                    <w:pPr>
                                      <w:jc w:val="center"/>
                                      <w:rPr>
                                        <w:rFonts w:hint="default" w:ascii="黑体" w:hAnsi="黑体" w:eastAsia="黑体"/>
                                        <w:color w:val="auto"/>
                                        <w:sz w:val="18"/>
                                        <w:szCs w:val="18"/>
                                        <w:lang w:val="en-US" w:eastAsia="zh-CN"/>
                                      </w:rPr>
                                    </w:pPr>
                                    <w:r>
                                      <w:rPr>
                                        <w:rFonts w:hint="eastAsia" w:ascii="黑体" w:hAnsi="黑体" w:eastAsia="黑体"/>
                                        <w:color w:val="auto"/>
                                        <w:sz w:val="18"/>
                                        <w:szCs w:val="18"/>
                                        <w:lang w:val="en-US" w:eastAsia="zh-CN"/>
                                      </w:rPr>
                                      <w:t>循环冷却系统</w:t>
                                    </w:r>
                                  </w:p>
                                </w:txbxContent>
                              </wps:txbx>
                              <wps:bodyPr upright="1"/>
                            </wps:wsp>
                            <wps:wsp>
                              <wps:cNvPr id="33" name="自选图形 141"/>
                              <wps:cNvCnPr/>
                              <wps:spPr>
                                <a:xfrm flipV="1">
                                  <a:off x="751205" y="1294130"/>
                                  <a:ext cx="544195" cy="635"/>
                                </a:xfrm>
                                <a:prstGeom prst="straightConnector1">
                                  <a:avLst/>
                                </a:prstGeom>
                                <a:ln w="9525" cap="flat" cmpd="sng">
                                  <a:solidFill>
                                    <a:srgbClr val="000000"/>
                                  </a:solidFill>
                                  <a:prstDash val="solid"/>
                                  <a:headEnd type="none" w="med" len="med"/>
                                  <a:tailEnd type="triangle" w="sm" len="med"/>
                                </a:ln>
                              </wps:spPr>
                              <wps:bodyPr/>
                            </wps:wsp>
                            <wps:wsp>
                              <wps:cNvPr id="34" name="自选图形 189"/>
                              <wps:cNvCnPr/>
                              <wps:spPr>
                                <a:xfrm flipV="1">
                                  <a:off x="2541905" y="1294130"/>
                                  <a:ext cx="1807210" cy="3810"/>
                                </a:xfrm>
                                <a:prstGeom prst="straightConnector1">
                                  <a:avLst/>
                                </a:prstGeom>
                                <a:ln w="9525" cap="flat" cmpd="sng">
                                  <a:solidFill>
                                    <a:srgbClr val="000000"/>
                                  </a:solidFill>
                                  <a:prstDash val="solid"/>
                                  <a:headEnd type="none" w="med" len="med"/>
                                  <a:tailEnd type="triangle" w="sm" len="med"/>
                                </a:ln>
                              </wps:spPr>
                              <wps:bodyPr/>
                            </wps:wsp>
                            <wps:wsp>
                              <wps:cNvPr id="37" name="文本框 139"/>
                              <wps:cNvSpPr txBox="1"/>
                              <wps:spPr>
                                <a:xfrm>
                                  <a:off x="1265555" y="2094230"/>
                                  <a:ext cx="1249045" cy="316230"/>
                                </a:xfrm>
                                <a:prstGeom prst="rect">
                                  <a:avLst/>
                                </a:prstGeom>
                                <a:solidFill>
                                  <a:srgbClr val="FFFFFF"/>
                                </a:solidFill>
                                <a:ln w="9525" cap="flat" cmpd="sng">
                                  <a:solidFill>
                                    <a:srgbClr val="000000"/>
                                  </a:solidFill>
                                  <a:prstDash val="solid"/>
                                  <a:miter/>
                                  <a:headEnd type="none" w="med" len="med"/>
                                  <a:tailEnd type="none" w="sm" len="lg"/>
                                </a:ln>
                              </wps:spPr>
                              <wps:txbx>
                                <w:txbxContent>
                                  <w:p w14:paraId="53F4DFE3">
                                    <w:pPr>
                                      <w:jc w:val="center"/>
                                      <w:rPr>
                                        <w:rFonts w:hint="default" w:ascii="黑体" w:hAnsi="黑体" w:eastAsia="黑体"/>
                                        <w:color w:val="auto"/>
                                        <w:sz w:val="18"/>
                                        <w:szCs w:val="18"/>
                                        <w:lang w:val="en-US" w:eastAsia="zh-CN"/>
                                      </w:rPr>
                                    </w:pPr>
                                    <w:r>
                                      <w:rPr>
                                        <w:rFonts w:hint="eastAsia" w:ascii="黑体" w:hAnsi="黑体" w:eastAsia="黑体"/>
                                        <w:color w:val="auto"/>
                                        <w:sz w:val="18"/>
                                        <w:szCs w:val="18"/>
                                        <w:lang w:val="en-US" w:eastAsia="zh-CN"/>
                                      </w:rPr>
                                      <w:t>生活用水</w:t>
                                    </w:r>
                                  </w:p>
                                </w:txbxContent>
                              </wps:txbx>
                              <wps:bodyPr upright="1"/>
                            </wps:wsp>
                            <wps:wsp>
                              <wps:cNvPr id="39" name="自选图形 142"/>
                              <wps:cNvCnPr/>
                              <wps:spPr>
                                <a:xfrm>
                                  <a:off x="741680" y="2265680"/>
                                  <a:ext cx="525780" cy="4445"/>
                                </a:xfrm>
                                <a:prstGeom prst="straightConnector1">
                                  <a:avLst/>
                                </a:prstGeom>
                                <a:ln w="9525" cap="flat" cmpd="sng">
                                  <a:solidFill>
                                    <a:srgbClr val="000000"/>
                                  </a:solidFill>
                                  <a:prstDash val="solid"/>
                                  <a:headEnd type="none" w="med" len="med"/>
                                  <a:tailEnd type="triangle" w="sm" len="med"/>
                                </a:ln>
                              </wps:spPr>
                              <wps:bodyPr/>
                            </wps:wsp>
                            <wps:wsp>
                              <wps:cNvPr id="55" name="自选图形 143"/>
                              <wps:cNvCnPr/>
                              <wps:spPr>
                                <a:xfrm>
                                  <a:off x="2513330" y="2275205"/>
                                  <a:ext cx="594995" cy="635"/>
                                </a:xfrm>
                                <a:prstGeom prst="straightConnector1">
                                  <a:avLst/>
                                </a:prstGeom>
                                <a:ln w="9525" cap="flat" cmpd="sng">
                                  <a:solidFill>
                                    <a:srgbClr val="000000"/>
                                  </a:solidFill>
                                  <a:prstDash val="solid"/>
                                  <a:headEnd type="none" w="med" len="med"/>
                                  <a:tailEnd type="triangle" w="sm" len="med"/>
                                </a:ln>
                              </wps:spPr>
                              <wps:bodyPr/>
                            </wps:wsp>
                            <wps:wsp>
                              <wps:cNvPr id="57" name="Text Box 10596"/>
                              <wps:cNvSpPr txBox="1"/>
                              <wps:spPr>
                                <a:xfrm>
                                  <a:off x="2564130" y="2016760"/>
                                  <a:ext cx="482600" cy="273685"/>
                                </a:xfrm>
                                <a:prstGeom prst="rect">
                                  <a:avLst/>
                                </a:prstGeom>
                                <a:noFill/>
                                <a:ln>
                                  <a:noFill/>
                                </a:ln>
                              </wps:spPr>
                              <wps:txbx>
                                <w:txbxContent>
                                  <w:p w14:paraId="6A285CE9">
                                    <w:pPr>
                                      <w:jc w:val="center"/>
                                      <w:rPr>
                                        <w:rFonts w:hint="default" w:eastAsia="黑体"/>
                                        <w:sz w:val="18"/>
                                        <w:szCs w:val="18"/>
                                        <w:lang w:val="en-US" w:eastAsia="zh-CN"/>
                                      </w:rPr>
                                    </w:pPr>
                                    <w:r>
                                      <w:rPr>
                                        <w:rFonts w:hint="eastAsia" w:eastAsia="黑体"/>
                                        <w:sz w:val="18"/>
                                        <w:szCs w:val="18"/>
                                        <w:lang w:val="en-US" w:eastAsia="zh-CN"/>
                                      </w:rPr>
                                      <w:t>2.55</w:t>
                                    </w:r>
                                  </w:p>
                                </w:txbxContent>
                              </wps:txbx>
                              <wps:bodyPr upright="1"/>
                            </wps:wsp>
                            <wps:wsp>
                              <wps:cNvPr id="62" name="Text Box 10596"/>
                              <wps:cNvSpPr txBox="1"/>
                              <wps:spPr>
                                <a:xfrm>
                                  <a:off x="753745" y="1990725"/>
                                  <a:ext cx="482600" cy="255270"/>
                                </a:xfrm>
                                <a:prstGeom prst="rect">
                                  <a:avLst/>
                                </a:prstGeom>
                                <a:noFill/>
                                <a:ln>
                                  <a:noFill/>
                                </a:ln>
                              </wps:spPr>
                              <wps:txbx>
                                <w:txbxContent>
                                  <w:p w14:paraId="3DE6CF24">
                                    <w:pPr>
                                      <w:jc w:val="center"/>
                                      <w:rPr>
                                        <w:rFonts w:hint="default" w:eastAsia="黑体"/>
                                        <w:sz w:val="18"/>
                                        <w:szCs w:val="18"/>
                                        <w:lang w:val="en-US" w:eastAsia="zh-CN"/>
                                      </w:rPr>
                                    </w:pPr>
                                    <w:r>
                                      <w:rPr>
                                        <w:rFonts w:hint="eastAsia" w:eastAsia="黑体"/>
                                        <w:sz w:val="18"/>
                                        <w:szCs w:val="18"/>
                                        <w:lang w:val="en-US" w:eastAsia="zh-CN"/>
                                      </w:rPr>
                                      <w:t>3.0</w:t>
                                    </w:r>
                                  </w:p>
                                </w:txbxContent>
                              </wps:txbx>
                              <wps:bodyPr upright="1"/>
                            </wps:wsp>
                            <wps:wsp>
                              <wps:cNvPr id="198" name="自选图形 143"/>
                              <wps:cNvCnPr/>
                              <wps:spPr>
                                <a:xfrm flipV="1">
                                  <a:off x="3674110" y="2268220"/>
                                  <a:ext cx="638175" cy="5080"/>
                                </a:xfrm>
                                <a:prstGeom prst="straightConnector1">
                                  <a:avLst/>
                                </a:prstGeom>
                                <a:ln w="9525" cap="flat" cmpd="sng">
                                  <a:solidFill>
                                    <a:srgbClr val="000000"/>
                                  </a:solidFill>
                                  <a:prstDash val="solid"/>
                                  <a:headEnd type="none" w="med" len="med"/>
                                  <a:tailEnd type="triangle" w="sm" len="med"/>
                                </a:ln>
                              </wps:spPr>
                              <wps:bodyPr/>
                            </wps:wsp>
                            <wps:wsp>
                              <wps:cNvPr id="201" name="Text Box 10596"/>
                              <wps:cNvSpPr txBox="1"/>
                              <wps:spPr>
                                <a:xfrm>
                                  <a:off x="3728085" y="2010410"/>
                                  <a:ext cx="482600" cy="273685"/>
                                </a:xfrm>
                                <a:prstGeom prst="rect">
                                  <a:avLst/>
                                </a:prstGeom>
                                <a:noFill/>
                                <a:ln>
                                  <a:noFill/>
                                </a:ln>
                              </wps:spPr>
                              <wps:txbx>
                                <w:txbxContent>
                                  <w:p w14:paraId="23D63006">
                                    <w:pPr>
                                      <w:jc w:val="center"/>
                                      <w:rPr>
                                        <w:rFonts w:hint="default" w:eastAsia="黑体"/>
                                        <w:sz w:val="18"/>
                                        <w:szCs w:val="18"/>
                                        <w:lang w:val="en-US" w:eastAsia="zh-CN"/>
                                      </w:rPr>
                                    </w:pPr>
                                    <w:r>
                                      <w:rPr>
                                        <w:rFonts w:hint="eastAsia" w:eastAsia="黑体"/>
                                        <w:sz w:val="18"/>
                                        <w:szCs w:val="18"/>
                                        <w:lang w:val="en-US" w:eastAsia="zh-CN"/>
                                      </w:rPr>
                                      <w:t>2.55</w:t>
                                    </w:r>
                                  </w:p>
                                </w:txbxContent>
                              </wps:txbx>
                              <wps:bodyPr upright="1"/>
                            </wps:wsp>
                            <wps:wsp>
                              <wps:cNvPr id="202" name="任意多边形 181"/>
                              <wps:cNvSpPr/>
                              <wps:spPr>
                                <a:xfrm>
                                  <a:off x="2421255" y="935990"/>
                                  <a:ext cx="228600" cy="190500"/>
                                </a:xfrm>
                                <a:custGeom>
                                  <a:avLst/>
                                  <a:gdLst/>
                                  <a:ahLst/>
                                  <a:cxnLst/>
                                  <a:pathLst>
                                    <a:path w="548" h="388">
                                      <a:moveTo>
                                        <a:pt x="0" y="388"/>
                                      </a:moveTo>
                                      <a:cubicBezTo>
                                        <a:pt x="94" y="267"/>
                                        <a:pt x="189" y="146"/>
                                        <a:pt x="238" y="130"/>
                                      </a:cubicBezTo>
                                      <a:cubicBezTo>
                                        <a:pt x="287" y="114"/>
                                        <a:pt x="242" y="314"/>
                                        <a:pt x="294" y="292"/>
                                      </a:cubicBezTo>
                                      <a:cubicBezTo>
                                        <a:pt x="346" y="270"/>
                                        <a:pt x="447" y="135"/>
                                        <a:pt x="548" y="0"/>
                                      </a:cubicBezTo>
                                    </a:path>
                                  </a:pathLst>
                                </a:custGeom>
                                <a:noFill/>
                                <a:ln w="9525" cap="flat" cmpd="sng">
                                  <a:solidFill>
                                    <a:srgbClr val="000000"/>
                                  </a:solidFill>
                                  <a:prstDash val="dash"/>
                                  <a:headEnd type="none" w="med" len="med"/>
                                  <a:tailEnd type="triangle" w="sm" len="med"/>
                                </a:ln>
                              </wps:spPr>
                              <wps:bodyPr upright="1"/>
                            </wps:wsp>
                            <wps:wsp>
                              <wps:cNvPr id="203" name="Text Box 10596"/>
                              <wps:cNvSpPr txBox="1"/>
                              <wps:spPr>
                                <a:xfrm>
                                  <a:off x="2581275" y="786765"/>
                                  <a:ext cx="469900" cy="292100"/>
                                </a:xfrm>
                                <a:prstGeom prst="rect">
                                  <a:avLst/>
                                </a:prstGeom>
                                <a:noFill/>
                                <a:ln>
                                  <a:noFill/>
                                </a:ln>
                              </wps:spPr>
                              <wps:txbx>
                                <w:txbxContent>
                                  <w:p w14:paraId="7265B96A">
                                    <w:pPr>
                                      <w:jc w:val="center"/>
                                      <w:rPr>
                                        <w:rFonts w:hint="default" w:eastAsia="黑体"/>
                                        <w:sz w:val="18"/>
                                        <w:szCs w:val="18"/>
                                        <w:lang w:val="en-US" w:eastAsia="zh-CN"/>
                                      </w:rPr>
                                    </w:pPr>
                                    <w:r>
                                      <w:rPr>
                                        <w:rFonts w:hint="eastAsia" w:eastAsia="黑体"/>
                                        <w:sz w:val="18"/>
                                        <w:szCs w:val="18"/>
                                        <w:lang w:val="en-US" w:eastAsia="zh-CN"/>
                                      </w:rPr>
                                      <w:t>7.2</w:t>
                                    </w:r>
                                  </w:p>
                                </w:txbxContent>
                              </wps:txbx>
                              <wps:bodyPr upright="1"/>
                            </wps:wsp>
                            <wps:wsp>
                              <wps:cNvPr id="205" name="直接连接符 205"/>
                              <wps:cNvCnPr/>
                              <wps:spPr>
                                <a:xfrm>
                                  <a:off x="2720975" y="1372235"/>
                                  <a:ext cx="5080" cy="22987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206" name="直接连接符 206"/>
                              <wps:cNvCnPr/>
                              <wps:spPr>
                                <a:xfrm>
                                  <a:off x="2070735" y="1601470"/>
                                  <a:ext cx="645795" cy="2540"/>
                                </a:xfrm>
                                <a:prstGeom prst="line">
                                  <a:avLst/>
                                </a:prstGeom>
                                <a:ln w="952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wps:wsp>
                              <wps:cNvPr id="207" name="直接连接符 207"/>
                              <wps:cNvCnPr/>
                              <wps:spPr>
                                <a:xfrm>
                                  <a:off x="2076450" y="1460500"/>
                                  <a:ext cx="1270" cy="150495"/>
                                </a:xfrm>
                                <a:prstGeom prst="line">
                                  <a:avLst/>
                                </a:prstGeom>
                                <a:ln w="9525">
                                  <a:solidFill>
                                    <a:schemeClr val="tx1"/>
                                  </a:solidFill>
                                  <a:headEnd type="triangle" w="sm" len="med"/>
                                </a:ln>
                              </wps:spPr>
                              <wps:style>
                                <a:lnRef idx="2">
                                  <a:schemeClr val="accent1"/>
                                </a:lnRef>
                                <a:fillRef idx="0">
                                  <a:srgbClr val="FFFFFF"/>
                                </a:fillRef>
                                <a:effectRef idx="0">
                                  <a:srgbClr val="FFFFFF"/>
                                </a:effectRef>
                                <a:fontRef idx="minor">
                                  <a:schemeClr val="tx1"/>
                                </a:fontRef>
                              </wps:style>
                              <wps:bodyPr/>
                            </wps:wsp>
                            <wps:wsp>
                              <wps:cNvPr id="208" name="Text Box 10596"/>
                              <wps:cNvSpPr txBox="1"/>
                              <wps:spPr>
                                <a:xfrm>
                                  <a:off x="2115185" y="1410970"/>
                                  <a:ext cx="529590" cy="292100"/>
                                </a:xfrm>
                                <a:prstGeom prst="rect">
                                  <a:avLst/>
                                </a:prstGeom>
                                <a:noFill/>
                                <a:ln>
                                  <a:noFill/>
                                </a:ln>
                              </wps:spPr>
                              <wps:txbx>
                                <w:txbxContent>
                                  <w:p w14:paraId="01EDDCD7">
                                    <w:pPr>
                                      <w:jc w:val="center"/>
                                      <w:rPr>
                                        <w:rFonts w:hint="default" w:eastAsia="黑体"/>
                                        <w:sz w:val="18"/>
                                        <w:szCs w:val="18"/>
                                        <w:lang w:val="en-US" w:eastAsia="zh-CN"/>
                                      </w:rPr>
                                    </w:pPr>
                                    <w:r>
                                      <w:rPr>
                                        <w:rFonts w:hint="eastAsia" w:eastAsia="黑体"/>
                                        <w:sz w:val="18"/>
                                        <w:szCs w:val="18"/>
                                        <w:lang w:val="en-US" w:eastAsia="zh-CN"/>
                                      </w:rPr>
                                      <w:t>360</w:t>
                                    </w:r>
                                  </w:p>
                                </w:txbxContent>
                              </wps:txbx>
                              <wps:bodyPr upright="1"/>
                            </wps:wsp>
                          </wpc:wpc>
                        </a:graphicData>
                      </a:graphic>
                    </wp:anchor>
                  </w:drawing>
                </mc:Choice>
                <mc:Fallback>
                  <w:pict>
                    <v:group id="画布 45" o:spid="_x0000_s1026" o:spt="203" style="position:absolute;left:0pt;margin-left:-2.5pt;margin-top:13.65pt;height:226.85pt;width:407.3pt;z-index:251666432;mso-width-relative:page;mso-height-relative:page;" coordsize="5172710,2880995" editas="canvas" o:gfxdata="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">
                      <o:lock v:ext="edit" aspectratio="f"/>
                      <v:shape id="画布 45" o:spid="_x0000_s1026" style="position:absolute;left:0;top:0;height:2880995;width:5172710;" filled="f" stroked="f" coordsize="21600,21600" o:gfxdata="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">
                        <v:fill on="f" focussize="0,0"/>
                        <v:stroke on="f"/>
                        <v:imagedata o:title=""/>
                        <o:lock v:ext="edit" aspectratio="f"/>
                      </v:shape>
                      <v:shape id="Text Box 10596" o:spid="_x0000_s1026" o:spt="202" type="#_x0000_t202" style="position:absolute;left:276225;top:554990;height:304800;width:914400;" filled="f" stroked="f" coordsize="21600,21600" o:gfxdata="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IEHyf2AAAAAkB&#10;AAAPAAAAAAAAAAEAIAAAACIAAABkcnMvZG93bnJldi54bWxQSwECFAAUAAAACACHTuJAV2lg+akB&#10;AABaAwAADgAAAAAAAAABACAAAAAnAQAAZHJzL2Uyb0RvYy54bWxQSwUGAAAAAAYABgBZAQAAQgUA&#10;AAAA&#10;">
                        <v:fill on="f" focussize="0,0"/>
                        <v:stroke on="f"/>
                        <v:imagedata o:title=""/>
                        <o:lock v:ext="edit" aspectratio="f"/>
                        <v:textbox>
                          <w:txbxContent>
                            <w:p w14:paraId="25ECBF43">
                              <w:pPr>
                                <w:jc w:val="center"/>
                                <w:rPr>
                                  <w:rFonts w:hint="default" w:eastAsia="黑体"/>
                                  <w:sz w:val="18"/>
                                  <w:szCs w:val="18"/>
                                  <w:lang w:val="en-US" w:eastAsia="zh-CN"/>
                                </w:rPr>
                              </w:pPr>
                              <w:r>
                                <w:rPr>
                                  <w:rFonts w:hAnsi="黑体" w:eastAsia="黑体"/>
                                  <w:sz w:val="18"/>
                                  <w:szCs w:val="18"/>
                                </w:rPr>
                                <w:t>新鲜水</w:t>
                              </w:r>
                              <w:r>
                                <w:rPr>
                                  <w:rFonts w:hint="eastAsia" w:hAnsi="黑体" w:eastAsia="黑体"/>
                                  <w:sz w:val="18"/>
                                  <w:szCs w:val="18"/>
                                  <w:lang w:eastAsia="zh-CN"/>
                                </w:rPr>
                                <w:t>：</w:t>
                              </w:r>
                              <w:r>
                                <w:rPr>
                                  <w:rFonts w:hint="eastAsia" w:hAnsi="黑体" w:eastAsia="黑体"/>
                                  <w:sz w:val="18"/>
                                  <w:szCs w:val="18"/>
                                  <w:lang w:val="en-US" w:eastAsia="zh-CN"/>
                                </w:rPr>
                                <w:t>10.296</w:t>
                              </w:r>
                            </w:p>
                          </w:txbxContent>
                        </v:textbox>
                      </v:shape>
                      <v:shape id="文本框 135" o:spid="_x0000_s1026" o:spt="202" type="#_x0000_t202" style="position:absolute;left:3108960;top:2105025;height:309880;width:558800;" fillcolor="#FFFFFF" filled="t" stroked="t" coordsize="21600,21600" o:gfxdata="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wcsvl9sA&#10;AAAJAQAADwAAAAAAAAABACAAAAAiAAAAZHJzL2Rvd25yZXYueG1sUEsBAhQAFAAAAAgAh07iQAU0&#10;fVccAgAAQwQAAA4AAAAAAAAAAQAgAAAAKgEAAGRycy9lMm9Eb2MueG1sUEsFBgAAAAAGAAYAWQEA&#10;ALgFAAAAAA==&#10;">
                        <v:fill on="t" focussize="0,0"/>
                        <v:stroke color="#000000" joinstyle="miter" endarrowwidth="narrow" endarrowlength="long"/>
                        <v:imagedata o:title=""/>
                        <o:lock v:ext="edit" aspectratio="f"/>
                        <v:textbox>
                          <w:txbxContent>
                            <w:p w14:paraId="1B44717F">
                              <w:pPr>
                                <w:jc w:val="center"/>
                                <w:rPr>
                                  <w:rFonts w:hint="default" w:ascii="黑体" w:hAnsi="黑体" w:eastAsia="黑体"/>
                                  <w:sz w:val="18"/>
                                  <w:szCs w:val="18"/>
                                  <w:lang w:val="en-US" w:eastAsia="zh-CN"/>
                                </w:rPr>
                              </w:pPr>
                              <w:r>
                                <w:rPr>
                                  <w:rFonts w:hint="eastAsia" w:ascii="黑体" w:hAnsi="黑体" w:eastAsia="黑体"/>
                                  <w:sz w:val="18"/>
                                  <w:szCs w:val="18"/>
                                  <w:lang w:val="en-US" w:eastAsia="zh-CN"/>
                                </w:rPr>
                                <w:t>化粪池</w:t>
                              </w:r>
                            </w:p>
                          </w:txbxContent>
                        </v:textbox>
                      </v:shape>
                      <v:shape id="Text Box 10596" o:spid="_x0000_s1026" o:spt="202" type="#_x0000_t202" style="position:absolute;left:773430;top:1005840;height:292100;width:482600;" filled="f" stroked="f" coordsize="21600,21600" o:gfxdata="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IEHyf2AAAAAkB&#10;AAAPAAAAAAAAAAEAIAAAACIAAABkcnMvZG93bnJldi54bWxQSwECFAAUAAAACACHTuJAK3/ZcqkB&#10;AABdAwAADgAAAAAAAAABACAAAAAnAQAAZHJzL2Uyb0RvYy54bWxQSwUGAAAAAAYABgBZAQAAQgUA&#10;AAAA&#10;">
                        <v:fill on="f" focussize="0,0"/>
                        <v:stroke on="f"/>
                        <v:imagedata o:title=""/>
                        <o:lock v:ext="edit" aspectratio="f"/>
                        <v:textbox>
                          <w:txbxContent>
                            <w:p w14:paraId="6D816011">
                              <w:pPr>
                                <w:jc w:val="center"/>
                                <w:rPr>
                                  <w:rFonts w:hint="default" w:eastAsia="黑体"/>
                                  <w:sz w:val="18"/>
                                  <w:szCs w:val="18"/>
                                  <w:lang w:val="en-US" w:eastAsia="zh-CN"/>
                                </w:rPr>
                              </w:pPr>
                              <w:r>
                                <w:rPr>
                                  <w:rFonts w:hint="eastAsia" w:eastAsia="黑体"/>
                                  <w:sz w:val="18"/>
                                  <w:szCs w:val="18"/>
                                  <w:lang w:val="en-US" w:eastAsia="zh-CN"/>
                                </w:rPr>
                                <w:t>7.296</w:t>
                              </w:r>
                            </w:p>
                          </w:txbxContent>
                        </v:textbox>
                      </v:shape>
                      <v:shape id="任意多边形 177" o:spid="_x0000_s1026" o:spt="100" style="position:absolute;left:2470150;top:1906270;height:190500;width:228600;" filled="f" stroked="t" coordsize="548,388" o:gfxdata="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gXhGptcAAAAJAQAADwAAAAAAAAABACAAAAAiAAAAZHJzL2Rvd25yZXYueG1sUEsB&#10;AhQAFAAAAAgAh07iQLiYEaehAgAAnQUAAA4AAAAAAAAAAQAgAAAAJgEAAGRycy9lMm9Eb2MueG1s&#10;UEsFBgAAAAAGAAYAWQEAADkGAAAAAA==&#10;" path="m0,388c94,267,189,146,238,130c287,114,242,314,294,292c346,270,447,135,548,0e">
                        <v:fill on="f" focussize="0,0"/>
                        <v:stroke color="#000000" joinstyle="round" dashstyle="dash" endarrow="block" endarrowwidth="narrow"/>
                        <v:imagedata o:title=""/>
                        <o:lock v:ext="edit" aspectratio="f"/>
                      </v:shape>
                      <v:shape id="Text Box 10596" o:spid="_x0000_s1026" o:spt="202" type="#_x0000_t202" style="position:absolute;left:2593340;top:1721485;height:300990;width:498475;" filled="f" stroked="f" coordsize="21600,21600" o:gfxdata="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SBB8n9gA&#10;AAAJAQAADwAAAAAAAAABACAAAAAiAAAAZHJzL2Rvd25yZXYueG1sUEsBAhQAFAAAAAgAh07iQHgR&#10;rUetAQAAXgMAAA4AAAAAAAAAAQAgAAAAJwEAAGRycy9lMm9Eb2MueG1sUEsFBgAAAAAGAAYAWQEA&#10;AEYFAAAAAA==&#10;">
                        <v:fill on="f" focussize="0,0"/>
                        <v:stroke on="f"/>
                        <v:imagedata o:title=""/>
                        <o:lock v:ext="edit" aspectratio="f"/>
                        <v:textbox>
                          <w:txbxContent>
                            <w:p w14:paraId="4D1AAE55">
                              <w:pPr>
                                <w:jc w:val="center"/>
                                <w:rPr>
                                  <w:rFonts w:hint="default" w:eastAsia="黑体"/>
                                  <w:sz w:val="18"/>
                                  <w:szCs w:val="18"/>
                                  <w:lang w:val="en-US" w:eastAsia="zh-CN"/>
                                </w:rPr>
                              </w:pPr>
                              <w:r>
                                <w:rPr>
                                  <w:rFonts w:hint="eastAsia" w:eastAsia="黑体"/>
                                  <w:sz w:val="18"/>
                                  <w:szCs w:val="18"/>
                                  <w:lang w:val="en-US" w:eastAsia="zh-CN"/>
                                </w:rPr>
                                <w:t>0.45</w:t>
                              </w:r>
                            </w:p>
                          </w:txbxContent>
                        </v:textbox>
                      </v:shape>
                      <v:shape id="Text Box 10596" o:spid="_x0000_s1026" o:spt="202" type="#_x0000_t202" style="position:absolute;left:4333875;top:931545;height:1719580;width:648970;" filled="f" stroked="t" coordsize="21600,21600" o:gfxdata="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Kp+nUnXAAAACQEAAA8AAAAA&#10;AAAAAQAgAAAAIgAAAGRycy9kb3ducmV2LnhtbFBLAQIUABQAAAAIAIdO4kBmDkFE3AEAALQDAAAO&#10;AAAAAAAAAAEAIAAAACYBAABkcnMvZTJvRG9jLnhtbFBLBQYAAAAABgAGAFkBAAB0BQAAAAA=&#10;">
                        <v:fill on="f" focussize="0,0"/>
                        <v:stroke color="#000000 [3213]" joinstyle="round"/>
                        <v:imagedata o:title=""/>
                        <o:lock v:ext="edit" aspectratio="f"/>
                        <v:textbox>
                          <w:txbxContent>
                            <w:p w14:paraId="2A6287B5">
                              <w:pPr>
                                <w:jc w:val="center"/>
                                <w:rPr>
                                  <w:rFonts w:hint="eastAsia" w:eastAsia="黑体"/>
                                  <w:sz w:val="18"/>
                                  <w:szCs w:val="18"/>
                                  <w:lang w:val="en-US" w:eastAsia="zh-CN"/>
                                </w:rPr>
                              </w:pPr>
                            </w:p>
                            <w:p w14:paraId="1576FCDD">
                              <w:pPr>
                                <w:jc w:val="center"/>
                                <w:rPr>
                                  <w:rFonts w:hint="eastAsia" w:eastAsia="黑体"/>
                                  <w:sz w:val="18"/>
                                  <w:szCs w:val="18"/>
                                  <w:lang w:val="en-US" w:eastAsia="zh-CN"/>
                                </w:rPr>
                              </w:pPr>
                            </w:p>
                            <w:p w14:paraId="560C3502">
                              <w:pPr>
                                <w:jc w:val="center"/>
                                <w:rPr>
                                  <w:rFonts w:hint="eastAsia" w:eastAsia="黑体"/>
                                  <w:sz w:val="18"/>
                                  <w:szCs w:val="18"/>
                                  <w:lang w:val="en-US" w:eastAsia="zh-CN"/>
                                </w:rPr>
                              </w:pPr>
                            </w:p>
                            <w:p w14:paraId="7BA1C4F4">
                              <w:pPr>
                                <w:jc w:val="center"/>
                                <w:rPr>
                                  <w:rFonts w:hint="default" w:eastAsia="黑体"/>
                                  <w:sz w:val="18"/>
                                  <w:szCs w:val="18"/>
                                  <w:lang w:val="en-US" w:eastAsia="zh-CN"/>
                                </w:rPr>
                              </w:pPr>
                              <w:r>
                                <w:rPr>
                                  <w:rFonts w:hint="eastAsia" w:eastAsia="黑体"/>
                                  <w:sz w:val="18"/>
                                  <w:szCs w:val="18"/>
                                  <w:lang w:val="en-US" w:eastAsia="zh-CN"/>
                                </w:rPr>
                                <w:t>凤台县污水处理厂</w:t>
                              </w:r>
                            </w:p>
                          </w:txbxContent>
                        </v:textbox>
                      </v:shape>
                      <v:shape id="Text Box 10596" o:spid="_x0000_s1026" o:spt="202" type="#_x0000_t202" style="position:absolute;left:3024505;top:1019810;height:272415;width:1080770;" filled="f" stroked="f" coordsize="21600,21600" o:gfxdata="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EgQfJ/YAAAA&#10;CQEAAA8AAAAAAAAAAQAgAAAAIgAAAGRycy9kb3ducmV2LnhtbFBLAQIUABQAAAAIAIdO4kDv1MC2&#10;qwEAAF8DAAAOAAAAAAAAAAEAIAAAACcBAABkcnMvZTJvRG9jLnhtbFBLBQYAAAAABgAGAFkBAABE&#10;BQAAAAA=&#10;">
                        <v:fill on="f" focussize="0,0"/>
                        <v:stroke on="f"/>
                        <v:imagedata o:title=""/>
                        <o:lock v:ext="edit" aspectratio="f"/>
                        <v:textbox>
                          <w:txbxContent>
                            <w:p w14:paraId="27DD3806">
                              <w:pPr>
                                <w:pStyle w:val="11"/>
                                <w:jc w:val="center"/>
                                <w:rPr>
                                  <w:rFonts w:hint="default"/>
                                  <w:lang w:val="en-US" w:eastAsia="zh-CN"/>
                                </w:rPr>
                              </w:pPr>
                              <w:r>
                                <w:rPr>
                                  <w:rFonts w:hint="eastAsia" w:eastAsia="黑体"/>
                                  <w:sz w:val="18"/>
                                  <w:szCs w:val="18"/>
                                  <w:lang w:val="en-US" w:eastAsia="zh-CN"/>
                                </w:rPr>
                                <w:t>最大一次量：2.0m</w:t>
                              </w:r>
                              <w:r>
                                <w:rPr>
                                  <w:rFonts w:hint="eastAsia" w:eastAsia="黑体"/>
                                  <w:sz w:val="18"/>
                                  <w:szCs w:val="18"/>
                                  <w:vertAlign w:val="superscript"/>
                                  <w:lang w:val="en-US" w:eastAsia="zh-CN"/>
                                </w:rPr>
                                <w:t>3</w:t>
                              </w:r>
                            </w:p>
                          </w:txbxContent>
                        </v:textbox>
                      </v:shape>
                      <v:line id="直线 261" o:spid="_x0000_s1026" o:spt="20" style="position:absolute;left:728980;top:916305;height:1333500;width:0;" filled="f" stroked="t" coordsize="21600,21600" o:gfxdata="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DsDpjaAAAACQEAAA8AAAAAAAAAAQAgAAAAIgAAAGRycy9kb3du&#10;cmV2LnhtbFBLAQIUABQAAAAIAIdO4kANXexh/QEAAOcDAAAOAAAAAAAAAAEAIAAAACkBAABkcnMv&#10;ZTJvRG9jLnhtbFBLBQYAAAAABgAGAFkBAACYBQAAAAA=&#10;">
                        <v:fill on="f" focussize="0,0"/>
                        <v:stroke color="#000000" joinstyle="round" endarrowwidth="narrow" endarrowlength="long"/>
                        <v:imagedata o:title=""/>
                        <o:lock v:ext="edit" aspectratio="f"/>
                      </v:line>
                      <v:shape id="文本框 139" o:spid="_x0000_s1026" o:spt="202" type="#_x0000_t202" style="position:absolute;left:1284605;top:1122680;height:335280;width:1249045;" fillcolor="#FFFFFF" filled="t" stroked="t" coordsize="21600,21600" o:gfxdata="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HLL5fbAAAA&#10;CQEAAA8AAAAAAAAAAQAgAAAAIgAAAGRycy9kb3ducmV2LnhtbFBLAQIUABQAAAAIAIdO4kBb/j29&#10;GgIAAEMEAAAOAAAAAAAAAAEAIAAAACoBAABkcnMvZTJvRG9jLnhtbFBLBQYAAAAABgAGAFkBAAC2&#10;BQAAAAA=&#10;">
                        <v:fill on="t" focussize="0,0"/>
                        <v:stroke color="#000000" joinstyle="miter" endarrowwidth="narrow" endarrowlength="long"/>
                        <v:imagedata o:title=""/>
                        <o:lock v:ext="edit" aspectratio="f"/>
                        <v:textbox>
                          <w:txbxContent>
                            <w:p w14:paraId="37B0F800">
                              <w:pPr>
                                <w:jc w:val="center"/>
                                <w:rPr>
                                  <w:rFonts w:hint="default" w:ascii="黑体" w:hAnsi="黑体" w:eastAsia="黑体"/>
                                  <w:color w:val="auto"/>
                                  <w:sz w:val="18"/>
                                  <w:szCs w:val="18"/>
                                  <w:lang w:val="en-US" w:eastAsia="zh-CN"/>
                                </w:rPr>
                              </w:pPr>
                              <w:r>
                                <w:rPr>
                                  <w:rFonts w:hint="eastAsia" w:ascii="黑体" w:hAnsi="黑体" w:eastAsia="黑体"/>
                                  <w:color w:val="auto"/>
                                  <w:sz w:val="18"/>
                                  <w:szCs w:val="18"/>
                                  <w:lang w:val="en-US" w:eastAsia="zh-CN"/>
                                </w:rPr>
                                <w:t>循环冷却系统</w:t>
                              </w:r>
                            </w:p>
                          </w:txbxContent>
                        </v:textbox>
                      </v:shape>
                      <v:shape id="自选图形 141" o:spid="_x0000_s1026" o:spt="32" type="#_x0000_t32" style="position:absolute;left:751205;top:1294130;flip:y;height:635;width:544195;" filled="f" stroked="t" coordsize="21600,21600" o:gfxdata="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rztl2QAAAAkBAAAPAAAA&#10;AAAAAAEAIAAAACIAAABkcnMvZG93bnJldi54bWxQSwECFAAUAAAACACHTuJANDILbBQCAAD/AwAA&#10;DgAAAAAAAAABACAAAAAoAQAAZHJzL2Uyb0RvYy54bWxQSwUGAAAAAAYABgBZAQAArgUAAAAA&#10;">
                        <v:fill on="f" focussize="0,0"/>
                        <v:stroke color="#000000" joinstyle="round" endarrow="block" endarrowwidth="narrow"/>
                        <v:imagedata o:title=""/>
                        <o:lock v:ext="edit" aspectratio="f"/>
                      </v:shape>
                      <v:shape id="自选图形 189" o:spid="_x0000_s1026" o:spt="32" type="#_x0000_t32" style="position:absolute;left:2541905;top:1294130;flip:y;height:3810;width:1807210;" filled="f" stroked="t" coordsize="21600,21600" o:gfxdata="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yrztl2QAAAAkBAAAP&#10;AAAAAAAAAAEAIAAAACIAAABkcnMvZG93bnJldi54bWxQSwECFAAUAAAACACHTuJACQE0lRcCAAAC&#10;BAAADgAAAAAAAAABACAAAAAoAQAAZHJzL2Uyb0RvYy54bWxQSwUGAAAAAAYABgBZAQAAsQUAAAAA&#10;">
                        <v:fill on="f" focussize="0,0"/>
                        <v:stroke color="#000000" joinstyle="round" endarrow="block" endarrowwidth="narrow"/>
                        <v:imagedata o:title=""/>
                        <o:lock v:ext="edit" aspectratio="f"/>
                      </v:shape>
                      <v:shape id="文本框 139" o:spid="_x0000_s1026" o:spt="202" type="#_x0000_t202" style="position:absolute;left:1265555;top:2094230;height:316230;width:1249045;" fillcolor="#FFFFFF" filled="t" stroked="t" coordsize="21600,21600" o:gfxdata="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HLL5fbAAAA&#10;CQEAAA8AAAAAAAAAAQAgAAAAIgAAAGRycy9kb3ducmV2LnhtbFBLAQIUABQAAAAIAIdO4kBRXTsN&#10;GgIAAEMEAAAOAAAAAAAAAAEAIAAAACoBAABkcnMvZTJvRG9jLnhtbFBLBQYAAAAABgAGAFkBAAC2&#10;BQAAAAA=&#10;">
                        <v:fill on="t" focussize="0,0"/>
                        <v:stroke color="#000000" joinstyle="miter" endarrowwidth="narrow" endarrowlength="long"/>
                        <v:imagedata o:title=""/>
                        <o:lock v:ext="edit" aspectratio="f"/>
                        <v:textbox>
                          <w:txbxContent>
                            <w:p w14:paraId="53F4DFE3">
                              <w:pPr>
                                <w:jc w:val="center"/>
                                <w:rPr>
                                  <w:rFonts w:hint="default" w:ascii="黑体" w:hAnsi="黑体" w:eastAsia="黑体"/>
                                  <w:color w:val="auto"/>
                                  <w:sz w:val="18"/>
                                  <w:szCs w:val="18"/>
                                  <w:lang w:val="en-US" w:eastAsia="zh-CN"/>
                                </w:rPr>
                              </w:pPr>
                              <w:r>
                                <w:rPr>
                                  <w:rFonts w:hint="eastAsia" w:ascii="黑体" w:hAnsi="黑体" w:eastAsia="黑体"/>
                                  <w:color w:val="auto"/>
                                  <w:sz w:val="18"/>
                                  <w:szCs w:val="18"/>
                                  <w:lang w:val="en-US" w:eastAsia="zh-CN"/>
                                </w:rPr>
                                <w:t>生活用水</w:t>
                              </w:r>
                            </w:p>
                          </w:txbxContent>
                        </v:textbox>
                      </v:shape>
                      <v:shape id="自选图形 142" o:spid="_x0000_s1026" o:spt="32" type="#_x0000_t32" style="position:absolute;left:741680;top:2265680;height:4445;width:525780;" filled="f" stroked="t" coordsize="21600,21600" o:gfxdata="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V5P9C2QAAAAkBAAAPAAAAAAAAAAEAIAAA&#10;ACIAAABkcnMvZG93bnJldi54bWxQSwECFAAUAAAACACHTuJAEQUJkgsCAAD2AwAADgAAAAAAAAAB&#10;ACAAAAAoAQAAZHJzL2Uyb0RvYy54bWxQSwUGAAAAAAYABgBZAQAApQUAAAAA&#10;">
                        <v:fill on="f" focussize="0,0"/>
                        <v:stroke color="#000000" joinstyle="round" endarrow="block" endarrowwidth="narrow"/>
                        <v:imagedata o:title=""/>
                        <o:lock v:ext="edit" aspectratio="f"/>
                      </v:shape>
                      <v:shape id="自选图形 143" o:spid="_x0000_s1026" o:spt="32" type="#_x0000_t32" style="position:absolute;left:2513330;top:2275205;height:635;width:594995;" filled="f" stroked="t" coordsize="21600,21600" o:gfxdata="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VeT/QtkAAAAJAQAADwAAAAAAAAAB&#10;ACAAAAAiAAAAZHJzL2Rvd25yZXYueG1sUEsBAhQAFAAAAAgAh07iQP1iPRQPAgAA9gMAAA4AAAAA&#10;AAAAAQAgAAAAKAEAAGRycy9lMm9Eb2MueG1sUEsFBgAAAAAGAAYAWQEAAKkFAAAAAA==&#10;">
                        <v:fill on="f" focussize="0,0"/>
                        <v:stroke color="#000000" joinstyle="round" endarrow="block" endarrowwidth="narrow"/>
                        <v:imagedata o:title=""/>
                        <o:lock v:ext="edit" aspectratio="f"/>
                      </v:shape>
                      <v:shape id="Text Box 10596" o:spid="_x0000_s1026" o:spt="202" type="#_x0000_t202" style="position:absolute;left:2564130;top:2016760;height:273685;width:482600;" filled="f" stroked="f" coordsize="21600,21600" o:gfxdata="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SBB8n9gAAAAJ&#10;AQAADwAAAAAAAAABACAAAAAiAAAAZHJzL2Rvd25yZXYueG1sUEsBAhQAFAAAAAgAh07iQLcZdGiq&#10;AQAAXQMAAA4AAAAAAAAAAQAgAAAAJwEAAGRycy9lMm9Eb2MueG1sUEsFBgAAAAAGAAYAWQEAAEMF&#10;AAAAAA==&#10;">
                        <v:fill on="f" focussize="0,0"/>
                        <v:stroke on="f"/>
                        <v:imagedata o:title=""/>
                        <o:lock v:ext="edit" aspectratio="f"/>
                        <v:textbox>
                          <w:txbxContent>
                            <w:p w14:paraId="6A285CE9">
                              <w:pPr>
                                <w:jc w:val="center"/>
                                <w:rPr>
                                  <w:rFonts w:hint="default" w:eastAsia="黑体"/>
                                  <w:sz w:val="18"/>
                                  <w:szCs w:val="18"/>
                                  <w:lang w:val="en-US" w:eastAsia="zh-CN"/>
                                </w:rPr>
                              </w:pPr>
                              <w:r>
                                <w:rPr>
                                  <w:rFonts w:hint="eastAsia" w:eastAsia="黑体"/>
                                  <w:sz w:val="18"/>
                                  <w:szCs w:val="18"/>
                                  <w:lang w:val="en-US" w:eastAsia="zh-CN"/>
                                </w:rPr>
                                <w:t>2.55</w:t>
                              </w:r>
                            </w:p>
                          </w:txbxContent>
                        </v:textbox>
                      </v:shape>
                      <v:shape id="Text Box 10596" o:spid="_x0000_s1026" o:spt="202" type="#_x0000_t202" style="position:absolute;left:753745;top:1990725;height:255270;width:482600;" filled="f" stroked="f" coordsize="21600,21600" o:gfxdata="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SBB8n9gA&#10;AAAJAQAADwAAAAAAAAABACAAAAAiAAAAZHJzL2Rvd25yZXYueG1sUEsBAhQAFAAAAAgAh07iQMUJ&#10;QWStAQAAXAMAAA4AAAAAAAAAAQAgAAAAJwEAAGRycy9lMm9Eb2MueG1sUEsFBgAAAAAGAAYAWQEA&#10;AEYFAAAAAA==&#10;">
                        <v:fill on="f" focussize="0,0"/>
                        <v:stroke on="f"/>
                        <v:imagedata o:title=""/>
                        <o:lock v:ext="edit" aspectratio="f"/>
                        <v:textbox>
                          <w:txbxContent>
                            <w:p w14:paraId="3DE6CF24">
                              <w:pPr>
                                <w:jc w:val="center"/>
                                <w:rPr>
                                  <w:rFonts w:hint="default" w:eastAsia="黑体"/>
                                  <w:sz w:val="18"/>
                                  <w:szCs w:val="18"/>
                                  <w:lang w:val="en-US" w:eastAsia="zh-CN"/>
                                </w:rPr>
                              </w:pPr>
                              <w:r>
                                <w:rPr>
                                  <w:rFonts w:hint="eastAsia" w:eastAsia="黑体"/>
                                  <w:sz w:val="18"/>
                                  <w:szCs w:val="18"/>
                                  <w:lang w:val="en-US" w:eastAsia="zh-CN"/>
                                </w:rPr>
                                <w:t>3.0</w:t>
                              </w:r>
                            </w:p>
                          </w:txbxContent>
                        </v:textbox>
                      </v:shape>
                      <v:shape id="自选图形 143" o:spid="_x0000_s1026" o:spt="32" type="#_x0000_t32" style="position:absolute;left:3674110;top:2268220;flip:y;height:5080;width:638175;" filled="f" stroked="t" coordsize="21600,21600" o:gfxdata="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KvO2XZAAAACQEA&#10;AA8AAAAAAAAAAQAgAAAAIgAAAGRycy9kb3ducmV2LnhtbFBLAQIUABQAAAAIAIdO4kCdo6acGQIA&#10;AAIEAAAOAAAAAAAAAAEAIAAAACgBAABkcnMvZTJvRG9jLnhtbFBLBQYAAAAABgAGAFkBAACzBQAA&#10;AAA=&#10;">
                        <v:fill on="f" focussize="0,0"/>
                        <v:stroke color="#000000" joinstyle="round" endarrow="block" endarrowwidth="narrow"/>
                        <v:imagedata o:title=""/>
                        <o:lock v:ext="edit" aspectratio="f"/>
                      </v:shape>
                      <v:shape id="Text Box 10596" o:spid="_x0000_s1026" o:spt="202" type="#_x0000_t202" style="position:absolute;left:3728085;top:2010410;height:273685;width:482600;" filled="f" stroked="f" coordsize="21600,21600" o:gfxdata="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IEHyf2AAAAAkB&#10;AAAPAAAAAAAAAAEAIAAAACIAAABkcnMvZG93bnJldi54bWxQSwECFAAUAAAACACHTuJA4//pR6kB&#10;AABeAwAADgAAAAAAAAABACAAAAAnAQAAZHJzL2Uyb0RvYy54bWxQSwUGAAAAAAYABgBZAQAAQgUA&#10;AAAA&#10;">
                        <v:fill on="f" focussize="0,0"/>
                        <v:stroke on="f"/>
                        <v:imagedata o:title=""/>
                        <o:lock v:ext="edit" aspectratio="f"/>
                        <v:textbox>
                          <w:txbxContent>
                            <w:p w14:paraId="23D63006">
                              <w:pPr>
                                <w:jc w:val="center"/>
                                <w:rPr>
                                  <w:rFonts w:hint="default" w:eastAsia="黑体"/>
                                  <w:sz w:val="18"/>
                                  <w:szCs w:val="18"/>
                                  <w:lang w:val="en-US" w:eastAsia="zh-CN"/>
                                </w:rPr>
                              </w:pPr>
                              <w:r>
                                <w:rPr>
                                  <w:rFonts w:hint="eastAsia" w:eastAsia="黑体"/>
                                  <w:sz w:val="18"/>
                                  <w:szCs w:val="18"/>
                                  <w:lang w:val="en-US" w:eastAsia="zh-CN"/>
                                </w:rPr>
                                <w:t>2.55</w:t>
                              </w:r>
                            </w:p>
                          </w:txbxContent>
                        </v:textbox>
                      </v:shape>
                      <v:shape id="任意多边形 181" o:spid="_x0000_s1026" o:spt="100" style="position:absolute;left:2421255;top:935990;height:190500;width:228600;" filled="f" stroked="t" coordsize="548,388" o:gfxdata="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CBeEam1wAAAAkBAAAPAAAAAAAAAAEAIAAAACIAAABkcnMvZG93bnJldi54&#10;bWxQSwECFAAUAAAACACHTuJAAvv0JKYCAACcBQAADgAAAAAAAAABACAAAAAmAQAAZHJzL2Uyb0Rv&#10;Yy54bWxQSwUGAAAAAAYABgBZAQAAPgYAAAAA&#10;" path="m0,388c94,267,189,146,238,130c287,114,242,314,294,292c346,270,447,135,548,0e">
                        <v:fill on="f" focussize="0,0"/>
                        <v:stroke color="#000000" joinstyle="round" dashstyle="dash" endarrow="block" endarrowwidth="narrow"/>
                        <v:imagedata o:title=""/>
                        <o:lock v:ext="edit" aspectratio="f"/>
                      </v:shape>
                      <v:shape id="Text Box 10596" o:spid="_x0000_s1026" o:spt="202" type="#_x0000_t202" style="position:absolute;left:2581275;top:786765;height:292100;width:469900;" filled="f" stroked="f" coordsize="21600,21600" o:gfxdata="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SBB8n9gA&#10;AAAJAQAADwAAAAAAAAABACAAAAAiAAAAZHJzL2Rvd25yZXYueG1sUEsBAhQAFAAAAAgAh07iQI75&#10;l12tAQAAXQMAAA4AAAAAAAAAAQAgAAAAJwEAAGRycy9lMm9Eb2MueG1sUEsFBgAAAAAGAAYAWQEA&#10;AEYFAAAAAA==&#10;">
                        <v:fill on="f" focussize="0,0"/>
                        <v:stroke on="f"/>
                        <v:imagedata o:title=""/>
                        <o:lock v:ext="edit" aspectratio="f"/>
                        <v:textbox>
                          <w:txbxContent>
                            <w:p w14:paraId="7265B96A">
                              <w:pPr>
                                <w:jc w:val="center"/>
                                <w:rPr>
                                  <w:rFonts w:hint="default" w:eastAsia="黑体"/>
                                  <w:sz w:val="18"/>
                                  <w:szCs w:val="18"/>
                                  <w:lang w:val="en-US" w:eastAsia="zh-CN"/>
                                </w:rPr>
                              </w:pPr>
                              <w:r>
                                <w:rPr>
                                  <w:rFonts w:hint="eastAsia" w:eastAsia="黑体"/>
                                  <w:sz w:val="18"/>
                                  <w:szCs w:val="18"/>
                                  <w:lang w:val="en-US" w:eastAsia="zh-CN"/>
                                </w:rPr>
                                <w:t>7.2</w:t>
                              </w:r>
                            </w:p>
                          </w:txbxContent>
                        </v:textbox>
                      </v:shape>
                      <v:line id="_x0000_s1026" o:spid="_x0000_s1026" o:spt="20" style="position:absolute;left:2720975;top:1372235;height:229870;width:5080;" filled="f" stroked="t" coordsize="21600,21600" o:gfxdata="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Mb&#10;THXYAAAACQEAAA8AAAAAAAAAAQAgAAAAIgAAAGRycy9kb3ducmV2LnhtbFBLAQIUABQAAAAIAIdO&#10;4kDrx9C86gEAAKwDAAAOAAAAAAAAAAEAIAAAACcBAABkcnMvZTJvRG9jLnhtbFBLBQYAAAAABgAG&#10;AFkBAACDBQAAAAA=&#10;">
                        <v:fill on="f" focussize="0,0"/>
                        <v:stroke color="#000000 [3213]" joinstyle="round"/>
                        <v:imagedata o:title=""/>
                        <o:lock v:ext="edit" aspectratio="f"/>
                      </v:line>
                      <v:line id="_x0000_s1026" o:spid="_x0000_s1026" o:spt="20" style="position:absolute;left:2070735;top:1601470;height:2540;width:645795;" filled="f" stroked="t" coordsize="21600,21600" o:gfxdata="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MbTHXY&#10;AAAACQEAAA8AAAAAAAAAAQAgAAAAIgAAAGRycy9kb3ducmV2LnhtbFBLAQIUABQAAAAIAIdO4kDG&#10;/h4r5wEAAKwDAAAOAAAAAAAAAAEAIAAAACcBAABkcnMvZTJvRG9jLnhtbFBLBQYAAAAABgAGAFkB&#10;AACABQAAAAA=&#10;">
                        <v:fill on="f" focussize="0,0"/>
                        <v:stroke color="#000000 [3213]" joinstyle="round"/>
                        <v:imagedata o:title=""/>
                        <o:lock v:ext="edit" aspectratio="f"/>
                      </v:line>
                      <v:line id="_x0000_s1026" o:spid="_x0000_s1026" o:spt="20" style="position:absolute;left:2076450;top:1460500;height:150495;width:1270;" filled="f" stroked="t" coordsize="21600,21600" o:gfxdata="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Enpu/WAAAACQEAAA8AAAAAAAAAAQAgAAAAIgAAAGRycy9kb3du&#10;cmV2LnhtbFBLAQIUABQAAAAIAIdO4kCenYezAQIAANkDAAAOAAAAAAAAAAEAIAAAACUBAABkcnMv&#10;ZTJvRG9jLnhtbFBLBQYAAAAABgAGAFkBAACYBQAAAAA=&#10;">
                        <v:fill on="f" focussize="0,0"/>
                        <v:stroke color="#000000 [3213]" joinstyle="round" startarrow="block" startarrowwidth="narrow"/>
                        <v:imagedata o:title=""/>
                        <o:lock v:ext="edit" aspectratio="f"/>
                      </v:line>
                      <v:shape id="Text Box 10596" o:spid="_x0000_s1026" o:spt="202" type="#_x0000_t202" style="position:absolute;left:2115185;top:1410970;height:292100;width:529590;" filled="f" stroked="f" coordsize="21600,21600" o:gfxdata="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EgQfJ/YAAAA&#10;CQEAAA8AAAAAAAAAAQAgAAAAIgAAAGRycy9kb3ducmV2LnhtbFBLAQIUABQAAAAIAIdO4kAFo2U3&#10;qwEAAF4DAAAOAAAAAAAAAAEAIAAAACcBAABkcnMvZTJvRG9jLnhtbFBLBQYAAAAABgAGAFkBAABE&#10;BQAAAAA=&#10;">
                        <v:fill on="f" focussize="0,0"/>
                        <v:stroke on="f"/>
                        <v:imagedata o:title=""/>
                        <o:lock v:ext="edit" aspectratio="f"/>
                        <v:textbox>
                          <w:txbxContent>
                            <w:p w14:paraId="01EDDCD7">
                              <w:pPr>
                                <w:jc w:val="center"/>
                                <w:rPr>
                                  <w:rFonts w:hint="default" w:eastAsia="黑体"/>
                                  <w:sz w:val="18"/>
                                  <w:szCs w:val="18"/>
                                  <w:lang w:val="en-US" w:eastAsia="zh-CN"/>
                                </w:rPr>
                              </w:pPr>
                              <w:r>
                                <w:rPr>
                                  <w:rFonts w:hint="eastAsia" w:eastAsia="黑体"/>
                                  <w:sz w:val="18"/>
                                  <w:szCs w:val="18"/>
                                  <w:lang w:val="en-US" w:eastAsia="zh-CN"/>
                                </w:rPr>
                                <w:t>360</w:t>
                              </w:r>
                            </w:p>
                          </w:txbxContent>
                        </v:textbox>
                      </v:shape>
                    </v:group>
                  </w:pict>
                </mc:Fallback>
              </mc:AlternateContent>
            </w:r>
            <w:r>
              <w:rPr>
                <w:rFonts w:hint="eastAsia"/>
                <w:bCs/>
                <w:color w:val="auto"/>
                <w:sz w:val="24"/>
                <w:highlight w:val="none"/>
                <w:lang w:val="en-US" w:eastAsia="zh-CN"/>
              </w:rPr>
              <w:t>本项目</w:t>
            </w:r>
            <w:r>
              <w:rPr>
                <w:rFonts w:hint="eastAsia"/>
                <w:bCs/>
                <w:color w:val="auto"/>
                <w:sz w:val="24"/>
                <w:highlight w:val="none"/>
              </w:rPr>
              <w:t>水平衡图</w:t>
            </w:r>
            <w:r>
              <w:rPr>
                <w:rFonts w:hint="eastAsia"/>
                <w:bCs/>
                <w:color w:val="auto"/>
                <w:sz w:val="24"/>
                <w:highlight w:val="none"/>
                <w:lang w:val="en-US" w:eastAsia="zh-CN"/>
              </w:rPr>
              <w:t>如下</w:t>
            </w:r>
            <w:r>
              <w:rPr>
                <w:rFonts w:hint="eastAsia"/>
                <w:bCs/>
                <w:color w:val="auto"/>
                <w:sz w:val="24"/>
                <w:highlight w:val="none"/>
              </w:rPr>
              <w:t>：</w:t>
            </w:r>
          </w:p>
          <w:p w14:paraId="33C1B1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bCs/>
                <w:color w:val="auto"/>
                <w:sz w:val="24"/>
                <w:highlight w:val="none"/>
              </w:rPr>
            </w:pPr>
          </w:p>
          <w:p w14:paraId="6E505903">
            <w:pPr>
              <w:pStyle w:val="11"/>
              <w:keepNext w:val="0"/>
              <w:keepLines w:val="0"/>
              <w:suppressLineNumbers w:val="0"/>
              <w:spacing w:before="0" w:beforeAutospacing="0" w:afterAutospacing="0"/>
              <w:ind w:left="0" w:right="0"/>
              <w:rPr>
                <w:rFonts w:hint="eastAsia"/>
                <w:color w:val="auto"/>
                <w:highlight w:val="none"/>
              </w:rPr>
            </w:pPr>
          </w:p>
          <w:p w14:paraId="3EFDA0A8">
            <w:pPr>
              <w:pStyle w:val="11"/>
              <w:keepNext w:val="0"/>
              <w:keepLines w:val="0"/>
              <w:suppressLineNumbers w:val="0"/>
              <w:spacing w:before="0" w:beforeAutospacing="0" w:afterAutospacing="0"/>
              <w:ind w:left="0" w:right="0"/>
              <w:rPr>
                <w:rFonts w:hint="eastAsia"/>
                <w:color w:val="auto"/>
                <w:highlight w:val="none"/>
              </w:rPr>
            </w:pPr>
          </w:p>
          <w:p w14:paraId="150EBBB0">
            <w:pPr>
              <w:pStyle w:val="11"/>
              <w:keepNext w:val="0"/>
              <w:keepLines w:val="0"/>
              <w:suppressLineNumbers w:val="0"/>
              <w:spacing w:before="0" w:beforeAutospacing="0" w:afterAutospacing="0"/>
              <w:ind w:left="0" w:right="0"/>
              <w:rPr>
                <w:rFonts w:hint="eastAsia"/>
                <w:color w:val="auto"/>
                <w:highlight w:val="none"/>
              </w:rPr>
            </w:pPr>
          </w:p>
          <w:p w14:paraId="659D356A">
            <w:pPr>
              <w:pStyle w:val="11"/>
              <w:keepNext w:val="0"/>
              <w:keepLines w:val="0"/>
              <w:suppressLineNumbers w:val="0"/>
              <w:spacing w:before="0" w:beforeAutospacing="0" w:afterAutospacing="0"/>
              <w:ind w:left="0" w:right="0"/>
              <w:rPr>
                <w:rFonts w:hint="eastAsia"/>
                <w:color w:val="auto"/>
                <w:highlight w:val="none"/>
              </w:rPr>
            </w:pPr>
            <w:r>
              <w:rPr>
                <w:rFonts w:hint="default"/>
                <w:color w:val="auto"/>
                <w:sz w:val="24"/>
                <w:highlight w:val="none"/>
              </w:rPr>
              <mc:AlternateContent>
                <mc:Choice Requires="wps">
                  <w:drawing>
                    <wp:anchor distT="0" distB="0" distL="114300" distR="114300" simplePos="0" relativeHeight="251675648" behindDoc="0" locked="0" layoutInCell="1" allowOverlap="1">
                      <wp:simplePos x="0" y="0"/>
                      <wp:positionH relativeFrom="column">
                        <wp:posOffset>2502535</wp:posOffset>
                      </wp:positionH>
                      <wp:positionV relativeFrom="paragraph">
                        <wp:posOffset>133985</wp:posOffset>
                      </wp:positionV>
                      <wp:extent cx="182880" cy="7620"/>
                      <wp:effectExtent l="0" t="0" r="0" b="0"/>
                      <wp:wrapNone/>
                      <wp:docPr id="3" name="直接连接符 3"/>
                      <wp:cNvGraphicFramePr/>
                      <a:graphic xmlns:a="http://schemas.openxmlformats.org/drawingml/2006/main">
                        <a:graphicData uri="http://schemas.microsoft.com/office/word/2010/wordprocessingShape">
                          <wps:wsp>
                            <wps:cNvCnPr/>
                            <wps:spPr>
                              <a:xfrm flipV="1">
                                <a:off x="4006215" y="2409825"/>
                                <a:ext cx="182880" cy="762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97.05pt;margin-top:10.55pt;height:0.6pt;width:14.4pt;z-index:251675648;mso-width-relative:page;mso-height-relative:page;" filled="f" stroked="t" coordsize="21600,21600" o:gfxdata="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CGzE9YAAAAJAQAADwAAAAAAAAABACAAAAAiAAAAZHJzL2Rvd25yZXYueG1sUEsBAhQAFAAA&#10;AAgAh07iQEYA/LvxAQAAsgMAAA4AAAAAAAAAAQAgAAAAJQEAAGRycy9lMm9Eb2MueG1sUEsFBgAA&#10;AAAGAAYAWQEAAIgFAAAAAA==&#10;">
                      <v:fill on="f" focussize="0,0"/>
                      <v:stroke color="#000000 [3213]" joinstyle="round"/>
                      <v:imagedata o:title=""/>
                      <o:lock v:ext="edit" aspectratio="f"/>
                    </v:line>
                  </w:pict>
                </mc:Fallback>
              </mc:AlternateContent>
            </w:r>
          </w:p>
          <w:p w14:paraId="2DE4FF7E">
            <w:pPr>
              <w:pStyle w:val="11"/>
              <w:keepNext w:val="0"/>
              <w:keepLines w:val="0"/>
              <w:suppressLineNumbers w:val="0"/>
              <w:spacing w:before="0" w:beforeAutospacing="0" w:afterAutospacing="0"/>
              <w:ind w:left="0" w:right="0"/>
              <w:rPr>
                <w:rFonts w:hint="eastAsia"/>
                <w:color w:val="auto"/>
                <w:highlight w:val="none"/>
              </w:rPr>
            </w:pPr>
          </w:p>
          <w:p w14:paraId="18D82FBB">
            <w:pPr>
              <w:pStyle w:val="11"/>
              <w:keepNext w:val="0"/>
              <w:keepLines w:val="0"/>
              <w:suppressLineNumbers w:val="0"/>
              <w:spacing w:before="0" w:beforeAutospacing="0" w:afterAutospacing="0"/>
              <w:ind w:left="0" w:right="0"/>
              <w:rPr>
                <w:rFonts w:hint="eastAsia"/>
                <w:color w:val="auto"/>
                <w:highlight w:val="none"/>
              </w:rPr>
            </w:pPr>
          </w:p>
          <w:p w14:paraId="1938C331">
            <w:pPr>
              <w:pStyle w:val="11"/>
              <w:keepNext w:val="0"/>
              <w:keepLines w:val="0"/>
              <w:suppressLineNumbers w:val="0"/>
              <w:spacing w:before="0" w:beforeAutospacing="0" w:afterAutospacing="0"/>
              <w:ind w:left="0" w:right="0"/>
              <w:rPr>
                <w:rFonts w:hint="eastAsia"/>
                <w:color w:val="auto"/>
                <w:highlight w:val="none"/>
              </w:rPr>
            </w:pPr>
          </w:p>
          <w:p w14:paraId="10889C21">
            <w:pPr>
              <w:pStyle w:val="11"/>
              <w:keepNext w:val="0"/>
              <w:keepLines w:val="0"/>
              <w:suppressLineNumbers w:val="0"/>
              <w:spacing w:before="0" w:beforeAutospacing="0" w:afterAutospacing="0"/>
              <w:ind w:left="0" w:right="0"/>
              <w:rPr>
                <w:rFonts w:hint="eastAsia"/>
                <w:color w:val="auto"/>
                <w:highlight w:val="none"/>
              </w:rPr>
            </w:pPr>
          </w:p>
          <w:p w14:paraId="407AF4B6">
            <w:pPr>
              <w:pStyle w:val="11"/>
              <w:keepNext w:val="0"/>
              <w:keepLines w:val="0"/>
              <w:suppressLineNumbers w:val="0"/>
              <w:spacing w:before="0" w:beforeAutospacing="0" w:afterAutospacing="0"/>
              <w:ind w:left="0" w:right="0"/>
              <w:rPr>
                <w:rFonts w:hint="eastAsia"/>
                <w:color w:val="auto"/>
                <w:highlight w:val="none"/>
              </w:rPr>
            </w:pPr>
          </w:p>
          <w:p w14:paraId="1EA5AB36">
            <w:pPr>
              <w:keepNext w:val="0"/>
              <w:keepLines w:val="0"/>
              <w:suppressLineNumbers w:val="0"/>
              <w:autoSpaceDE w:val="0"/>
              <w:autoSpaceDN w:val="0"/>
              <w:adjustRightInd w:val="0"/>
              <w:snapToGrid w:val="0"/>
              <w:spacing w:before="0" w:beforeAutospacing="0" w:after="0" w:afterAutospacing="0"/>
              <w:ind w:left="0" w:right="0"/>
              <w:jc w:val="center"/>
              <w:rPr>
                <w:rFonts w:hint="default" w:hAnsi="黑体" w:eastAsia="黑体"/>
                <w:color w:val="auto"/>
                <w:sz w:val="24"/>
                <w:szCs w:val="24"/>
                <w:highlight w:val="none"/>
              </w:rPr>
            </w:pPr>
            <w:r>
              <w:rPr>
                <w:rFonts w:hint="default" w:hAnsi="黑体" w:eastAsia="黑体"/>
                <w:color w:val="auto"/>
                <w:sz w:val="24"/>
                <w:szCs w:val="24"/>
                <w:highlight w:val="none"/>
              </w:rPr>
              <w:t>图</w:t>
            </w:r>
            <w:r>
              <w:rPr>
                <w:rFonts w:hint="eastAsia" w:hAnsi="黑体" w:eastAsia="黑体"/>
                <w:color w:val="auto"/>
                <w:sz w:val="24"/>
                <w:szCs w:val="24"/>
                <w:highlight w:val="none"/>
                <w:lang w:val="en-US" w:eastAsia="zh-CN"/>
              </w:rPr>
              <w:t>2-1</w:t>
            </w:r>
            <w:r>
              <w:rPr>
                <w:rFonts w:hint="default" w:hAnsi="黑体" w:eastAsia="黑体"/>
                <w:color w:val="auto"/>
                <w:sz w:val="24"/>
                <w:szCs w:val="24"/>
                <w:highlight w:val="none"/>
              </w:rPr>
              <w:t xml:space="preserve">  本项目水平衡图   单位：m</w:t>
            </w:r>
            <w:r>
              <w:rPr>
                <w:rFonts w:hint="default" w:hAnsi="黑体" w:eastAsia="黑体"/>
                <w:color w:val="auto"/>
                <w:sz w:val="24"/>
                <w:szCs w:val="24"/>
                <w:highlight w:val="none"/>
                <w:vertAlign w:val="superscript"/>
              </w:rPr>
              <w:t>3</w:t>
            </w:r>
            <w:r>
              <w:rPr>
                <w:rFonts w:hint="default" w:hAnsi="黑体" w:eastAsia="黑体"/>
                <w:color w:val="auto"/>
                <w:sz w:val="24"/>
                <w:szCs w:val="24"/>
                <w:highlight w:val="none"/>
              </w:rPr>
              <w:t>/d</w:t>
            </w:r>
          </w:p>
          <w:p w14:paraId="0D12D727">
            <w:pPr>
              <w:keepNext w:val="0"/>
              <w:keepLines w:val="0"/>
              <w:suppressLineNumbers w:val="0"/>
              <w:spacing w:before="0" w:beforeAutospacing="0" w:after="0" w:afterAutospacing="0" w:line="360" w:lineRule="auto"/>
              <w:ind w:left="0" w:right="0" w:firstLine="480" w:firstLineChars="200"/>
              <w:rPr>
                <w:rFonts w:hint="default"/>
                <w:color w:val="auto"/>
                <w:sz w:val="24"/>
                <w:szCs w:val="28"/>
                <w:highlight w:val="none"/>
              </w:rPr>
            </w:pPr>
            <w:r>
              <w:rPr>
                <w:rFonts w:hint="default"/>
                <w:color w:val="auto"/>
                <w:sz w:val="24"/>
                <w:szCs w:val="28"/>
                <w:highlight w:val="none"/>
              </w:rPr>
              <w:t>（</w:t>
            </w:r>
            <w:r>
              <w:rPr>
                <w:rFonts w:hint="eastAsia"/>
                <w:color w:val="auto"/>
                <w:sz w:val="24"/>
                <w:szCs w:val="28"/>
                <w:highlight w:val="none"/>
              </w:rPr>
              <w:t>3</w:t>
            </w:r>
            <w:r>
              <w:rPr>
                <w:rFonts w:hint="default"/>
                <w:color w:val="auto"/>
                <w:sz w:val="24"/>
                <w:szCs w:val="28"/>
                <w:highlight w:val="none"/>
              </w:rPr>
              <w:t>）供电</w:t>
            </w:r>
          </w:p>
          <w:p w14:paraId="560F2262">
            <w:pPr>
              <w:keepNext w:val="0"/>
              <w:keepLines w:val="0"/>
              <w:suppressLineNumbers w:val="0"/>
              <w:spacing w:before="0" w:beforeAutospacing="0" w:after="0" w:afterAutospacing="0" w:line="360" w:lineRule="auto"/>
              <w:ind w:left="0" w:right="0" w:firstLine="480" w:firstLineChars="200"/>
              <w:rPr>
                <w:rFonts w:hint="eastAsia"/>
                <w:b/>
                <w:color w:val="auto"/>
                <w:sz w:val="24"/>
                <w:highlight w:val="none"/>
                <w:lang w:val="en-US" w:eastAsia="zh-CN"/>
              </w:rPr>
            </w:pPr>
            <w:r>
              <w:rPr>
                <w:rFonts w:hint="default" w:hAnsi="宋体"/>
                <w:bCs/>
                <w:color w:val="auto"/>
                <w:sz w:val="24"/>
                <w:highlight w:val="none"/>
              </w:rPr>
              <w:t>来自市政供电管网，本项目用电量</w:t>
            </w:r>
            <w:r>
              <w:rPr>
                <w:rFonts w:hint="eastAsia" w:hAnsi="宋体"/>
                <w:bCs/>
                <w:color w:val="auto"/>
                <w:sz w:val="24"/>
                <w:highlight w:val="none"/>
                <w:lang w:val="en-US" w:eastAsia="zh-CN"/>
              </w:rPr>
              <w:t>200</w:t>
            </w:r>
            <w:r>
              <w:rPr>
                <w:rFonts w:hint="default" w:hAnsi="宋体"/>
                <w:bCs/>
                <w:color w:val="auto"/>
                <w:sz w:val="24"/>
                <w:highlight w:val="none"/>
              </w:rPr>
              <w:t>万</w:t>
            </w:r>
            <w:r>
              <w:rPr>
                <w:rFonts w:hint="default"/>
                <w:color w:val="auto"/>
                <w:sz w:val="24"/>
                <w:highlight w:val="none"/>
              </w:rPr>
              <w:t>kWh/a</w:t>
            </w:r>
            <w:r>
              <w:rPr>
                <w:rFonts w:hint="default" w:hAnsi="宋体"/>
                <w:color w:val="auto"/>
                <w:sz w:val="24"/>
                <w:highlight w:val="none"/>
              </w:rPr>
              <w:t>。</w:t>
            </w:r>
          </w:p>
          <w:p w14:paraId="388A575F">
            <w:pPr>
              <w:keepNext w:val="0"/>
              <w:keepLines w:val="0"/>
              <w:suppressLineNumbers w:val="0"/>
              <w:spacing w:before="0" w:beforeAutospacing="0" w:after="0" w:afterAutospacing="0" w:line="360" w:lineRule="auto"/>
              <w:ind w:left="0" w:right="0" w:firstLine="482" w:firstLineChars="200"/>
              <w:rPr>
                <w:rFonts w:hint="default" w:eastAsia="宋体"/>
                <w:b/>
                <w:color w:val="auto"/>
                <w:sz w:val="24"/>
                <w:highlight w:val="none"/>
                <w:lang w:val="en-US" w:eastAsia="zh-CN"/>
              </w:rPr>
            </w:pPr>
            <w:r>
              <w:rPr>
                <w:rFonts w:hint="eastAsia"/>
                <w:b/>
                <w:color w:val="auto"/>
                <w:sz w:val="24"/>
                <w:highlight w:val="none"/>
                <w:lang w:val="en-US" w:eastAsia="zh-CN"/>
              </w:rPr>
              <w:t>9.</w:t>
            </w:r>
            <w:r>
              <w:rPr>
                <w:rFonts w:hint="eastAsia"/>
                <w:b/>
                <w:color w:val="auto"/>
                <w:sz w:val="24"/>
                <w:highlight w:val="none"/>
              </w:rPr>
              <w:t>劳动定员</w:t>
            </w:r>
            <w:r>
              <w:rPr>
                <w:rFonts w:hint="eastAsia"/>
                <w:b/>
                <w:color w:val="auto"/>
                <w:sz w:val="24"/>
                <w:highlight w:val="none"/>
                <w:lang w:val="en-US" w:eastAsia="zh-CN"/>
              </w:rPr>
              <w:t>及工作制度</w:t>
            </w:r>
          </w:p>
          <w:p w14:paraId="00349AA3">
            <w:pPr>
              <w:keepNext w:val="0"/>
              <w:keepLines w:val="0"/>
              <w:suppressLineNumbers w:val="0"/>
              <w:spacing w:before="0" w:beforeAutospacing="0" w:after="0" w:afterAutospacing="0" w:line="360" w:lineRule="auto"/>
              <w:ind w:left="0" w:right="0" w:firstLine="480" w:firstLineChars="200"/>
              <w:rPr>
                <w:rFonts w:hint="eastAsia"/>
                <w:b/>
                <w:color w:val="auto"/>
                <w:sz w:val="24"/>
                <w:highlight w:val="none"/>
              </w:rPr>
            </w:pPr>
            <w:r>
              <w:rPr>
                <w:rFonts w:hint="eastAsia"/>
                <w:color w:val="auto"/>
                <w:sz w:val="24"/>
                <w:highlight w:val="none"/>
                <w:lang w:val="en-US" w:eastAsia="zh-CN"/>
              </w:rPr>
              <w:t>本项目劳动定员50人，项目厂房内不设食堂和职工宿舍，每日工作12小时，两班制，年工作250天（3000h/a）。</w:t>
            </w:r>
          </w:p>
          <w:p w14:paraId="1664940F">
            <w:pPr>
              <w:keepNext w:val="0"/>
              <w:keepLines w:val="0"/>
              <w:suppressLineNumbers w:val="0"/>
              <w:spacing w:before="0" w:beforeAutospacing="0" w:after="0" w:afterAutospacing="0" w:line="360" w:lineRule="auto"/>
              <w:ind w:left="0" w:right="0" w:firstLine="482" w:firstLineChars="200"/>
              <w:rPr>
                <w:rFonts w:hint="default"/>
                <w:b/>
                <w:color w:val="auto"/>
                <w:sz w:val="24"/>
                <w:highlight w:val="none"/>
              </w:rPr>
            </w:pPr>
            <w:r>
              <w:rPr>
                <w:rFonts w:hint="eastAsia"/>
                <w:b/>
                <w:color w:val="auto"/>
                <w:sz w:val="24"/>
                <w:highlight w:val="none"/>
                <w:lang w:val="en-US" w:eastAsia="zh-CN"/>
              </w:rPr>
              <w:t>10.</w:t>
            </w:r>
            <w:r>
              <w:rPr>
                <w:rFonts w:hint="eastAsia"/>
                <w:b/>
                <w:color w:val="auto"/>
                <w:sz w:val="24"/>
                <w:highlight w:val="none"/>
              </w:rPr>
              <w:t>总平面布置</w:t>
            </w:r>
          </w:p>
          <w:p w14:paraId="17B92814">
            <w:pPr>
              <w:keepNext w:val="0"/>
              <w:keepLines w:val="0"/>
              <w:suppressLineNumbers w:val="0"/>
              <w:spacing w:before="0" w:beforeAutospacing="0" w:after="0" w:afterAutospacing="0" w:line="360" w:lineRule="auto"/>
              <w:ind w:left="0" w:right="0" w:firstLine="480" w:firstLineChars="200"/>
              <w:rPr>
                <w:rFonts w:hint="default"/>
                <w:color w:val="auto"/>
                <w:sz w:val="24"/>
                <w:highlight w:val="none"/>
                <w:lang w:val="en-US"/>
              </w:rPr>
            </w:pPr>
            <w:r>
              <w:rPr>
                <w:rFonts w:hint="eastAsia"/>
                <w:color w:val="auto"/>
                <w:sz w:val="24"/>
                <w:highlight w:val="none"/>
                <w:lang w:val="en-US" w:eastAsia="zh-CN"/>
              </w:rPr>
              <w:t>项目租赁</w:t>
            </w:r>
            <w:r>
              <w:rPr>
                <w:rFonts w:hint="eastAsia"/>
                <w:color w:val="auto"/>
                <w:sz w:val="24"/>
                <w:highlight w:val="none"/>
                <w:lang w:eastAsia="zh-CN"/>
              </w:rPr>
              <w:t>安徽省淮南市</w:t>
            </w:r>
            <w:r>
              <w:rPr>
                <w:rFonts w:hint="eastAsia"/>
                <w:color w:val="auto"/>
                <w:sz w:val="24"/>
                <w:highlight w:val="none"/>
                <w:lang w:val="en-US" w:eastAsia="zh-CN"/>
              </w:rPr>
              <w:t>凤台县</w:t>
            </w:r>
            <w:r>
              <w:rPr>
                <w:rFonts w:hint="eastAsia"/>
                <w:color w:val="auto"/>
                <w:sz w:val="24"/>
                <w:highlight w:val="none"/>
                <w:lang w:eastAsia="zh-CN"/>
              </w:rPr>
              <w:t>凤台经济开发区电子智能制造产业园52#标准化厂房一层、二层、三层、四层</w:t>
            </w:r>
            <w:r>
              <w:rPr>
                <w:rFonts w:hint="eastAsia"/>
                <w:color w:val="auto"/>
                <w:sz w:val="24"/>
                <w:highlight w:val="none"/>
                <w:lang w:val="en-US" w:eastAsia="zh-CN"/>
              </w:rPr>
              <w:t>进行建设，根据项目厂房总平面布局图，占地面积732.06m</w:t>
            </w:r>
            <w:r>
              <w:rPr>
                <w:rFonts w:hint="eastAsia"/>
                <w:color w:val="auto"/>
                <w:sz w:val="24"/>
                <w:highlight w:val="none"/>
                <w:vertAlign w:val="superscript"/>
                <w:lang w:val="en-US" w:eastAsia="zh-CN"/>
              </w:rPr>
              <w:t>2</w:t>
            </w:r>
            <w:r>
              <w:rPr>
                <w:rFonts w:hint="eastAsia"/>
                <w:color w:val="auto"/>
                <w:sz w:val="24"/>
                <w:highlight w:val="none"/>
                <w:lang w:val="en-US" w:eastAsia="zh-CN"/>
              </w:rPr>
              <w:t>，总建筑面积约</w:t>
            </w:r>
            <w:r>
              <w:rPr>
                <w:rFonts w:hint="eastAsia" w:cs="Times New Roman" w:eastAsiaTheme="minorEastAsia"/>
                <w:color w:val="auto"/>
                <w:sz w:val="24"/>
                <w:szCs w:val="24"/>
                <w:highlight w:val="none"/>
                <w:lang w:val="en-US" w:eastAsia="zh-CN"/>
              </w:rPr>
              <w:t>2910.24m</w:t>
            </w:r>
            <w:r>
              <w:rPr>
                <w:rFonts w:hint="eastAsia" w:cs="Times New Roman" w:eastAsiaTheme="minorEastAsia"/>
                <w:color w:val="auto"/>
                <w:sz w:val="21"/>
                <w:szCs w:val="21"/>
                <w:highlight w:val="none"/>
                <w:vertAlign w:val="superscript"/>
                <w:lang w:val="en-US" w:eastAsia="zh-CN"/>
              </w:rPr>
              <w:t>2</w:t>
            </w:r>
            <w:r>
              <w:rPr>
                <w:rFonts w:hint="eastAsia" w:cs="Times New Roman" w:eastAsiaTheme="minorEastAsia"/>
                <w:color w:val="auto"/>
                <w:sz w:val="21"/>
                <w:szCs w:val="21"/>
                <w:highlight w:val="none"/>
                <w:vertAlign w:val="baseline"/>
                <w:lang w:val="en-US" w:eastAsia="zh-CN"/>
              </w:rPr>
              <w:t>，</w:t>
            </w:r>
            <w:r>
              <w:rPr>
                <w:rFonts w:hint="eastAsia"/>
                <w:color w:val="auto"/>
                <w:sz w:val="24"/>
                <w:highlight w:val="none"/>
                <w:lang w:val="en-US" w:eastAsia="zh-CN"/>
              </w:rPr>
              <w:t>厂房北侧设置1个物流及2个人流出入口，厂房总计4层，1F总建筑面积732.06m</w:t>
            </w:r>
            <w:r>
              <w:rPr>
                <w:rFonts w:hint="eastAsia"/>
                <w:color w:val="auto"/>
                <w:sz w:val="24"/>
                <w:highlight w:val="none"/>
                <w:vertAlign w:val="superscript"/>
                <w:lang w:val="en-US" w:eastAsia="zh-CN"/>
              </w:rPr>
              <w:t>2</w:t>
            </w:r>
            <w:r>
              <w:rPr>
                <w:rFonts w:hint="eastAsia"/>
                <w:color w:val="auto"/>
                <w:sz w:val="24"/>
                <w:highlight w:val="none"/>
                <w:lang w:val="en-US" w:eastAsia="zh-CN"/>
              </w:rPr>
              <w:t>，主要布设注塑区、冷却成型区；2F总建筑面积723.06m</w:t>
            </w:r>
            <w:r>
              <w:rPr>
                <w:rFonts w:hint="eastAsia"/>
                <w:color w:val="auto"/>
                <w:sz w:val="24"/>
                <w:highlight w:val="none"/>
                <w:vertAlign w:val="superscript"/>
                <w:lang w:val="en-US" w:eastAsia="zh-CN"/>
              </w:rPr>
              <w:t>2</w:t>
            </w:r>
            <w:r>
              <w:rPr>
                <w:rFonts w:hint="eastAsia"/>
                <w:color w:val="auto"/>
                <w:sz w:val="24"/>
                <w:highlight w:val="none"/>
                <w:lang w:val="en-US" w:eastAsia="zh-CN"/>
              </w:rPr>
              <w:t>，主要布设投料配料区、粉碎区、原材料存放区、半成品周转区、包材存放区、检验及人工修剪区及包装区；3F总建筑面积723.06m</w:t>
            </w:r>
            <w:r>
              <w:rPr>
                <w:rFonts w:hint="eastAsia"/>
                <w:color w:val="auto"/>
                <w:sz w:val="24"/>
                <w:highlight w:val="none"/>
                <w:vertAlign w:val="superscript"/>
                <w:lang w:val="en-US" w:eastAsia="zh-CN"/>
              </w:rPr>
              <w:t>2</w:t>
            </w:r>
            <w:r>
              <w:rPr>
                <w:rFonts w:hint="eastAsia"/>
                <w:color w:val="auto"/>
                <w:sz w:val="24"/>
                <w:highlight w:val="none"/>
                <w:lang w:val="en-US" w:eastAsia="zh-CN"/>
              </w:rPr>
              <w:t>，主要用于成品存放；4F总建筑面积732.06m</w:t>
            </w:r>
            <w:r>
              <w:rPr>
                <w:rFonts w:hint="eastAsia"/>
                <w:color w:val="auto"/>
                <w:sz w:val="24"/>
                <w:highlight w:val="none"/>
                <w:vertAlign w:val="superscript"/>
                <w:lang w:val="en-US" w:eastAsia="zh-CN"/>
              </w:rPr>
              <w:t>2</w:t>
            </w:r>
            <w:r>
              <w:rPr>
                <w:rFonts w:hint="eastAsia"/>
                <w:color w:val="auto"/>
                <w:sz w:val="24"/>
                <w:highlight w:val="none"/>
                <w:lang w:val="en-US" w:eastAsia="zh-CN"/>
              </w:rPr>
              <w:t>，中部及北部用于成品存放，西南部设置办公区</w:t>
            </w:r>
            <w:r>
              <w:rPr>
                <w:rFonts w:hint="eastAsia"/>
                <w:color w:val="auto"/>
                <w:sz w:val="24"/>
                <w:highlight w:val="none"/>
                <w:vertAlign w:val="baseline"/>
                <w:lang w:val="en-US" w:eastAsia="zh-CN"/>
              </w:rPr>
              <w:t>。于厂房1F西部，设置1座面积约10m</w:t>
            </w:r>
            <w:r>
              <w:rPr>
                <w:rFonts w:hint="eastAsia"/>
                <w:color w:val="auto"/>
                <w:sz w:val="24"/>
                <w:highlight w:val="none"/>
                <w:vertAlign w:val="superscript"/>
                <w:lang w:val="en-US" w:eastAsia="zh-CN"/>
              </w:rPr>
              <w:t>2</w:t>
            </w:r>
            <w:r>
              <w:rPr>
                <w:rFonts w:hint="eastAsia"/>
                <w:color w:val="auto"/>
                <w:sz w:val="24"/>
                <w:highlight w:val="none"/>
                <w:vertAlign w:val="baseline"/>
                <w:lang w:val="en-US" w:eastAsia="zh-CN"/>
              </w:rPr>
              <w:t>的危废暂存间、1座面积约20m</w:t>
            </w:r>
            <w:r>
              <w:rPr>
                <w:rFonts w:hint="eastAsia"/>
                <w:color w:val="auto"/>
                <w:sz w:val="24"/>
                <w:highlight w:val="none"/>
                <w:vertAlign w:val="superscript"/>
                <w:lang w:val="en-US" w:eastAsia="zh-CN"/>
              </w:rPr>
              <w:t>2</w:t>
            </w:r>
            <w:r>
              <w:rPr>
                <w:rFonts w:hint="eastAsia"/>
                <w:color w:val="auto"/>
                <w:sz w:val="24"/>
                <w:highlight w:val="none"/>
                <w:vertAlign w:val="baseline"/>
                <w:lang w:val="en-US" w:eastAsia="zh-CN"/>
              </w:rPr>
              <w:t>的一般工业固废间，布置于1F方便固体废物转运，厂房外</w:t>
            </w:r>
            <w:r>
              <w:rPr>
                <w:rFonts w:hint="eastAsia"/>
                <w:color w:val="auto"/>
                <w:sz w:val="24"/>
                <w:highlight w:val="none"/>
                <w:lang w:val="en-US" w:eastAsia="zh-CN"/>
              </w:rPr>
              <w:t>靠近主入口处设有地面停车位，方便客户往来及产品运输。</w:t>
            </w:r>
          </w:p>
          <w:p w14:paraId="7AAFE41A">
            <w:pPr>
              <w:keepNext w:val="0"/>
              <w:keepLines w:val="0"/>
              <w:suppressLineNumbers w:val="0"/>
              <w:spacing w:before="0" w:beforeAutospacing="0" w:after="0" w:afterAutospacing="0" w:line="360" w:lineRule="auto"/>
              <w:ind w:left="0" w:right="0" w:firstLine="480" w:firstLineChars="200"/>
              <w:rPr>
                <w:rFonts w:hint="eastAsia"/>
                <w:snapToGrid w:val="0"/>
                <w:color w:val="auto"/>
                <w:kern w:val="0"/>
                <w:sz w:val="24"/>
                <w:szCs w:val="24"/>
                <w:highlight w:val="none"/>
              </w:rPr>
            </w:pPr>
            <w:r>
              <w:rPr>
                <w:rFonts w:hint="eastAsia"/>
                <w:color w:val="auto"/>
                <w:sz w:val="24"/>
                <w:highlight w:val="none"/>
              </w:rPr>
              <w:t>生产厂房</w:t>
            </w:r>
            <w:r>
              <w:rPr>
                <w:rFonts w:hint="eastAsia"/>
                <w:snapToGrid w:val="0"/>
                <w:color w:val="auto"/>
                <w:kern w:val="0"/>
                <w:sz w:val="24"/>
                <w:szCs w:val="24"/>
                <w:highlight w:val="none"/>
              </w:rPr>
              <w:t>各功能单元衔接顺畅，操作效率稳定。</w:t>
            </w:r>
            <w:r>
              <w:rPr>
                <w:rFonts w:hint="eastAsia"/>
                <w:snapToGrid w:val="0"/>
                <w:color w:val="auto"/>
                <w:kern w:val="0"/>
                <w:sz w:val="24"/>
                <w:szCs w:val="24"/>
                <w:highlight w:val="none"/>
                <w:lang w:val="en-US" w:eastAsia="zh-CN"/>
              </w:rPr>
              <w:t>厂区总平面布置及车间内</w:t>
            </w:r>
            <w:r>
              <w:rPr>
                <w:rFonts w:hint="eastAsia"/>
                <w:snapToGrid w:val="0"/>
                <w:color w:val="auto"/>
                <w:kern w:val="0"/>
                <w:sz w:val="24"/>
                <w:szCs w:val="24"/>
                <w:highlight w:val="none"/>
              </w:rPr>
              <w:t>具体平面布置图详见附图</w:t>
            </w:r>
            <w:r>
              <w:rPr>
                <w:rFonts w:hint="eastAsia"/>
                <w:snapToGrid w:val="0"/>
                <w:color w:val="auto"/>
                <w:kern w:val="0"/>
                <w:sz w:val="24"/>
                <w:szCs w:val="24"/>
                <w:highlight w:val="none"/>
                <w:lang w:val="en-US" w:eastAsia="zh-CN"/>
              </w:rPr>
              <w:t>3</w:t>
            </w:r>
            <w:r>
              <w:rPr>
                <w:rFonts w:hint="eastAsia"/>
                <w:snapToGrid w:val="0"/>
                <w:color w:val="auto"/>
                <w:kern w:val="0"/>
                <w:sz w:val="24"/>
                <w:szCs w:val="24"/>
                <w:highlight w:val="none"/>
              </w:rPr>
              <w:t>。</w:t>
            </w:r>
          </w:p>
          <w:p w14:paraId="7715FD09">
            <w:pPr>
              <w:keepNext w:val="0"/>
              <w:keepLines w:val="0"/>
              <w:suppressLineNumbers w:val="0"/>
              <w:spacing w:before="0" w:beforeAutospacing="0" w:after="0" w:afterAutospacing="0"/>
              <w:ind w:left="0" w:right="0"/>
              <w:rPr>
                <w:rFonts w:hint="default"/>
              </w:rPr>
            </w:pPr>
          </w:p>
        </w:tc>
      </w:tr>
    </w:tbl>
    <w:p w14:paraId="1BA13255">
      <w:pPr>
        <w:widowControl/>
        <w:spacing w:line="360" w:lineRule="auto"/>
        <w:jc w:val="both"/>
        <w:rPr>
          <w:rFonts w:hAnsi="宋体"/>
          <w:color w:val="auto"/>
          <w:kern w:val="0"/>
          <w:sz w:val="24"/>
        </w:rPr>
        <w:sectPr>
          <w:pgSz w:w="11906" w:h="16838"/>
          <w:pgMar w:top="1440" w:right="1508" w:bottom="1440" w:left="1797" w:header="851" w:footer="992" w:gutter="0"/>
          <w:pgBorders>
            <w:top w:val="none" w:sz="0" w:space="0"/>
            <w:left w:val="none" w:sz="0" w:space="0"/>
            <w:bottom w:val="none" w:sz="0" w:space="0"/>
            <w:right w:val="none" w:sz="0" w:space="0"/>
          </w:pgBorders>
          <w:cols w:space="720" w:num="1"/>
          <w:docGrid w:type="lines" w:linePitch="312" w:charSpace="0"/>
        </w:sectPr>
      </w:pPr>
    </w:p>
    <w:tbl>
      <w:tblPr>
        <w:tblStyle w:val="37"/>
        <w:tblW w:w="0" w:type="auto"/>
        <w:tblInd w:w="5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484"/>
        <w:gridCol w:w="8154"/>
      </w:tblGrid>
      <w:tr w14:paraId="48CE6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953" w:hRule="atLeast"/>
        </w:trPr>
        <w:tc>
          <w:tcPr>
            <w:tcW w:w="484" w:type="dxa"/>
            <w:vAlign w:val="center"/>
          </w:tcPr>
          <w:p w14:paraId="69541415">
            <w:pPr>
              <w:keepNext w:val="0"/>
              <w:keepLines w:val="0"/>
              <w:widowControl/>
              <w:suppressLineNumbers w:val="0"/>
              <w:spacing w:before="0" w:beforeAutospacing="0" w:after="0" w:afterAutospacing="0" w:line="360" w:lineRule="auto"/>
              <w:ind w:left="0" w:right="0"/>
              <w:jc w:val="center"/>
              <w:rPr>
                <w:rFonts w:hint="default" w:hAnsi="宋体"/>
                <w:color w:val="auto"/>
                <w:kern w:val="0"/>
                <w:sz w:val="24"/>
              </w:rPr>
            </w:pPr>
            <w:r>
              <w:rPr>
                <w:rFonts w:hint="default" w:hAnsi="宋体"/>
                <w:color w:val="auto"/>
                <w:kern w:val="0"/>
                <w:sz w:val="24"/>
              </w:rPr>
              <w:t>工艺流程和产污环节</w:t>
            </w:r>
          </w:p>
        </w:tc>
        <w:tc>
          <w:tcPr>
            <w:tcW w:w="8154" w:type="dxa"/>
          </w:tcPr>
          <w:p w14:paraId="4304C180">
            <w:pPr>
              <w:keepNext w:val="0"/>
              <w:keepLines w:val="0"/>
              <w:suppressLineNumbers w:val="0"/>
              <w:spacing w:before="0" w:beforeAutospacing="0" w:after="0" w:afterAutospacing="0" w:line="360" w:lineRule="auto"/>
              <w:ind w:left="0" w:right="0" w:firstLine="482" w:firstLineChars="200"/>
              <w:rPr>
                <w:rFonts w:hint="default"/>
                <w:b/>
                <w:color w:val="auto"/>
                <w:sz w:val="24"/>
              </w:rPr>
            </w:pPr>
            <w:r>
              <w:rPr>
                <w:rFonts w:hint="eastAsia"/>
                <w:b/>
                <w:color w:val="auto"/>
                <w:sz w:val="24"/>
              </w:rPr>
              <w:t>1</w:t>
            </w:r>
            <w:r>
              <w:rPr>
                <w:rFonts w:hint="eastAsia"/>
                <w:b/>
                <w:color w:val="auto"/>
                <w:sz w:val="24"/>
                <w:lang w:val="en-US" w:eastAsia="zh-CN"/>
              </w:rPr>
              <w:t>.</w:t>
            </w:r>
            <w:r>
              <w:rPr>
                <w:rFonts w:hint="eastAsia"/>
                <w:b/>
                <w:color w:val="auto"/>
                <w:sz w:val="24"/>
              </w:rPr>
              <w:t>施工期工艺流程</w:t>
            </w:r>
          </w:p>
          <w:p w14:paraId="51742EE1">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snapToGrid w:val="0"/>
                <w:color w:val="auto"/>
                <w:sz w:val="24"/>
              </w:rPr>
              <w:t>本项目</w:t>
            </w:r>
            <w:r>
              <w:rPr>
                <w:rFonts w:hint="eastAsia"/>
                <w:color w:val="auto"/>
                <w:sz w:val="24"/>
                <w:highlight w:val="none"/>
                <w:lang w:val="en-US" w:eastAsia="zh-CN"/>
              </w:rPr>
              <w:t>租赁</w:t>
            </w:r>
            <w:r>
              <w:rPr>
                <w:rFonts w:hint="eastAsia"/>
                <w:color w:val="auto"/>
                <w:sz w:val="24"/>
                <w:highlight w:val="none"/>
                <w:lang w:eastAsia="zh-CN"/>
              </w:rPr>
              <w:t>安徽省淮南市</w:t>
            </w:r>
            <w:r>
              <w:rPr>
                <w:rFonts w:hint="eastAsia"/>
                <w:color w:val="auto"/>
                <w:sz w:val="24"/>
                <w:highlight w:val="none"/>
                <w:lang w:val="en-US" w:eastAsia="zh-CN"/>
              </w:rPr>
              <w:t>凤台县</w:t>
            </w:r>
            <w:r>
              <w:rPr>
                <w:rFonts w:hint="eastAsia"/>
                <w:color w:val="auto"/>
                <w:sz w:val="24"/>
                <w:highlight w:val="none"/>
                <w:lang w:eastAsia="zh-CN"/>
              </w:rPr>
              <w:t>凤台经济开发区电子智能制造产业园52#标准化厂房一层、二层、三层、四层</w:t>
            </w:r>
            <w:r>
              <w:rPr>
                <w:rFonts w:hint="eastAsia"/>
                <w:color w:val="auto"/>
                <w:sz w:val="24"/>
                <w:highlight w:val="none"/>
                <w:lang w:val="en-US" w:eastAsia="zh-CN"/>
              </w:rPr>
              <w:t>进行建设</w:t>
            </w:r>
            <w:r>
              <w:rPr>
                <w:rFonts w:hint="eastAsia"/>
                <w:snapToGrid w:val="0"/>
                <w:color w:val="auto"/>
                <w:sz w:val="24"/>
              </w:rPr>
              <w:t>。施工期主要对厂房进行分隔装修、设备安装和附属设施建设等，不涉及土建施工活动。施工期对环境的主要影响为设备安装引起的噪声及装修过程中产生的废气。施工的时间较短，且施工区域集中在</w:t>
            </w:r>
            <w:r>
              <w:rPr>
                <w:rFonts w:hint="eastAsia"/>
                <w:snapToGrid w:val="0"/>
                <w:color w:val="auto"/>
                <w:sz w:val="24"/>
                <w:lang w:val="en-US" w:eastAsia="zh-CN"/>
              </w:rPr>
              <w:t>已建厂房</w:t>
            </w:r>
            <w:r>
              <w:rPr>
                <w:rFonts w:hint="eastAsia"/>
                <w:snapToGrid w:val="0"/>
                <w:color w:val="auto"/>
                <w:sz w:val="24"/>
              </w:rPr>
              <w:t>内部，对区域环境影响效果不显著。</w:t>
            </w:r>
          </w:p>
          <w:p w14:paraId="318E967B">
            <w:pPr>
              <w:keepNext w:val="0"/>
              <w:keepLines w:val="0"/>
              <w:suppressLineNumbers w:val="0"/>
              <w:spacing w:before="0" w:beforeAutospacing="0" w:after="0" w:afterAutospacing="0" w:line="360" w:lineRule="auto"/>
              <w:ind w:left="0" w:right="0" w:firstLine="482" w:firstLineChars="200"/>
              <w:rPr>
                <w:rFonts w:hint="default"/>
                <w:b/>
                <w:color w:val="auto"/>
                <w:sz w:val="24"/>
              </w:rPr>
            </w:pPr>
            <w:r>
              <w:rPr>
                <w:rFonts w:hint="eastAsia"/>
                <w:b/>
                <w:color w:val="auto"/>
                <w:sz w:val="24"/>
              </w:rPr>
              <w:t>2</w:t>
            </w:r>
            <w:r>
              <w:rPr>
                <w:rFonts w:hint="eastAsia"/>
                <w:b/>
                <w:color w:val="auto"/>
                <w:sz w:val="24"/>
                <w:lang w:val="en-US" w:eastAsia="zh-CN"/>
              </w:rPr>
              <w:t>.</w:t>
            </w:r>
            <w:r>
              <w:rPr>
                <w:rFonts w:hint="eastAsia"/>
                <w:b/>
                <w:color w:val="auto"/>
                <w:sz w:val="24"/>
              </w:rPr>
              <w:t>运营期工艺流程</w:t>
            </w:r>
          </w:p>
          <w:p w14:paraId="521F4E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color w:val="auto"/>
                <w:sz w:val="24"/>
                <w:szCs w:val="24"/>
                <w:lang w:val="en-US" w:eastAsia="zh-CN"/>
              </w:rPr>
            </w:pPr>
            <w:r>
              <w:rPr>
                <w:rFonts w:hint="eastAsia"/>
                <w:color w:val="auto"/>
                <w:sz w:val="24"/>
                <w:szCs w:val="24"/>
                <w:lang w:val="en-US" w:eastAsia="zh-CN"/>
              </w:rPr>
              <w:t>本项目外购PP、PS、PE等塑料粒子于厂房内注塑成PS衣架、日常收纳用品、服装辅料配件等塑料半成品，其中检验合格的塑料成品在厂房2F南部包装区包装入库后待出售，部分含少量毛边的塑料半成品经人工修剪、去毛边后包装入库，检验不合格的塑料半成品及废塑料边角料一并全部转运至粉碎区进行粉碎后回用于生产。</w:t>
            </w:r>
          </w:p>
          <w:p w14:paraId="686644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b w:val="0"/>
                <w:bCs w:val="0"/>
                <w:color w:val="auto"/>
                <w:sz w:val="24"/>
                <w:szCs w:val="24"/>
                <w:lang w:val="en-US" w:eastAsia="zh-CN"/>
              </w:rPr>
            </w:pPr>
            <w:r>
              <w:rPr>
                <w:rFonts w:hint="eastAsia"/>
                <w:color w:val="auto"/>
                <w:sz w:val="24"/>
                <w:szCs w:val="24"/>
                <w:highlight w:val="none"/>
                <w:lang w:val="en-US" w:eastAsia="zh-CN"/>
              </w:rPr>
              <w:t>生产的产品类型主要有PS衣架（PS）、日常收纳用品（PP/PE）及服装辅料配件（PP/PE/PS）等塑料日用品。本次拟建项目，年产1500万件PS衣架、500万件日常收纳用品及500万件服装辅料配件，产品均为单一材质，不涉及混料生产，</w:t>
            </w:r>
            <w:r>
              <w:rPr>
                <w:rFonts w:hint="eastAsia"/>
                <w:b w:val="0"/>
                <w:bCs w:val="0"/>
                <w:color w:val="auto"/>
                <w:sz w:val="24"/>
                <w:szCs w:val="24"/>
                <w:highlight w:val="none"/>
                <w:lang w:val="en-US" w:eastAsia="zh-CN"/>
              </w:rPr>
              <w:t>项目塑料制品生产工艺</w:t>
            </w:r>
            <w:r>
              <w:rPr>
                <w:rFonts w:hint="eastAsia"/>
                <w:b w:val="0"/>
                <w:bCs w:val="0"/>
                <w:color w:val="auto"/>
                <w:sz w:val="24"/>
                <w:szCs w:val="24"/>
                <w:lang w:val="en-US" w:eastAsia="zh-CN"/>
              </w:rPr>
              <w:t>流程和产排污环节具体如下：</w:t>
            </w:r>
          </w:p>
          <w:p w14:paraId="7F258625">
            <w:pPr>
              <w:keepNext w:val="0"/>
              <w:keepLines w:val="0"/>
              <w:suppressLineNumbers w:val="0"/>
              <w:bidi w:val="0"/>
              <w:spacing w:before="0" w:beforeAutospacing="0" w:after="0" w:afterAutospacing="0"/>
              <w:ind w:left="0" w:right="0"/>
              <w:rPr>
                <w:rFonts w:hint="eastAsia"/>
                <w:color w:val="auto"/>
                <w:lang w:val="en-US" w:eastAsia="zh-CN"/>
              </w:rPr>
            </w:pPr>
          </w:p>
          <w:p w14:paraId="40BE38F6">
            <w:pPr>
              <w:keepNext w:val="0"/>
              <w:keepLines w:val="0"/>
              <w:suppressLineNumbers w:val="0"/>
              <w:bidi w:val="0"/>
              <w:spacing w:before="0" w:beforeAutospacing="0" w:after="0" w:afterAutospacing="0"/>
              <w:ind w:left="0" w:right="0"/>
              <w:rPr>
                <w:rFonts w:hint="eastAsia"/>
                <w:color w:val="auto"/>
                <w:lang w:val="en-US" w:eastAsia="zh-CN"/>
              </w:rPr>
            </w:pPr>
          </w:p>
          <w:p w14:paraId="72860FFE">
            <w:pPr>
              <w:keepNext w:val="0"/>
              <w:keepLines w:val="0"/>
              <w:suppressLineNumbers w:val="0"/>
              <w:bidi w:val="0"/>
              <w:spacing w:before="0" w:beforeAutospacing="0" w:after="0" w:afterAutospacing="0"/>
              <w:ind w:left="0" w:right="0"/>
              <w:rPr>
                <w:rFonts w:hint="eastAsia"/>
                <w:color w:val="auto"/>
                <w:lang w:val="en-US" w:eastAsia="zh-CN"/>
              </w:rPr>
            </w:pPr>
          </w:p>
          <w:p w14:paraId="385140E1">
            <w:pPr>
              <w:keepNext w:val="0"/>
              <w:keepLines w:val="0"/>
              <w:suppressLineNumbers w:val="0"/>
              <w:bidi w:val="0"/>
              <w:spacing w:before="0" w:beforeAutospacing="0" w:after="0" w:afterAutospacing="0"/>
              <w:ind w:left="0" w:right="0"/>
              <w:rPr>
                <w:rFonts w:hint="eastAsia"/>
                <w:color w:val="auto"/>
                <w:lang w:val="en-US" w:eastAsia="zh-CN"/>
              </w:rPr>
            </w:pPr>
          </w:p>
          <w:p w14:paraId="0B06A4F1">
            <w:pPr>
              <w:keepNext w:val="0"/>
              <w:keepLines w:val="0"/>
              <w:suppressLineNumbers w:val="0"/>
              <w:bidi w:val="0"/>
              <w:spacing w:before="0" w:beforeAutospacing="0" w:after="0" w:afterAutospacing="0"/>
              <w:ind w:left="0" w:right="0"/>
              <w:rPr>
                <w:rFonts w:hint="eastAsia"/>
                <w:color w:val="auto"/>
                <w:lang w:val="en-US" w:eastAsia="zh-CN"/>
              </w:rPr>
            </w:pPr>
          </w:p>
          <w:p w14:paraId="45DB912D">
            <w:pPr>
              <w:keepNext w:val="0"/>
              <w:keepLines w:val="0"/>
              <w:suppressLineNumbers w:val="0"/>
              <w:bidi w:val="0"/>
              <w:spacing w:before="0" w:beforeAutospacing="0" w:after="0" w:afterAutospacing="0"/>
              <w:ind w:left="0" w:right="0"/>
              <w:rPr>
                <w:rFonts w:hint="eastAsia"/>
                <w:color w:val="auto"/>
                <w:lang w:val="en-US" w:eastAsia="zh-CN"/>
              </w:rPr>
            </w:pPr>
          </w:p>
          <w:p w14:paraId="7665F7C4">
            <w:pPr>
              <w:keepNext w:val="0"/>
              <w:keepLines w:val="0"/>
              <w:suppressLineNumbers w:val="0"/>
              <w:bidi w:val="0"/>
              <w:spacing w:before="0" w:beforeAutospacing="0" w:after="0" w:afterAutospacing="0"/>
              <w:ind w:left="0" w:right="0"/>
              <w:rPr>
                <w:rFonts w:hint="eastAsia"/>
                <w:color w:val="auto"/>
                <w:lang w:val="en-US" w:eastAsia="zh-CN"/>
              </w:rPr>
            </w:pPr>
          </w:p>
          <w:p w14:paraId="7A43C715">
            <w:pPr>
              <w:keepNext w:val="0"/>
              <w:keepLines w:val="0"/>
              <w:suppressLineNumbers w:val="0"/>
              <w:bidi w:val="0"/>
              <w:spacing w:before="0" w:beforeAutospacing="0" w:after="0" w:afterAutospacing="0"/>
              <w:ind w:left="0" w:right="0"/>
              <w:rPr>
                <w:rFonts w:hint="eastAsia"/>
                <w:color w:val="auto"/>
                <w:lang w:val="en-US" w:eastAsia="zh-CN"/>
              </w:rPr>
            </w:pPr>
          </w:p>
          <w:p w14:paraId="71F3AA92">
            <w:pPr>
              <w:keepNext w:val="0"/>
              <w:keepLines w:val="0"/>
              <w:suppressLineNumbers w:val="0"/>
              <w:bidi w:val="0"/>
              <w:spacing w:before="0" w:beforeAutospacing="0" w:after="0" w:afterAutospacing="0"/>
              <w:ind w:left="0" w:right="0"/>
              <w:rPr>
                <w:rFonts w:hint="eastAsia"/>
                <w:color w:val="auto"/>
                <w:lang w:val="en-US" w:eastAsia="zh-CN"/>
              </w:rPr>
            </w:pPr>
          </w:p>
          <w:p w14:paraId="4854376A">
            <w:pPr>
              <w:keepNext w:val="0"/>
              <w:keepLines w:val="0"/>
              <w:suppressLineNumbers w:val="0"/>
              <w:bidi w:val="0"/>
              <w:spacing w:before="0" w:beforeAutospacing="0" w:after="0" w:afterAutospacing="0"/>
              <w:ind w:left="0" w:right="0"/>
              <w:rPr>
                <w:rFonts w:hint="eastAsia"/>
                <w:color w:val="auto"/>
                <w:lang w:val="en-US" w:eastAsia="zh-CN"/>
              </w:rPr>
            </w:pPr>
          </w:p>
          <w:p w14:paraId="262BDC71">
            <w:pPr>
              <w:keepNext w:val="0"/>
              <w:keepLines w:val="0"/>
              <w:suppressLineNumbers w:val="0"/>
              <w:bidi w:val="0"/>
              <w:spacing w:before="0" w:beforeAutospacing="0" w:after="0" w:afterAutospacing="0"/>
              <w:ind w:left="0" w:right="0"/>
              <w:rPr>
                <w:rFonts w:hint="eastAsia"/>
                <w:color w:val="auto"/>
                <w:lang w:val="en-US" w:eastAsia="zh-CN"/>
              </w:rPr>
            </w:pPr>
          </w:p>
          <w:p w14:paraId="63A3EFA1">
            <w:pPr>
              <w:keepNext w:val="0"/>
              <w:keepLines w:val="0"/>
              <w:suppressLineNumbers w:val="0"/>
              <w:bidi w:val="0"/>
              <w:spacing w:before="0" w:beforeAutospacing="0" w:after="0" w:afterAutospacing="0"/>
              <w:ind w:left="0" w:right="0"/>
              <w:rPr>
                <w:rFonts w:hint="eastAsia"/>
                <w:color w:val="auto"/>
                <w:lang w:val="en-US" w:eastAsia="zh-CN"/>
              </w:rPr>
            </w:pPr>
          </w:p>
          <w:p w14:paraId="4DDFB8EB">
            <w:pPr>
              <w:keepNext w:val="0"/>
              <w:keepLines w:val="0"/>
              <w:suppressLineNumbers w:val="0"/>
              <w:bidi w:val="0"/>
              <w:spacing w:before="0" w:beforeAutospacing="0" w:after="0" w:afterAutospacing="0"/>
              <w:ind w:left="0" w:right="0"/>
              <w:rPr>
                <w:rFonts w:hint="eastAsia"/>
                <w:color w:val="auto"/>
                <w:lang w:val="en-US" w:eastAsia="zh-CN"/>
              </w:rPr>
            </w:pPr>
          </w:p>
          <w:p w14:paraId="35FD1F71">
            <w:pPr>
              <w:keepNext w:val="0"/>
              <w:keepLines w:val="0"/>
              <w:suppressLineNumbers w:val="0"/>
              <w:bidi w:val="0"/>
              <w:spacing w:before="0" w:beforeAutospacing="0" w:after="0" w:afterAutospacing="0"/>
              <w:ind w:left="0" w:right="0"/>
              <w:rPr>
                <w:rFonts w:hint="eastAsia"/>
                <w:color w:val="auto"/>
                <w:lang w:val="en-US" w:eastAsia="zh-CN"/>
              </w:rPr>
            </w:pPr>
          </w:p>
          <w:p w14:paraId="2B65A62A">
            <w:pPr>
              <w:keepNext w:val="0"/>
              <w:keepLines w:val="0"/>
              <w:suppressLineNumbers w:val="0"/>
              <w:bidi w:val="0"/>
              <w:spacing w:before="0" w:beforeAutospacing="0" w:after="0" w:afterAutospacing="0"/>
              <w:ind w:left="0" w:right="0"/>
              <w:rPr>
                <w:rFonts w:hint="eastAsia"/>
                <w:color w:val="auto"/>
                <w:lang w:val="en-US" w:eastAsia="zh-CN"/>
              </w:rPr>
            </w:pPr>
          </w:p>
          <w:p w14:paraId="50E43736">
            <w:pPr>
              <w:keepNext w:val="0"/>
              <w:keepLines w:val="0"/>
              <w:suppressLineNumbers w:val="0"/>
              <w:bidi w:val="0"/>
              <w:spacing w:before="0" w:beforeAutospacing="0" w:after="0" w:afterAutospacing="0"/>
              <w:ind w:left="0" w:right="0"/>
              <w:rPr>
                <w:rFonts w:hint="eastAsia"/>
                <w:color w:val="auto"/>
                <w:lang w:val="en-US" w:eastAsia="zh-CN"/>
              </w:rPr>
            </w:pPr>
          </w:p>
          <w:p w14:paraId="46C503A1">
            <w:pPr>
              <w:keepNext w:val="0"/>
              <w:keepLines w:val="0"/>
              <w:suppressLineNumbers w:val="0"/>
              <w:bidi w:val="0"/>
              <w:spacing w:before="0" w:beforeAutospacing="0" w:after="0" w:afterAutospacing="0"/>
              <w:ind w:left="0" w:right="0"/>
              <w:rPr>
                <w:rFonts w:hint="eastAsia"/>
                <w:color w:val="auto"/>
                <w:lang w:val="en-US" w:eastAsia="zh-CN"/>
              </w:rPr>
            </w:pPr>
          </w:p>
          <w:p w14:paraId="7A3603B2">
            <w:pPr>
              <w:keepNext w:val="0"/>
              <w:keepLines w:val="0"/>
              <w:suppressLineNumbers w:val="0"/>
              <w:bidi w:val="0"/>
              <w:spacing w:before="0" w:beforeAutospacing="0" w:after="0" w:afterAutospacing="0"/>
              <w:ind w:left="0" w:right="0"/>
              <w:rPr>
                <w:rFonts w:hint="eastAsia"/>
                <w:color w:val="auto"/>
                <w:lang w:val="en-US" w:eastAsia="zh-CN"/>
              </w:rPr>
            </w:pPr>
          </w:p>
          <w:p w14:paraId="55974C34">
            <w:pPr>
              <w:keepNext w:val="0"/>
              <w:keepLines w:val="0"/>
              <w:suppressLineNumbers w:val="0"/>
              <w:bidi w:val="0"/>
              <w:spacing w:before="0" w:beforeAutospacing="0" w:after="0" w:afterAutospacing="0"/>
              <w:ind w:left="0" w:right="0"/>
              <w:rPr>
                <w:rFonts w:hint="eastAsia"/>
                <w:color w:val="auto"/>
                <w:lang w:val="en-US" w:eastAsia="zh-CN"/>
              </w:rPr>
            </w:pPr>
          </w:p>
          <w:p w14:paraId="3F5299F0">
            <w:pPr>
              <w:keepNext w:val="0"/>
              <w:keepLines w:val="0"/>
              <w:suppressLineNumbers w:val="0"/>
              <w:bidi w:val="0"/>
              <w:spacing w:before="0" w:beforeAutospacing="0" w:after="0" w:afterAutospacing="0"/>
              <w:ind w:left="0" w:right="0"/>
              <w:rPr>
                <w:rFonts w:hint="eastAsia"/>
                <w:color w:val="auto"/>
                <w:lang w:val="en-US" w:eastAsia="zh-CN"/>
              </w:rPr>
            </w:pPr>
          </w:p>
          <w:p w14:paraId="3B61CEE4">
            <w:pPr>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rPr>
              <mc:AlternateContent>
                <mc:Choice Requires="wpc">
                  <w:drawing>
                    <wp:anchor distT="0" distB="0" distL="114300" distR="114300" simplePos="0" relativeHeight="251660288" behindDoc="0" locked="0" layoutInCell="1" allowOverlap="1">
                      <wp:simplePos x="0" y="0"/>
                      <wp:positionH relativeFrom="column">
                        <wp:posOffset>-36830</wp:posOffset>
                      </wp:positionH>
                      <wp:positionV relativeFrom="paragraph">
                        <wp:posOffset>44450</wp:posOffset>
                      </wp:positionV>
                      <wp:extent cx="5040630" cy="5557520"/>
                      <wp:effectExtent l="0" t="0" r="0" b="0"/>
                      <wp:wrapNone/>
                      <wp:docPr id="188" name="画布 188"/>
                      <wp:cNvGraphicFramePr/>
                      <a:graphic xmlns:a="http://schemas.openxmlformats.org/drawingml/2006/main">
                        <a:graphicData uri="http://schemas.microsoft.com/office/word/2010/wordprocessingCanvas">
                          <wpc:wpc>
                            <wpc:bg/>
                            <wpc:whole/>
                            <wps:wsp>
                              <wps:cNvPr id="189" name="矩形 189"/>
                              <wps:cNvSpPr/>
                              <wps:spPr>
                                <a:xfrm>
                                  <a:off x="1359535" y="901700"/>
                                  <a:ext cx="944880" cy="314325"/>
                                </a:xfrm>
                                <a:prstGeom prst="rect">
                                  <a:avLst/>
                                </a:prstGeom>
                                <a:noFill/>
                                <a:ln w="9525"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47C1CD05">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拆包、投料</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9" name="文本框 209"/>
                              <wps:cNvSpPr txBox="1"/>
                              <wps:spPr>
                                <a:xfrm>
                                  <a:off x="1173480" y="282575"/>
                                  <a:ext cx="1315085"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458F76">
                                    <w:pPr>
                                      <w:jc w:val="center"/>
                                      <w:rPr>
                                        <w:rFonts w:hint="default" w:eastAsia="宋体"/>
                                        <w:lang w:val="en-US" w:eastAsia="zh-CN"/>
                                      </w:rPr>
                                    </w:pPr>
                                    <w:r>
                                      <w:rPr>
                                        <w:rFonts w:hint="eastAsia"/>
                                        <w:lang w:val="en-US" w:eastAsia="zh-CN"/>
                                      </w:rPr>
                                      <w:t>PP/PS/PE</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17" name="矩形 417"/>
                              <wps:cNvSpPr/>
                              <wps:spPr>
                                <a:xfrm>
                                  <a:off x="1352550" y="1551305"/>
                                  <a:ext cx="960755" cy="314325"/>
                                </a:xfrm>
                                <a:prstGeom prst="rect">
                                  <a:avLst/>
                                </a:prstGeom>
                                <a:noFill/>
                                <a:ln w="9525"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62B3C71C">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配料</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18" name="矩形 418"/>
                              <wps:cNvSpPr/>
                              <wps:spPr>
                                <a:xfrm>
                                  <a:off x="1376680" y="2208530"/>
                                  <a:ext cx="897255" cy="314325"/>
                                </a:xfrm>
                                <a:prstGeom prst="rect">
                                  <a:avLst/>
                                </a:prstGeom>
                                <a:noFill/>
                                <a:ln w="9525"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0EC1BD1C">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注塑</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19" name="矩形 419"/>
                              <wps:cNvSpPr/>
                              <wps:spPr>
                                <a:xfrm>
                                  <a:off x="1368425" y="2856230"/>
                                  <a:ext cx="904875" cy="314325"/>
                                </a:xfrm>
                                <a:prstGeom prst="rect">
                                  <a:avLst/>
                                </a:prstGeom>
                                <a:noFill/>
                                <a:ln w="9525"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2BF9E53B">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保压、冷却</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20" name="矩形 420"/>
                              <wps:cNvSpPr/>
                              <wps:spPr>
                                <a:xfrm>
                                  <a:off x="1344930" y="3484245"/>
                                  <a:ext cx="960120" cy="484505"/>
                                </a:xfrm>
                                <a:prstGeom prst="rect">
                                  <a:avLst/>
                                </a:prstGeom>
                                <a:noFill/>
                                <a:ln w="9525"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2E63D597">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半成品检验</w:t>
                                    </w:r>
                                  </w:p>
                                  <w:p w14:paraId="0CB05404">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及修边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24" name="矩形 424"/>
                              <wps:cNvSpPr/>
                              <wps:spPr>
                                <a:xfrm>
                                  <a:off x="1306195" y="4308475"/>
                                  <a:ext cx="1029335" cy="351790"/>
                                </a:xfrm>
                                <a:prstGeom prst="rect">
                                  <a:avLst/>
                                </a:prstGeom>
                                <a:noFill/>
                                <a:ln w="9525"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0CA1488E">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包装</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25" name="直接箭头连接符 425"/>
                              <wps:cNvCnPr>
                                <a:stCxn id="209" idx="2"/>
                                <a:endCxn id="189" idx="0"/>
                              </wps:cNvCnPr>
                              <wps:spPr>
                                <a:xfrm>
                                  <a:off x="1831340" y="587375"/>
                                  <a:ext cx="635" cy="314325"/>
                                </a:xfrm>
                                <a:prstGeom prst="straightConnector1">
                                  <a:avLst/>
                                </a:prstGeom>
                                <a:ln w="9525">
                                  <a:solidFill>
                                    <a:schemeClr val="tx1"/>
                                  </a:solidFill>
                                  <a:tailEnd type="triangle" w="sm" len="med"/>
                                </a:ln>
                              </wps:spPr>
                              <wps:style>
                                <a:lnRef idx="2">
                                  <a:schemeClr val="accent1"/>
                                </a:lnRef>
                                <a:fillRef idx="0">
                                  <a:srgbClr val="FFFFFF"/>
                                </a:fillRef>
                                <a:effectRef idx="0">
                                  <a:srgbClr val="FFFFFF"/>
                                </a:effectRef>
                                <a:fontRef idx="minor">
                                  <a:schemeClr val="tx1"/>
                                </a:fontRef>
                              </wps:style>
                              <wps:bodyPr/>
                            </wps:wsp>
                            <wps:wsp>
                              <wps:cNvPr id="426" name="直接箭头连接符 426"/>
                              <wps:cNvCnPr>
                                <a:stCxn id="189" idx="2"/>
                                <a:endCxn id="417" idx="0"/>
                              </wps:cNvCnPr>
                              <wps:spPr>
                                <a:xfrm>
                                  <a:off x="1831975" y="1216025"/>
                                  <a:ext cx="1270" cy="335280"/>
                                </a:xfrm>
                                <a:prstGeom prst="straightConnector1">
                                  <a:avLst/>
                                </a:prstGeom>
                                <a:ln w="9525">
                                  <a:solidFill>
                                    <a:schemeClr val="tx1"/>
                                  </a:solidFill>
                                  <a:tailEnd type="triangle" w="sm" len="med"/>
                                </a:ln>
                              </wps:spPr>
                              <wps:style>
                                <a:lnRef idx="2">
                                  <a:schemeClr val="accent1"/>
                                </a:lnRef>
                                <a:fillRef idx="0">
                                  <a:srgbClr val="FFFFFF"/>
                                </a:fillRef>
                                <a:effectRef idx="0">
                                  <a:srgbClr val="FFFFFF"/>
                                </a:effectRef>
                                <a:fontRef idx="minor">
                                  <a:schemeClr val="tx1"/>
                                </a:fontRef>
                              </wps:style>
                              <wps:bodyPr/>
                            </wps:wsp>
                            <wps:wsp>
                              <wps:cNvPr id="427" name="直接箭头连接符 427"/>
                              <wps:cNvCnPr>
                                <a:stCxn id="417" idx="2"/>
                                <a:endCxn id="418" idx="0"/>
                              </wps:cNvCnPr>
                              <wps:spPr>
                                <a:xfrm flipH="1">
                                  <a:off x="1825625" y="1865630"/>
                                  <a:ext cx="7620" cy="342900"/>
                                </a:xfrm>
                                <a:prstGeom prst="straightConnector1">
                                  <a:avLst/>
                                </a:prstGeom>
                                <a:ln w="9525">
                                  <a:solidFill>
                                    <a:schemeClr val="tx1"/>
                                  </a:solidFill>
                                  <a:tailEnd type="triangle" w="sm" len="med"/>
                                </a:ln>
                              </wps:spPr>
                              <wps:style>
                                <a:lnRef idx="2">
                                  <a:schemeClr val="accent1"/>
                                </a:lnRef>
                                <a:fillRef idx="0">
                                  <a:srgbClr val="FFFFFF"/>
                                </a:fillRef>
                                <a:effectRef idx="0">
                                  <a:srgbClr val="FFFFFF"/>
                                </a:effectRef>
                                <a:fontRef idx="minor">
                                  <a:schemeClr val="tx1"/>
                                </a:fontRef>
                              </wps:style>
                              <wps:bodyPr/>
                            </wps:wsp>
                            <wps:wsp>
                              <wps:cNvPr id="428" name="直接箭头连接符 428"/>
                              <wps:cNvCnPr>
                                <a:stCxn id="418" idx="2"/>
                                <a:endCxn id="419" idx="0"/>
                              </wps:cNvCnPr>
                              <wps:spPr>
                                <a:xfrm flipH="1">
                                  <a:off x="1821180" y="2522855"/>
                                  <a:ext cx="4445" cy="333375"/>
                                </a:xfrm>
                                <a:prstGeom prst="straightConnector1">
                                  <a:avLst/>
                                </a:prstGeom>
                                <a:ln w="9525">
                                  <a:solidFill>
                                    <a:schemeClr val="tx1"/>
                                  </a:solidFill>
                                  <a:tailEnd type="triangle" w="sm" len="med"/>
                                </a:ln>
                              </wps:spPr>
                              <wps:style>
                                <a:lnRef idx="2">
                                  <a:schemeClr val="accent1"/>
                                </a:lnRef>
                                <a:fillRef idx="0">
                                  <a:srgbClr val="FFFFFF"/>
                                </a:fillRef>
                                <a:effectRef idx="0">
                                  <a:srgbClr val="FFFFFF"/>
                                </a:effectRef>
                                <a:fontRef idx="minor">
                                  <a:schemeClr val="tx1"/>
                                </a:fontRef>
                              </wps:style>
                              <wps:bodyPr/>
                            </wps:wsp>
                            <wps:wsp>
                              <wps:cNvPr id="429" name="直接箭头连接符 429"/>
                              <wps:cNvCnPr>
                                <a:stCxn id="419" idx="2"/>
                                <a:endCxn id="420" idx="0"/>
                              </wps:cNvCnPr>
                              <wps:spPr>
                                <a:xfrm>
                                  <a:off x="1821180" y="3170555"/>
                                  <a:ext cx="3810" cy="313690"/>
                                </a:xfrm>
                                <a:prstGeom prst="straightConnector1">
                                  <a:avLst/>
                                </a:prstGeom>
                                <a:ln w="9525">
                                  <a:solidFill>
                                    <a:schemeClr val="tx1"/>
                                  </a:solidFill>
                                  <a:tailEnd type="triangle" w="sm" len="med"/>
                                </a:ln>
                              </wps:spPr>
                              <wps:style>
                                <a:lnRef idx="2">
                                  <a:schemeClr val="accent1"/>
                                </a:lnRef>
                                <a:fillRef idx="0">
                                  <a:srgbClr val="FFFFFF"/>
                                </a:fillRef>
                                <a:effectRef idx="0">
                                  <a:srgbClr val="FFFFFF"/>
                                </a:effectRef>
                                <a:fontRef idx="minor">
                                  <a:schemeClr val="tx1"/>
                                </a:fontRef>
                              </wps:style>
                              <wps:bodyPr/>
                            </wps:wsp>
                            <wps:wsp>
                              <wps:cNvPr id="430" name="矩形 430"/>
                              <wps:cNvSpPr/>
                              <wps:spPr>
                                <a:xfrm>
                                  <a:off x="1305560" y="4954905"/>
                                  <a:ext cx="1029335" cy="293370"/>
                                </a:xfrm>
                                <a:prstGeom prst="rect">
                                  <a:avLst/>
                                </a:prstGeom>
                                <a:noFill/>
                                <a:ln w="9525" cmpd="sng">
                                  <a:no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26010101">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产品入库</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31" name="直接箭头连接符 431"/>
                              <wps:cNvCnPr>
                                <a:stCxn id="420" idx="2"/>
                                <a:endCxn id="424" idx="0"/>
                              </wps:cNvCnPr>
                              <wps:spPr>
                                <a:xfrm flipH="1">
                                  <a:off x="1821180" y="3968750"/>
                                  <a:ext cx="3810" cy="339725"/>
                                </a:xfrm>
                                <a:prstGeom prst="straightConnector1">
                                  <a:avLst/>
                                </a:prstGeom>
                                <a:ln w="9525">
                                  <a:solidFill>
                                    <a:schemeClr val="tx1"/>
                                  </a:solidFill>
                                  <a:tailEnd type="triangle" w="sm" len="med"/>
                                </a:ln>
                              </wps:spPr>
                              <wps:style>
                                <a:lnRef idx="2">
                                  <a:schemeClr val="accent1"/>
                                </a:lnRef>
                                <a:fillRef idx="0">
                                  <a:srgbClr val="FFFFFF"/>
                                </a:fillRef>
                                <a:effectRef idx="0">
                                  <a:srgbClr val="FFFFFF"/>
                                </a:effectRef>
                                <a:fontRef idx="minor">
                                  <a:schemeClr val="tx1"/>
                                </a:fontRef>
                              </wps:style>
                              <wps:bodyPr/>
                            </wps:wsp>
                            <wps:wsp>
                              <wps:cNvPr id="444" name="直接箭头连接符 444"/>
                              <wps:cNvCnPr>
                                <a:stCxn id="420" idx="3"/>
                                <a:endCxn id="31" idx="1"/>
                              </wps:cNvCnPr>
                              <wps:spPr>
                                <a:xfrm flipV="1">
                                  <a:off x="2305050" y="3717925"/>
                                  <a:ext cx="1227455" cy="8890"/>
                                </a:xfrm>
                                <a:prstGeom prst="straightConnector1">
                                  <a:avLst/>
                                </a:prstGeom>
                                <a:ln w="9525">
                                  <a:solidFill>
                                    <a:schemeClr val="tx1"/>
                                  </a:solidFill>
                                  <a:tailEnd type="triangle" w="sm" len="med"/>
                                </a:ln>
                              </wps:spPr>
                              <wps:style>
                                <a:lnRef idx="2">
                                  <a:schemeClr val="accent1"/>
                                </a:lnRef>
                                <a:fillRef idx="0">
                                  <a:srgbClr val="FFFFFF"/>
                                </a:fillRef>
                                <a:effectRef idx="0">
                                  <a:srgbClr val="FFFFFF"/>
                                </a:effectRef>
                                <a:fontRef idx="minor">
                                  <a:schemeClr val="tx1"/>
                                </a:fontRef>
                              </wps:style>
                              <wps:bodyPr/>
                            </wps:wsp>
                            <wps:wsp>
                              <wps:cNvPr id="445" name="文本框 445"/>
                              <wps:cNvSpPr txBox="1"/>
                              <wps:spPr>
                                <a:xfrm>
                                  <a:off x="2399030" y="3284855"/>
                                  <a:ext cx="1011555" cy="5327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0A33C">
                                    <w:pPr>
                                      <w:jc w:val="both"/>
                                      <w:rPr>
                                        <w:rFonts w:hint="default" w:eastAsia="宋体"/>
                                        <w:color w:val="FF0000"/>
                                        <w:sz w:val="18"/>
                                        <w:szCs w:val="18"/>
                                        <w:lang w:val="en-US" w:eastAsia="zh-CN"/>
                                      </w:rPr>
                                    </w:pPr>
                                    <w:r>
                                      <w:rPr>
                                        <w:rFonts w:hint="eastAsia"/>
                                        <w:color w:val="FF0000"/>
                                        <w:sz w:val="18"/>
                                        <w:szCs w:val="18"/>
                                        <w:lang w:val="en-US" w:eastAsia="zh-CN"/>
                                      </w:rPr>
                                      <w:t>S</w:t>
                                    </w:r>
                                    <w:r>
                                      <w:rPr>
                                        <w:rFonts w:hint="eastAsia"/>
                                        <w:color w:val="FF0000"/>
                                        <w:sz w:val="18"/>
                                        <w:szCs w:val="18"/>
                                        <w:vertAlign w:val="subscript"/>
                                        <w:lang w:val="en-US" w:eastAsia="zh-CN"/>
                                      </w:rPr>
                                      <w:t>2</w:t>
                                    </w:r>
                                    <w:r>
                                      <w:rPr>
                                        <w:rFonts w:hint="eastAsia"/>
                                        <w:color w:val="FF0000"/>
                                        <w:sz w:val="18"/>
                                        <w:szCs w:val="18"/>
                                        <w:lang w:val="en-US" w:eastAsia="zh-CN"/>
                                      </w:rPr>
                                      <w:t>废塑料边角料</w:t>
                                    </w:r>
                                  </w:p>
                                  <w:p w14:paraId="4DF293F2">
                                    <w:pPr>
                                      <w:jc w:val="both"/>
                                      <w:rPr>
                                        <w:rFonts w:hint="default" w:eastAsia="宋体"/>
                                        <w:lang w:val="en-US" w:eastAsia="zh-CN"/>
                                      </w:rPr>
                                    </w:pPr>
                                    <w:r>
                                      <w:rPr>
                                        <w:rFonts w:hint="eastAsia"/>
                                        <w:color w:val="FF0000"/>
                                        <w:sz w:val="18"/>
                                        <w:szCs w:val="18"/>
                                        <w:lang w:val="en-US" w:eastAsia="zh-CN"/>
                                      </w:rPr>
                                      <w:t>S</w:t>
                                    </w:r>
                                    <w:r>
                                      <w:rPr>
                                        <w:rFonts w:hint="eastAsia"/>
                                        <w:color w:val="FF0000"/>
                                        <w:sz w:val="18"/>
                                        <w:szCs w:val="18"/>
                                        <w:vertAlign w:val="subscript"/>
                                        <w:lang w:val="en-US" w:eastAsia="zh-CN"/>
                                      </w:rPr>
                                      <w:t>3</w:t>
                                    </w:r>
                                    <w:r>
                                      <w:rPr>
                                        <w:rFonts w:hint="eastAsia"/>
                                        <w:color w:val="FF0000"/>
                                        <w:sz w:val="18"/>
                                        <w:szCs w:val="18"/>
                                        <w:lang w:val="en-US" w:eastAsia="zh-CN"/>
                                      </w:rPr>
                                      <w:t>不合格品</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49" name="直接箭头连接符 449"/>
                              <wps:cNvCnPr/>
                              <wps:spPr>
                                <a:xfrm flipV="1">
                                  <a:off x="307340" y="4510405"/>
                                  <a:ext cx="1003935" cy="3175"/>
                                </a:xfrm>
                                <a:prstGeom prst="straightConnector1">
                                  <a:avLst/>
                                </a:prstGeom>
                                <a:ln w="9525">
                                  <a:solidFill>
                                    <a:schemeClr val="tx1"/>
                                  </a:solidFill>
                                  <a:tailEnd type="triangle" w="sm" len="med"/>
                                </a:ln>
                              </wps:spPr>
                              <wps:style>
                                <a:lnRef idx="2">
                                  <a:schemeClr val="accent1"/>
                                </a:lnRef>
                                <a:fillRef idx="0">
                                  <a:srgbClr val="FFFFFF"/>
                                </a:fillRef>
                                <a:effectRef idx="0">
                                  <a:srgbClr val="FFFFFF"/>
                                </a:effectRef>
                                <a:fontRef idx="minor">
                                  <a:schemeClr val="tx1"/>
                                </a:fontRef>
                              </wps:style>
                              <wps:bodyPr/>
                            </wps:wsp>
                            <wps:wsp>
                              <wps:cNvPr id="450" name="文本框 450"/>
                              <wps:cNvSpPr txBox="1"/>
                              <wps:spPr>
                                <a:xfrm>
                                  <a:off x="155575" y="4046855"/>
                                  <a:ext cx="1169035" cy="514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D11417">
                                    <w:pPr>
                                      <w:jc w:val="center"/>
                                      <w:rPr>
                                        <w:rFonts w:hint="eastAsia"/>
                                        <w:lang w:val="en-US" w:eastAsia="zh-CN"/>
                                      </w:rPr>
                                    </w:pPr>
                                    <w:r>
                                      <w:rPr>
                                        <w:rFonts w:hint="eastAsia"/>
                                        <w:lang w:val="en-US" w:eastAsia="zh-CN"/>
                                      </w:rPr>
                                      <w:t>纸箱、打包带、</w:t>
                                    </w:r>
                                  </w:p>
                                  <w:p w14:paraId="74631667">
                                    <w:pPr>
                                      <w:jc w:val="center"/>
                                      <w:rPr>
                                        <w:rFonts w:hint="default" w:eastAsia="宋体"/>
                                        <w:lang w:val="en-US" w:eastAsia="zh-CN"/>
                                      </w:rPr>
                                    </w:pPr>
                                    <w:r>
                                      <w:rPr>
                                        <w:rFonts w:hint="eastAsia"/>
                                        <w:lang w:val="en-US" w:eastAsia="zh-CN"/>
                                      </w:rPr>
                                      <w:t>封箱带</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3" name="文本框 453"/>
                              <wps:cNvSpPr txBox="1"/>
                              <wps:spPr>
                                <a:xfrm>
                                  <a:off x="1347470" y="3978910"/>
                                  <a:ext cx="471805"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FDACCA">
                                    <w:pPr>
                                      <w:jc w:val="both"/>
                                      <w:rPr>
                                        <w:rFonts w:hint="default" w:eastAsia="宋体"/>
                                        <w:lang w:val="en-US" w:eastAsia="zh-CN"/>
                                      </w:rPr>
                                    </w:pPr>
                                    <w:r>
                                      <w:rPr>
                                        <w:rFonts w:hint="eastAsia"/>
                                        <w:lang w:val="en-US" w:eastAsia="zh-CN"/>
                                      </w:rPr>
                                      <w:t>合格</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8" name="任意多边形 458"/>
                              <wps:cNvSpPr/>
                              <wps:spPr>
                                <a:xfrm>
                                  <a:off x="2226310" y="685165"/>
                                  <a:ext cx="186690" cy="216535"/>
                                </a:xfrm>
                                <a:custGeom>
                                  <a:avLst/>
                                  <a:gdLst>
                                    <a:gd name="connisteX0" fmla="*/ 0 w 186857"/>
                                    <a:gd name="connsiteY0" fmla="*/ 216774 h 216774"/>
                                    <a:gd name="connisteX1" fmla="*/ 36830 w 186857"/>
                                    <a:gd name="connsiteY1" fmla="*/ 99299 h 216774"/>
                                    <a:gd name="connisteX2" fmla="*/ 87630 w 186857"/>
                                    <a:gd name="connsiteY2" fmla="*/ 158354 h 216774"/>
                                    <a:gd name="connisteX3" fmla="*/ 175895 w 186857"/>
                                    <a:gd name="connsiteY3" fmla="*/ 19289 h 216774"/>
                                    <a:gd name="connisteX4" fmla="*/ 182880 w 186857"/>
                                    <a:gd name="connsiteY4" fmla="*/ 4049 h 216774"/>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186857" h="216774">
                                      <a:moveTo>
                                        <a:pt x="0" y="216774"/>
                                      </a:moveTo>
                                      <a:cubicBezTo>
                                        <a:pt x="6350" y="192009"/>
                                        <a:pt x="19050" y="110729"/>
                                        <a:pt x="36830" y="99299"/>
                                      </a:cubicBezTo>
                                      <a:cubicBezTo>
                                        <a:pt x="54610" y="87869"/>
                                        <a:pt x="59690" y="174229"/>
                                        <a:pt x="87630" y="158354"/>
                                      </a:cubicBezTo>
                                      <a:cubicBezTo>
                                        <a:pt x="115570" y="142479"/>
                                        <a:pt x="156845" y="50404"/>
                                        <a:pt x="175895" y="19289"/>
                                      </a:cubicBezTo>
                                      <a:cubicBezTo>
                                        <a:pt x="194945" y="-11826"/>
                                        <a:pt x="183515" y="4049"/>
                                        <a:pt x="182880" y="4049"/>
                                      </a:cubicBezTo>
                                    </a:path>
                                  </a:pathLst>
                                </a:custGeom>
                                <a:noFill/>
                                <a:ln w="9525" cmpd="sng">
                                  <a:solidFill>
                                    <a:srgbClr val="00B050"/>
                                  </a:solidFill>
                                  <a:prstDash val="sysDash"/>
                                  <a:tailEnd type="triangle" w="sm" len="med"/>
                                </a:ln>
                              </wps:spPr>
                              <wps:style>
                                <a:lnRef idx="2">
                                  <a:schemeClr val="accent1">
                                    <a:lumMod val="75000"/>
                                  </a:schemeClr>
                                </a:lnRef>
                                <a:fillRef idx="1">
                                  <a:schemeClr val="accent1"/>
                                </a:fillRef>
                                <a:effectRef idx="0">
                                  <a:srgbClr val="FFFFFF"/>
                                </a:effectRef>
                                <a:fontRef idx="minor">
                                  <a:schemeClr val="lt1"/>
                                </a:fontRef>
                              </wps:style>
                              <wps:bodyPr/>
                            </wps:wsp>
                            <wps:wsp>
                              <wps:cNvPr id="459" name="文本框 459"/>
                              <wps:cNvSpPr txBox="1"/>
                              <wps:spPr>
                                <a:xfrm>
                                  <a:off x="2362200" y="566420"/>
                                  <a:ext cx="828675"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016DC2">
                                    <w:pPr>
                                      <w:jc w:val="left"/>
                                      <w:rPr>
                                        <w:rFonts w:hint="default" w:eastAsia="宋体"/>
                                        <w:color w:val="00B050"/>
                                        <w:sz w:val="18"/>
                                        <w:szCs w:val="18"/>
                                        <w:lang w:val="en-US" w:eastAsia="zh-CN"/>
                                      </w:rPr>
                                    </w:pPr>
                                    <w:r>
                                      <w:rPr>
                                        <w:rFonts w:hint="eastAsia"/>
                                        <w:color w:val="00B050"/>
                                        <w:sz w:val="18"/>
                                        <w:szCs w:val="18"/>
                                        <w:lang w:val="en-US" w:eastAsia="zh-CN"/>
                                      </w:rPr>
                                      <w:t>G</w:t>
                                    </w:r>
                                    <w:r>
                                      <w:rPr>
                                        <w:rFonts w:hint="eastAsia"/>
                                        <w:color w:val="00B050"/>
                                        <w:sz w:val="18"/>
                                        <w:szCs w:val="18"/>
                                        <w:vertAlign w:val="subscript"/>
                                        <w:lang w:val="en-US" w:eastAsia="zh-CN"/>
                                      </w:rPr>
                                      <w:t>1</w:t>
                                    </w:r>
                                    <w:r>
                                      <w:rPr>
                                        <w:rFonts w:hint="eastAsia"/>
                                        <w:color w:val="00B050"/>
                                        <w:sz w:val="18"/>
                                        <w:szCs w:val="18"/>
                                        <w:lang w:val="en-US" w:eastAsia="zh-CN"/>
                                      </w:rPr>
                                      <w:t>投料粉尘</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60" name="任意多边形 460"/>
                              <wps:cNvSpPr/>
                              <wps:spPr>
                                <a:xfrm>
                                  <a:off x="2240280" y="1997075"/>
                                  <a:ext cx="186690" cy="216535"/>
                                </a:xfrm>
                                <a:custGeom>
                                  <a:avLst/>
                                  <a:gdLst>
                                    <a:gd name="connisteX0" fmla="*/ 0 w 186857"/>
                                    <a:gd name="connsiteY0" fmla="*/ 216774 h 216774"/>
                                    <a:gd name="connisteX1" fmla="*/ 36830 w 186857"/>
                                    <a:gd name="connsiteY1" fmla="*/ 99299 h 216774"/>
                                    <a:gd name="connisteX2" fmla="*/ 87630 w 186857"/>
                                    <a:gd name="connsiteY2" fmla="*/ 158354 h 216774"/>
                                    <a:gd name="connisteX3" fmla="*/ 175895 w 186857"/>
                                    <a:gd name="connsiteY3" fmla="*/ 19289 h 216774"/>
                                    <a:gd name="connisteX4" fmla="*/ 182880 w 186857"/>
                                    <a:gd name="connsiteY4" fmla="*/ 4049 h 216774"/>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186857" h="216774">
                                      <a:moveTo>
                                        <a:pt x="0" y="216774"/>
                                      </a:moveTo>
                                      <a:cubicBezTo>
                                        <a:pt x="6350" y="192009"/>
                                        <a:pt x="19050" y="110729"/>
                                        <a:pt x="36830" y="99299"/>
                                      </a:cubicBezTo>
                                      <a:cubicBezTo>
                                        <a:pt x="54610" y="87869"/>
                                        <a:pt x="59690" y="174229"/>
                                        <a:pt x="87630" y="158354"/>
                                      </a:cubicBezTo>
                                      <a:cubicBezTo>
                                        <a:pt x="115570" y="142479"/>
                                        <a:pt x="156845" y="50404"/>
                                        <a:pt x="175895" y="19289"/>
                                      </a:cubicBezTo>
                                      <a:cubicBezTo>
                                        <a:pt x="194945" y="-11826"/>
                                        <a:pt x="183515" y="4049"/>
                                        <a:pt x="182880" y="4049"/>
                                      </a:cubicBezTo>
                                    </a:path>
                                  </a:pathLst>
                                </a:custGeom>
                                <a:noFill/>
                                <a:ln w="9525" cmpd="sng">
                                  <a:solidFill>
                                    <a:srgbClr val="00B050"/>
                                  </a:solidFill>
                                  <a:prstDash val="sysDash"/>
                                  <a:tailEnd type="triangle" w="sm" len="med"/>
                                </a:ln>
                              </wps:spPr>
                              <wps:style>
                                <a:lnRef idx="2">
                                  <a:schemeClr val="accent1">
                                    <a:lumMod val="75000"/>
                                  </a:schemeClr>
                                </a:lnRef>
                                <a:fillRef idx="1">
                                  <a:schemeClr val="accent1"/>
                                </a:fillRef>
                                <a:effectRef idx="0">
                                  <a:srgbClr val="FFFFFF"/>
                                </a:effectRef>
                                <a:fontRef idx="minor">
                                  <a:schemeClr val="lt1"/>
                                </a:fontRef>
                              </wps:style>
                              <wps:bodyPr/>
                            </wps:wsp>
                            <wps:wsp>
                              <wps:cNvPr id="461" name="文本框 461"/>
                              <wps:cNvSpPr txBox="1"/>
                              <wps:spPr>
                                <a:xfrm>
                                  <a:off x="2381250" y="1879600"/>
                                  <a:ext cx="828675"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8FA808">
                                    <w:pPr>
                                      <w:jc w:val="left"/>
                                      <w:rPr>
                                        <w:rFonts w:hint="default" w:eastAsia="宋体"/>
                                        <w:color w:val="00B050"/>
                                        <w:sz w:val="18"/>
                                        <w:szCs w:val="18"/>
                                        <w:lang w:val="en-US" w:eastAsia="zh-CN"/>
                                      </w:rPr>
                                    </w:pPr>
                                    <w:r>
                                      <w:rPr>
                                        <w:rFonts w:hint="eastAsia"/>
                                        <w:color w:val="00B050"/>
                                        <w:sz w:val="18"/>
                                        <w:szCs w:val="18"/>
                                        <w:lang w:val="en-US" w:eastAsia="zh-CN"/>
                                      </w:rPr>
                                      <w:t>G</w:t>
                                    </w:r>
                                    <w:r>
                                      <w:rPr>
                                        <w:rFonts w:hint="eastAsia"/>
                                        <w:color w:val="00B050"/>
                                        <w:sz w:val="18"/>
                                        <w:szCs w:val="18"/>
                                        <w:vertAlign w:val="subscript"/>
                                        <w:lang w:val="en-US" w:eastAsia="zh-CN"/>
                                      </w:rPr>
                                      <w:t>2</w:t>
                                    </w:r>
                                    <w:r>
                                      <w:rPr>
                                        <w:rFonts w:hint="eastAsia"/>
                                        <w:color w:val="00B050"/>
                                        <w:sz w:val="18"/>
                                        <w:szCs w:val="18"/>
                                        <w:lang w:val="en-US" w:eastAsia="zh-CN"/>
                                      </w:rPr>
                                      <w:t>注塑废气</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68" name="直接箭头连接符 468"/>
                              <wps:cNvCnPr/>
                              <wps:spPr>
                                <a:xfrm flipV="1">
                                  <a:off x="2315210" y="1193800"/>
                                  <a:ext cx="550545" cy="3810"/>
                                </a:xfrm>
                                <a:prstGeom prst="straightConnector1">
                                  <a:avLst/>
                                </a:prstGeom>
                                <a:ln w="9525">
                                  <a:solidFill>
                                    <a:srgbClr val="FF0000"/>
                                  </a:solidFill>
                                  <a:tailEnd type="triangle" w="sm" len="med"/>
                                </a:ln>
                              </wps:spPr>
                              <wps:style>
                                <a:lnRef idx="2">
                                  <a:schemeClr val="accent1"/>
                                </a:lnRef>
                                <a:fillRef idx="0">
                                  <a:srgbClr val="FFFFFF"/>
                                </a:fillRef>
                                <a:effectRef idx="0">
                                  <a:srgbClr val="FFFFFF"/>
                                </a:effectRef>
                                <a:fontRef idx="minor">
                                  <a:schemeClr val="tx1"/>
                                </a:fontRef>
                              </wps:style>
                              <wps:bodyPr/>
                            </wps:wsp>
                            <wps:wsp>
                              <wps:cNvPr id="469" name="文本框 469"/>
                              <wps:cNvSpPr txBox="1"/>
                              <wps:spPr>
                                <a:xfrm>
                                  <a:off x="2773045" y="1036320"/>
                                  <a:ext cx="714375"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F8B6A8">
                                    <w:pPr>
                                      <w:jc w:val="both"/>
                                      <w:rPr>
                                        <w:rFonts w:hint="default" w:eastAsia="宋体"/>
                                        <w:color w:val="FF0000"/>
                                        <w:sz w:val="18"/>
                                        <w:szCs w:val="18"/>
                                        <w:lang w:val="en-US" w:eastAsia="zh-CN"/>
                                      </w:rPr>
                                    </w:pPr>
                                    <w:r>
                                      <w:rPr>
                                        <w:rFonts w:hint="eastAsia"/>
                                        <w:color w:val="FF0000"/>
                                        <w:sz w:val="18"/>
                                        <w:szCs w:val="18"/>
                                        <w:lang w:val="en-US" w:eastAsia="zh-CN"/>
                                      </w:rPr>
                                      <w:t>S</w:t>
                                    </w:r>
                                    <w:r>
                                      <w:rPr>
                                        <w:rFonts w:hint="eastAsia"/>
                                        <w:color w:val="FF0000"/>
                                        <w:sz w:val="18"/>
                                        <w:szCs w:val="18"/>
                                        <w:vertAlign w:val="subscript"/>
                                        <w:lang w:val="en-US" w:eastAsia="zh-CN"/>
                                      </w:rPr>
                                      <w:t>1</w:t>
                                    </w:r>
                                    <w:r>
                                      <w:rPr>
                                        <w:rFonts w:hint="eastAsia"/>
                                        <w:color w:val="FF0000"/>
                                        <w:sz w:val="18"/>
                                        <w:szCs w:val="18"/>
                                        <w:lang w:val="en-US" w:eastAsia="zh-CN"/>
                                      </w:rPr>
                                      <w:t>废包装</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74" name="直接箭头连接符 474"/>
                              <wps:cNvCnPr/>
                              <wps:spPr>
                                <a:xfrm flipV="1">
                                  <a:off x="2343785" y="4502150"/>
                                  <a:ext cx="480060" cy="1905"/>
                                </a:xfrm>
                                <a:prstGeom prst="straightConnector1">
                                  <a:avLst/>
                                </a:prstGeom>
                                <a:ln w="9525">
                                  <a:solidFill>
                                    <a:srgbClr val="FF0000"/>
                                  </a:solidFill>
                                  <a:tailEnd type="triangle" w="sm" len="med"/>
                                </a:ln>
                              </wps:spPr>
                              <wps:style>
                                <a:lnRef idx="2">
                                  <a:schemeClr val="accent1"/>
                                </a:lnRef>
                                <a:fillRef idx="0">
                                  <a:srgbClr val="FFFFFF"/>
                                </a:fillRef>
                                <a:effectRef idx="0">
                                  <a:srgbClr val="FFFFFF"/>
                                </a:effectRef>
                                <a:fontRef idx="minor">
                                  <a:schemeClr val="tx1"/>
                                </a:fontRef>
                              </wps:style>
                              <wps:bodyPr/>
                            </wps:wsp>
                            <wps:wsp>
                              <wps:cNvPr id="475" name="文本框 475"/>
                              <wps:cNvSpPr txBox="1"/>
                              <wps:spPr>
                                <a:xfrm>
                                  <a:off x="2760980" y="4346575"/>
                                  <a:ext cx="1036320" cy="3263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61B268">
                                    <w:pPr>
                                      <w:jc w:val="both"/>
                                      <w:rPr>
                                        <w:rFonts w:hint="default"/>
                                        <w:color w:val="FF0000"/>
                                        <w:sz w:val="18"/>
                                        <w:szCs w:val="18"/>
                                        <w:vertAlign w:val="baseline"/>
                                        <w:lang w:val="en-US" w:eastAsia="zh-CN"/>
                                      </w:rPr>
                                    </w:pPr>
                                    <w:r>
                                      <w:rPr>
                                        <w:rFonts w:hint="eastAsia"/>
                                        <w:color w:val="FF0000"/>
                                        <w:sz w:val="18"/>
                                        <w:szCs w:val="18"/>
                                        <w:vertAlign w:val="baseline"/>
                                        <w:lang w:val="en-US" w:eastAsia="zh-CN"/>
                                      </w:rPr>
                                      <w:t>S</w:t>
                                    </w:r>
                                    <w:r>
                                      <w:rPr>
                                        <w:rFonts w:hint="eastAsia"/>
                                        <w:color w:val="FF0000"/>
                                        <w:sz w:val="18"/>
                                        <w:szCs w:val="18"/>
                                        <w:vertAlign w:val="subscript"/>
                                        <w:lang w:val="en-US" w:eastAsia="zh-CN"/>
                                      </w:rPr>
                                      <w:t>4</w:t>
                                    </w:r>
                                    <w:r>
                                      <w:rPr>
                                        <w:rFonts w:hint="eastAsia"/>
                                        <w:color w:val="FF0000"/>
                                        <w:sz w:val="18"/>
                                        <w:szCs w:val="18"/>
                                        <w:vertAlign w:val="baseline"/>
                                        <w:lang w:val="en-US" w:eastAsia="zh-CN"/>
                                      </w:rPr>
                                      <w:t>废包材</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 name="直接箭头连接符 17"/>
                              <wps:cNvCnPr/>
                              <wps:spPr>
                                <a:xfrm flipV="1">
                                  <a:off x="2284730" y="3002280"/>
                                  <a:ext cx="480060" cy="1905"/>
                                </a:xfrm>
                                <a:prstGeom prst="straightConnector1">
                                  <a:avLst/>
                                </a:prstGeom>
                                <a:ln w="9525">
                                  <a:solidFill>
                                    <a:srgbClr val="0000FF"/>
                                  </a:solidFill>
                                  <a:tailEnd type="triangle" w="sm" len="med"/>
                                </a:ln>
                              </wps:spPr>
                              <wps:style>
                                <a:lnRef idx="2">
                                  <a:schemeClr val="accent1"/>
                                </a:lnRef>
                                <a:fillRef idx="0">
                                  <a:srgbClr val="FFFFFF"/>
                                </a:fillRef>
                                <a:effectRef idx="0">
                                  <a:srgbClr val="FFFFFF"/>
                                </a:effectRef>
                                <a:fontRef idx="minor">
                                  <a:schemeClr val="tx1"/>
                                </a:fontRef>
                              </wps:style>
                              <wps:bodyPr/>
                            </wps:wsp>
                            <wps:wsp>
                              <wps:cNvPr id="25" name="文本框 25"/>
                              <wps:cNvSpPr txBox="1"/>
                              <wps:spPr>
                                <a:xfrm>
                                  <a:off x="2701925" y="2856230"/>
                                  <a:ext cx="1075055" cy="3263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74D224">
                                    <w:pPr>
                                      <w:jc w:val="both"/>
                                      <w:rPr>
                                        <w:rFonts w:hint="default"/>
                                        <w:color w:val="0000FF"/>
                                        <w:sz w:val="18"/>
                                        <w:szCs w:val="18"/>
                                        <w:vertAlign w:val="baseline"/>
                                        <w:lang w:val="en-US" w:eastAsia="zh-CN"/>
                                      </w:rPr>
                                    </w:pPr>
                                    <w:r>
                                      <w:rPr>
                                        <w:rFonts w:hint="eastAsia"/>
                                        <w:color w:val="0000FF"/>
                                        <w:sz w:val="18"/>
                                        <w:szCs w:val="18"/>
                                        <w:vertAlign w:val="baseline"/>
                                        <w:lang w:val="en-US" w:eastAsia="zh-CN"/>
                                      </w:rPr>
                                      <w:t>W</w:t>
                                    </w:r>
                                    <w:r>
                                      <w:rPr>
                                        <w:rFonts w:hint="eastAsia"/>
                                        <w:color w:val="0000FF"/>
                                        <w:sz w:val="18"/>
                                        <w:szCs w:val="18"/>
                                        <w:vertAlign w:val="subscript"/>
                                        <w:lang w:val="en-US" w:eastAsia="zh-CN"/>
                                      </w:rPr>
                                      <w:t>1</w:t>
                                    </w:r>
                                    <w:r>
                                      <w:rPr>
                                        <w:rFonts w:hint="eastAsia"/>
                                        <w:color w:val="0000FF"/>
                                        <w:sz w:val="18"/>
                                        <w:szCs w:val="18"/>
                                        <w:vertAlign w:val="baseline"/>
                                        <w:lang w:val="en-US" w:eastAsia="zh-CN"/>
                                      </w:rPr>
                                      <w:t>循环冷却排水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 name="矩形 31"/>
                              <wps:cNvSpPr/>
                              <wps:spPr>
                                <a:xfrm>
                                  <a:off x="3532505" y="3475355"/>
                                  <a:ext cx="779780" cy="484505"/>
                                </a:xfrm>
                                <a:prstGeom prst="rect">
                                  <a:avLst/>
                                </a:prstGeom>
                                <a:noFill/>
                                <a:ln w="9525"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56F1274A">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粉碎成粒</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2" name="直接箭头连接符 32"/>
                              <wps:cNvCnPr/>
                              <wps:spPr>
                                <a:xfrm>
                                  <a:off x="1818005" y="4675505"/>
                                  <a:ext cx="3810" cy="313690"/>
                                </a:xfrm>
                                <a:prstGeom prst="straightConnector1">
                                  <a:avLst/>
                                </a:prstGeom>
                                <a:ln w="9525">
                                  <a:solidFill>
                                    <a:schemeClr val="tx1"/>
                                  </a:solidFill>
                                  <a:tailEnd type="triangle" w="sm" len="med"/>
                                </a:ln>
                              </wps:spPr>
                              <wps:style>
                                <a:lnRef idx="2">
                                  <a:schemeClr val="accent1"/>
                                </a:lnRef>
                                <a:fillRef idx="0">
                                  <a:srgbClr val="FFFFFF"/>
                                </a:fillRef>
                                <a:effectRef idx="0">
                                  <a:srgbClr val="FFFFFF"/>
                                </a:effectRef>
                                <a:fontRef idx="minor">
                                  <a:schemeClr val="tx1"/>
                                </a:fontRef>
                              </wps:style>
                              <wps:bodyPr/>
                            </wps:wsp>
                            <wps:wsp>
                              <wps:cNvPr id="36" name="肘形连接符 36"/>
                              <wps:cNvCnPr>
                                <a:stCxn id="31" idx="0"/>
                                <a:endCxn id="189" idx="3"/>
                              </wps:cNvCnPr>
                              <wps:spPr>
                                <a:xfrm rot="16200000" flipV="1">
                                  <a:off x="1905318" y="1458278"/>
                                  <a:ext cx="2416175" cy="1617980"/>
                                </a:xfrm>
                                <a:prstGeom prst="bentConnector2">
                                  <a:avLst/>
                                </a:prstGeom>
                                <a:ln w="9525">
                                  <a:solidFill>
                                    <a:schemeClr val="tx1"/>
                                  </a:solidFill>
                                  <a:tailEnd type="triangle" w="sm" len="med"/>
                                </a:ln>
                              </wps:spPr>
                              <wps:style>
                                <a:lnRef idx="2">
                                  <a:schemeClr val="accent1"/>
                                </a:lnRef>
                                <a:fillRef idx="0">
                                  <a:srgbClr val="FFFFFF"/>
                                </a:fillRef>
                                <a:effectRef idx="0">
                                  <a:srgbClr val="FFFFFF"/>
                                </a:effectRef>
                                <a:fontRef idx="minor">
                                  <a:schemeClr val="tx1"/>
                                </a:fontRef>
                              </wps:style>
                              <wps:bodyPr/>
                            </wps:wsp>
                            <wps:wsp>
                              <wps:cNvPr id="38" name="任意多边形 38"/>
                              <wps:cNvSpPr/>
                              <wps:spPr>
                                <a:xfrm>
                                  <a:off x="4043045" y="3249930"/>
                                  <a:ext cx="186690" cy="216535"/>
                                </a:xfrm>
                                <a:custGeom>
                                  <a:avLst/>
                                  <a:gdLst>
                                    <a:gd name="connisteX0" fmla="*/ 0 w 186857"/>
                                    <a:gd name="connsiteY0" fmla="*/ 216774 h 216774"/>
                                    <a:gd name="connisteX1" fmla="*/ 36830 w 186857"/>
                                    <a:gd name="connsiteY1" fmla="*/ 99299 h 216774"/>
                                    <a:gd name="connisteX2" fmla="*/ 87630 w 186857"/>
                                    <a:gd name="connsiteY2" fmla="*/ 158354 h 216774"/>
                                    <a:gd name="connisteX3" fmla="*/ 175895 w 186857"/>
                                    <a:gd name="connsiteY3" fmla="*/ 19289 h 216774"/>
                                    <a:gd name="connisteX4" fmla="*/ 182880 w 186857"/>
                                    <a:gd name="connsiteY4" fmla="*/ 4049 h 216774"/>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186857" h="216774">
                                      <a:moveTo>
                                        <a:pt x="0" y="216774"/>
                                      </a:moveTo>
                                      <a:cubicBezTo>
                                        <a:pt x="6350" y="192009"/>
                                        <a:pt x="19050" y="110729"/>
                                        <a:pt x="36830" y="99299"/>
                                      </a:cubicBezTo>
                                      <a:cubicBezTo>
                                        <a:pt x="54610" y="87869"/>
                                        <a:pt x="59690" y="174229"/>
                                        <a:pt x="87630" y="158354"/>
                                      </a:cubicBezTo>
                                      <a:cubicBezTo>
                                        <a:pt x="115570" y="142479"/>
                                        <a:pt x="156845" y="50404"/>
                                        <a:pt x="175895" y="19289"/>
                                      </a:cubicBezTo>
                                      <a:cubicBezTo>
                                        <a:pt x="194945" y="-11826"/>
                                        <a:pt x="183515" y="4049"/>
                                        <a:pt x="182880" y="4049"/>
                                      </a:cubicBezTo>
                                    </a:path>
                                  </a:pathLst>
                                </a:custGeom>
                                <a:noFill/>
                                <a:ln w="9525" cmpd="sng">
                                  <a:solidFill>
                                    <a:srgbClr val="00B050"/>
                                  </a:solidFill>
                                  <a:prstDash val="sysDash"/>
                                  <a:tailEnd type="triangle" w="sm" len="med"/>
                                </a:ln>
                              </wps:spPr>
                              <wps:style>
                                <a:lnRef idx="2">
                                  <a:schemeClr val="accent1">
                                    <a:lumMod val="75000"/>
                                  </a:schemeClr>
                                </a:lnRef>
                                <a:fillRef idx="1">
                                  <a:schemeClr val="accent1"/>
                                </a:fillRef>
                                <a:effectRef idx="0">
                                  <a:srgbClr val="FFFFFF"/>
                                </a:effectRef>
                                <a:fontRef idx="minor">
                                  <a:schemeClr val="lt1"/>
                                </a:fontRef>
                              </wps:style>
                              <wps:bodyPr/>
                            </wps:wsp>
                            <wps:wsp>
                              <wps:cNvPr id="40" name="文本框 40"/>
                              <wps:cNvSpPr txBox="1"/>
                              <wps:spPr>
                                <a:xfrm>
                                  <a:off x="4192905" y="3132455"/>
                                  <a:ext cx="828675"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2F7BBB">
                                    <w:pPr>
                                      <w:jc w:val="left"/>
                                      <w:rPr>
                                        <w:rFonts w:hint="default" w:eastAsia="宋体"/>
                                        <w:color w:val="00B050"/>
                                        <w:sz w:val="18"/>
                                        <w:szCs w:val="18"/>
                                        <w:lang w:val="en-US" w:eastAsia="zh-CN"/>
                                      </w:rPr>
                                    </w:pPr>
                                    <w:r>
                                      <w:rPr>
                                        <w:rFonts w:hint="eastAsia"/>
                                        <w:color w:val="00B050"/>
                                        <w:sz w:val="18"/>
                                        <w:szCs w:val="18"/>
                                        <w:lang w:val="en-US" w:eastAsia="zh-CN"/>
                                      </w:rPr>
                                      <w:t>G</w:t>
                                    </w:r>
                                    <w:r>
                                      <w:rPr>
                                        <w:rFonts w:hint="eastAsia"/>
                                        <w:color w:val="00B050"/>
                                        <w:sz w:val="18"/>
                                        <w:szCs w:val="18"/>
                                        <w:vertAlign w:val="subscript"/>
                                        <w:lang w:val="en-US" w:eastAsia="zh-CN"/>
                                      </w:rPr>
                                      <w:t>3</w:t>
                                    </w:r>
                                    <w:r>
                                      <w:rPr>
                                        <w:rFonts w:hint="eastAsia"/>
                                        <w:color w:val="00B050"/>
                                        <w:sz w:val="18"/>
                                        <w:szCs w:val="18"/>
                                        <w:vertAlign w:val="baseline"/>
                                        <w:lang w:val="en-US" w:eastAsia="zh-CN"/>
                                      </w:rPr>
                                      <w:t>粉碎粉尘</w:t>
                                    </w:r>
                                  </w:p>
                                </w:txbxContent>
                              </wps:txbx>
                              <wps:bodyPr rot="0" spcFirstLastPara="0" vertOverflow="overflow" horzOverflow="overflow" vert="horz" wrap="square" lIns="91440" tIns="45720" rIns="91440" bIns="45720" numCol="1" spcCol="0" rtlCol="0" fromWordArt="0" anchor="t" anchorCtr="0" forceAA="0" compatLnSpc="1">
                                <a:noAutofit/>
                              </wps:bodyPr>
                            </wps:wsp>
                          </wpc:wpc>
                        </a:graphicData>
                      </a:graphic>
                    </wp:anchor>
                  </w:drawing>
                </mc:Choice>
                <mc:Fallback>
                  <w:pict>
                    <v:group id="_x0000_s1026" o:spid="_x0000_s1026" o:spt="203" style="position:absolute;left:0pt;margin-left:-2.9pt;margin-top:3.5pt;height:437.6pt;width:396.9pt;z-index:251660288;mso-width-relative:page;mso-height-relative:page;" coordsize="5040630,5557520" editas="canvas" o:gfxdata="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">
                      <o:lock v:ext="edit" aspectratio="f"/>
                      <v:shape id="_x0000_s1026" o:spid="_x0000_s1026" style="position:absolute;left:0;top:0;height:5557520;width:5040630;" filled="f" stroked="f" coordsize="21600,21600" o:gfxdata="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">
                        <v:fill on="f" focussize="0,0"/>
                        <v:stroke on="f"/>
                        <v:imagedata o:title=""/>
                        <o:lock v:ext="edit" aspectratio="f"/>
                      </v:shape>
                      <v:rect id="_x0000_s1026" o:spid="_x0000_s1026" o:spt="1" style="position:absolute;left:1359535;top:901700;height:314325;width:944880;v-text-anchor:middle;" filled="f" stroked="t" coordsize="21600,21600" o:gfxdata="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eLCoPtgAAAAIAQAADwAAAAAAAAABACAAAAAiAAAAZHJzL2Rvd25yZXYu&#10;eG1sUEsBAhQAFAAAAAgAh07iQJKRmoxtAgAAzAQAAA4AAAAAAAAAAQAgAAAAJwEAAGRycy9lMm9E&#10;b2MueG1sUEsFBgAAAAAGAAYAWQEAAAYGAAAAAA==&#10;">
                        <v:fill on="f" focussize="0,0"/>
                        <v:stroke color="#000000 [3213]" joinstyle="round"/>
                        <v:imagedata o:title=""/>
                        <o:lock v:ext="edit" aspectratio="f"/>
                        <v:textbox>
                          <w:txbxContent>
                            <w:p w14:paraId="47C1CD05">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拆包、投料</w:t>
                              </w:r>
                            </w:p>
                          </w:txbxContent>
                        </v:textbox>
                      </v:rect>
                      <v:shape id="_x0000_s1026" o:spid="_x0000_s1026" o:spt="202" type="#_x0000_t202" style="position:absolute;left:1173480;top:282575;height:304800;width:1315085;" filled="f" stroked="f" coordsize="21600,21600" o:gfxdata="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pfFYo9kAAAAIAQAADwAAAAAAAAAB&#10;ACAAAAAiAAAAZHJzL2Rvd25yZXYueG1sUEsBAhQAFAAAAAgAh07iQAWgy1pIAgAAdQQAAA4AAAAA&#10;AAAAAQAgAAAAKAEAAGRycy9lMm9Eb2MueG1sUEsFBgAAAAAGAAYAWQEAAOIFAAAAAA==&#10;">
                        <v:fill on="f" focussize="0,0"/>
                        <v:stroke on="f" weight="0.5pt"/>
                        <v:imagedata o:title=""/>
                        <o:lock v:ext="edit" aspectratio="f"/>
                        <v:textbox>
                          <w:txbxContent>
                            <w:p w14:paraId="6B458F76">
                              <w:pPr>
                                <w:jc w:val="center"/>
                                <w:rPr>
                                  <w:rFonts w:hint="default" w:eastAsia="宋体"/>
                                  <w:lang w:val="en-US" w:eastAsia="zh-CN"/>
                                </w:rPr>
                              </w:pPr>
                              <w:r>
                                <w:rPr>
                                  <w:rFonts w:hint="eastAsia"/>
                                  <w:lang w:val="en-US" w:eastAsia="zh-CN"/>
                                </w:rPr>
                                <w:t>PP/PS/PE</w:t>
                              </w:r>
                            </w:p>
                          </w:txbxContent>
                        </v:textbox>
                      </v:shape>
                      <v:rect id="_x0000_s1026" o:spid="_x0000_s1026" o:spt="1" style="position:absolute;left:1352550;top:1551305;height:314325;width:960755;v-text-anchor:middle;" filled="f" stroked="t" coordsize="21600,21600" o:gfxdata="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iwqD7YAAAACAEAAA8AAAAAAAAAAQAgAAAAIgAAAGRycy9kb3ducmV2&#10;LnhtbFBLAQIUABQAAAAIAIdO4kCKKDYJbgIAAM0EAAAOAAAAAAAAAAEAIAAAACcBAABkcnMvZTJv&#10;RG9jLnhtbFBLBQYAAAAABgAGAFkBAAAHBgAAAAA=&#10;">
                        <v:fill on="f" focussize="0,0"/>
                        <v:stroke color="#000000 [3213]" joinstyle="round"/>
                        <v:imagedata o:title=""/>
                        <o:lock v:ext="edit" aspectratio="f"/>
                        <v:textbox>
                          <w:txbxContent>
                            <w:p w14:paraId="62B3C71C">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配料</w:t>
                              </w:r>
                            </w:p>
                          </w:txbxContent>
                        </v:textbox>
                      </v:rect>
                      <v:rect id="_x0000_s1026" o:spid="_x0000_s1026" o:spt="1" style="position:absolute;left:1376680;top:2208530;height:314325;width:897255;v-text-anchor:middle;" filled="f" stroked="t" coordsize="21600,21600" o:gfxdata="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HiwqD7YAAAACAEAAA8AAAAAAAAAAQAgAAAAIgAAAGRycy9kb3du&#10;cmV2LnhtbFBLAQIUABQAAAAIAIdO4kDgCw6rcQIAAM0EAAAOAAAAAAAAAAEAIAAAACcBAABkcnMv&#10;ZTJvRG9jLnhtbFBLBQYAAAAABgAGAFkBAAAKBgAAAAA=&#10;">
                        <v:fill on="f" focussize="0,0"/>
                        <v:stroke color="#000000 [3213]" joinstyle="round"/>
                        <v:imagedata o:title=""/>
                        <o:lock v:ext="edit" aspectratio="f"/>
                        <v:textbox>
                          <w:txbxContent>
                            <w:p w14:paraId="0EC1BD1C">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注塑</w:t>
                              </w:r>
                            </w:p>
                          </w:txbxContent>
                        </v:textbox>
                      </v:rect>
                      <v:rect id="_x0000_s1026" o:spid="_x0000_s1026" o:spt="1" style="position:absolute;left:1368425;top:2856230;height:314325;width:904875;v-text-anchor:middle;" filled="f" stroked="t" coordsize="21600,21600" o:gfxdata="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4sKg+2AAAAAgBAAAPAAAAAAAAAAEAIAAAACIAAABkcnMvZG93bnJl&#10;di54bWxQSwECFAAUAAAACACHTuJAM+4A2W8CAADNBAAADgAAAAAAAAABACAAAAAnAQAAZHJzL2Uy&#10;b0RvYy54bWxQSwUGAAAAAAYABgBZAQAACAYAAAAA&#10;">
                        <v:fill on="f" focussize="0,0"/>
                        <v:stroke color="#000000 [3213]" joinstyle="round"/>
                        <v:imagedata o:title=""/>
                        <o:lock v:ext="edit" aspectratio="f"/>
                        <v:textbox>
                          <w:txbxContent>
                            <w:p w14:paraId="2BF9E53B">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保压、冷却</w:t>
                              </w:r>
                            </w:p>
                          </w:txbxContent>
                        </v:textbox>
                      </v:rect>
                      <v:rect id="_x0000_s1026" o:spid="_x0000_s1026" o:spt="1" style="position:absolute;left:1344930;top:3484245;height:484505;width:960120;v-text-anchor:middle;" filled="f" stroked="t" coordsize="21600,21600" o:gfxdata="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eLCoPtgAAAAIAQAADwAAAAAAAAABACAAAAAiAAAAZHJzL2Rvd25yZXYu&#10;eG1sUEsBAhQAFAAAAAgAh07iQEEsB8xtAgAAzQQAAA4AAAAAAAAAAQAgAAAAJwEAAGRycy9lMm9E&#10;b2MueG1sUEsFBgAAAAAGAAYAWQEAAAYGAAAAAA==&#10;">
                        <v:fill on="f" focussize="0,0"/>
                        <v:stroke color="#000000 [3213]" joinstyle="round"/>
                        <v:imagedata o:title=""/>
                        <o:lock v:ext="edit" aspectratio="f"/>
                        <v:textbox>
                          <w:txbxContent>
                            <w:p w14:paraId="2E63D597">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半成品检验</w:t>
                              </w:r>
                            </w:p>
                            <w:p w14:paraId="0CB05404">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及修边</w:t>
                              </w:r>
                            </w:p>
                          </w:txbxContent>
                        </v:textbox>
                      </v:rect>
                      <v:rect id="_x0000_s1026" o:spid="_x0000_s1026" o:spt="1" style="position:absolute;left:1306195;top:4308475;height:351790;width:1029335;v-text-anchor:middle;" filled="f" stroked="t" coordsize="21600,21600" o:gfxdata="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eLCoPtgAAAAIAQAADwAAAAAAAAABACAAAAAiAAAAZHJzL2Rvd25y&#10;ZXYueG1sUEsBAhQAFAAAAAgAh07iQFGm+g9wAgAAzgQAAA4AAAAAAAAAAQAgAAAAJwEAAGRycy9l&#10;Mm9Eb2MueG1sUEsFBgAAAAAGAAYAWQEAAAkGAAAAAA==&#10;">
                        <v:fill on="f" focussize="0,0"/>
                        <v:stroke color="#000000 [3213]" joinstyle="round"/>
                        <v:imagedata o:title=""/>
                        <o:lock v:ext="edit" aspectratio="f"/>
                        <v:textbox>
                          <w:txbxContent>
                            <w:p w14:paraId="0CA1488E">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包装</w:t>
                              </w:r>
                            </w:p>
                          </w:txbxContent>
                        </v:textbox>
                      </v:rect>
                      <v:shape id="_x0000_s1026" o:spid="_x0000_s1026" o:spt="32" type="#_x0000_t32" style="position:absolute;left:1831340;top:587375;height:314325;width:635;" filled="f" stroked="t" coordsize="21600,21600" o:gfxdata="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92ZDNNgAAAAIAQAADwAAAAAAAAABACAAAAAiAAAAZHJzL2Rvd25yZXYueG1s&#10;UEsBAhQAFAAAAAgAh07iQPN8XvMxAgAALwQAAA4AAAAAAAAAAQAgAAAAJwEAAGRycy9lMm9Eb2Mu&#10;eG1sUEsFBgAAAAAGAAYAWQEAAMoFAAAAAA==&#10;">
                        <v:fill on="f" focussize="0,0"/>
                        <v:stroke color="#000000 [3213]" joinstyle="round" endarrow="block" endarrowwidth="narrow"/>
                        <v:imagedata o:title=""/>
                        <o:lock v:ext="edit" aspectratio="f"/>
                      </v:shape>
                      <v:shape id="_x0000_s1026" o:spid="_x0000_s1026" o:spt="32" type="#_x0000_t32" style="position:absolute;left:1831975;top:1216025;height:335280;width:1270;" filled="f" stroked="t" coordsize="21600,21600" o:gfxdata="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92ZDNNgAAAAIAQAADwAAAAAAAAABACAAAAAiAAAAZHJzL2Rvd25yZXYueG1s&#10;UEsBAhQAFAAAAAgAh07iQMhT1CkxAgAAMQQAAA4AAAAAAAAAAQAgAAAAJwEAAGRycy9lMm9Eb2Mu&#10;eG1sUEsFBgAAAAAGAAYAWQEAAMoFAAAAAA==&#10;">
                        <v:fill on="f" focussize="0,0"/>
                        <v:stroke color="#000000 [3213]" joinstyle="round" endarrow="block" endarrowwidth="narrow"/>
                        <v:imagedata o:title=""/>
                        <o:lock v:ext="edit" aspectratio="f"/>
                      </v:shape>
                      <v:shape id="_x0000_s1026" o:spid="_x0000_s1026" o:spt="32" type="#_x0000_t32" style="position:absolute;left:1825625;top:1865630;flip:x;height:342900;width:7620;" filled="f" stroked="t" coordsize="21600,21600" o:gfxdata="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Gq0ny2AAAAAgBAAAPAAAAAAAAAAEAIAAAACIAAABkcnMvZG93bnJl&#10;di54bWxQSwECFAAUAAAACACHTuJAwJ30czYCAAA7BAAADgAAAAAAAAABACAAAAAnAQAAZHJzL2Uy&#10;b0RvYy54bWxQSwUGAAAAAAYABgBZAQAAzwUAAAAA&#10;">
                        <v:fill on="f" focussize="0,0"/>
                        <v:stroke color="#000000 [3213]" joinstyle="round" endarrow="block" endarrowwidth="narrow"/>
                        <v:imagedata o:title=""/>
                        <o:lock v:ext="edit" aspectratio="f"/>
                      </v:shape>
                      <v:shape id="_x0000_s1026" o:spid="_x0000_s1026" o:spt="32" type="#_x0000_t32" style="position:absolute;left:1821180;top:2522855;flip:x;height:333375;width:4445;" filled="f" stroked="t" coordsize="21600,21600" o:gfxdata="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IarSfLYAAAACAEAAA8AAAAAAAAAAQAgAAAAIgAAAGRycy9kb3ducmV2&#10;LnhtbFBLAQIUABQAAAAIAIdO4kBftJlXNQIAADsEAAAOAAAAAAAAAAEAIAAAACcBAABkcnMvZTJv&#10;RG9jLnhtbFBLBQYAAAAABgAGAFkBAADOBQAAAAA=&#10;">
                        <v:fill on="f" focussize="0,0"/>
                        <v:stroke color="#000000 [3213]" joinstyle="round" endarrow="block" endarrowwidth="narrow"/>
                        <v:imagedata o:title=""/>
                        <o:lock v:ext="edit" aspectratio="f"/>
                      </v:shape>
                      <v:shape id="_x0000_s1026" o:spid="_x0000_s1026" o:spt="32" type="#_x0000_t32" style="position:absolute;left:1821180;top:3170555;height:313690;width:3810;" filled="f" stroked="t" coordsize="21600,21600" o:gfxdata="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dmQzTYAAAACAEAAA8AAAAAAAAAAQAgAAAAIgAAAGRycy9kb3ducmV2LnhtbFBL&#10;AQIUABQAAAAIAIdO4kCTPfKeLwIAADEEAAAOAAAAAAAAAAEAIAAAACcBAABkcnMvZTJvRG9jLnht&#10;bFBLBQYAAAAABgAGAFkBAADIBQAAAAA=&#10;">
                        <v:fill on="f" focussize="0,0"/>
                        <v:stroke color="#000000 [3213]" joinstyle="round" endarrow="block" endarrowwidth="narrow"/>
                        <v:imagedata o:title=""/>
                        <o:lock v:ext="edit" aspectratio="f"/>
                      </v:shape>
                      <v:rect id="_x0000_s1026" o:spid="_x0000_s1026" o:spt="1" style="position:absolute;left:1305560;top:4954905;height:293370;width:1029335;v-text-anchor:middle;" filled="f" stroked="f" coordsize="21600,21600" o:gfxdata="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R6DTM&#10;1AAAAAgBAAAPAAAAAAAAAAEAIAAAACIAAABkcnMvZG93bnJldi54bWxQSwECFAAUAAAACACHTuJA&#10;D3zxI14CAAClBAAADgAAAAAAAAABACAAAAAjAQAAZHJzL2Uyb0RvYy54bWxQSwUGAAAAAAYABgBZ&#10;AQAA8wUAAAAA&#10;">
                        <v:fill on="f" focussize="0,0"/>
                        <v:stroke on="f"/>
                        <v:imagedata o:title=""/>
                        <o:lock v:ext="edit" aspectratio="f"/>
                        <v:textbox>
                          <w:txbxContent>
                            <w:p w14:paraId="26010101">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产品入库</w:t>
                              </w:r>
                            </w:p>
                          </w:txbxContent>
                        </v:textbox>
                      </v:rect>
                      <v:shape id="_x0000_s1026" o:spid="_x0000_s1026" o:spt="32" type="#_x0000_t32" style="position:absolute;left:1821180;top:3968750;flip:x;height:339725;width:3810;" filled="f" stroked="t" coordsize="21600,21600" o:gfxdata="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Gq0ny2AAAAAgBAAAPAAAAAAAAAAEAIAAAACIAAABkcnMvZG93bnJl&#10;di54bWxQSwECFAAUAAAACACHTuJAwpr8mzYCAAA7BAAADgAAAAAAAAABACAAAAAnAQAAZHJzL2Uy&#10;b0RvYy54bWxQSwUGAAAAAAYABgBZAQAAzwUAAAAA&#10;">
                        <v:fill on="f" focussize="0,0"/>
                        <v:stroke color="#000000 [3213]" joinstyle="round" endarrow="block" endarrowwidth="narrow"/>
                        <v:imagedata o:title=""/>
                        <o:lock v:ext="edit" aspectratio="f"/>
                      </v:shape>
                      <v:shape id="_x0000_s1026" o:spid="_x0000_s1026" o:spt="32" type="#_x0000_t32" style="position:absolute;left:2305050;top:3717925;flip:y;height:8890;width:1227455;" filled="f" stroked="t" coordsize="21600,21600" o:gfxdata="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IarSfLYAAAACAEAAA8AAAAAAAAAAQAgAAAAIgAAAGRycy9kb3du&#10;cmV2LnhtbFBLAQIUABQAAAAIAIdO4kAtSkxzOAIAADsEAAAOAAAAAAAAAAEAIAAAACcBAABkcnMv&#10;ZTJvRG9jLnhtbFBLBQYAAAAABgAGAFkBAADRBQAAAAA=&#10;">
                        <v:fill on="f" focussize="0,0"/>
                        <v:stroke color="#000000 [3213]" joinstyle="round" endarrow="block" endarrowwidth="narrow"/>
                        <v:imagedata o:title=""/>
                        <o:lock v:ext="edit" aspectratio="f"/>
                      </v:shape>
                      <v:shape id="_x0000_s1026" o:spid="_x0000_s1026" o:spt="202" type="#_x0000_t202" style="position:absolute;left:2399030;top:3284855;height:532765;width:1011555;" filled="f" stroked="f" coordsize="21600,21600" o:gfxdata="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pfFYo9kAAAAIAQAADwAAAAAA&#10;AAABACAAAAAiAAAAZHJzL2Rvd25yZXYueG1sUEsBAhQAFAAAAAgAh07iQAX642FLAgAAdgQAAA4A&#10;AAAAAAAAAQAgAAAAKAEAAGRycy9lMm9Eb2MueG1sUEsFBgAAAAAGAAYAWQEAAOUFAAAAAA==&#10;">
                        <v:fill on="f" focussize="0,0"/>
                        <v:stroke on="f" weight="0.5pt"/>
                        <v:imagedata o:title=""/>
                        <o:lock v:ext="edit" aspectratio="f"/>
                        <v:textbox>
                          <w:txbxContent>
                            <w:p w14:paraId="2CE0A33C">
                              <w:pPr>
                                <w:jc w:val="both"/>
                                <w:rPr>
                                  <w:rFonts w:hint="default" w:eastAsia="宋体"/>
                                  <w:color w:val="FF0000"/>
                                  <w:sz w:val="18"/>
                                  <w:szCs w:val="18"/>
                                  <w:lang w:val="en-US" w:eastAsia="zh-CN"/>
                                </w:rPr>
                              </w:pPr>
                              <w:r>
                                <w:rPr>
                                  <w:rFonts w:hint="eastAsia"/>
                                  <w:color w:val="FF0000"/>
                                  <w:sz w:val="18"/>
                                  <w:szCs w:val="18"/>
                                  <w:lang w:val="en-US" w:eastAsia="zh-CN"/>
                                </w:rPr>
                                <w:t>S</w:t>
                              </w:r>
                              <w:r>
                                <w:rPr>
                                  <w:rFonts w:hint="eastAsia"/>
                                  <w:color w:val="FF0000"/>
                                  <w:sz w:val="18"/>
                                  <w:szCs w:val="18"/>
                                  <w:vertAlign w:val="subscript"/>
                                  <w:lang w:val="en-US" w:eastAsia="zh-CN"/>
                                </w:rPr>
                                <w:t>2</w:t>
                              </w:r>
                              <w:r>
                                <w:rPr>
                                  <w:rFonts w:hint="eastAsia"/>
                                  <w:color w:val="FF0000"/>
                                  <w:sz w:val="18"/>
                                  <w:szCs w:val="18"/>
                                  <w:lang w:val="en-US" w:eastAsia="zh-CN"/>
                                </w:rPr>
                                <w:t>废塑料边角料</w:t>
                              </w:r>
                            </w:p>
                            <w:p w14:paraId="4DF293F2">
                              <w:pPr>
                                <w:jc w:val="both"/>
                                <w:rPr>
                                  <w:rFonts w:hint="default" w:eastAsia="宋体"/>
                                  <w:lang w:val="en-US" w:eastAsia="zh-CN"/>
                                </w:rPr>
                              </w:pPr>
                              <w:r>
                                <w:rPr>
                                  <w:rFonts w:hint="eastAsia"/>
                                  <w:color w:val="FF0000"/>
                                  <w:sz w:val="18"/>
                                  <w:szCs w:val="18"/>
                                  <w:lang w:val="en-US" w:eastAsia="zh-CN"/>
                                </w:rPr>
                                <w:t>S</w:t>
                              </w:r>
                              <w:r>
                                <w:rPr>
                                  <w:rFonts w:hint="eastAsia"/>
                                  <w:color w:val="FF0000"/>
                                  <w:sz w:val="18"/>
                                  <w:szCs w:val="18"/>
                                  <w:vertAlign w:val="subscript"/>
                                  <w:lang w:val="en-US" w:eastAsia="zh-CN"/>
                                </w:rPr>
                                <w:t>3</w:t>
                              </w:r>
                              <w:r>
                                <w:rPr>
                                  <w:rFonts w:hint="eastAsia"/>
                                  <w:color w:val="FF0000"/>
                                  <w:sz w:val="18"/>
                                  <w:szCs w:val="18"/>
                                  <w:lang w:val="en-US" w:eastAsia="zh-CN"/>
                                </w:rPr>
                                <w:t>不合格品</w:t>
                              </w:r>
                            </w:p>
                          </w:txbxContent>
                        </v:textbox>
                      </v:shape>
                      <v:shape id="_x0000_s1026" o:spid="_x0000_s1026" o:spt="32" type="#_x0000_t32" style="position:absolute;left:307340;top:4510405;flip:y;height:3175;width:1003935;" filled="f" stroked="t" coordsize="21600,21600" o:gfxdata="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Gq0ny2AAAAAgB&#10;AAAPAAAAAAAAAAEAIAAAACIAAABkcnMvZG93bnJldi54bWxQSwECFAAUAAAACACHTuJAT8w9ZRsC&#10;AAD3AwAADgAAAAAAAAABACAAAAAnAQAAZHJzL2Uyb0RvYy54bWxQSwUGAAAAAAYABgBZAQAAtAUA&#10;AAAA&#10;">
                        <v:fill on="f" focussize="0,0"/>
                        <v:stroke color="#000000 [3213]" joinstyle="round" endarrow="block" endarrowwidth="narrow"/>
                        <v:imagedata o:title=""/>
                        <o:lock v:ext="edit" aspectratio="f"/>
                      </v:shape>
                      <v:shape id="_x0000_s1026" o:spid="_x0000_s1026" o:spt="202" type="#_x0000_t202" style="position:absolute;left:155575;top:4046855;height:514350;width:1169035;" filled="f" stroked="f" coordsize="21600,21600" o:gfxdata="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KXxWKPZAAAACAEAAA8AAAAAAAAAAQAg&#10;AAAAIgAAAGRycy9kb3ducmV2LnhtbFBLAQIUABQAAAAIAIdO4kBaa/OaRgIAAHUEAAAOAAAAAAAA&#10;AAEAIAAAACgBAABkcnMvZTJvRG9jLnhtbFBLBQYAAAAABgAGAFkBAADgBQAAAAA=&#10;">
                        <v:fill on="f" focussize="0,0"/>
                        <v:stroke on="f" weight="0.5pt"/>
                        <v:imagedata o:title=""/>
                        <o:lock v:ext="edit" aspectratio="f"/>
                        <v:textbox>
                          <w:txbxContent>
                            <w:p w14:paraId="3BD11417">
                              <w:pPr>
                                <w:jc w:val="center"/>
                                <w:rPr>
                                  <w:rFonts w:hint="eastAsia"/>
                                  <w:lang w:val="en-US" w:eastAsia="zh-CN"/>
                                </w:rPr>
                              </w:pPr>
                              <w:r>
                                <w:rPr>
                                  <w:rFonts w:hint="eastAsia"/>
                                  <w:lang w:val="en-US" w:eastAsia="zh-CN"/>
                                </w:rPr>
                                <w:t>纸箱、打包带、</w:t>
                              </w:r>
                            </w:p>
                            <w:p w14:paraId="74631667">
                              <w:pPr>
                                <w:jc w:val="center"/>
                                <w:rPr>
                                  <w:rFonts w:hint="default" w:eastAsia="宋体"/>
                                  <w:lang w:val="en-US" w:eastAsia="zh-CN"/>
                                </w:rPr>
                              </w:pPr>
                              <w:r>
                                <w:rPr>
                                  <w:rFonts w:hint="eastAsia"/>
                                  <w:lang w:val="en-US" w:eastAsia="zh-CN"/>
                                </w:rPr>
                                <w:t>封箱带</w:t>
                              </w:r>
                            </w:p>
                          </w:txbxContent>
                        </v:textbox>
                      </v:shape>
                      <v:shape id="_x0000_s1026" o:spid="_x0000_s1026" o:spt="202" type="#_x0000_t202" style="position:absolute;left:1347470;top:3978910;height:304800;width:471805;" filled="f" stroked="f" coordsize="21600,21600" o:gfxdata="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KXxWKPZAAAACAEAAA8AAAAAAAAA&#10;AQAgAAAAIgAAAGRycy9kb3ducmV2LnhtbFBLAQIUABQAAAAIAIdO4kCjV2JySQIAAHUEAAAOAAAA&#10;AAAAAAEAIAAAACgBAABkcnMvZTJvRG9jLnhtbFBLBQYAAAAABgAGAFkBAADjBQAAAAA=&#10;">
                        <v:fill on="f" focussize="0,0"/>
                        <v:stroke on="f" weight="0.5pt"/>
                        <v:imagedata o:title=""/>
                        <o:lock v:ext="edit" aspectratio="f"/>
                        <v:textbox>
                          <w:txbxContent>
                            <w:p w14:paraId="70FDACCA">
                              <w:pPr>
                                <w:jc w:val="both"/>
                                <w:rPr>
                                  <w:rFonts w:hint="default" w:eastAsia="宋体"/>
                                  <w:lang w:val="en-US" w:eastAsia="zh-CN"/>
                                </w:rPr>
                              </w:pPr>
                              <w:r>
                                <w:rPr>
                                  <w:rFonts w:hint="eastAsia"/>
                                  <w:lang w:val="en-US" w:eastAsia="zh-CN"/>
                                </w:rPr>
                                <w:t>合格</w:t>
                              </w:r>
                            </w:p>
                          </w:txbxContent>
                        </v:textbox>
                      </v:shape>
                      <v:shape id="_x0000_s1026" o:spid="_x0000_s1026" o:spt="100" style="position:absolute;left:2226310;top:685165;height:216535;width:186690;" filled="f" stroked="t" coordsize="186857,216774" o:gfxdata="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" path="m0,216774c6350,192009,19050,110729,36830,99299c54610,87869,59690,174229,87630,158354c115570,142479,156845,50404,175895,19289c194945,-11826,183515,4049,182880,4049e">
                        <v:path o:connectlocs="0,216535;36797,99189;87551,158179;175737,19267;182716,4044" o:connectangles="0,0,0,0,0"/>
                        <v:fill on="f" focussize="0,0"/>
                        <v:stroke color="#00B050 [2404]" joinstyle="round" dashstyle="3 1" endarrow="block" endarrowwidth="narrow"/>
                        <v:imagedata o:title=""/>
                        <o:lock v:ext="edit" aspectratio="f"/>
                      </v:shape>
                      <v:shape id="_x0000_s1026" o:spid="_x0000_s1026" o:spt="202" type="#_x0000_t202" style="position:absolute;left:2362200;top:566420;height:304800;width:828675;" filled="f" stroked="f" coordsize="21600,21600" o:gfxdata="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l8Vij2QAAAAgBAAAPAAAAAAAAAAEA&#10;IAAAACIAAABkcnMvZG93bnJldi54bWxQSwECFAAUAAAACACHTuJADIV3wEcCAAB0BAAADgAAAAAA&#10;AAABACAAAAAoAQAAZHJzL2Uyb0RvYy54bWxQSwUGAAAAAAYABgBZAQAA4QUAAAAA&#10;">
                        <v:fill on="f" focussize="0,0"/>
                        <v:stroke on="f" weight="0.5pt"/>
                        <v:imagedata o:title=""/>
                        <o:lock v:ext="edit" aspectratio="f"/>
                        <v:textbox>
                          <w:txbxContent>
                            <w:p w14:paraId="10016DC2">
                              <w:pPr>
                                <w:jc w:val="left"/>
                                <w:rPr>
                                  <w:rFonts w:hint="default" w:eastAsia="宋体"/>
                                  <w:color w:val="00B050"/>
                                  <w:sz w:val="18"/>
                                  <w:szCs w:val="18"/>
                                  <w:lang w:val="en-US" w:eastAsia="zh-CN"/>
                                </w:rPr>
                              </w:pPr>
                              <w:r>
                                <w:rPr>
                                  <w:rFonts w:hint="eastAsia"/>
                                  <w:color w:val="00B050"/>
                                  <w:sz w:val="18"/>
                                  <w:szCs w:val="18"/>
                                  <w:lang w:val="en-US" w:eastAsia="zh-CN"/>
                                </w:rPr>
                                <w:t>G</w:t>
                              </w:r>
                              <w:r>
                                <w:rPr>
                                  <w:rFonts w:hint="eastAsia"/>
                                  <w:color w:val="00B050"/>
                                  <w:sz w:val="18"/>
                                  <w:szCs w:val="18"/>
                                  <w:vertAlign w:val="subscript"/>
                                  <w:lang w:val="en-US" w:eastAsia="zh-CN"/>
                                </w:rPr>
                                <w:t>1</w:t>
                              </w:r>
                              <w:r>
                                <w:rPr>
                                  <w:rFonts w:hint="eastAsia"/>
                                  <w:color w:val="00B050"/>
                                  <w:sz w:val="18"/>
                                  <w:szCs w:val="18"/>
                                  <w:lang w:val="en-US" w:eastAsia="zh-CN"/>
                                </w:rPr>
                                <w:t>投料粉尘</w:t>
                              </w:r>
                            </w:p>
                          </w:txbxContent>
                        </v:textbox>
                      </v:shape>
                      <v:shape id="_x0000_s1026" o:spid="_x0000_s1026" o:spt="100" style="position:absolute;left:2240280;top:1997075;height:216535;width:186690;" filled="f" stroked="t" coordsize="186857,216774" o:gfxdata="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" path="m0,216774c6350,192009,19050,110729,36830,99299c54610,87869,59690,174229,87630,158354c115570,142479,156845,50404,175895,19289c194945,-11826,183515,4049,182880,4049e">
                        <v:path o:connectlocs="0,216535;36797,99189;87551,158179;175737,19267;182716,4044" o:connectangles="0,0,0,0,0"/>
                        <v:fill on="f" focussize="0,0"/>
                        <v:stroke color="#00B050 [2404]" joinstyle="round" dashstyle="3 1" endarrow="block" endarrowwidth="narrow"/>
                        <v:imagedata o:title=""/>
                        <o:lock v:ext="edit" aspectratio="f"/>
                      </v:shape>
                      <v:shape id="_x0000_s1026" o:spid="_x0000_s1026" o:spt="202" type="#_x0000_t202" style="position:absolute;left:2381250;top:1879600;height:304800;width:828675;" filled="f" stroked="f" coordsize="21600,21600" o:gfxdata="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l8Vij2QAAAAgBAAAPAAAAAAAAAAEA&#10;IAAAACIAAABkcnMvZG93bnJldi54bWxQSwECFAAUAAAACACHTuJAen7wqEcCAAB1BAAADgAAAAAA&#10;AAABACAAAAAoAQAAZHJzL2Uyb0RvYy54bWxQSwUGAAAAAAYABgBZAQAA4QUAAAAA&#10;">
                        <v:fill on="f" focussize="0,0"/>
                        <v:stroke on="f" weight="0.5pt"/>
                        <v:imagedata o:title=""/>
                        <o:lock v:ext="edit" aspectratio="f"/>
                        <v:textbox>
                          <w:txbxContent>
                            <w:p w14:paraId="6E8FA808">
                              <w:pPr>
                                <w:jc w:val="left"/>
                                <w:rPr>
                                  <w:rFonts w:hint="default" w:eastAsia="宋体"/>
                                  <w:color w:val="00B050"/>
                                  <w:sz w:val="18"/>
                                  <w:szCs w:val="18"/>
                                  <w:lang w:val="en-US" w:eastAsia="zh-CN"/>
                                </w:rPr>
                              </w:pPr>
                              <w:r>
                                <w:rPr>
                                  <w:rFonts w:hint="eastAsia"/>
                                  <w:color w:val="00B050"/>
                                  <w:sz w:val="18"/>
                                  <w:szCs w:val="18"/>
                                  <w:lang w:val="en-US" w:eastAsia="zh-CN"/>
                                </w:rPr>
                                <w:t>G</w:t>
                              </w:r>
                              <w:r>
                                <w:rPr>
                                  <w:rFonts w:hint="eastAsia"/>
                                  <w:color w:val="00B050"/>
                                  <w:sz w:val="18"/>
                                  <w:szCs w:val="18"/>
                                  <w:vertAlign w:val="subscript"/>
                                  <w:lang w:val="en-US" w:eastAsia="zh-CN"/>
                                </w:rPr>
                                <w:t>2</w:t>
                              </w:r>
                              <w:r>
                                <w:rPr>
                                  <w:rFonts w:hint="eastAsia"/>
                                  <w:color w:val="00B050"/>
                                  <w:sz w:val="18"/>
                                  <w:szCs w:val="18"/>
                                  <w:lang w:val="en-US" w:eastAsia="zh-CN"/>
                                </w:rPr>
                                <w:t>注塑废气</w:t>
                              </w:r>
                            </w:p>
                          </w:txbxContent>
                        </v:textbox>
                      </v:shape>
                      <v:shape id="_x0000_s1026" o:spid="_x0000_s1026" o:spt="32" type="#_x0000_t32" style="position:absolute;left:2315210;top:1193800;flip:y;height:3810;width:550545;" filled="f" stroked="t" coordsize="21600,21600" o:gfxdata="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AewFH3XAAAA&#10;CAEAAA8AAAAAAAAAAQAgAAAAIgAAAGRycy9kb3ducmV2LnhtbFBLAQIUABQAAAAIAIdO4kCg7ZdR&#10;HgIAAPcDAAAOAAAAAAAAAAEAIAAAACYBAABkcnMvZTJvRG9jLnhtbFBLBQYAAAAABgAGAFkBAAC2&#10;BQAAAAA=&#10;">
                        <v:fill on="f" focussize="0,0"/>
                        <v:stroke color="#FF0000 [3204]" joinstyle="round" endarrow="block" endarrowwidth="narrow"/>
                        <v:imagedata o:title=""/>
                        <o:lock v:ext="edit" aspectratio="f"/>
                      </v:shape>
                      <v:shape id="_x0000_s1026" o:spid="_x0000_s1026" o:spt="202" type="#_x0000_t202" style="position:absolute;left:2773045;top:1036320;height:304800;width:714375;" filled="f" stroked="f" coordsize="21600,21600" o:gfxdata="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pfFYo9kAAAAIAQAADwAAAAAAAAAB&#10;ACAAAAAiAAAAZHJzL2Rvd25yZXYueG1sUEsBAhQAFAAAAAgAh07iQBVaMqdIAgAAdQQAAA4AAAAA&#10;AAAAAQAgAAAAKAEAAGRycy9lMm9Eb2MueG1sUEsFBgAAAAAGAAYAWQEAAOIFAAAAAA==&#10;">
                        <v:fill on="f" focussize="0,0"/>
                        <v:stroke on="f" weight="0.5pt"/>
                        <v:imagedata o:title=""/>
                        <o:lock v:ext="edit" aspectratio="f"/>
                        <v:textbox>
                          <w:txbxContent>
                            <w:p w14:paraId="25F8B6A8">
                              <w:pPr>
                                <w:jc w:val="both"/>
                                <w:rPr>
                                  <w:rFonts w:hint="default" w:eastAsia="宋体"/>
                                  <w:color w:val="FF0000"/>
                                  <w:sz w:val="18"/>
                                  <w:szCs w:val="18"/>
                                  <w:lang w:val="en-US" w:eastAsia="zh-CN"/>
                                </w:rPr>
                              </w:pPr>
                              <w:r>
                                <w:rPr>
                                  <w:rFonts w:hint="eastAsia"/>
                                  <w:color w:val="FF0000"/>
                                  <w:sz w:val="18"/>
                                  <w:szCs w:val="18"/>
                                  <w:lang w:val="en-US" w:eastAsia="zh-CN"/>
                                </w:rPr>
                                <w:t>S</w:t>
                              </w:r>
                              <w:r>
                                <w:rPr>
                                  <w:rFonts w:hint="eastAsia"/>
                                  <w:color w:val="FF0000"/>
                                  <w:sz w:val="18"/>
                                  <w:szCs w:val="18"/>
                                  <w:vertAlign w:val="subscript"/>
                                  <w:lang w:val="en-US" w:eastAsia="zh-CN"/>
                                </w:rPr>
                                <w:t>1</w:t>
                              </w:r>
                              <w:r>
                                <w:rPr>
                                  <w:rFonts w:hint="eastAsia"/>
                                  <w:color w:val="FF0000"/>
                                  <w:sz w:val="18"/>
                                  <w:szCs w:val="18"/>
                                  <w:lang w:val="en-US" w:eastAsia="zh-CN"/>
                                </w:rPr>
                                <w:t>废包装</w:t>
                              </w:r>
                            </w:p>
                          </w:txbxContent>
                        </v:textbox>
                      </v:shape>
                      <v:shape id="_x0000_s1026" o:spid="_x0000_s1026" o:spt="32" type="#_x0000_t32" style="position:absolute;left:2343785;top:4502150;flip:y;height:1905;width:480060;" filled="f" stroked="t" coordsize="21600,21600" o:gfxdata="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HsBR91wAA&#10;AAgBAAAPAAAAAAAAAAEAIAAAACIAAABkcnMvZG93bnJldi54bWxQSwECFAAUAAAACACHTuJAsGcp&#10;/R8CAAD3AwAADgAAAAAAAAABACAAAAAmAQAAZHJzL2Uyb0RvYy54bWxQSwUGAAAAAAYABgBZAQAA&#10;twUAAAAA&#10;">
                        <v:fill on="f" focussize="0,0"/>
                        <v:stroke color="#FF0000 [3204]" joinstyle="round" endarrow="block" endarrowwidth="narrow"/>
                        <v:imagedata o:title=""/>
                        <o:lock v:ext="edit" aspectratio="f"/>
                      </v:shape>
                      <v:shape id="_x0000_s1026" o:spid="_x0000_s1026" o:spt="202" type="#_x0000_t202" style="position:absolute;left:2760980;top:4346575;height:326390;width:1036320;" filled="f" stroked="f" coordsize="21600,21600" o:gfxdata="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KXxWKPZAAAACAEAAA8AAAAAAAAA&#10;AQAgAAAAIgAAAGRycy9kb3ducmV2LnhtbFBLAQIUABQAAAAIAIdO4kCSenvpSQIAAHYEAAAOAAAA&#10;AAAAAAEAIAAAACgBAABkcnMvZTJvRG9jLnhtbFBLBQYAAAAABgAGAFkBAADjBQAAAAA=&#10;">
                        <v:fill on="f" focussize="0,0"/>
                        <v:stroke on="f" weight="0.5pt"/>
                        <v:imagedata o:title=""/>
                        <o:lock v:ext="edit" aspectratio="f"/>
                        <v:textbox>
                          <w:txbxContent>
                            <w:p w14:paraId="0861B268">
                              <w:pPr>
                                <w:jc w:val="both"/>
                                <w:rPr>
                                  <w:rFonts w:hint="default"/>
                                  <w:color w:val="FF0000"/>
                                  <w:sz w:val="18"/>
                                  <w:szCs w:val="18"/>
                                  <w:vertAlign w:val="baseline"/>
                                  <w:lang w:val="en-US" w:eastAsia="zh-CN"/>
                                </w:rPr>
                              </w:pPr>
                              <w:r>
                                <w:rPr>
                                  <w:rFonts w:hint="eastAsia"/>
                                  <w:color w:val="FF0000"/>
                                  <w:sz w:val="18"/>
                                  <w:szCs w:val="18"/>
                                  <w:vertAlign w:val="baseline"/>
                                  <w:lang w:val="en-US" w:eastAsia="zh-CN"/>
                                </w:rPr>
                                <w:t>S</w:t>
                              </w:r>
                              <w:r>
                                <w:rPr>
                                  <w:rFonts w:hint="eastAsia"/>
                                  <w:color w:val="FF0000"/>
                                  <w:sz w:val="18"/>
                                  <w:szCs w:val="18"/>
                                  <w:vertAlign w:val="subscript"/>
                                  <w:lang w:val="en-US" w:eastAsia="zh-CN"/>
                                </w:rPr>
                                <w:t>4</w:t>
                              </w:r>
                              <w:r>
                                <w:rPr>
                                  <w:rFonts w:hint="eastAsia"/>
                                  <w:color w:val="FF0000"/>
                                  <w:sz w:val="18"/>
                                  <w:szCs w:val="18"/>
                                  <w:vertAlign w:val="baseline"/>
                                  <w:lang w:val="en-US" w:eastAsia="zh-CN"/>
                                </w:rPr>
                                <w:t>废包材</w:t>
                              </w:r>
                            </w:p>
                          </w:txbxContent>
                        </v:textbox>
                      </v:shape>
                      <v:shape id="_x0000_s1026" o:spid="_x0000_s1026" o:spt="32" type="#_x0000_t32" style="position:absolute;left:2284730;top:3002280;flip:y;height:1905;width:480060;" filled="f" stroked="t" coordsize="21600,21600" o:gfxdata="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6BfL9tkAAAAI&#10;AQAADwAAAAAAAAABACAAAAAiAAAAZHJzL2Rvd25yZXYueG1sUEsBAhQAFAAAAAgAh07iQFyk/QEb&#10;AgAA9QMAAA4AAAAAAAAAAQAgAAAAKAEAAGRycy9lMm9Eb2MueG1sUEsFBgAAAAAGAAYAWQEAALUF&#10;AAAAAA==&#10;">
                        <v:fill on="f" focussize="0,0"/>
                        <v:stroke color="#0000FF [3204]" joinstyle="round" endarrow="block" endarrowwidth="narrow"/>
                        <v:imagedata o:title=""/>
                        <o:lock v:ext="edit" aspectratio="f"/>
                      </v:shape>
                      <v:shape id="_x0000_s1026" o:spid="_x0000_s1026" o:spt="202" type="#_x0000_t202" style="position:absolute;left:2701925;top:2856230;height:326390;width:1075055;" filled="f" stroked="f" coordsize="21600,21600" o:gfxdata="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pfFYo9kAAAAIAQAADwAAAAAAAAAB&#10;ACAAAAAiAAAAZHJzL2Rvd25yZXYueG1sUEsBAhQAFAAAAAgAh07iQOZ8jNpIAgAAdAQAAA4AAAAA&#10;AAAAAQAgAAAAKAEAAGRycy9lMm9Eb2MueG1sUEsFBgAAAAAGAAYAWQEAAOIFAAAAAA==&#10;">
                        <v:fill on="f" focussize="0,0"/>
                        <v:stroke on="f" weight="0.5pt"/>
                        <v:imagedata o:title=""/>
                        <o:lock v:ext="edit" aspectratio="f"/>
                        <v:textbox>
                          <w:txbxContent>
                            <w:p w14:paraId="1374D224">
                              <w:pPr>
                                <w:jc w:val="both"/>
                                <w:rPr>
                                  <w:rFonts w:hint="default"/>
                                  <w:color w:val="0000FF"/>
                                  <w:sz w:val="18"/>
                                  <w:szCs w:val="18"/>
                                  <w:vertAlign w:val="baseline"/>
                                  <w:lang w:val="en-US" w:eastAsia="zh-CN"/>
                                </w:rPr>
                              </w:pPr>
                              <w:r>
                                <w:rPr>
                                  <w:rFonts w:hint="eastAsia"/>
                                  <w:color w:val="0000FF"/>
                                  <w:sz w:val="18"/>
                                  <w:szCs w:val="18"/>
                                  <w:vertAlign w:val="baseline"/>
                                  <w:lang w:val="en-US" w:eastAsia="zh-CN"/>
                                </w:rPr>
                                <w:t>W</w:t>
                              </w:r>
                              <w:r>
                                <w:rPr>
                                  <w:rFonts w:hint="eastAsia"/>
                                  <w:color w:val="0000FF"/>
                                  <w:sz w:val="18"/>
                                  <w:szCs w:val="18"/>
                                  <w:vertAlign w:val="subscript"/>
                                  <w:lang w:val="en-US" w:eastAsia="zh-CN"/>
                                </w:rPr>
                                <w:t>1</w:t>
                              </w:r>
                              <w:r>
                                <w:rPr>
                                  <w:rFonts w:hint="eastAsia"/>
                                  <w:color w:val="0000FF"/>
                                  <w:sz w:val="18"/>
                                  <w:szCs w:val="18"/>
                                  <w:vertAlign w:val="baseline"/>
                                  <w:lang w:val="en-US" w:eastAsia="zh-CN"/>
                                </w:rPr>
                                <w:t>循环冷却排水</w:t>
                              </w:r>
                            </w:p>
                          </w:txbxContent>
                        </v:textbox>
                      </v:shape>
                      <v:rect id="_x0000_s1026" o:spid="_x0000_s1026" o:spt="1" style="position:absolute;left:3532505;top:3475355;height:484505;width:779780;v-text-anchor:middle;" filled="f" stroked="t" coordsize="21600,21600" o:gfxdata="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eLCoPtgAAAAIAQAADwAAAAAAAAABACAAAAAiAAAAZHJzL2Rvd25yZXYu&#10;eG1sUEsBAhQAFAAAAAgAh07iQGXcfPNtAgAAywQAAA4AAAAAAAAAAQAgAAAAJwEAAGRycy9lMm9E&#10;b2MueG1sUEsFBgAAAAAGAAYAWQEAAAYGAAAAAA==&#10;">
                        <v:fill on="f" focussize="0,0"/>
                        <v:stroke color="#000000 [3213]" joinstyle="round"/>
                        <v:imagedata o:title=""/>
                        <o:lock v:ext="edit" aspectratio="f"/>
                        <v:textbox>
                          <w:txbxContent>
                            <w:p w14:paraId="56F1274A">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粉碎成粒</w:t>
                              </w:r>
                            </w:p>
                          </w:txbxContent>
                        </v:textbox>
                      </v:rect>
                      <v:shape id="_x0000_s1026" o:spid="_x0000_s1026" o:spt="32" type="#_x0000_t32" style="position:absolute;left:1818005;top:4675505;height:313690;width:3810;" filled="f" stroked="t" coordsize="21600,21600" o:gfxdata="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3ZkM02AAAAAgBAAAPAAAA&#10;AAAAAAEAIAAAACIAAABkcnMvZG93bnJldi54bWxQSwECFAAUAAAACACHTuJA4JVeJRUCAADrAwAA&#10;DgAAAAAAAAABACAAAAAnAQAAZHJzL2Uyb0RvYy54bWxQSwUGAAAAAAYABgBZAQAArgUAAAAA&#10;">
                        <v:fill on="f" focussize="0,0"/>
                        <v:stroke color="#000000 [3213]" joinstyle="round" endarrow="block" endarrowwidth="narrow"/>
                        <v:imagedata o:title=""/>
                        <o:lock v:ext="edit" aspectratio="f"/>
                      </v:shape>
                      <v:shape id="_x0000_s1026" o:spid="_x0000_s1026" o:spt="33" type="#_x0000_t33" style="position:absolute;left:1905318;top:1458278;flip:y;height:1617980;width:2416175;rotation:5898240f;" filled="f" stroked="t" coordsize="21600,21600" o:gfxdata="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H/lD32AAAAAgBAAAPAAAAAAAAAAEAIAAAACIAAABkcnMv&#10;ZG93bnJldi54bWxQSwECFAAUAAAACACHTuJAmS3nnTwCAABBBAAADgAAAAAAAAABACAAAAAnAQAA&#10;ZHJzL2Uyb0RvYy54bWxQSwUGAAAAAAYABgBZAQAA1QUAAAAA&#10;">
                        <v:fill on="f" focussize="0,0"/>
                        <v:stroke color="#000000 [3213]" joinstyle="round" endarrow="block" endarrowwidth="narrow"/>
                        <v:imagedata o:title=""/>
                        <o:lock v:ext="edit" aspectratio="f"/>
                      </v:shape>
                      <v:shape id="_x0000_s1026" o:spid="_x0000_s1026" o:spt="100" style="position:absolute;left:4043045;top:3249930;height:216535;width:186690;" filled="f" stroked="t" coordsize="186857,216774" o:gfxdata="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&#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" path="m0,216774c6350,192009,19050,110729,36830,99299c54610,87869,59690,174229,87630,158354c115570,142479,156845,50404,175895,19289c194945,-11826,183515,4049,182880,4049e">
                        <v:path o:connectlocs="0,216535;36797,99189;87551,158179;175737,19267;182716,4044" o:connectangles="0,0,0,0,0"/>
                        <v:fill on="f" focussize="0,0"/>
                        <v:stroke color="#00B050 [2404]" joinstyle="round" dashstyle="3 1" endarrow="block" endarrowwidth="narrow"/>
                        <v:imagedata o:title=""/>
                        <o:lock v:ext="edit" aspectratio="f"/>
                      </v:shape>
                      <v:shape id="_x0000_s1026" o:spid="_x0000_s1026" o:spt="202" type="#_x0000_t202" style="position:absolute;left:4192905;top:3132455;height:304800;width:828675;" filled="f" stroked="f" coordsize="21600,21600" o:gfxdata="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pfFYo9kAAAAIAQAADwAAAAAAAAAB&#10;ACAAAAAiAAAAZHJzL2Rvd25yZXYueG1sUEsBAhQAFAAAAAgAh07iQDwDUHdIAgAAcwQAAA4AAAAA&#10;AAAAAQAgAAAAKAEAAGRycy9lMm9Eb2MueG1sUEsFBgAAAAAGAAYAWQEAAOIFAAAAAA==&#10;">
                        <v:fill on="f" focussize="0,0"/>
                        <v:stroke on="f" weight="0.5pt"/>
                        <v:imagedata o:title=""/>
                        <o:lock v:ext="edit" aspectratio="f"/>
                        <v:textbox>
                          <w:txbxContent>
                            <w:p w14:paraId="732F7BBB">
                              <w:pPr>
                                <w:jc w:val="left"/>
                                <w:rPr>
                                  <w:rFonts w:hint="default" w:eastAsia="宋体"/>
                                  <w:color w:val="00B050"/>
                                  <w:sz w:val="18"/>
                                  <w:szCs w:val="18"/>
                                  <w:lang w:val="en-US" w:eastAsia="zh-CN"/>
                                </w:rPr>
                              </w:pPr>
                              <w:r>
                                <w:rPr>
                                  <w:rFonts w:hint="eastAsia"/>
                                  <w:color w:val="00B050"/>
                                  <w:sz w:val="18"/>
                                  <w:szCs w:val="18"/>
                                  <w:lang w:val="en-US" w:eastAsia="zh-CN"/>
                                </w:rPr>
                                <w:t>G</w:t>
                              </w:r>
                              <w:r>
                                <w:rPr>
                                  <w:rFonts w:hint="eastAsia"/>
                                  <w:color w:val="00B050"/>
                                  <w:sz w:val="18"/>
                                  <w:szCs w:val="18"/>
                                  <w:vertAlign w:val="subscript"/>
                                  <w:lang w:val="en-US" w:eastAsia="zh-CN"/>
                                </w:rPr>
                                <w:t>3</w:t>
                              </w:r>
                              <w:r>
                                <w:rPr>
                                  <w:rFonts w:hint="eastAsia"/>
                                  <w:color w:val="00B050"/>
                                  <w:sz w:val="18"/>
                                  <w:szCs w:val="18"/>
                                  <w:vertAlign w:val="baseline"/>
                                  <w:lang w:val="en-US" w:eastAsia="zh-CN"/>
                                </w:rPr>
                                <w:t>粉碎粉尘</w:t>
                              </w:r>
                            </w:p>
                          </w:txbxContent>
                        </v:textbox>
                      </v:shape>
                    </v:group>
                  </w:pict>
                </mc:Fallback>
              </mc:AlternateContent>
            </w:r>
          </w:p>
          <w:p w14:paraId="5E544A6F">
            <w:pPr>
              <w:keepNext w:val="0"/>
              <w:keepLines w:val="0"/>
              <w:suppressLineNumbers w:val="0"/>
              <w:bidi w:val="0"/>
              <w:spacing w:before="0" w:beforeAutospacing="0" w:after="0" w:afterAutospacing="0"/>
              <w:ind w:left="0" w:right="0"/>
              <w:rPr>
                <w:rFonts w:hint="eastAsia"/>
                <w:color w:val="auto"/>
                <w:lang w:val="en-US" w:eastAsia="zh-CN"/>
              </w:rPr>
            </w:pPr>
          </w:p>
          <w:p w14:paraId="06522DBD">
            <w:pPr>
              <w:keepNext w:val="0"/>
              <w:keepLines w:val="0"/>
              <w:suppressLineNumbers w:val="0"/>
              <w:bidi w:val="0"/>
              <w:spacing w:before="0" w:beforeAutospacing="0" w:after="0" w:afterAutospacing="0"/>
              <w:ind w:left="0" w:right="0"/>
              <w:rPr>
                <w:rFonts w:hint="default"/>
                <w:color w:val="auto"/>
              </w:rPr>
            </w:pPr>
          </w:p>
          <w:p w14:paraId="7163E279">
            <w:pPr>
              <w:keepNext w:val="0"/>
              <w:keepLines w:val="0"/>
              <w:suppressLineNumbers w:val="0"/>
              <w:bidi w:val="0"/>
              <w:spacing w:before="0" w:beforeAutospacing="0" w:after="0" w:afterAutospacing="0"/>
              <w:ind w:left="0" w:right="0"/>
              <w:rPr>
                <w:rFonts w:hint="eastAsia"/>
                <w:color w:val="auto"/>
                <w:lang w:val="en-US" w:eastAsia="zh-CN"/>
              </w:rPr>
            </w:pPr>
          </w:p>
          <w:p w14:paraId="043F1D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lang w:val="en-US" w:eastAsia="zh-CN"/>
              </w:rPr>
            </w:pPr>
          </w:p>
          <w:p w14:paraId="002715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lang w:val="en-US" w:eastAsia="zh-CN"/>
              </w:rPr>
            </w:pPr>
          </w:p>
          <w:p w14:paraId="596BE4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lang w:val="en-US" w:eastAsia="zh-CN"/>
              </w:rPr>
            </w:pPr>
          </w:p>
          <w:p w14:paraId="499AAA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lang w:val="en-US" w:eastAsia="zh-CN"/>
              </w:rPr>
            </w:pPr>
          </w:p>
          <w:p w14:paraId="36D1C5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lang w:val="en-US" w:eastAsia="zh-CN"/>
              </w:rPr>
            </w:pPr>
          </w:p>
          <w:p w14:paraId="38C92A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lang w:val="en-US" w:eastAsia="zh-CN"/>
              </w:rPr>
            </w:pPr>
          </w:p>
          <w:p w14:paraId="21934E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lang w:val="en-US" w:eastAsia="zh-CN"/>
              </w:rPr>
            </w:pPr>
          </w:p>
          <w:p w14:paraId="53DB75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lang w:val="en-US" w:eastAsia="zh-CN"/>
              </w:rPr>
            </w:pPr>
          </w:p>
          <w:p w14:paraId="7A490F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lang w:val="en-US" w:eastAsia="zh-CN"/>
              </w:rPr>
            </w:pPr>
          </w:p>
          <w:p w14:paraId="7016B0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lang w:val="en-US" w:eastAsia="zh-CN"/>
              </w:rPr>
            </w:pPr>
          </w:p>
          <w:p w14:paraId="4C9896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lang w:val="en-US" w:eastAsia="zh-CN"/>
              </w:rPr>
            </w:pPr>
          </w:p>
          <w:p w14:paraId="2F712B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lang w:val="en-US" w:eastAsia="zh-CN"/>
              </w:rPr>
            </w:pPr>
          </w:p>
          <w:p w14:paraId="3F43F5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lang w:val="en-US" w:eastAsia="zh-CN"/>
              </w:rPr>
            </w:pPr>
          </w:p>
          <w:p w14:paraId="690460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lang w:val="en-US" w:eastAsia="zh-CN"/>
              </w:rPr>
            </w:pPr>
          </w:p>
          <w:p w14:paraId="39CAD8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lang w:val="en-US" w:eastAsia="zh-CN"/>
              </w:rPr>
            </w:pPr>
          </w:p>
          <w:p w14:paraId="36E331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lang w:val="en-US" w:eastAsia="zh-CN"/>
              </w:rPr>
            </w:pPr>
          </w:p>
          <w:p w14:paraId="0FC348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color w:val="auto"/>
                <w:sz w:val="24"/>
                <w:szCs w:val="24"/>
                <w:lang w:val="en-US" w:eastAsia="zh-CN"/>
              </w:rPr>
            </w:pPr>
            <w:r>
              <w:rPr>
                <w:rFonts w:hint="default" w:hAnsi="黑体" w:eastAsia="黑体"/>
                <w:color w:val="auto"/>
                <w:sz w:val="24"/>
                <w:szCs w:val="24"/>
              </w:rPr>
              <w:t>图</w:t>
            </w:r>
            <w:r>
              <w:rPr>
                <w:rFonts w:hint="eastAsia" w:hAnsi="黑体" w:eastAsia="黑体"/>
                <w:color w:val="auto"/>
                <w:sz w:val="24"/>
                <w:szCs w:val="24"/>
                <w:lang w:val="en-US" w:eastAsia="zh-CN"/>
              </w:rPr>
              <w:t>2-2</w:t>
            </w:r>
            <w:r>
              <w:rPr>
                <w:rFonts w:hint="default" w:hAnsi="黑体" w:eastAsia="黑体"/>
                <w:color w:val="auto"/>
                <w:sz w:val="24"/>
                <w:szCs w:val="24"/>
              </w:rPr>
              <w:t xml:space="preserve">  </w:t>
            </w:r>
            <w:r>
              <w:rPr>
                <w:rFonts w:hint="eastAsia" w:hAnsi="黑体" w:eastAsia="黑体"/>
                <w:color w:val="auto"/>
                <w:sz w:val="24"/>
                <w:szCs w:val="24"/>
                <w:lang w:val="en-US" w:eastAsia="zh-CN"/>
              </w:rPr>
              <w:t>塑料制品生产工艺流程及产污环节示意图</w:t>
            </w:r>
          </w:p>
          <w:p w14:paraId="167807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b/>
                <w:bCs/>
                <w:color w:val="auto"/>
                <w:sz w:val="24"/>
                <w:szCs w:val="24"/>
                <w:lang w:val="en-US" w:eastAsia="zh-CN"/>
              </w:rPr>
            </w:pPr>
            <w:r>
              <w:rPr>
                <w:rFonts w:hint="eastAsia"/>
                <w:b/>
                <w:bCs/>
                <w:color w:val="auto"/>
                <w:sz w:val="24"/>
                <w:szCs w:val="24"/>
                <w:lang w:val="en-US" w:eastAsia="zh-CN"/>
              </w:rPr>
              <w:t>生产工艺流程简述：</w:t>
            </w:r>
          </w:p>
          <w:p w14:paraId="1D82059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b/>
                <w:bCs/>
                <w:color w:val="auto"/>
                <w:sz w:val="24"/>
                <w:szCs w:val="24"/>
                <w:lang w:val="en-US" w:eastAsia="zh-CN"/>
              </w:rPr>
            </w:pPr>
            <w:r>
              <w:rPr>
                <w:rFonts w:hint="eastAsia" w:ascii="Times New Roman" w:hAnsi="Times New Roman" w:eastAsia="宋体" w:cs="Times New Roman"/>
                <w:b/>
                <w:bCs/>
                <w:color w:val="auto"/>
                <w:kern w:val="2"/>
                <w:sz w:val="24"/>
                <w:szCs w:val="24"/>
                <w:lang w:val="en-US" w:eastAsia="zh-CN" w:bidi="ar-SA"/>
              </w:rPr>
              <w:t>1）</w:t>
            </w:r>
            <w:r>
              <w:rPr>
                <w:rFonts w:hint="eastAsia" w:cs="Times New Roman"/>
                <w:b/>
                <w:bCs/>
                <w:color w:val="auto"/>
                <w:kern w:val="2"/>
                <w:sz w:val="24"/>
                <w:szCs w:val="24"/>
                <w:lang w:val="en-US" w:eastAsia="zh-CN" w:bidi="ar-SA"/>
              </w:rPr>
              <w:t>拆包、投料及配料</w:t>
            </w:r>
          </w:p>
          <w:p w14:paraId="454829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auto"/>
                <w:sz w:val="24"/>
                <w:szCs w:val="24"/>
                <w:lang w:val="en-US" w:eastAsia="zh-CN"/>
              </w:rPr>
            </w:pPr>
            <w:r>
              <w:rPr>
                <w:rFonts w:hint="eastAsia"/>
                <w:color w:val="auto"/>
                <w:sz w:val="24"/>
                <w:szCs w:val="24"/>
                <w:lang w:val="en-US" w:eastAsia="zh-CN"/>
              </w:rPr>
              <w:t>拟建项目外购PP、PS和PE等塑料粒子，原料进厂后存放于原材料存放区，根据客户订单情况，首先将产品所需原材料转运至投料配料区，于拌料机配套的密闭式自动投料系统内进行自动拆包，拆包后的原材料由密闭管道负压输送至拌料机料仓中，待投料使用；生产时，通过系统面板自动设置原材料投加量，拌料机采用自吸式上料方式，将原料密闭输送至注塑机内。</w:t>
            </w:r>
          </w:p>
          <w:p w14:paraId="02EA273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color w:val="auto"/>
                <w:sz w:val="24"/>
                <w:szCs w:val="24"/>
                <w:lang w:val="en-US" w:eastAsia="zh-CN"/>
              </w:rPr>
            </w:pPr>
            <w:r>
              <w:rPr>
                <w:rFonts w:hint="eastAsia"/>
                <w:b/>
                <w:bCs/>
                <w:color w:val="auto"/>
                <w:sz w:val="24"/>
                <w:szCs w:val="24"/>
                <w:lang w:val="en-US" w:eastAsia="zh-CN"/>
              </w:rPr>
              <w:t>产排污分析</w:t>
            </w:r>
            <w:r>
              <w:rPr>
                <w:rFonts w:hint="eastAsia"/>
                <w:color w:val="auto"/>
                <w:sz w:val="24"/>
                <w:szCs w:val="24"/>
                <w:lang w:val="en-US" w:eastAsia="zh-CN"/>
              </w:rPr>
              <w:t>：项目使用的PP、PS、PE等塑料粒子</w:t>
            </w:r>
            <w:r>
              <w:rPr>
                <w:rFonts w:hint="eastAsia"/>
                <w:color w:val="auto"/>
                <w:sz w:val="24"/>
                <w:szCs w:val="24"/>
                <w:vertAlign w:val="baseline"/>
                <w:lang w:val="en-US" w:eastAsia="zh-CN"/>
              </w:rPr>
              <w:t>的</w:t>
            </w:r>
            <w:r>
              <w:rPr>
                <w:rFonts w:hint="eastAsia"/>
                <w:color w:val="auto"/>
                <w:sz w:val="24"/>
                <w:szCs w:val="24"/>
                <w:lang w:val="en-US" w:eastAsia="zh-CN"/>
              </w:rPr>
              <w:t>粒径规格为2~5mm，粒径大于100</w:t>
            </w:r>
            <w:r>
              <w:rPr>
                <w:rFonts w:hint="default" w:ascii="Times New Roman" w:hAnsi="Times New Roman" w:cs="Times New Roman"/>
                <w:color w:val="auto"/>
                <w:sz w:val="24"/>
                <w:szCs w:val="24"/>
                <w:lang w:val="en-US" w:eastAsia="zh-CN"/>
              </w:rPr>
              <w:t>μm</w:t>
            </w:r>
            <w:r>
              <w:rPr>
                <w:rFonts w:hint="eastAsia"/>
                <w:color w:val="auto"/>
                <w:sz w:val="24"/>
                <w:szCs w:val="24"/>
                <w:lang w:val="en-US" w:eastAsia="zh-CN"/>
              </w:rPr>
              <w:t>，考虑外购原料含极少量粒径＜100</w:t>
            </w:r>
            <w:r>
              <w:rPr>
                <w:rFonts w:hint="default" w:ascii="Times New Roman" w:hAnsi="Times New Roman" w:cs="Times New Roman"/>
                <w:color w:val="auto"/>
                <w:sz w:val="24"/>
                <w:szCs w:val="24"/>
                <w:lang w:val="en-US" w:eastAsia="zh-CN"/>
              </w:rPr>
              <w:t>μm</w:t>
            </w:r>
            <w:r>
              <w:rPr>
                <w:rFonts w:hint="eastAsia"/>
                <w:color w:val="auto"/>
                <w:sz w:val="24"/>
                <w:szCs w:val="24"/>
                <w:lang w:val="en-US" w:eastAsia="zh-CN"/>
              </w:rPr>
              <w:t>的塑料微粒，拆包、投料工序会产生少量投料粉尘（G</w:t>
            </w:r>
            <w:r>
              <w:rPr>
                <w:rFonts w:hint="eastAsia"/>
                <w:color w:val="auto"/>
                <w:sz w:val="24"/>
                <w:szCs w:val="24"/>
                <w:vertAlign w:val="subscript"/>
                <w:lang w:val="en-US" w:eastAsia="zh-CN"/>
              </w:rPr>
              <w:t>1</w:t>
            </w:r>
            <w:r>
              <w:rPr>
                <w:rFonts w:hint="eastAsia"/>
                <w:color w:val="auto"/>
                <w:sz w:val="24"/>
                <w:szCs w:val="24"/>
                <w:lang w:val="en-US" w:eastAsia="zh-CN"/>
              </w:rPr>
              <w:t>），根据建设单位提供信息，每批次生产时，各注塑机内为单一塑料粒子，投料粉尘经密闭收集后，通过设备配套的布袋除尘器收集处理后无组织排放，该工序布袋除尘器收集粉尘直接回用于投料。原材料拆包产生的废包装（S</w:t>
            </w:r>
            <w:r>
              <w:rPr>
                <w:rFonts w:hint="eastAsia"/>
                <w:color w:val="auto"/>
                <w:sz w:val="24"/>
                <w:szCs w:val="24"/>
                <w:vertAlign w:val="subscript"/>
                <w:lang w:val="en-US" w:eastAsia="zh-CN"/>
              </w:rPr>
              <w:t>1</w:t>
            </w:r>
            <w:r>
              <w:rPr>
                <w:rFonts w:hint="eastAsia"/>
                <w:color w:val="auto"/>
                <w:sz w:val="24"/>
                <w:szCs w:val="24"/>
                <w:lang w:val="en-US" w:eastAsia="zh-CN"/>
              </w:rPr>
              <w:t>）统一收集后存放于一般工业固废间，定期由厂家回收综合利用。</w:t>
            </w:r>
          </w:p>
          <w:p w14:paraId="749FF2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b/>
                <w:bCs/>
                <w:color w:val="auto"/>
                <w:sz w:val="24"/>
                <w:szCs w:val="24"/>
                <w:lang w:val="en-US" w:eastAsia="zh-CN"/>
              </w:rPr>
            </w:pPr>
            <w:r>
              <w:rPr>
                <w:rFonts w:hint="eastAsia"/>
                <w:b/>
                <w:bCs/>
                <w:color w:val="auto"/>
                <w:sz w:val="24"/>
                <w:szCs w:val="24"/>
                <w:lang w:val="en-US" w:eastAsia="zh-CN"/>
              </w:rPr>
              <w:t>2）注塑、冷却成型</w:t>
            </w:r>
          </w:p>
          <w:p w14:paraId="61C826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auto"/>
                <w:sz w:val="24"/>
                <w:szCs w:val="24"/>
                <w:lang w:val="en-US" w:eastAsia="zh-CN"/>
              </w:rPr>
            </w:pPr>
            <w:r>
              <w:rPr>
                <w:rFonts w:hint="eastAsia"/>
                <w:color w:val="auto"/>
                <w:sz w:val="24"/>
                <w:szCs w:val="24"/>
                <w:lang w:val="en-US" w:eastAsia="zh-CN"/>
              </w:rPr>
              <w:t>注塑机内置料筒，经配料的塑料粒子全部进入料筒，通过螺杆旋转和料筒电加热，注塑机注塑温度设</w:t>
            </w:r>
            <w:r>
              <w:rPr>
                <w:rFonts w:hint="eastAsia"/>
                <w:color w:val="auto"/>
                <w:sz w:val="24"/>
                <w:szCs w:val="24"/>
                <w:highlight w:val="none"/>
                <w:lang w:val="en-US" w:eastAsia="zh-CN"/>
              </w:rPr>
              <w:t>置在</w:t>
            </w:r>
            <w:r>
              <w:rPr>
                <w:rFonts w:hint="default" w:ascii="Times New Roman" w:hAnsi="Times New Roman" w:cs="Times New Roman"/>
                <w:color w:val="auto"/>
                <w:sz w:val="24"/>
                <w:szCs w:val="24"/>
                <w:highlight w:val="none"/>
                <w:lang w:val="en-US" w:eastAsia="zh-CN"/>
              </w:rPr>
              <w:t>150℃~200℃</w:t>
            </w:r>
            <w:r>
              <w:rPr>
                <w:rFonts w:hint="eastAsia"/>
                <w:color w:val="auto"/>
                <w:sz w:val="24"/>
                <w:szCs w:val="24"/>
                <w:highlight w:val="none"/>
                <w:lang w:val="en-US" w:eastAsia="zh-CN"/>
              </w:rPr>
              <w:t>，</w:t>
            </w:r>
            <w:r>
              <w:rPr>
                <w:rFonts w:hint="eastAsia"/>
                <w:color w:val="auto"/>
                <w:sz w:val="24"/>
                <w:szCs w:val="24"/>
                <w:lang w:val="en-US" w:eastAsia="zh-CN"/>
              </w:rPr>
              <w:t>该温度下配合料熔化成流体，在高压下注射到密闭模具型腔内，填充至约95%，脱模过程不涉及使用脱模剂，型腔内保持一定压力。</w:t>
            </w:r>
          </w:p>
          <w:p w14:paraId="1E22CF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b w:val="0"/>
                <w:bCs w:val="0"/>
                <w:color w:val="auto"/>
                <w:sz w:val="24"/>
                <w:szCs w:val="24"/>
                <w:lang w:val="en-US" w:eastAsia="zh-CN"/>
              </w:rPr>
            </w:pPr>
            <w:r>
              <w:rPr>
                <w:rFonts w:hint="eastAsia"/>
                <w:color w:val="auto"/>
                <w:sz w:val="24"/>
                <w:szCs w:val="24"/>
                <w:lang w:val="en-US" w:eastAsia="zh-CN"/>
              </w:rPr>
              <w:t>为保证注塑定型并降低塑料半成品温度，采用间接水冷或闭环热交换方式，部分注塑机通过循环冷却塔提供的冷却水对含塑料液的模腔进行冷却，为间接冷却，冷却水不直接与原料接触，冷却温度在</w:t>
            </w:r>
            <w:r>
              <w:rPr>
                <w:rFonts w:hint="default" w:ascii="Times New Roman" w:hAnsi="Times New Roman" w:cs="Times New Roman"/>
                <w:color w:val="auto"/>
                <w:sz w:val="24"/>
                <w:szCs w:val="24"/>
                <w:lang w:val="en-US" w:eastAsia="zh-CN"/>
              </w:rPr>
              <w:t>20℃~80℃</w:t>
            </w:r>
            <w:r>
              <w:rPr>
                <w:rFonts w:hint="eastAsia"/>
                <w:color w:val="auto"/>
                <w:sz w:val="24"/>
                <w:szCs w:val="24"/>
                <w:lang w:val="en-US" w:eastAsia="zh-CN"/>
              </w:rPr>
              <w:t>。模腔中塑料热量通过热传导传至模架冷却水管，再通过热对流被冷却水带走，使塑料在模具型腔内均匀冷却并固化，形成塑料半成品；部分注塑模具通过模温机进行控温，模温机配置加热器或冷却系统调节密闭管路中介质温度，调节后的介质流经模具流道后完成热交换，模腔内塑料可快速成型。</w:t>
            </w:r>
          </w:p>
          <w:p w14:paraId="2FB6E28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color w:val="auto"/>
                <w:sz w:val="24"/>
                <w:szCs w:val="24"/>
                <w:lang w:val="en-US" w:eastAsia="zh-CN"/>
              </w:rPr>
            </w:pPr>
            <w:r>
              <w:rPr>
                <w:rFonts w:hint="eastAsia"/>
                <w:b/>
                <w:bCs/>
                <w:color w:val="auto"/>
                <w:sz w:val="24"/>
                <w:szCs w:val="24"/>
                <w:lang w:val="en-US" w:eastAsia="zh-CN"/>
              </w:rPr>
              <w:t>产排污分析</w:t>
            </w:r>
            <w:r>
              <w:rPr>
                <w:rFonts w:hint="eastAsia"/>
                <w:color w:val="auto"/>
                <w:sz w:val="24"/>
                <w:szCs w:val="24"/>
                <w:lang w:val="en-US" w:eastAsia="zh-CN"/>
              </w:rPr>
              <w:t>：根据原辅材料理化性质，塑料粒子熔融温度分别为：</w:t>
            </w:r>
            <w:r>
              <w:rPr>
                <w:rFonts w:hint="default" w:ascii="Times New Roman" w:hAnsi="Times New Roman" w:cs="Times New Roman"/>
                <w:color w:val="auto"/>
                <w:sz w:val="24"/>
                <w:szCs w:val="24"/>
                <w:lang w:val="en-US" w:eastAsia="zh-CN"/>
              </w:rPr>
              <w:t>PP粒子（聚丙烯）180℃~280℃，PS粒子（聚苯乙烯）140℃~180℃，PE粒子（聚乙烯）130℃~160℃</w:t>
            </w:r>
            <w:r>
              <w:rPr>
                <w:rFonts w:hint="eastAsia" w:cs="Times New Roman"/>
                <w:color w:val="auto"/>
                <w:sz w:val="24"/>
                <w:szCs w:val="24"/>
                <w:lang w:val="en-US" w:eastAsia="zh-CN"/>
              </w:rPr>
              <w:t>。</w:t>
            </w:r>
            <w:r>
              <w:rPr>
                <w:rFonts w:hint="eastAsia"/>
                <w:sz w:val="24"/>
                <w:szCs w:val="24"/>
                <w:lang w:val="en-US" w:eastAsia="zh-CN"/>
              </w:rPr>
              <w:t>塑料粒子</w:t>
            </w:r>
            <w:r>
              <w:rPr>
                <w:rFonts w:hint="eastAsia" w:cs="Times New Roman"/>
                <w:color w:val="auto"/>
                <w:sz w:val="24"/>
                <w:szCs w:val="24"/>
                <w:lang w:val="en-US" w:eastAsia="zh-CN"/>
              </w:rPr>
              <w:t>热分解温度分别为：</w:t>
            </w:r>
            <w:r>
              <w:rPr>
                <w:rFonts w:hint="default" w:ascii="Times New Roman" w:hAnsi="Times New Roman" w:cs="Times New Roman"/>
                <w:color w:val="auto"/>
                <w:sz w:val="24"/>
                <w:szCs w:val="24"/>
                <w:lang w:val="en-US" w:eastAsia="zh-CN"/>
              </w:rPr>
              <w:t>PP粒子（聚丙烯）</w:t>
            </w:r>
            <w:r>
              <w:rPr>
                <w:rFonts w:hint="eastAsia" w:cs="Times New Roman"/>
                <w:color w:val="auto"/>
                <w:sz w:val="24"/>
                <w:szCs w:val="24"/>
                <w:lang w:val="en-US" w:eastAsia="zh-CN"/>
              </w:rPr>
              <w:t>35</w:t>
            </w:r>
            <w:r>
              <w:rPr>
                <w:rFonts w:hint="default" w:ascii="Times New Roman" w:hAnsi="Times New Roman" w:cs="Times New Roman"/>
                <w:color w:val="auto"/>
                <w:sz w:val="24"/>
                <w:szCs w:val="24"/>
                <w:lang w:val="en-US" w:eastAsia="zh-CN"/>
              </w:rPr>
              <w:t>0℃~</w:t>
            </w:r>
            <w:r>
              <w:rPr>
                <w:rFonts w:hint="eastAsia" w:cs="Times New Roman"/>
                <w:color w:val="auto"/>
                <w:sz w:val="24"/>
                <w:szCs w:val="24"/>
                <w:lang w:val="en-US" w:eastAsia="zh-CN"/>
              </w:rPr>
              <w:t>38</w:t>
            </w:r>
            <w:r>
              <w:rPr>
                <w:rFonts w:hint="default" w:ascii="Times New Roman" w:hAnsi="Times New Roman" w:cs="Times New Roman"/>
                <w:color w:val="auto"/>
                <w:sz w:val="24"/>
                <w:szCs w:val="24"/>
                <w:lang w:val="en-US" w:eastAsia="zh-CN"/>
              </w:rPr>
              <w:t>0℃，PS粒子（聚苯乙烯）</w:t>
            </w:r>
            <w:r>
              <w:rPr>
                <w:rFonts w:hint="eastAsia" w:cs="Times New Roman"/>
                <w:color w:val="auto"/>
                <w:sz w:val="24"/>
                <w:szCs w:val="24"/>
                <w:lang w:val="en-US" w:eastAsia="zh-CN"/>
              </w:rPr>
              <w:t>30</w:t>
            </w:r>
            <w:r>
              <w:rPr>
                <w:rFonts w:hint="default" w:ascii="Times New Roman" w:hAnsi="Times New Roman" w:cs="Times New Roman"/>
                <w:color w:val="auto"/>
                <w:sz w:val="24"/>
                <w:szCs w:val="24"/>
                <w:lang w:val="en-US" w:eastAsia="zh-CN"/>
              </w:rPr>
              <w:t>0℃~</w:t>
            </w:r>
            <w:r>
              <w:rPr>
                <w:rFonts w:hint="eastAsia" w:cs="Times New Roman"/>
                <w:color w:val="auto"/>
                <w:sz w:val="24"/>
                <w:szCs w:val="24"/>
                <w:lang w:val="en-US" w:eastAsia="zh-CN"/>
              </w:rPr>
              <w:t>35</w:t>
            </w:r>
            <w:r>
              <w:rPr>
                <w:rFonts w:hint="default" w:ascii="Times New Roman" w:hAnsi="Times New Roman" w:cs="Times New Roman"/>
                <w:color w:val="auto"/>
                <w:sz w:val="24"/>
                <w:szCs w:val="24"/>
                <w:lang w:val="en-US" w:eastAsia="zh-CN"/>
              </w:rPr>
              <w:t>0℃，PE粒子（聚乙烯）</w:t>
            </w:r>
            <w:r>
              <w:rPr>
                <w:rFonts w:hint="eastAsia" w:cs="Times New Roman"/>
                <w:color w:val="auto"/>
                <w:sz w:val="24"/>
                <w:szCs w:val="24"/>
                <w:lang w:val="en-US" w:eastAsia="zh-CN"/>
              </w:rPr>
              <w:t>335</w:t>
            </w:r>
            <w:r>
              <w:rPr>
                <w:rFonts w:hint="default" w:ascii="Times New Roman" w:hAnsi="Times New Roman" w:cs="Times New Roman"/>
                <w:color w:val="auto"/>
                <w:sz w:val="24"/>
                <w:szCs w:val="24"/>
                <w:lang w:val="en-US" w:eastAsia="zh-CN"/>
              </w:rPr>
              <w:t>℃~</w:t>
            </w:r>
            <w:r>
              <w:rPr>
                <w:rFonts w:hint="eastAsia" w:cs="Times New Roman"/>
                <w:color w:val="auto"/>
                <w:sz w:val="24"/>
                <w:szCs w:val="24"/>
                <w:lang w:val="en-US" w:eastAsia="zh-CN"/>
              </w:rPr>
              <w:t>45</w:t>
            </w:r>
            <w:r>
              <w:rPr>
                <w:rFonts w:hint="default" w:ascii="Times New Roman" w:hAnsi="Times New Roman" w:cs="Times New Roman"/>
                <w:color w:val="auto"/>
                <w:sz w:val="24"/>
                <w:szCs w:val="24"/>
                <w:lang w:val="en-US" w:eastAsia="zh-CN"/>
              </w:rPr>
              <w:t>0℃</w:t>
            </w:r>
            <w:r>
              <w:rPr>
                <w:rFonts w:hint="eastAsia" w:cs="Times New Roman"/>
                <w:color w:val="auto"/>
                <w:sz w:val="24"/>
                <w:szCs w:val="24"/>
                <w:lang w:val="en-US" w:eastAsia="zh-CN"/>
              </w:rPr>
              <w:t>。</w:t>
            </w:r>
            <w:r>
              <w:rPr>
                <w:rFonts w:hint="default" w:ascii="Times New Roman" w:hAnsi="Times New Roman" w:cs="Times New Roman"/>
                <w:color w:val="auto"/>
                <w:sz w:val="24"/>
                <w:szCs w:val="24"/>
                <w:lang w:val="en-US" w:eastAsia="zh-CN"/>
              </w:rPr>
              <w:t>注塑时根据产品种类及原料特性，调节注塑机温度在</w:t>
            </w:r>
            <w:r>
              <w:rPr>
                <w:rFonts w:hint="default" w:ascii="Times New Roman" w:hAnsi="Times New Roman" w:cs="Times New Roman"/>
                <w:color w:val="auto"/>
                <w:sz w:val="24"/>
                <w:szCs w:val="24"/>
                <w:highlight w:val="none"/>
                <w:lang w:val="en-US" w:eastAsia="zh-CN"/>
              </w:rPr>
              <w:t>150℃~200℃</w:t>
            </w:r>
            <w:r>
              <w:rPr>
                <w:rFonts w:hint="default" w:ascii="Times New Roman" w:hAnsi="Times New Roman" w:cs="Times New Roman"/>
                <w:color w:val="auto"/>
                <w:sz w:val="24"/>
                <w:szCs w:val="24"/>
                <w:lang w:val="en-US" w:eastAsia="zh-CN"/>
              </w:rPr>
              <w:t>范围内</w:t>
            </w:r>
            <w:r>
              <w:rPr>
                <w:rFonts w:hint="eastAsia"/>
                <w:color w:val="auto"/>
                <w:sz w:val="24"/>
                <w:szCs w:val="24"/>
                <w:lang w:val="en-US" w:eastAsia="zh-CN"/>
              </w:rPr>
              <w:t>，该温度稍高于塑料粒子熔点但低于分解温度，塑料粒子未发生分解，塑料粒子内少量游离态的小分子挥发，产生注塑废气G</w:t>
            </w:r>
            <w:r>
              <w:rPr>
                <w:rFonts w:hint="eastAsia"/>
                <w:color w:val="auto"/>
                <w:sz w:val="24"/>
                <w:szCs w:val="24"/>
                <w:vertAlign w:val="subscript"/>
                <w:lang w:val="en-US" w:eastAsia="zh-CN"/>
              </w:rPr>
              <w:t>2</w:t>
            </w:r>
            <w:r>
              <w:rPr>
                <w:rFonts w:hint="eastAsia"/>
                <w:color w:val="auto"/>
                <w:sz w:val="24"/>
                <w:szCs w:val="24"/>
                <w:lang w:val="en-US" w:eastAsia="zh-CN"/>
              </w:rPr>
              <w:t>，注塑时伴随极少量臭气，可忽略不计，本次仅做定性分析。注塑废气经设备上方集气罩收集，再通过“二级活性炭吸附装置”处理后，最终由23m高排气筒DA001排放。</w:t>
            </w:r>
          </w:p>
          <w:p w14:paraId="2564AEB6">
            <w:pPr>
              <w:keepNext w:val="0"/>
              <w:keepLines w:val="0"/>
              <w:widowControl/>
              <w:suppressLineNumbers w:val="0"/>
              <w:spacing w:before="0" w:beforeAutospacing="0" w:after="0" w:afterAutospacing="0" w:line="360" w:lineRule="auto"/>
              <w:ind w:left="0" w:right="0" w:firstLine="480" w:firstLineChars="200"/>
              <w:rPr>
                <w:rFonts w:hint="eastAsia"/>
                <w:color w:val="auto"/>
                <w:sz w:val="24"/>
                <w:szCs w:val="24"/>
                <w:lang w:val="en-US" w:eastAsia="zh-CN"/>
              </w:rPr>
            </w:pPr>
            <w:r>
              <w:rPr>
                <w:rFonts w:hint="eastAsia" w:ascii="Times New Roman" w:hAnsi="Times New Roman"/>
                <w:color w:val="auto"/>
                <w:kern w:val="0"/>
                <w:sz w:val="24"/>
                <w:szCs w:val="24"/>
                <w:lang w:val="en-US" w:eastAsia="zh-CN"/>
              </w:rPr>
              <w:t>本项目注塑废气主要为非甲烷总烃、苯乙烯、苯、甲苯、乙苯、二甲苯</w:t>
            </w:r>
            <w:r>
              <w:rPr>
                <w:rFonts w:hint="eastAsia" w:ascii="Times New Roman" w:hAnsi="Times New Roman"/>
                <w:color w:val="auto"/>
                <w:kern w:val="0"/>
                <w:sz w:val="24"/>
                <w:szCs w:val="24"/>
                <w:lang w:eastAsia="zh-CN"/>
              </w:rPr>
              <w:t>。</w:t>
            </w:r>
          </w:p>
          <w:p w14:paraId="3BC1A31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auto"/>
                <w:sz w:val="24"/>
                <w:szCs w:val="24"/>
                <w:lang w:val="en-US" w:eastAsia="zh-CN"/>
              </w:rPr>
            </w:pPr>
            <w:r>
              <w:rPr>
                <w:rFonts w:hint="eastAsia"/>
                <w:color w:val="auto"/>
                <w:sz w:val="24"/>
                <w:szCs w:val="24"/>
                <w:lang w:val="en-US" w:eastAsia="zh-CN"/>
              </w:rPr>
              <w:t>为防止管道内结垢、腐蚀，循环冷却系统使用一定时间后需定期排水，循环冷却系统排水（W</w:t>
            </w:r>
            <w:r>
              <w:rPr>
                <w:rFonts w:hint="eastAsia"/>
                <w:color w:val="auto"/>
                <w:sz w:val="24"/>
                <w:szCs w:val="24"/>
                <w:vertAlign w:val="subscript"/>
                <w:lang w:val="en-US" w:eastAsia="zh-CN"/>
              </w:rPr>
              <w:t>1</w:t>
            </w:r>
            <w:r>
              <w:rPr>
                <w:rFonts w:hint="eastAsia"/>
                <w:color w:val="auto"/>
                <w:sz w:val="24"/>
                <w:szCs w:val="24"/>
                <w:lang w:val="en-US" w:eastAsia="zh-CN"/>
              </w:rPr>
              <w:t>）与经化粪池预处理的生活污水一并通过厂区废水总排口接管至凤台县污水处理厂深度处理。</w:t>
            </w:r>
          </w:p>
          <w:p w14:paraId="5978AE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b/>
                <w:bCs/>
                <w:color w:val="auto"/>
                <w:sz w:val="24"/>
                <w:szCs w:val="24"/>
                <w:lang w:val="en-US" w:eastAsia="zh-CN"/>
              </w:rPr>
            </w:pPr>
            <w:r>
              <w:rPr>
                <w:rFonts w:hint="eastAsia"/>
                <w:b/>
                <w:bCs/>
                <w:color w:val="auto"/>
                <w:sz w:val="24"/>
                <w:szCs w:val="24"/>
                <w:lang w:val="en-US" w:eastAsia="zh-CN"/>
              </w:rPr>
              <w:t>3）半成品检验及修边</w:t>
            </w:r>
          </w:p>
          <w:p w14:paraId="59CC58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auto"/>
                <w:sz w:val="24"/>
                <w:szCs w:val="24"/>
                <w:lang w:val="en-US" w:eastAsia="zh-CN"/>
              </w:rPr>
            </w:pPr>
            <w:r>
              <w:rPr>
                <w:rFonts w:hint="eastAsia"/>
                <w:b w:val="0"/>
                <w:bCs w:val="0"/>
                <w:color w:val="auto"/>
                <w:sz w:val="24"/>
                <w:szCs w:val="24"/>
                <w:lang w:val="en-US" w:eastAsia="zh-CN"/>
              </w:rPr>
              <w:t>塑料半成品全部进入人工分拣及检验区域，合格半成品进入半成品周转区；部分含毛边的半成品，经人工裁剪修边后转运至半成品周转区；不合格产品及修边产生的废塑料边角料一并进入2F粉碎区。</w:t>
            </w:r>
          </w:p>
          <w:p w14:paraId="346C0A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color w:val="auto"/>
                <w:sz w:val="24"/>
                <w:szCs w:val="24"/>
                <w:lang w:val="en-US" w:eastAsia="zh-CN"/>
              </w:rPr>
            </w:pPr>
            <w:r>
              <w:rPr>
                <w:rFonts w:hint="eastAsia"/>
                <w:b/>
                <w:bCs/>
                <w:color w:val="auto"/>
                <w:sz w:val="24"/>
                <w:szCs w:val="24"/>
                <w:lang w:val="en-US" w:eastAsia="zh-CN"/>
              </w:rPr>
              <w:t>产排污分析：</w:t>
            </w:r>
            <w:r>
              <w:rPr>
                <w:rFonts w:hint="eastAsia"/>
                <w:color w:val="auto"/>
                <w:sz w:val="24"/>
                <w:szCs w:val="24"/>
                <w:lang w:val="en-US" w:eastAsia="zh-CN"/>
              </w:rPr>
              <w:t>半成品修边工序产生的废塑料边角料（S</w:t>
            </w:r>
            <w:r>
              <w:rPr>
                <w:rFonts w:hint="eastAsia"/>
                <w:color w:val="auto"/>
                <w:sz w:val="24"/>
                <w:szCs w:val="24"/>
                <w:vertAlign w:val="subscript"/>
                <w:lang w:val="en-US" w:eastAsia="zh-CN"/>
              </w:rPr>
              <w:t>2</w:t>
            </w:r>
            <w:r>
              <w:rPr>
                <w:rFonts w:hint="eastAsia"/>
                <w:color w:val="auto"/>
                <w:sz w:val="24"/>
                <w:szCs w:val="24"/>
                <w:lang w:val="en-US" w:eastAsia="zh-CN"/>
              </w:rPr>
              <w:t>）与检验工序产生的不合格塑料半成品（S</w:t>
            </w:r>
            <w:r>
              <w:rPr>
                <w:rFonts w:hint="eastAsia"/>
                <w:color w:val="auto"/>
                <w:sz w:val="24"/>
                <w:szCs w:val="24"/>
                <w:vertAlign w:val="subscript"/>
                <w:lang w:val="en-US" w:eastAsia="zh-CN"/>
              </w:rPr>
              <w:t>3</w:t>
            </w:r>
            <w:r>
              <w:rPr>
                <w:rFonts w:hint="eastAsia"/>
                <w:color w:val="auto"/>
                <w:sz w:val="24"/>
                <w:szCs w:val="24"/>
                <w:lang w:val="en-US" w:eastAsia="zh-CN"/>
              </w:rPr>
              <w:t>）一并回收，回用于塑料制品生产。</w:t>
            </w:r>
          </w:p>
          <w:p w14:paraId="1E4B43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b/>
                <w:bCs/>
                <w:color w:val="auto"/>
                <w:sz w:val="24"/>
                <w:szCs w:val="24"/>
                <w:lang w:val="en-US" w:eastAsia="zh-CN"/>
              </w:rPr>
            </w:pPr>
            <w:r>
              <w:rPr>
                <w:rFonts w:hint="eastAsia"/>
                <w:b/>
                <w:bCs/>
                <w:color w:val="auto"/>
                <w:sz w:val="24"/>
                <w:szCs w:val="24"/>
                <w:lang w:val="en-US" w:eastAsia="zh-CN"/>
              </w:rPr>
              <w:t>4）不合格品粉碎</w:t>
            </w:r>
          </w:p>
          <w:p w14:paraId="4215FF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b w:val="0"/>
                <w:bCs w:val="0"/>
                <w:color w:val="auto"/>
                <w:sz w:val="24"/>
                <w:szCs w:val="24"/>
                <w:lang w:val="en-US" w:eastAsia="zh-CN"/>
              </w:rPr>
            </w:pPr>
            <w:r>
              <w:rPr>
                <w:rFonts w:hint="eastAsia"/>
                <w:b w:val="0"/>
                <w:bCs w:val="0"/>
                <w:color w:val="auto"/>
                <w:sz w:val="24"/>
                <w:szCs w:val="24"/>
                <w:lang w:val="en-US" w:eastAsia="zh-CN"/>
              </w:rPr>
              <w:t>塑料制品生产时检验工序筛选出的不合格品及修边产生的废塑料边角料按产品种类分类收集后，全部输送至粉碎机，破碎成粒径为15mm~20mm的塑料小颗粒。</w:t>
            </w:r>
          </w:p>
          <w:p w14:paraId="259DE2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b w:val="0"/>
                <w:bCs w:val="0"/>
                <w:color w:val="auto"/>
                <w:sz w:val="24"/>
                <w:szCs w:val="24"/>
                <w:lang w:val="en-US" w:eastAsia="zh-CN"/>
              </w:rPr>
            </w:pPr>
            <w:r>
              <w:rPr>
                <w:rFonts w:hint="eastAsia"/>
                <w:b/>
                <w:bCs/>
                <w:color w:val="auto"/>
                <w:sz w:val="24"/>
                <w:szCs w:val="24"/>
                <w:highlight w:val="none"/>
                <w:lang w:val="en-US" w:eastAsia="zh-CN"/>
              </w:rPr>
              <w:t>产排污分析：</w:t>
            </w:r>
            <w:r>
              <w:rPr>
                <w:rFonts w:hint="eastAsia"/>
                <w:b w:val="0"/>
                <w:bCs w:val="0"/>
                <w:color w:val="auto"/>
                <w:sz w:val="24"/>
                <w:szCs w:val="24"/>
                <w:highlight w:val="none"/>
                <w:lang w:val="en-US" w:eastAsia="zh-CN"/>
              </w:rPr>
              <w:t>塑料粉</w:t>
            </w:r>
            <w:r>
              <w:rPr>
                <w:rFonts w:hint="eastAsia"/>
                <w:color w:val="auto"/>
                <w:sz w:val="24"/>
                <w:szCs w:val="24"/>
                <w:highlight w:val="none"/>
                <w:lang w:val="en-US" w:eastAsia="zh-CN"/>
              </w:rPr>
              <w:t>碎时产生的粉碎粉尘（G</w:t>
            </w:r>
            <w:r>
              <w:rPr>
                <w:rFonts w:hint="eastAsia"/>
                <w:color w:val="auto"/>
                <w:sz w:val="24"/>
                <w:szCs w:val="24"/>
                <w:highlight w:val="none"/>
                <w:vertAlign w:val="subscript"/>
                <w:lang w:val="en-US" w:eastAsia="zh-CN"/>
              </w:rPr>
              <w:t>3</w:t>
            </w:r>
            <w:r>
              <w:rPr>
                <w:rFonts w:hint="eastAsia"/>
                <w:color w:val="auto"/>
                <w:sz w:val="24"/>
                <w:szCs w:val="24"/>
                <w:highlight w:val="none"/>
                <w:lang w:val="en-US" w:eastAsia="zh-CN"/>
              </w:rPr>
              <w:t>）经设备上方集气罩收集后通过配套布袋除尘器处理，最终由1根23m高排气筒（DA002）排放。</w:t>
            </w:r>
          </w:p>
          <w:p w14:paraId="26E168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b/>
                <w:bCs/>
                <w:color w:val="auto"/>
                <w:sz w:val="24"/>
                <w:szCs w:val="24"/>
                <w:lang w:val="en-US" w:eastAsia="zh-CN"/>
              </w:rPr>
            </w:pPr>
            <w:r>
              <w:rPr>
                <w:rFonts w:hint="eastAsia"/>
                <w:b/>
                <w:bCs/>
                <w:color w:val="auto"/>
                <w:sz w:val="24"/>
                <w:szCs w:val="24"/>
                <w:lang w:val="en-US" w:eastAsia="zh-CN"/>
              </w:rPr>
              <w:t>5）包装入库</w:t>
            </w:r>
          </w:p>
          <w:p w14:paraId="64955C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auto"/>
                <w:sz w:val="24"/>
                <w:szCs w:val="24"/>
                <w:lang w:val="en-US" w:eastAsia="zh-CN"/>
              </w:rPr>
            </w:pPr>
            <w:r>
              <w:rPr>
                <w:rFonts w:hint="eastAsia"/>
                <w:color w:val="auto"/>
                <w:sz w:val="24"/>
                <w:szCs w:val="24"/>
                <w:lang w:val="en-US" w:eastAsia="zh-CN"/>
              </w:rPr>
              <w:t>检验合格的塑料成品及修边去毛刺的合格塑料成品进入包装工序，最后转移至3F~4F成品存放区暂存，待出售。</w:t>
            </w:r>
          </w:p>
          <w:p w14:paraId="76E7AB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color w:val="auto"/>
                <w:sz w:val="24"/>
                <w:szCs w:val="24"/>
                <w:lang w:val="en-US" w:eastAsia="zh-CN"/>
              </w:rPr>
            </w:pPr>
            <w:r>
              <w:rPr>
                <w:rFonts w:hint="eastAsia"/>
                <w:b/>
                <w:bCs/>
                <w:color w:val="auto"/>
                <w:sz w:val="24"/>
                <w:szCs w:val="24"/>
                <w:lang w:val="en-US" w:eastAsia="zh-CN"/>
              </w:rPr>
              <w:t>产排污分析：</w:t>
            </w:r>
            <w:r>
              <w:rPr>
                <w:rFonts w:hint="eastAsia"/>
                <w:color w:val="auto"/>
                <w:sz w:val="24"/>
                <w:szCs w:val="24"/>
                <w:lang w:val="en-US" w:eastAsia="zh-CN"/>
              </w:rPr>
              <w:t>包装工序产生废包材（S</w:t>
            </w:r>
            <w:r>
              <w:rPr>
                <w:rFonts w:hint="eastAsia"/>
                <w:color w:val="auto"/>
                <w:sz w:val="24"/>
                <w:szCs w:val="24"/>
                <w:vertAlign w:val="subscript"/>
                <w:lang w:val="en-US" w:eastAsia="zh-CN"/>
              </w:rPr>
              <w:t>4</w:t>
            </w:r>
            <w:r>
              <w:rPr>
                <w:rFonts w:hint="eastAsia"/>
                <w:color w:val="auto"/>
                <w:sz w:val="24"/>
                <w:szCs w:val="24"/>
                <w:lang w:val="en-US" w:eastAsia="zh-CN"/>
              </w:rPr>
              <w:t>）统一收集后存放于一般工业固废间，定期外售物资部门回收利用。</w:t>
            </w:r>
          </w:p>
          <w:p w14:paraId="53720C6C">
            <w:pPr>
              <w:pStyle w:val="223"/>
              <w:keepNext w:val="0"/>
              <w:keepLines w:val="0"/>
              <w:suppressLineNumbers w:val="0"/>
              <w:spacing w:before="0" w:beforeAutospacing="0" w:after="0" w:afterAutospacing="0"/>
              <w:ind w:left="0" w:right="0"/>
              <w:jc w:val="center"/>
              <w:rPr>
                <w:rFonts w:hint="default" w:eastAsia="黑体" w:cs="Times New Roman"/>
                <w:color w:val="auto"/>
              </w:rPr>
            </w:pPr>
            <w:r>
              <w:rPr>
                <w:rFonts w:hint="default" w:hAnsi="黑体" w:eastAsia="黑体" w:cs="Times New Roman"/>
                <w:color w:val="auto"/>
              </w:rPr>
              <w:t>表</w:t>
            </w:r>
            <w:r>
              <w:rPr>
                <w:rFonts w:hint="eastAsia" w:eastAsia="黑体" w:cs="Times New Roman"/>
                <w:color w:val="auto"/>
                <w:lang w:val="en-US" w:eastAsia="zh-CN"/>
              </w:rPr>
              <w:t>2-9</w:t>
            </w:r>
            <w:r>
              <w:rPr>
                <w:rFonts w:hint="default" w:eastAsia="黑体" w:cs="Times New Roman"/>
                <w:color w:val="auto"/>
              </w:rPr>
              <w:t xml:space="preserve">  </w:t>
            </w:r>
            <w:r>
              <w:rPr>
                <w:rFonts w:hint="default" w:hAnsi="黑体" w:eastAsia="黑体" w:cs="Times New Roman"/>
                <w:color w:val="auto"/>
              </w:rPr>
              <w:t>本项目</w:t>
            </w:r>
            <w:r>
              <w:rPr>
                <w:rFonts w:hint="eastAsia" w:hAnsi="黑体" w:eastAsia="黑体" w:cs="Times New Roman"/>
                <w:color w:val="auto"/>
                <w:lang w:val="en-US" w:eastAsia="zh-CN"/>
              </w:rPr>
              <w:t>主要</w:t>
            </w:r>
            <w:r>
              <w:rPr>
                <w:rFonts w:hint="default" w:hAnsi="黑体" w:eastAsia="黑体" w:cs="Times New Roman"/>
                <w:color w:val="auto"/>
              </w:rPr>
              <w:t>产污环节及治理措施一览表</w:t>
            </w:r>
          </w:p>
          <w:tbl>
            <w:tblPr>
              <w:tblStyle w:val="37"/>
              <w:tblW w:w="4998"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624"/>
              <w:gridCol w:w="994"/>
              <w:gridCol w:w="1281"/>
              <w:gridCol w:w="1154"/>
              <w:gridCol w:w="1364"/>
              <w:gridCol w:w="2518"/>
            </w:tblGrid>
            <w:tr w14:paraId="685C0C0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393" w:type="pct"/>
                  <w:vAlign w:val="center"/>
                </w:tcPr>
                <w:p w14:paraId="6A4618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eastAsia"/>
                      <w:b/>
                      <w:bCs/>
                      <w:color w:val="auto"/>
                      <w:sz w:val="21"/>
                      <w:szCs w:val="21"/>
                    </w:rPr>
                    <w:t>类别</w:t>
                  </w:r>
                </w:p>
              </w:tc>
              <w:tc>
                <w:tcPr>
                  <w:tcW w:w="626" w:type="pct"/>
                  <w:vAlign w:val="center"/>
                </w:tcPr>
                <w:p w14:paraId="715EFF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b/>
                      <w:bCs/>
                      <w:color w:val="auto"/>
                      <w:sz w:val="21"/>
                      <w:szCs w:val="21"/>
                      <w:lang w:val="en-US" w:eastAsia="zh-CN"/>
                    </w:rPr>
                  </w:pPr>
                  <w:r>
                    <w:rPr>
                      <w:rFonts w:hint="eastAsia"/>
                      <w:b/>
                      <w:bCs/>
                      <w:color w:val="auto"/>
                      <w:sz w:val="21"/>
                      <w:szCs w:val="21"/>
                      <w:lang w:val="en-US" w:eastAsia="zh-CN"/>
                    </w:rPr>
                    <w:t>所在</w:t>
                  </w:r>
                </w:p>
                <w:p w14:paraId="712D1F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lang w:val="en-US" w:eastAsia="zh-CN"/>
                    </w:rPr>
                  </w:pPr>
                  <w:r>
                    <w:rPr>
                      <w:rFonts w:hint="eastAsia"/>
                      <w:b/>
                      <w:bCs/>
                      <w:color w:val="auto"/>
                      <w:sz w:val="21"/>
                      <w:szCs w:val="21"/>
                      <w:lang w:val="en-US" w:eastAsia="zh-CN"/>
                    </w:rPr>
                    <w:t>位置</w:t>
                  </w:r>
                </w:p>
              </w:tc>
              <w:tc>
                <w:tcPr>
                  <w:tcW w:w="807" w:type="pct"/>
                  <w:vAlign w:val="center"/>
                </w:tcPr>
                <w:p w14:paraId="4941B5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b/>
                      <w:bCs/>
                      <w:color w:val="auto"/>
                      <w:sz w:val="21"/>
                      <w:szCs w:val="21"/>
                      <w:lang w:val="en-US" w:eastAsia="zh-CN"/>
                    </w:rPr>
                  </w:pPr>
                  <w:r>
                    <w:rPr>
                      <w:rFonts w:hint="eastAsia"/>
                      <w:b/>
                      <w:bCs/>
                      <w:color w:val="auto"/>
                      <w:sz w:val="21"/>
                      <w:szCs w:val="21"/>
                      <w:lang w:val="en-US" w:eastAsia="zh-CN"/>
                    </w:rPr>
                    <w:t>生产工序/</w:t>
                  </w:r>
                </w:p>
                <w:p w14:paraId="5D1E6D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lang w:val="en-US" w:eastAsia="zh-CN"/>
                    </w:rPr>
                  </w:pPr>
                  <w:r>
                    <w:rPr>
                      <w:rFonts w:hint="eastAsia"/>
                      <w:b/>
                      <w:bCs/>
                      <w:color w:val="auto"/>
                      <w:sz w:val="21"/>
                      <w:szCs w:val="21"/>
                      <w:lang w:val="en-US" w:eastAsia="zh-CN"/>
                    </w:rPr>
                    <w:t>生产装置</w:t>
                  </w:r>
                </w:p>
              </w:tc>
              <w:tc>
                <w:tcPr>
                  <w:tcW w:w="727" w:type="pct"/>
                  <w:vAlign w:val="center"/>
                </w:tcPr>
                <w:p w14:paraId="7BC389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eastAsia"/>
                      <w:b/>
                      <w:bCs/>
                      <w:color w:val="auto"/>
                      <w:sz w:val="21"/>
                      <w:szCs w:val="21"/>
                    </w:rPr>
                    <w:t>编号</w:t>
                  </w:r>
                </w:p>
              </w:tc>
              <w:tc>
                <w:tcPr>
                  <w:tcW w:w="859" w:type="pct"/>
                  <w:vAlign w:val="center"/>
                </w:tcPr>
                <w:p w14:paraId="128A52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eastAsia"/>
                      <w:b/>
                      <w:bCs/>
                      <w:color w:val="auto"/>
                      <w:sz w:val="21"/>
                      <w:szCs w:val="21"/>
                    </w:rPr>
                    <w:t>污染物</w:t>
                  </w:r>
                </w:p>
              </w:tc>
              <w:tc>
                <w:tcPr>
                  <w:tcW w:w="1586" w:type="pct"/>
                  <w:vAlign w:val="center"/>
                </w:tcPr>
                <w:p w14:paraId="4AA139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eastAsia"/>
                      <w:b/>
                      <w:bCs/>
                      <w:color w:val="auto"/>
                      <w:sz w:val="21"/>
                      <w:szCs w:val="21"/>
                    </w:rPr>
                    <w:t>收集</w:t>
                  </w:r>
                  <w:r>
                    <w:rPr>
                      <w:rFonts w:hint="eastAsia"/>
                      <w:b/>
                      <w:bCs/>
                      <w:color w:val="auto"/>
                      <w:sz w:val="21"/>
                      <w:szCs w:val="21"/>
                      <w:lang w:val="en-US" w:eastAsia="zh-CN"/>
                    </w:rPr>
                    <w:t>及</w:t>
                  </w:r>
                  <w:r>
                    <w:rPr>
                      <w:rFonts w:hint="eastAsia"/>
                      <w:b/>
                      <w:bCs/>
                      <w:color w:val="auto"/>
                      <w:sz w:val="21"/>
                      <w:szCs w:val="21"/>
                    </w:rPr>
                    <w:t>治理措施</w:t>
                  </w:r>
                </w:p>
              </w:tc>
            </w:tr>
            <w:tr w14:paraId="649CD8F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393" w:type="pct"/>
                  <w:vMerge w:val="restart"/>
                  <w:vAlign w:val="center"/>
                </w:tcPr>
                <w:p w14:paraId="5F8C5C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废气</w:t>
                  </w:r>
                </w:p>
              </w:tc>
              <w:tc>
                <w:tcPr>
                  <w:tcW w:w="626" w:type="pct"/>
                  <w:vAlign w:val="center"/>
                </w:tcPr>
                <w:p w14:paraId="148D2C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厂房2F</w:t>
                  </w:r>
                </w:p>
              </w:tc>
              <w:tc>
                <w:tcPr>
                  <w:tcW w:w="807" w:type="pct"/>
                  <w:vAlign w:val="center"/>
                </w:tcPr>
                <w:p w14:paraId="2CC980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拌料机</w:t>
                  </w:r>
                </w:p>
              </w:tc>
              <w:tc>
                <w:tcPr>
                  <w:tcW w:w="727" w:type="pct"/>
                  <w:vAlign w:val="center"/>
                </w:tcPr>
                <w:p w14:paraId="2DB08D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投料粉尘G</w:t>
                  </w:r>
                  <w:r>
                    <w:rPr>
                      <w:rFonts w:hint="eastAsia"/>
                      <w:color w:val="auto"/>
                      <w:sz w:val="21"/>
                      <w:szCs w:val="21"/>
                      <w:highlight w:val="none"/>
                      <w:vertAlign w:val="subscript"/>
                      <w:lang w:val="en-US" w:eastAsia="zh-CN"/>
                    </w:rPr>
                    <w:t>1</w:t>
                  </w:r>
                </w:p>
              </w:tc>
              <w:tc>
                <w:tcPr>
                  <w:tcW w:w="859" w:type="pct"/>
                  <w:vAlign w:val="center"/>
                </w:tcPr>
                <w:p w14:paraId="5107FA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颗粒物</w:t>
                  </w:r>
                </w:p>
              </w:tc>
              <w:tc>
                <w:tcPr>
                  <w:tcW w:w="1586" w:type="pct"/>
                  <w:vAlign w:val="center"/>
                </w:tcPr>
                <w:p w14:paraId="702D41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经密闭收集后，通过配套的布袋除尘器处理后于车间内无组织排放</w:t>
                  </w:r>
                </w:p>
              </w:tc>
            </w:tr>
            <w:tr w14:paraId="1E76FCD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393" w:type="pct"/>
                  <w:vMerge w:val="continue"/>
                  <w:vAlign w:val="center"/>
                </w:tcPr>
                <w:p w14:paraId="33415F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626" w:type="pct"/>
                  <w:vMerge w:val="restart"/>
                  <w:vAlign w:val="center"/>
                </w:tcPr>
                <w:p w14:paraId="26D1C9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厂房1F</w:t>
                  </w:r>
                </w:p>
              </w:tc>
              <w:tc>
                <w:tcPr>
                  <w:tcW w:w="807" w:type="pct"/>
                  <w:vMerge w:val="restart"/>
                  <w:vAlign w:val="center"/>
                </w:tcPr>
                <w:p w14:paraId="58CA9C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注塑机</w:t>
                  </w:r>
                </w:p>
              </w:tc>
              <w:tc>
                <w:tcPr>
                  <w:tcW w:w="727" w:type="pct"/>
                  <w:vMerge w:val="restart"/>
                  <w:vAlign w:val="center"/>
                </w:tcPr>
                <w:p w14:paraId="295398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注塑废气G</w:t>
                  </w:r>
                  <w:r>
                    <w:rPr>
                      <w:rFonts w:hint="eastAsia"/>
                      <w:color w:val="auto"/>
                      <w:sz w:val="21"/>
                      <w:szCs w:val="21"/>
                      <w:highlight w:val="none"/>
                      <w:vertAlign w:val="subscript"/>
                      <w:lang w:val="en-US" w:eastAsia="zh-CN"/>
                    </w:rPr>
                    <w:t>2</w:t>
                  </w:r>
                </w:p>
              </w:tc>
              <w:tc>
                <w:tcPr>
                  <w:tcW w:w="859" w:type="pct"/>
                  <w:vAlign w:val="center"/>
                </w:tcPr>
                <w:p w14:paraId="534099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非甲烷总烃</w:t>
                  </w:r>
                </w:p>
              </w:tc>
              <w:tc>
                <w:tcPr>
                  <w:tcW w:w="1586" w:type="pct"/>
                  <w:vMerge w:val="restart"/>
                  <w:vAlign w:val="center"/>
                </w:tcPr>
                <w:p w14:paraId="4891B9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经设备上方集气罩收集后，通过1套“二级活性炭吸附装置”处理，后由1根23m高排气筒DA001排放</w:t>
                  </w:r>
                </w:p>
              </w:tc>
            </w:tr>
            <w:tr w14:paraId="656F5F3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393" w:type="pct"/>
                  <w:vMerge w:val="continue"/>
                  <w:vAlign w:val="center"/>
                </w:tcPr>
                <w:p w14:paraId="566325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626" w:type="pct"/>
                  <w:vMerge w:val="continue"/>
                  <w:vAlign w:val="center"/>
                </w:tcPr>
                <w:p w14:paraId="73F0C0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807" w:type="pct"/>
                  <w:vMerge w:val="continue"/>
                  <w:vAlign w:val="center"/>
                </w:tcPr>
                <w:p w14:paraId="489788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727" w:type="pct"/>
                  <w:vMerge w:val="continue"/>
                  <w:vAlign w:val="center"/>
                </w:tcPr>
                <w:p w14:paraId="194F09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highlight w:val="none"/>
                      <w:lang w:val="en-US" w:eastAsia="zh-CN"/>
                    </w:rPr>
                  </w:pPr>
                </w:p>
              </w:tc>
              <w:tc>
                <w:tcPr>
                  <w:tcW w:w="859" w:type="pct"/>
                  <w:vAlign w:val="center"/>
                </w:tcPr>
                <w:p w14:paraId="75722D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甲苯</w:t>
                  </w:r>
                </w:p>
              </w:tc>
              <w:tc>
                <w:tcPr>
                  <w:tcW w:w="1586" w:type="pct"/>
                  <w:vMerge w:val="continue"/>
                  <w:vAlign w:val="center"/>
                </w:tcPr>
                <w:p w14:paraId="3A190C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highlight w:val="none"/>
                      <w:lang w:val="en-US" w:eastAsia="zh-CN"/>
                    </w:rPr>
                  </w:pPr>
                </w:p>
              </w:tc>
            </w:tr>
            <w:tr w14:paraId="14E60A3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393" w:type="pct"/>
                  <w:vMerge w:val="continue"/>
                  <w:vAlign w:val="center"/>
                </w:tcPr>
                <w:p w14:paraId="1BFD02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626" w:type="pct"/>
                  <w:vMerge w:val="continue"/>
                  <w:vAlign w:val="center"/>
                </w:tcPr>
                <w:p w14:paraId="7347CC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807" w:type="pct"/>
                  <w:vMerge w:val="continue"/>
                  <w:vAlign w:val="center"/>
                </w:tcPr>
                <w:p w14:paraId="49706D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727" w:type="pct"/>
                  <w:vMerge w:val="continue"/>
                  <w:vAlign w:val="center"/>
                </w:tcPr>
                <w:p w14:paraId="3B5551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highlight w:val="none"/>
                      <w:lang w:val="en-US" w:eastAsia="zh-CN"/>
                    </w:rPr>
                  </w:pPr>
                </w:p>
              </w:tc>
              <w:tc>
                <w:tcPr>
                  <w:tcW w:w="859" w:type="pct"/>
                  <w:vAlign w:val="center"/>
                </w:tcPr>
                <w:p w14:paraId="1B97FD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乙苯</w:t>
                  </w:r>
                </w:p>
              </w:tc>
              <w:tc>
                <w:tcPr>
                  <w:tcW w:w="1586" w:type="pct"/>
                  <w:vMerge w:val="continue"/>
                  <w:vAlign w:val="center"/>
                </w:tcPr>
                <w:p w14:paraId="0342C7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highlight w:val="none"/>
                      <w:lang w:val="en-US" w:eastAsia="zh-CN"/>
                    </w:rPr>
                  </w:pPr>
                </w:p>
              </w:tc>
            </w:tr>
            <w:tr w14:paraId="5265A69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393" w:type="pct"/>
                  <w:vMerge w:val="continue"/>
                  <w:vAlign w:val="center"/>
                </w:tcPr>
                <w:p w14:paraId="730860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626" w:type="pct"/>
                  <w:vMerge w:val="continue"/>
                  <w:vAlign w:val="center"/>
                </w:tcPr>
                <w:p w14:paraId="2F8577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807" w:type="pct"/>
                  <w:vMerge w:val="continue"/>
                  <w:vAlign w:val="center"/>
                </w:tcPr>
                <w:p w14:paraId="0FF3EF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727" w:type="pct"/>
                  <w:vMerge w:val="continue"/>
                  <w:vAlign w:val="center"/>
                </w:tcPr>
                <w:p w14:paraId="0FA2D5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highlight w:val="none"/>
                      <w:lang w:val="en-US" w:eastAsia="zh-CN"/>
                    </w:rPr>
                  </w:pPr>
                </w:p>
              </w:tc>
              <w:tc>
                <w:tcPr>
                  <w:tcW w:w="859" w:type="pct"/>
                  <w:vAlign w:val="center"/>
                </w:tcPr>
                <w:p w14:paraId="0D7806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二甲苯</w:t>
                  </w:r>
                </w:p>
              </w:tc>
              <w:tc>
                <w:tcPr>
                  <w:tcW w:w="1586" w:type="pct"/>
                  <w:vMerge w:val="continue"/>
                  <w:vAlign w:val="center"/>
                </w:tcPr>
                <w:p w14:paraId="2984D2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highlight w:val="none"/>
                      <w:lang w:val="en-US" w:eastAsia="zh-CN"/>
                    </w:rPr>
                  </w:pPr>
                </w:p>
              </w:tc>
            </w:tr>
            <w:tr w14:paraId="0511733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393" w:type="pct"/>
                  <w:vMerge w:val="continue"/>
                  <w:vAlign w:val="center"/>
                </w:tcPr>
                <w:p w14:paraId="24E0E5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626" w:type="pct"/>
                  <w:vMerge w:val="continue"/>
                  <w:vAlign w:val="center"/>
                </w:tcPr>
                <w:p w14:paraId="1BC997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807" w:type="pct"/>
                  <w:vMerge w:val="continue"/>
                  <w:vAlign w:val="center"/>
                </w:tcPr>
                <w:p w14:paraId="232BED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727" w:type="pct"/>
                  <w:vMerge w:val="continue"/>
                  <w:vAlign w:val="center"/>
                </w:tcPr>
                <w:p w14:paraId="29BE3C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highlight w:val="none"/>
                      <w:lang w:val="en-US" w:eastAsia="zh-CN"/>
                    </w:rPr>
                  </w:pPr>
                </w:p>
              </w:tc>
              <w:tc>
                <w:tcPr>
                  <w:tcW w:w="859" w:type="pct"/>
                  <w:vAlign w:val="center"/>
                </w:tcPr>
                <w:p w14:paraId="1BC4C4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苯乙烯</w:t>
                  </w:r>
                </w:p>
              </w:tc>
              <w:tc>
                <w:tcPr>
                  <w:tcW w:w="1586" w:type="pct"/>
                  <w:vMerge w:val="continue"/>
                  <w:vAlign w:val="center"/>
                </w:tcPr>
                <w:p w14:paraId="7AE3D5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highlight w:val="none"/>
                      <w:lang w:val="en-US" w:eastAsia="zh-CN"/>
                    </w:rPr>
                  </w:pPr>
                </w:p>
              </w:tc>
            </w:tr>
            <w:tr w14:paraId="1529769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393" w:type="pct"/>
                  <w:vMerge w:val="continue"/>
                  <w:vAlign w:val="center"/>
                </w:tcPr>
                <w:p w14:paraId="115522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626" w:type="pct"/>
                  <w:vMerge w:val="continue"/>
                  <w:vAlign w:val="center"/>
                </w:tcPr>
                <w:p w14:paraId="559159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807" w:type="pct"/>
                  <w:vMerge w:val="continue"/>
                  <w:vAlign w:val="center"/>
                </w:tcPr>
                <w:p w14:paraId="1EEFD7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727" w:type="pct"/>
                  <w:vMerge w:val="continue"/>
                  <w:vAlign w:val="center"/>
                </w:tcPr>
                <w:p w14:paraId="0B38CB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highlight w:val="none"/>
                      <w:lang w:val="en-US" w:eastAsia="zh-CN"/>
                    </w:rPr>
                  </w:pPr>
                </w:p>
              </w:tc>
              <w:tc>
                <w:tcPr>
                  <w:tcW w:w="859" w:type="pct"/>
                  <w:vAlign w:val="center"/>
                </w:tcPr>
                <w:p w14:paraId="199034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苯</w:t>
                  </w:r>
                </w:p>
              </w:tc>
              <w:tc>
                <w:tcPr>
                  <w:tcW w:w="1586" w:type="pct"/>
                  <w:vMerge w:val="continue"/>
                  <w:vAlign w:val="center"/>
                </w:tcPr>
                <w:p w14:paraId="59D3C7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highlight w:val="none"/>
                      <w:lang w:val="en-US" w:eastAsia="zh-CN"/>
                    </w:rPr>
                  </w:pPr>
                </w:p>
              </w:tc>
            </w:tr>
            <w:tr w14:paraId="3426943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393" w:type="pct"/>
                  <w:vMerge w:val="continue"/>
                  <w:vAlign w:val="center"/>
                </w:tcPr>
                <w:p w14:paraId="307071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626" w:type="pct"/>
                  <w:vMerge w:val="continue"/>
                  <w:vAlign w:val="center"/>
                </w:tcPr>
                <w:p w14:paraId="49E126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807" w:type="pct"/>
                  <w:vMerge w:val="continue"/>
                  <w:vAlign w:val="center"/>
                </w:tcPr>
                <w:p w14:paraId="74664E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727" w:type="pct"/>
                  <w:vMerge w:val="continue"/>
                  <w:vAlign w:val="center"/>
                </w:tcPr>
                <w:p w14:paraId="0A6615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highlight w:val="none"/>
                      <w:lang w:val="en-US" w:eastAsia="zh-CN"/>
                    </w:rPr>
                  </w:pPr>
                </w:p>
              </w:tc>
              <w:tc>
                <w:tcPr>
                  <w:tcW w:w="859" w:type="pct"/>
                  <w:vAlign w:val="center"/>
                </w:tcPr>
                <w:p w14:paraId="2B80D0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臭气浓度</w:t>
                  </w:r>
                </w:p>
              </w:tc>
              <w:tc>
                <w:tcPr>
                  <w:tcW w:w="1586" w:type="pct"/>
                  <w:vMerge w:val="continue"/>
                  <w:vAlign w:val="center"/>
                </w:tcPr>
                <w:p w14:paraId="75516C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highlight w:val="none"/>
                      <w:lang w:val="en-US" w:eastAsia="zh-CN"/>
                    </w:rPr>
                  </w:pPr>
                </w:p>
              </w:tc>
            </w:tr>
            <w:tr w14:paraId="5133337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393" w:type="pct"/>
                  <w:vMerge w:val="continue"/>
                  <w:vAlign w:val="center"/>
                </w:tcPr>
                <w:p w14:paraId="1C6DBA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626" w:type="pct"/>
                  <w:vAlign w:val="center"/>
                </w:tcPr>
                <w:p w14:paraId="32DF4C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厂房2F</w:t>
                  </w:r>
                </w:p>
              </w:tc>
              <w:tc>
                <w:tcPr>
                  <w:tcW w:w="807" w:type="pct"/>
                  <w:vAlign w:val="center"/>
                </w:tcPr>
                <w:p w14:paraId="1BB274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粉碎机</w:t>
                  </w:r>
                </w:p>
              </w:tc>
              <w:tc>
                <w:tcPr>
                  <w:tcW w:w="727" w:type="pct"/>
                  <w:vAlign w:val="center"/>
                </w:tcPr>
                <w:p w14:paraId="7938B9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粉碎粉尘G</w:t>
                  </w:r>
                  <w:r>
                    <w:rPr>
                      <w:rFonts w:hint="eastAsia"/>
                      <w:color w:val="auto"/>
                      <w:sz w:val="21"/>
                      <w:szCs w:val="21"/>
                      <w:highlight w:val="none"/>
                      <w:vertAlign w:val="subscript"/>
                      <w:lang w:val="en-US" w:eastAsia="zh-CN"/>
                    </w:rPr>
                    <w:t>3</w:t>
                  </w:r>
                </w:p>
              </w:tc>
              <w:tc>
                <w:tcPr>
                  <w:tcW w:w="859" w:type="pct"/>
                  <w:vAlign w:val="center"/>
                </w:tcPr>
                <w:p w14:paraId="49EF81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颗粒物</w:t>
                  </w:r>
                </w:p>
              </w:tc>
              <w:tc>
                <w:tcPr>
                  <w:tcW w:w="1586" w:type="pct"/>
                  <w:vAlign w:val="center"/>
                </w:tcPr>
                <w:p w14:paraId="1F4A86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经设备上方集气罩收集后，通过1套布袋除尘器处理，后由1根23m高排气筒（DA001）排放</w:t>
                  </w:r>
                </w:p>
              </w:tc>
            </w:tr>
            <w:tr w14:paraId="4A9EE29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393" w:type="pct"/>
                  <w:vMerge w:val="restart"/>
                  <w:vAlign w:val="center"/>
                </w:tcPr>
                <w:p w14:paraId="5092B2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废水</w:t>
                  </w:r>
                </w:p>
              </w:tc>
              <w:tc>
                <w:tcPr>
                  <w:tcW w:w="626" w:type="pct"/>
                  <w:vAlign w:val="center"/>
                </w:tcPr>
                <w:p w14:paraId="2F8AEC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厂房1F</w:t>
                  </w:r>
                </w:p>
              </w:tc>
              <w:tc>
                <w:tcPr>
                  <w:tcW w:w="807" w:type="pct"/>
                  <w:vAlign w:val="center"/>
                </w:tcPr>
                <w:p w14:paraId="3DC2E3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冷水机</w:t>
                  </w:r>
                </w:p>
              </w:tc>
              <w:tc>
                <w:tcPr>
                  <w:tcW w:w="727" w:type="pct"/>
                  <w:vAlign w:val="center"/>
                </w:tcPr>
                <w:p w14:paraId="0C7B0B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循环冷却排水W</w:t>
                  </w:r>
                  <w:r>
                    <w:rPr>
                      <w:rFonts w:hint="eastAsia"/>
                      <w:color w:val="auto"/>
                      <w:sz w:val="21"/>
                      <w:szCs w:val="21"/>
                      <w:highlight w:val="none"/>
                      <w:vertAlign w:val="subscript"/>
                      <w:lang w:val="en-US" w:eastAsia="zh-CN"/>
                    </w:rPr>
                    <w:t>1</w:t>
                  </w:r>
                </w:p>
              </w:tc>
              <w:tc>
                <w:tcPr>
                  <w:tcW w:w="859" w:type="pct"/>
                  <w:vAlign w:val="center"/>
                </w:tcPr>
                <w:p w14:paraId="0CB4A7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highlight w:val="none"/>
                      <w:lang w:val="en-US" w:eastAsia="zh-CN"/>
                    </w:rPr>
                  </w:pPr>
                  <w:r>
                    <w:rPr>
                      <w:rFonts w:hint="eastAsia"/>
                      <w:color w:val="auto"/>
                      <w:sz w:val="21"/>
                      <w:szCs w:val="21"/>
                      <w:highlight w:val="none"/>
                      <w:vertAlign w:val="baseline"/>
                      <w:lang w:val="en-US" w:eastAsia="zh-CN"/>
                    </w:rPr>
                    <w:t>COD</w:t>
                  </w:r>
                  <w:r>
                    <w:rPr>
                      <w:rFonts w:hint="eastAsia"/>
                      <w:color w:val="auto"/>
                      <w:sz w:val="21"/>
                      <w:szCs w:val="21"/>
                      <w:highlight w:val="none"/>
                      <w:vertAlign w:val="subscript"/>
                      <w:lang w:val="en-US" w:eastAsia="zh-CN"/>
                    </w:rPr>
                    <w:t>Cr</w:t>
                  </w:r>
                  <w:r>
                    <w:rPr>
                      <w:rFonts w:hint="eastAsia"/>
                      <w:color w:val="auto"/>
                      <w:sz w:val="21"/>
                      <w:szCs w:val="21"/>
                      <w:highlight w:val="none"/>
                      <w:vertAlign w:val="baseline"/>
                      <w:lang w:val="en-US" w:eastAsia="zh-CN"/>
                    </w:rPr>
                    <w:t>、BOD</w:t>
                  </w:r>
                  <w:r>
                    <w:rPr>
                      <w:rFonts w:hint="eastAsia"/>
                      <w:color w:val="auto"/>
                      <w:sz w:val="21"/>
                      <w:szCs w:val="21"/>
                      <w:highlight w:val="none"/>
                      <w:vertAlign w:val="subscript"/>
                      <w:lang w:val="en-US" w:eastAsia="zh-CN"/>
                    </w:rPr>
                    <w:t>5</w:t>
                  </w:r>
                  <w:r>
                    <w:rPr>
                      <w:rFonts w:hint="eastAsia"/>
                      <w:color w:val="auto"/>
                      <w:sz w:val="21"/>
                      <w:szCs w:val="21"/>
                      <w:highlight w:val="none"/>
                      <w:vertAlign w:val="baseline"/>
                      <w:lang w:val="en-US" w:eastAsia="zh-CN"/>
                    </w:rPr>
                    <w:t>、NH</w:t>
                  </w:r>
                  <w:r>
                    <w:rPr>
                      <w:rFonts w:hint="eastAsia"/>
                      <w:color w:val="auto"/>
                      <w:sz w:val="21"/>
                      <w:szCs w:val="21"/>
                      <w:highlight w:val="none"/>
                      <w:vertAlign w:val="subscript"/>
                      <w:lang w:val="en-US" w:eastAsia="zh-CN"/>
                    </w:rPr>
                    <w:t>3</w:t>
                  </w:r>
                  <w:r>
                    <w:rPr>
                      <w:rFonts w:hint="eastAsia"/>
                      <w:color w:val="auto"/>
                      <w:sz w:val="21"/>
                      <w:szCs w:val="21"/>
                      <w:highlight w:val="none"/>
                      <w:vertAlign w:val="baseline"/>
                      <w:lang w:val="en-US" w:eastAsia="zh-CN"/>
                    </w:rPr>
                    <w:t>-N、SS</w:t>
                  </w:r>
                </w:p>
              </w:tc>
              <w:tc>
                <w:tcPr>
                  <w:tcW w:w="1586" w:type="pct"/>
                  <w:vAlign w:val="center"/>
                </w:tcPr>
                <w:p w14:paraId="6B0FBF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汇入厂区废水排放口，接管至凤台县污水处理厂深度处理</w:t>
                  </w:r>
                </w:p>
              </w:tc>
            </w:tr>
            <w:tr w14:paraId="57C3715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393" w:type="pct"/>
                  <w:vMerge w:val="continue"/>
                  <w:vAlign w:val="center"/>
                </w:tcPr>
                <w:p w14:paraId="5D7133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626" w:type="pct"/>
                  <w:vAlign w:val="center"/>
                </w:tcPr>
                <w:p w14:paraId="67C17F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厂房1F~4F</w:t>
                  </w:r>
                </w:p>
              </w:tc>
              <w:tc>
                <w:tcPr>
                  <w:tcW w:w="807" w:type="pct"/>
                  <w:vAlign w:val="center"/>
                </w:tcPr>
                <w:p w14:paraId="6B6499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员工生活</w:t>
                  </w:r>
                </w:p>
              </w:tc>
              <w:tc>
                <w:tcPr>
                  <w:tcW w:w="727" w:type="pct"/>
                  <w:vAlign w:val="center"/>
                </w:tcPr>
                <w:p w14:paraId="101160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生活污水W</w:t>
                  </w:r>
                  <w:r>
                    <w:rPr>
                      <w:rFonts w:hint="eastAsia"/>
                      <w:color w:val="auto"/>
                      <w:sz w:val="21"/>
                      <w:szCs w:val="21"/>
                      <w:highlight w:val="none"/>
                      <w:vertAlign w:val="subscript"/>
                      <w:lang w:val="en-US" w:eastAsia="zh-CN"/>
                    </w:rPr>
                    <w:t>2</w:t>
                  </w:r>
                </w:p>
              </w:tc>
              <w:tc>
                <w:tcPr>
                  <w:tcW w:w="859" w:type="pct"/>
                  <w:vAlign w:val="center"/>
                </w:tcPr>
                <w:p w14:paraId="4FC335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vertAlign w:val="baseline"/>
                      <w:lang w:val="en-US" w:eastAsia="zh-CN"/>
                    </w:rPr>
                    <w:t>COD</w:t>
                  </w:r>
                  <w:r>
                    <w:rPr>
                      <w:rFonts w:hint="eastAsia"/>
                      <w:color w:val="auto"/>
                      <w:sz w:val="21"/>
                      <w:szCs w:val="21"/>
                      <w:highlight w:val="none"/>
                      <w:vertAlign w:val="subscript"/>
                      <w:lang w:val="en-US" w:eastAsia="zh-CN"/>
                    </w:rPr>
                    <w:t>Cr</w:t>
                  </w:r>
                  <w:r>
                    <w:rPr>
                      <w:rFonts w:hint="eastAsia"/>
                      <w:color w:val="auto"/>
                      <w:sz w:val="21"/>
                      <w:szCs w:val="21"/>
                      <w:highlight w:val="none"/>
                      <w:vertAlign w:val="baseline"/>
                      <w:lang w:val="en-US" w:eastAsia="zh-CN"/>
                    </w:rPr>
                    <w:t>、BOD</w:t>
                  </w:r>
                  <w:r>
                    <w:rPr>
                      <w:rFonts w:hint="eastAsia"/>
                      <w:color w:val="auto"/>
                      <w:sz w:val="21"/>
                      <w:szCs w:val="21"/>
                      <w:highlight w:val="none"/>
                      <w:vertAlign w:val="subscript"/>
                      <w:lang w:val="en-US" w:eastAsia="zh-CN"/>
                    </w:rPr>
                    <w:t>5</w:t>
                  </w:r>
                  <w:r>
                    <w:rPr>
                      <w:rFonts w:hint="eastAsia"/>
                      <w:color w:val="auto"/>
                      <w:sz w:val="21"/>
                      <w:szCs w:val="21"/>
                      <w:highlight w:val="none"/>
                      <w:vertAlign w:val="baseline"/>
                      <w:lang w:val="en-US" w:eastAsia="zh-CN"/>
                    </w:rPr>
                    <w:t>、NH</w:t>
                  </w:r>
                  <w:r>
                    <w:rPr>
                      <w:rFonts w:hint="eastAsia"/>
                      <w:color w:val="auto"/>
                      <w:sz w:val="21"/>
                      <w:szCs w:val="21"/>
                      <w:highlight w:val="none"/>
                      <w:vertAlign w:val="subscript"/>
                      <w:lang w:val="en-US" w:eastAsia="zh-CN"/>
                    </w:rPr>
                    <w:t>3</w:t>
                  </w:r>
                  <w:r>
                    <w:rPr>
                      <w:rFonts w:hint="eastAsia"/>
                      <w:color w:val="auto"/>
                      <w:sz w:val="21"/>
                      <w:szCs w:val="21"/>
                      <w:highlight w:val="none"/>
                      <w:vertAlign w:val="baseline"/>
                      <w:lang w:val="en-US" w:eastAsia="zh-CN"/>
                    </w:rPr>
                    <w:t>-N、SS、TN、TP</w:t>
                  </w:r>
                </w:p>
              </w:tc>
              <w:tc>
                <w:tcPr>
                  <w:tcW w:w="1586" w:type="pct"/>
                  <w:vAlign w:val="center"/>
                </w:tcPr>
                <w:p w14:paraId="1812AD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经化粪池预处理后，汇入厂区废水排放口，接管至凤台县污水处理厂深度处理</w:t>
                  </w:r>
                </w:p>
              </w:tc>
            </w:tr>
            <w:tr w14:paraId="3E383B6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393" w:type="pct"/>
                  <w:vMerge w:val="restart"/>
                  <w:vAlign w:val="center"/>
                </w:tcPr>
                <w:p w14:paraId="482650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eastAsia="宋体"/>
                      <w:color w:val="auto"/>
                      <w:sz w:val="21"/>
                      <w:szCs w:val="21"/>
                      <w:lang w:val="en-US" w:eastAsia="zh-CN"/>
                    </w:rPr>
                  </w:pPr>
                  <w:r>
                    <w:rPr>
                      <w:rFonts w:hint="eastAsia"/>
                      <w:color w:val="auto"/>
                      <w:sz w:val="21"/>
                      <w:szCs w:val="21"/>
                      <w:lang w:val="en-US" w:eastAsia="zh-CN"/>
                    </w:rPr>
                    <w:t>固废</w:t>
                  </w:r>
                </w:p>
              </w:tc>
              <w:tc>
                <w:tcPr>
                  <w:tcW w:w="626" w:type="pct"/>
                  <w:vMerge w:val="restart"/>
                  <w:vAlign w:val="center"/>
                </w:tcPr>
                <w:p w14:paraId="034DB8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厂房1F~4F</w:t>
                  </w:r>
                </w:p>
              </w:tc>
              <w:tc>
                <w:tcPr>
                  <w:tcW w:w="807" w:type="pct"/>
                  <w:vMerge w:val="restart"/>
                  <w:vAlign w:val="center"/>
                </w:tcPr>
                <w:p w14:paraId="3724CE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塑料制品生产</w:t>
                  </w:r>
                </w:p>
              </w:tc>
              <w:tc>
                <w:tcPr>
                  <w:tcW w:w="727" w:type="pct"/>
                  <w:vAlign w:val="center"/>
                </w:tcPr>
                <w:p w14:paraId="3E6F1C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lang w:val="en-US" w:eastAsia="zh-CN"/>
                    </w:rPr>
                    <w:t>废包装（S</w:t>
                  </w:r>
                  <w:r>
                    <w:rPr>
                      <w:rFonts w:hint="eastAsia"/>
                      <w:color w:val="auto"/>
                      <w:sz w:val="21"/>
                      <w:szCs w:val="21"/>
                      <w:vertAlign w:val="subscript"/>
                      <w:lang w:val="en-US" w:eastAsia="zh-CN"/>
                    </w:rPr>
                    <w:t>1</w:t>
                  </w:r>
                  <w:r>
                    <w:rPr>
                      <w:rFonts w:hint="eastAsia"/>
                      <w:color w:val="auto"/>
                      <w:sz w:val="21"/>
                      <w:szCs w:val="21"/>
                      <w:lang w:val="en-US" w:eastAsia="zh-CN"/>
                    </w:rPr>
                    <w:t>）</w:t>
                  </w:r>
                </w:p>
              </w:tc>
              <w:tc>
                <w:tcPr>
                  <w:tcW w:w="859" w:type="pct"/>
                  <w:vAlign w:val="center"/>
                </w:tcPr>
                <w:p w14:paraId="52C2D8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废塑料包装袋、包装纸箱等</w:t>
                  </w:r>
                </w:p>
              </w:tc>
              <w:tc>
                <w:tcPr>
                  <w:tcW w:w="1586" w:type="pct"/>
                  <w:vAlign w:val="center"/>
                </w:tcPr>
                <w:p w14:paraId="52E9F6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lang w:val="en-US" w:eastAsia="zh-CN"/>
                    </w:rPr>
                    <w:t>统一收集后存放于一般工业固废间，定期由厂家回收综合利用</w:t>
                  </w:r>
                </w:p>
              </w:tc>
            </w:tr>
            <w:tr w14:paraId="6F227AD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393" w:type="pct"/>
                  <w:vMerge w:val="continue"/>
                  <w:vAlign w:val="center"/>
                </w:tcPr>
                <w:p w14:paraId="65ABB5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626" w:type="pct"/>
                  <w:vMerge w:val="continue"/>
                  <w:vAlign w:val="center"/>
                </w:tcPr>
                <w:p w14:paraId="354D67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807" w:type="pct"/>
                  <w:vMerge w:val="continue"/>
                  <w:vAlign w:val="center"/>
                </w:tcPr>
                <w:p w14:paraId="4BAB8E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727" w:type="pct"/>
                  <w:vAlign w:val="center"/>
                </w:tcPr>
                <w:p w14:paraId="746BC5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vertAlign w:val="baseline"/>
                      <w:lang w:val="en-US" w:eastAsia="zh-CN"/>
                    </w:rPr>
                    <w:t>废塑料边角料（S</w:t>
                  </w:r>
                  <w:r>
                    <w:rPr>
                      <w:rFonts w:hint="eastAsia"/>
                      <w:color w:val="auto"/>
                      <w:sz w:val="21"/>
                      <w:szCs w:val="21"/>
                      <w:vertAlign w:val="subscript"/>
                      <w:lang w:val="en-US" w:eastAsia="zh-CN"/>
                    </w:rPr>
                    <w:t>2</w:t>
                  </w:r>
                  <w:r>
                    <w:rPr>
                      <w:rFonts w:hint="eastAsia"/>
                      <w:color w:val="auto"/>
                      <w:sz w:val="21"/>
                      <w:szCs w:val="21"/>
                      <w:vertAlign w:val="baseline"/>
                      <w:lang w:val="en-US" w:eastAsia="zh-CN"/>
                    </w:rPr>
                    <w:t>）</w:t>
                  </w:r>
                </w:p>
              </w:tc>
              <w:tc>
                <w:tcPr>
                  <w:tcW w:w="859" w:type="pct"/>
                  <w:vAlign w:val="center"/>
                </w:tcPr>
                <w:p w14:paraId="5A137F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eastAsia="宋体"/>
                      <w:color w:val="auto"/>
                      <w:sz w:val="21"/>
                      <w:szCs w:val="21"/>
                      <w:lang w:val="en-US" w:eastAsia="zh-CN"/>
                    </w:rPr>
                  </w:pPr>
                  <w:r>
                    <w:rPr>
                      <w:rFonts w:hint="eastAsia"/>
                      <w:color w:val="auto"/>
                      <w:sz w:val="21"/>
                      <w:szCs w:val="21"/>
                      <w:lang w:val="en-US" w:eastAsia="zh-CN"/>
                    </w:rPr>
                    <w:t>废PP/PE/PS塑料</w:t>
                  </w:r>
                </w:p>
              </w:tc>
              <w:tc>
                <w:tcPr>
                  <w:tcW w:w="1586" w:type="pct"/>
                  <w:vMerge w:val="restart"/>
                  <w:vAlign w:val="center"/>
                </w:tcPr>
                <w:p w14:paraId="37A9F3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eastAsia="宋体"/>
                      <w:color w:val="auto"/>
                      <w:sz w:val="21"/>
                      <w:szCs w:val="21"/>
                      <w:lang w:val="en-US" w:eastAsia="zh-CN"/>
                    </w:rPr>
                  </w:pPr>
                  <w:r>
                    <w:rPr>
                      <w:rFonts w:hint="eastAsia"/>
                      <w:color w:val="auto"/>
                      <w:sz w:val="21"/>
                      <w:szCs w:val="21"/>
                      <w:lang w:val="en-US" w:eastAsia="zh-CN"/>
                    </w:rPr>
                    <w:t>分类收集，粉碎后回用于塑料制品生产</w:t>
                  </w:r>
                </w:p>
              </w:tc>
            </w:tr>
            <w:tr w14:paraId="53D43FA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393" w:type="pct"/>
                  <w:vMerge w:val="continue"/>
                  <w:vAlign w:val="center"/>
                </w:tcPr>
                <w:p w14:paraId="16233C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626" w:type="pct"/>
                  <w:vMerge w:val="continue"/>
                  <w:vAlign w:val="center"/>
                </w:tcPr>
                <w:p w14:paraId="1C9BD2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807" w:type="pct"/>
                  <w:vMerge w:val="continue"/>
                  <w:vAlign w:val="center"/>
                </w:tcPr>
                <w:p w14:paraId="2B8CAB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727" w:type="pct"/>
                  <w:vAlign w:val="center"/>
                </w:tcPr>
                <w:p w14:paraId="171F9A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lang w:val="en-US" w:eastAsia="zh-CN"/>
                    </w:rPr>
                    <w:t>不合格塑料半成品（S</w:t>
                  </w:r>
                  <w:r>
                    <w:rPr>
                      <w:rFonts w:hint="eastAsia"/>
                      <w:color w:val="auto"/>
                      <w:sz w:val="21"/>
                      <w:szCs w:val="21"/>
                      <w:vertAlign w:val="subscript"/>
                      <w:lang w:val="en-US" w:eastAsia="zh-CN"/>
                    </w:rPr>
                    <w:t>3</w:t>
                  </w:r>
                  <w:r>
                    <w:rPr>
                      <w:rFonts w:hint="eastAsia"/>
                      <w:color w:val="auto"/>
                      <w:sz w:val="21"/>
                      <w:szCs w:val="21"/>
                      <w:lang w:val="en-US" w:eastAsia="zh-CN"/>
                    </w:rPr>
                    <w:t>）</w:t>
                  </w:r>
                </w:p>
              </w:tc>
              <w:tc>
                <w:tcPr>
                  <w:tcW w:w="859" w:type="pct"/>
                  <w:vAlign w:val="center"/>
                </w:tcPr>
                <w:p w14:paraId="79E8A0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不合格塑料半成品（含PP/PE/PS）</w:t>
                  </w:r>
                </w:p>
              </w:tc>
              <w:tc>
                <w:tcPr>
                  <w:tcW w:w="1586" w:type="pct"/>
                  <w:vMerge w:val="continue"/>
                  <w:vAlign w:val="center"/>
                </w:tcPr>
                <w:p w14:paraId="1CE640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r>
            <w:tr w14:paraId="5604C26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393" w:type="pct"/>
                  <w:vMerge w:val="continue"/>
                  <w:vAlign w:val="center"/>
                </w:tcPr>
                <w:p w14:paraId="0565EF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626" w:type="pct"/>
                  <w:vMerge w:val="continue"/>
                  <w:vAlign w:val="center"/>
                </w:tcPr>
                <w:p w14:paraId="4F85D8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807" w:type="pct"/>
                  <w:vMerge w:val="continue"/>
                  <w:vAlign w:val="center"/>
                </w:tcPr>
                <w:p w14:paraId="4A05F7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727" w:type="pct"/>
                  <w:vAlign w:val="center"/>
                </w:tcPr>
                <w:p w14:paraId="155B9E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废包材（S</w:t>
                  </w:r>
                  <w:r>
                    <w:rPr>
                      <w:rFonts w:hint="eastAsia"/>
                      <w:color w:val="auto"/>
                      <w:sz w:val="21"/>
                      <w:szCs w:val="21"/>
                      <w:vertAlign w:val="subscript"/>
                      <w:lang w:val="en-US" w:eastAsia="zh-CN"/>
                    </w:rPr>
                    <w:t>4</w:t>
                  </w:r>
                  <w:r>
                    <w:rPr>
                      <w:rFonts w:hint="eastAsia"/>
                      <w:color w:val="auto"/>
                      <w:sz w:val="21"/>
                      <w:szCs w:val="21"/>
                      <w:lang w:val="en-US" w:eastAsia="zh-CN"/>
                    </w:rPr>
                    <w:t>）</w:t>
                  </w:r>
                </w:p>
              </w:tc>
              <w:tc>
                <w:tcPr>
                  <w:tcW w:w="859" w:type="pct"/>
                  <w:vAlign w:val="center"/>
                </w:tcPr>
                <w:p w14:paraId="5AEF5F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废包材</w:t>
                  </w:r>
                </w:p>
              </w:tc>
              <w:tc>
                <w:tcPr>
                  <w:tcW w:w="1586" w:type="pct"/>
                  <w:vAlign w:val="center"/>
                </w:tcPr>
                <w:p w14:paraId="350B82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lang w:val="en-US" w:eastAsia="zh-CN"/>
                    </w:rPr>
                    <w:t>统一收集后存放于一般工业固废间，定期由厂家回收综合利用</w:t>
                  </w:r>
                </w:p>
              </w:tc>
            </w:tr>
            <w:tr w14:paraId="353A0DA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1046" w:hRule="atLeast"/>
                <w:jc w:val="center"/>
              </w:trPr>
              <w:tc>
                <w:tcPr>
                  <w:tcW w:w="393" w:type="pct"/>
                  <w:vMerge w:val="continue"/>
                  <w:vAlign w:val="center"/>
                </w:tcPr>
                <w:p w14:paraId="037200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626" w:type="pct"/>
                  <w:vMerge w:val="restart"/>
                  <w:vAlign w:val="center"/>
                </w:tcPr>
                <w:p w14:paraId="796699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废气处理单元</w:t>
                  </w:r>
                </w:p>
              </w:tc>
              <w:tc>
                <w:tcPr>
                  <w:tcW w:w="807" w:type="pct"/>
                  <w:shd w:val="clear" w:color="auto" w:fill="auto"/>
                  <w:vAlign w:val="center"/>
                </w:tcPr>
                <w:p w14:paraId="52C954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lang w:val="en-US" w:eastAsia="zh-CN"/>
                    </w:rPr>
                    <w:t>废气处理/</w:t>
                  </w:r>
                </w:p>
                <w:p w14:paraId="303B39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布袋除尘</w:t>
                  </w:r>
                </w:p>
              </w:tc>
              <w:tc>
                <w:tcPr>
                  <w:tcW w:w="727" w:type="pct"/>
                  <w:shd w:val="clear" w:color="auto" w:fill="auto"/>
                  <w:vAlign w:val="center"/>
                </w:tcPr>
                <w:p w14:paraId="3E7DAE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（粉碎工序）布袋除尘器粉尘（S</w:t>
                  </w:r>
                  <w:r>
                    <w:rPr>
                      <w:rFonts w:hint="eastAsia"/>
                      <w:color w:val="auto"/>
                      <w:sz w:val="21"/>
                      <w:szCs w:val="21"/>
                      <w:vertAlign w:val="subscript"/>
                      <w:lang w:val="en-US" w:eastAsia="zh-CN"/>
                    </w:rPr>
                    <w:t>5</w:t>
                  </w:r>
                  <w:r>
                    <w:rPr>
                      <w:rFonts w:hint="eastAsia"/>
                      <w:color w:val="auto"/>
                      <w:sz w:val="21"/>
                      <w:szCs w:val="21"/>
                      <w:lang w:val="en-US" w:eastAsia="zh-CN"/>
                    </w:rPr>
                    <w:t>）</w:t>
                  </w:r>
                </w:p>
              </w:tc>
              <w:tc>
                <w:tcPr>
                  <w:tcW w:w="859" w:type="pct"/>
                  <w:shd w:val="clear" w:color="auto" w:fill="auto"/>
                  <w:vAlign w:val="center"/>
                </w:tcPr>
                <w:p w14:paraId="13A530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收集的粉碎塑料粒子粉尘</w:t>
                  </w:r>
                </w:p>
              </w:tc>
              <w:tc>
                <w:tcPr>
                  <w:tcW w:w="1586" w:type="pct"/>
                  <w:shd w:val="clear" w:color="auto" w:fill="auto"/>
                  <w:vAlign w:val="center"/>
                </w:tcPr>
                <w:p w14:paraId="6EA2C1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分类收集，回用于塑料制品生产</w:t>
                  </w:r>
                </w:p>
              </w:tc>
            </w:tr>
            <w:tr w14:paraId="5759618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393" w:type="pct"/>
                  <w:vMerge w:val="continue"/>
                  <w:vAlign w:val="center"/>
                </w:tcPr>
                <w:p w14:paraId="61C545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626" w:type="pct"/>
                  <w:vMerge w:val="continue"/>
                  <w:vAlign w:val="center"/>
                </w:tcPr>
                <w:p w14:paraId="714EE0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807" w:type="pct"/>
                  <w:vAlign w:val="center"/>
                </w:tcPr>
                <w:p w14:paraId="754403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废气处理/二级活性炭吸附装置</w:t>
                  </w:r>
                </w:p>
              </w:tc>
              <w:tc>
                <w:tcPr>
                  <w:tcW w:w="727" w:type="pct"/>
                  <w:vAlign w:val="center"/>
                </w:tcPr>
                <w:p w14:paraId="7FEB03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废活性炭（S</w:t>
                  </w:r>
                  <w:r>
                    <w:rPr>
                      <w:rFonts w:hint="eastAsia"/>
                      <w:color w:val="auto"/>
                      <w:sz w:val="21"/>
                      <w:szCs w:val="21"/>
                      <w:vertAlign w:val="subscript"/>
                      <w:lang w:val="en-US" w:eastAsia="zh-CN"/>
                    </w:rPr>
                    <w:t>6</w:t>
                  </w:r>
                  <w:r>
                    <w:rPr>
                      <w:rFonts w:hint="eastAsia"/>
                      <w:color w:val="auto"/>
                      <w:sz w:val="21"/>
                      <w:szCs w:val="21"/>
                      <w:lang w:val="en-US" w:eastAsia="zh-CN"/>
                    </w:rPr>
                    <w:t>）</w:t>
                  </w:r>
                </w:p>
              </w:tc>
              <w:tc>
                <w:tcPr>
                  <w:tcW w:w="859" w:type="pct"/>
                  <w:shd w:val="clear" w:color="auto" w:fill="auto"/>
                  <w:vAlign w:val="center"/>
                </w:tcPr>
                <w:p w14:paraId="54F466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废活性炭</w:t>
                  </w:r>
                </w:p>
              </w:tc>
              <w:tc>
                <w:tcPr>
                  <w:tcW w:w="1586" w:type="pct"/>
                  <w:vMerge w:val="restart"/>
                  <w:shd w:val="clear" w:color="auto" w:fill="auto"/>
                  <w:vAlign w:val="center"/>
                </w:tcPr>
                <w:p w14:paraId="094F19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收集后分区暂存于危废暂存间，定期委托有资质单位处理处置</w:t>
                  </w:r>
                </w:p>
              </w:tc>
            </w:tr>
            <w:tr w14:paraId="795A133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393" w:type="pct"/>
                  <w:vMerge w:val="continue"/>
                  <w:vAlign w:val="center"/>
                </w:tcPr>
                <w:p w14:paraId="2E12CA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rPr>
                  </w:pPr>
                </w:p>
              </w:tc>
              <w:tc>
                <w:tcPr>
                  <w:tcW w:w="626" w:type="pct"/>
                  <w:vMerge w:val="restart"/>
                  <w:vAlign w:val="center"/>
                </w:tcPr>
                <w:p w14:paraId="1A6064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w:t>
                  </w:r>
                </w:p>
              </w:tc>
              <w:tc>
                <w:tcPr>
                  <w:tcW w:w="807" w:type="pct"/>
                  <w:vAlign w:val="center"/>
                </w:tcPr>
                <w:p w14:paraId="05755F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设备维修</w:t>
                  </w:r>
                </w:p>
              </w:tc>
              <w:tc>
                <w:tcPr>
                  <w:tcW w:w="727" w:type="pct"/>
                  <w:vAlign w:val="center"/>
                </w:tcPr>
                <w:p w14:paraId="6452A9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lang w:val="en-US" w:eastAsia="zh-CN"/>
                    </w:rPr>
                    <w:t>废机油（S</w:t>
                  </w:r>
                  <w:r>
                    <w:rPr>
                      <w:rFonts w:hint="eastAsia"/>
                      <w:color w:val="auto"/>
                      <w:sz w:val="21"/>
                      <w:szCs w:val="21"/>
                      <w:vertAlign w:val="subscript"/>
                      <w:lang w:val="en-US" w:eastAsia="zh-CN"/>
                    </w:rPr>
                    <w:t>7</w:t>
                  </w:r>
                  <w:r>
                    <w:rPr>
                      <w:rFonts w:hint="eastAsia"/>
                      <w:color w:val="auto"/>
                      <w:sz w:val="21"/>
                      <w:szCs w:val="21"/>
                      <w:lang w:val="en-US" w:eastAsia="zh-CN"/>
                    </w:rPr>
                    <w:t>）</w:t>
                  </w:r>
                </w:p>
              </w:tc>
              <w:tc>
                <w:tcPr>
                  <w:tcW w:w="859" w:type="pct"/>
                  <w:vAlign w:val="center"/>
                </w:tcPr>
                <w:p w14:paraId="551ADE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废矿物油</w:t>
                  </w:r>
                </w:p>
              </w:tc>
              <w:tc>
                <w:tcPr>
                  <w:tcW w:w="1586" w:type="pct"/>
                  <w:vMerge w:val="continue"/>
                  <w:vAlign w:val="center"/>
                </w:tcPr>
                <w:p w14:paraId="6F1B8D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p>
              </w:tc>
            </w:tr>
            <w:tr w14:paraId="283DA79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393" w:type="pct"/>
                  <w:vMerge w:val="continue"/>
                  <w:vAlign w:val="center"/>
                </w:tcPr>
                <w:p w14:paraId="280E26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rPr>
                  </w:pPr>
                </w:p>
              </w:tc>
              <w:tc>
                <w:tcPr>
                  <w:tcW w:w="626" w:type="pct"/>
                  <w:vMerge w:val="continue"/>
                  <w:vAlign w:val="center"/>
                </w:tcPr>
                <w:p w14:paraId="55FF3E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p>
              </w:tc>
              <w:tc>
                <w:tcPr>
                  <w:tcW w:w="807" w:type="pct"/>
                  <w:vAlign w:val="center"/>
                </w:tcPr>
                <w:p w14:paraId="4A707A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设备维修</w:t>
                  </w:r>
                </w:p>
              </w:tc>
              <w:tc>
                <w:tcPr>
                  <w:tcW w:w="727" w:type="pct"/>
                  <w:vAlign w:val="center"/>
                </w:tcPr>
                <w:p w14:paraId="782B33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lang w:val="en-US" w:eastAsia="zh-CN"/>
                    </w:rPr>
                    <w:t>废油桶（S</w:t>
                  </w:r>
                  <w:r>
                    <w:rPr>
                      <w:rFonts w:hint="eastAsia"/>
                      <w:color w:val="auto"/>
                      <w:sz w:val="21"/>
                      <w:szCs w:val="21"/>
                      <w:vertAlign w:val="subscript"/>
                      <w:lang w:val="en-US" w:eastAsia="zh-CN"/>
                    </w:rPr>
                    <w:t>8</w:t>
                  </w:r>
                  <w:r>
                    <w:rPr>
                      <w:rFonts w:hint="eastAsia"/>
                      <w:color w:val="auto"/>
                      <w:sz w:val="21"/>
                      <w:szCs w:val="21"/>
                      <w:lang w:val="en-US" w:eastAsia="zh-CN"/>
                    </w:rPr>
                    <w:t>）</w:t>
                  </w:r>
                </w:p>
              </w:tc>
              <w:tc>
                <w:tcPr>
                  <w:tcW w:w="859" w:type="pct"/>
                  <w:vAlign w:val="center"/>
                </w:tcPr>
                <w:p w14:paraId="093EA6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废油桶</w:t>
                  </w:r>
                </w:p>
              </w:tc>
              <w:tc>
                <w:tcPr>
                  <w:tcW w:w="1586" w:type="pct"/>
                  <w:vMerge w:val="continue"/>
                  <w:vAlign w:val="center"/>
                </w:tcPr>
                <w:p w14:paraId="12C491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r>
            <w:tr w14:paraId="413AB1A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393" w:type="pct"/>
                  <w:vMerge w:val="continue"/>
                  <w:vAlign w:val="center"/>
                </w:tcPr>
                <w:p w14:paraId="006C97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rPr>
                  </w:pPr>
                </w:p>
              </w:tc>
              <w:tc>
                <w:tcPr>
                  <w:tcW w:w="626" w:type="pct"/>
                  <w:vMerge w:val="continue"/>
                  <w:vAlign w:val="center"/>
                </w:tcPr>
                <w:p w14:paraId="10D0A0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p>
              </w:tc>
              <w:tc>
                <w:tcPr>
                  <w:tcW w:w="807" w:type="pct"/>
                  <w:vAlign w:val="center"/>
                </w:tcPr>
                <w:p w14:paraId="72C48F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设备维修</w:t>
                  </w:r>
                </w:p>
              </w:tc>
              <w:tc>
                <w:tcPr>
                  <w:tcW w:w="727" w:type="pct"/>
                  <w:vAlign w:val="center"/>
                </w:tcPr>
                <w:p w14:paraId="67DE4C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lang w:val="en-US" w:eastAsia="zh-CN"/>
                    </w:rPr>
                    <w:t>废弃劳保用品（S</w:t>
                  </w:r>
                  <w:r>
                    <w:rPr>
                      <w:rFonts w:hint="eastAsia"/>
                      <w:color w:val="auto"/>
                      <w:sz w:val="21"/>
                      <w:szCs w:val="21"/>
                      <w:vertAlign w:val="subscript"/>
                      <w:lang w:val="en-US" w:eastAsia="zh-CN"/>
                    </w:rPr>
                    <w:t>9</w:t>
                  </w:r>
                  <w:r>
                    <w:rPr>
                      <w:rFonts w:hint="eastAsia"/>
                      <w:color w:val="auto"/>
                      <w:sz w:val="21"/>
                      <w:szCs w:val="21"/>
                      <w:lang w:val="en-US" w:eastAsia="zh-CN"/>
                    </w:rPr>
                    <w:t>）</w:t>
                  </w:r>
                </w:p>
              </w:tc>
              <w:tc>
                <w:tcPr>
                  <w:tcW w:w="859" w:type="pct"/>
                  <w:vAlign w:val="center"/>
                </w:tcPr>
                <w:p w14:paraId="79A46E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含油废抹布及废手套等</w:t>
                  </w:r>
                </w:p>
              </w:tc>
              <w:tc>
                <w:tcPr>
                  <w:tcW w:w="1586" w:type="pct"/>
                  <w:vMerge w:val="continue"/>
                  <w:vAlign w:val="center"/>
                </w:tcPr>
                <w:p w14:paraId="2C4AD3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r>
          </w:tbl>
          <w:p w14:paraId="0D2B832B">
            <w:pPr>
              <w:keepNext w:val="0"/>
              <w:keepLines w:val="0"/>
              <w:suppressLineNumbers w:val="0"/>
              <w:bidi w:val="0"/>
              <w:spacing w:before="0" w:beforeAutospacing="0" w:after="0" w:afterAutospacing="0" w:line="360" w:lineRule="auto"/>
              <w:ind w:left="0" w:right="0"/>
              <w:rPr>
                <w:rFonts w:hint="default"/>
                <w:color w:val="auto"/>
              </w:rPr>
            </w:pPr>
          </w:p>
          <w:p w14:paraId="64AAA47C">
            <w:pPr>
              <w:keepNext w:val="0"/>
              <w:keepLines w:val="0"/>
              <w:suppressLineNumbers w:val="0"/>
              <w:spacing w:before="0" w:beforeAutospacing="0" w:after="0" w:afterAutospacing="0"/>
              <w:ind w:left="0" w:right="0"/>
              <w:rPr>
                <w:rFonts w:hint="default"/>
                <w:color w:val="auto"/>
              </w:rPr>
            </w:pPr>
          </w:p>
        </w:tc>
      </w:tr>
    </w:tbl>
    <w:p w14:paraId="6668EEE2">
      <w:pPr>
        <w:widowControl/>
        <w:spacing w:line="360" w:lineRule="auto"/>
        <w:jc w:val="center"/>
        <w:rPr>
          <w:rFonts w:hAnsi="宋体"/>
          <w:color w:val="auto"/>
          <w:kern w:val="0"/>
          <w:sz w:val="24"/>
        </w:rPr>
        <w:sectPr>
          <w:pgSz w:w="11906" w:h="16838"/>
          <w:pgMar w:top="1440" w:right="1508" w:bottom="1440" w:left="1797" w:header="851" w:footer="992" w:gutter="0"/>
          <w:pgBorders>
            <w:top w:val="none" w:sz="0" w:space="0"/>
            <w:left w:val="none" w:sz="0" w:space="0"/>
            <w:bottom w:val="none" w:sz="0" w:space="0"/>
            <w:right w:val="none" w:sz="0" w:space="0"/>
          </w:pgBorders>
          <w:cols w:space="720" w:num="1"/>
          <w:docGrid w:type="lines" w:linePitch="312" w:charSpace="0"/>
        </w:sectPr>
      </w:pPr>
    </w:p>
    <w:tbl>
      <w:tblPr>
        <w:tblStyle w:val="37"/>
        <w:tblW w:w="0" w:type="auto"/>
        <w:tblInd w:w="6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11"/>
        <w:gridCol w:w="8132"/>
      </w:tblGrid>
      <w:tr w14:paraId="7F652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88" w:hRule="atLeast"/>
        </w:trPr>
        <w:tc>
          <w:tcPr>
            <w:tcW w:w="511" w:type="dxa"/>
            <w:vAlign w:val="center"/>
          </w:tcPr>
          <w:p w14:paraId="184558F6">
            <w:pPr>
              <w:keepNext w:val="0"/>
              <w:keepLines w:val="0"/>
              <w:widowControl/>
              <w:suppressLineNumbers w:val="0"/>
              <w:spacing w:before="0" w:beforeAutospacing="0" w:after="0" w:afterAutospacing="0" w:line="360" w:lineRule="auto"/>
              <w:ind w:left="0" w:right="0"/>
              <w:jc w:val="center"/>
              <w:rPr>
                <w:rFonts w:hint="default" w:hAnsi="宋体"/>
                <w:color w:val="auto"/>
                <w:kern w:val="0"/>
                <w:sz w:val="24"/>
              </w:rPr>
            </w:pPr>
            <w:r>
              <w:rPr>
                <w:rFonts w:hint="default" w:hAnsi="宋体"/>
                <w:color w:val="auto"/>
                <w:kern w:val="0"/>
                <w:sz w:val="24"/>
              </w:rPr>
              <w:t>与项目有关的原有环境污染问题</w:t>
            </w:r>
          </w:p>
        </w:tc>
        <w:tc>
          <w:tcPr>
            <w:tcW w:w="8132" w:type="dxa"/>
          </w:tcPr>
          <w:p w14:paraId="44E8EB98">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60" w:lineRule="auto"/>
              <w:ind w:left="0" w:right="0" w:firstLine="480" w:firstLineChars="200"/>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本项目为新建项目，租赁</w:t>
            </w:r>
            <w:r>
              <w:rPr>
                <w:rFonts w:hint="eastAsia"/>
                <w:color w:val="auto"/>
                <w:sz w:val="24"/>
                <w:lang w:eastAsia="zh-CN"/>
              </w:rPr>
              <w:t>安徽省淮南市</w:t>
            </w:r>
            <w:r>
              <w:rPr>
                <w:rFonts w:hint="eastAsia"/>
                <w:color w:val="auto"/>
                <w:sz w:val="24"/>
                <w:lang w:val="en-US" w:eastAsia="zh-CN"/>
              </w:rPr>
              <w:t>凤台县</w:t>
            </w:r>
            <w:r>
              <w:rPr>
                <w:rFonts w:hint="eastAsia"/>
                <w:color w:val="auto"/>
                <w:sz w:val="24"/>
                <w:lang w:eastAsia="zh-CN"/>
              </w:rPr>
              <w:t>凤台经济开发区电子智能制造产业园52#标准化厂房一层、二层、三层、四层</w:t>
            </w:r>
            <w:r>
              <w:rPr>
                <w:rFonts w:hint="default" w:ascii="Times New Roman" w:hAnsi="Times New Roman" w:eastAsia="宋体" w:cs="Times New Roman"/>
                <w:color w:val="auto"/>
                <w:kern w:val="0"/>
                <w:sz w:val="24"/>
                <w:szCs w:val="24"/>
                <w:lang w:val="en-US" w:eastAsia="zh-CN" w:bidi="ar-SA"/>
              </w:rPr>
              <w:t>，经过现场勘查，</w:t>
            </w:r>
            <w:r>
              <w:rPr>
                <w:rFonts w:hint="eastAsia" w:cs="Times New Roman"/>
                <w:color w:val="auto"/>
                <w:kern w:val="0"/>
                <w:sz w:val="24"/>
                <w:szCs w:val="24"/>
                <w:lang w:val="en-US" w:eastAsia="zh-CN" w:bidi="ar-SA"/>
              </w:rPr>
              <w:t>租赁厂房为新建厂房，经调查，本项目为该厂房首个入驻企业，建设前无其他企业入驻，</w:t>
            </w:r>
            <w:r>
              <w:rPr>
                <w:rFonts w:hint="default" w:ascii="Times New Roman" w:hAnsi="Times New Roman" w:eastAsia="宋体" w:cs="Times New Roman"/>
                <w:color w:val="auto"/>
                <w:kern w:val="0"/>
                <w:sz w:val="24"/>
                <w:szCs w:val="24"/>
                <w:lang w:val="en-US" w:eastAsia="zh-CN" w:bidi="ar-SA"/>
              </w:rPr>
              <w:t>现空置，不存在与本项目有关的原有污染情况及主要环境问题。</w:t>
            </w:r>
          </w:p>
          <w:p w14:paraId="3506C5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olor w:val="auto"/>
                <w:lang w:val="en-US" w:eastAsia="zh-CN"/>
              </w:rPr>
            </w:pPr>
          </w:p>
          <w:p w14:paraId="190180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olor w:val="auto"/>
                <w:lang w:val="en-US" w:eastAsia="zh-CN"/>
              </w:rPr>
            </w:pPr>
          </w:p>
          <w:p w14:paraId="116580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olor w:val="auto"/>
                <w:lang w:val="en-US" w:eastAsia="zh-CN"/>
              </w:rPr>
            </w:pPr>
          </w:p>
          <w:p w14:paraId="2A3E11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olor w:val="auto"/>
                <w:lang w:val="en-US" w:eastAsia="zh-CN"/>
              </w:rPr>
            </w:pPr>
          </w:p>
          <w:p w14:paraId="182DC4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olor w:val="auto"/>
                <w:lang w:val="en-US" w:eastAsia="zh-CN"/>
              </w:rPr>
            </w:pPr>
          </w:p>
          <w:p w14:paraId="120873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olor w:val="auto"/>
                <w:lang w:val="en-US" w:eastAsia="zh-CN"/>
              </w:rPr>
            </w:pPr>
          </w:p>
          <w:p w14:paraId="2EA16A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olor w:val="auto"/>
                <w:lang w:val="en-US" w:eastAsia="zh-CN"/>
              </w:rPr>
            </w:pPr>
          </w:p>
          <w:p w14:paraId="3CDB09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olor w:val="auto"/>
                <w:lang w:val="en-US" w:eastAsia="zh-CN"/>
              </w:rPr>
            </w:pPr>
          </w:p>
          <w:p w14:paraId="75A4C0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olor w:val="auto"/>
                <w:lang w:val="en-US" w:eastAsia="zh-CN"/>
              </w:rPr>
            </w:pPr>
          </w:p>
          <w:p w14:paraId="37F124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olor w:val="auto"/>
                <w:lang w:val="en-US" w:eastAsia="zh-CN"/>
              </w:rPr>
            </w:pPr>
          </w:p>
          <w:p w14:paraId="1C53F3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olor w:val="auto"/>
                <w:lang w:val="en-US" w:eastAsia="zh-CN"/>
              </w:rPr>
            </w:pPr>
          </w:p>
          <w:p w14:paraId="05E4E2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olor w:val="auto"/>
                <w:lang w:val="en-US" w:eastAsia="zh-CN"/>
              </w:rPr>
            </w:pPr>
          </w:p>
          <w:p w14:paraId="39F1C6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olor w:val="auto"/>
                <w:lang w:val="en-US" w:eastAsia="zh-CN"/>
              </w:rPr>
            </w:pPr>
          </w:p>
          <w:p w14:paraId="36C3B0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olor w:val="auto"/>
                <w:lang w:val="en-US" w:eastAsia="zh-CN"/>
              </w:rPr>
            </w:pPr>
          </w:p>
          <w:p w14:paraId="3138FC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olor w:val="auto"/>
                <w:lang w:val="en-US" w:eastAsia="zh-CN"/>
              </w:rPr>
            </w:pPr>
          </w:p>
          <w:p w14:paraId="4BC017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olor w:val="auto"/>
                <w:lang w:val="en-US" w:eastAsia="zh-CN"/>
              </w:rPr>
            </w:pPr>
          </w:p>
          <w:p w14:paraId="134504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olor w:val="auto"/>
                <w:lang w:val="en-US" w:eastAsia="zh-CN"/>
              </w:rPr>
            </w:pPr>
          </w:p>
          <w:p w14:paraId="491346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olor w:val="auto"/>
                <w:lang w:val="en-US" w:eastAsia="zh-CN"/>
              </w:rPr>
            </w:pPr>
          </w:p>
          <w:p w14:paraId="06C720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olor w:val="auto"/>
                <w:lang w:val="en-US" w:eastAsia="zh-CN"/>
              </w:rPr>
            </w:pPr>
          </w:p>
          <w:p w14:paraId="0AFFBA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olor w:val="auto"/>
                <w:lang w:val="en-US" w:eastAsia="zh-CN"/>
              </w:rPr>
            </w:pPr>
          </w:p>
          <w:p w14:paraId="52A47162">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宋体" w:cs="Times New Roman"/>
                <w:color w:val="auto"/>
                <w:kern w:val="0"/>
                <w:sz w:val="24"/>
                <w:szCs w:val="24"/>
                <w:lang w:val="en-US" w:eastAsia="zh-CN" w:bidi="ar-SA"/>
              </w:rPr>
            </w:pPr>
          </w:p>
          <w:p w14:paraId="3AEBDEA2">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宋体" w:cs="Times New Roman"/>
                <w:color w:val="auto"/>
                <w:kern w:val="0"/>
                <w:sz w:val="24"/>
                <w:szCs w:val="24"/>
                <w:lang w:val="en-US" w:eastAsia="zh-CN" w:bidi="ar-SA"/>
              </w:rPr>
            </w:pPr>
          </w:p>
          <w:p w14:paraId="50EA3752">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宋体" w:cs="Times New Roman"/>
                <w:color w:val="auto"/>
                <w:kern w:val="0"/>
                <w:sz w:val="24"/>
                <w:szCs w:val="24"/>
                <w:lang w:val="en-US" w:eastAsia="zh-CN" w:bidi="ar-SA"/>
              </w:rPr>
            </w:pPr>
          </w:p>
          <w:p w14:paraId="2DAC0B06">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宋体" w:cs="Times New Roman"/>
                <w:color w:val="auto"/>
                <w:kern w:val="0"/>
                <w:sz w:val="24"/>
                <w:szCs w:val="24"/>
                <w:lang w:val="en-US" w:eastAsia="zh-CN" w:bidi="ar-SA"/>
              </w:rPr>
            </w:pPr>
          </w:p>
          <w:p w14:paraId="1214FD62">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60" w:lineRule="auto"/>
              <w:ind w:left="0" w:right="0"/>
              <w:textAlignment w:val="auto"/>
              <w:rPr>
                <w:rFonts w:hint="default" w:ascii="Times New Roman" w:hAnsi="Times New Roman" w:eastAsia="宋体" w:cs="Times New Roman"/>
                <w:color w:val="auto"/>
                <w:kern w:val="0"/>
                <w:sz w:val="24"/>
                <w:szCs w:val="24"/>
                <w:lang w:val="en-US" w:eastAsia="zh-CN" w:bidi="ar-SA"/>
              </w:rPr>
            </w:pPr>
          </w:p>
        </w:tc>
      </w:tr>
    </w:tbl>
    <w:p w14:paraId="78A069FD">
      <w:pPr>
        <w:widowControl/>
        <w:jc w:val="center"/>
        <w:outlineLvl w:val="0"/>
        <w:rPr>
          <w:rFonts w:ascii="宋体" w:hAnsi="宋体"/>
          <w:b/>
          <w:bCs/>
          <w:color w:val="auto"/>
          <w:kern w:val="0"/>
          <w:sz w:val="30"/>
          <w:szCs w:val="30"/>
        </w:rPr>
      </w:pPr>
      <w:bookmarkStart w:id="7" w:name="_Toc271726186"/>
      <w:bookmarkEnd w:id="7"/>
      <w:bookmarkStart w:id="8" w:name="_Toc243450252"/>
      <w:bookmarkEnd w:id="8"/>
      <w:bookmarkStart w:id="9" w:name="_Toc89762009"/>
      <w:bookmarkEnd w:id="9"/>
      <w:bookmarkStart w:id="10" w:name="_Toc306347503"/>
      <w:bookmarkStart w:id="11" w:name="_Toc354926675"/>
      <w:r>
        <w:rPr>
          <w:rFonts w:ascii="宋体" w:hAnsi="宋体"/>
          <w:b/>
          <w:bCs/>
          <w:color w:val="auto"/>
          <w:kern w:val="0"/>
          <w:sz w:val="30"/>
          <w:szCs w:val="30"/>
        </w:rPr>
        <w:br w:type="page"/>
      </w:r>
      <w:r>
        <w:rPr>
          <w:rFonts w:ascii="宋体" w:hAnsi="宋体"/>
          <w:b/>
          <w:bCs/>
          <w:color w:val="auto"/>
          <w:kern w:val="0"/>
          <w:sz w:val="30"/>
          <w:szCs w:val="30"/>
        </w:rPr>
        <w:t>三</w:t>
      </w:r>
      <w:r>
        <w:rPr>
          <w:rFonts w:hint="eastAsia" w:ascii="宋体" w:hAnsi="宋体"/>
          <w:b/>
          <w:bCs/>
          <w:color w:val="auto"/>
          <w:kern w:val="0"/>
          <w:sz w:val="30"/>
          <w:szCs w:val="30"/>
        </w:rPr>
        <w:t>、</w:t>
      </w:r>
      <w:r>
        <w:rPr>
          <w:rFonts w:ascii="宋体" w:hAnsi="宋体"/>
          <w:b/>
          <w:bCs/>
          <w:color w:val="auto"/>
          <w:kern w:val="0"/>
          <w:sz w:val="30"/>
          <w:szCs w:val="30"/>
        </w:rPr>
        <w:t>区域环境质量现状</w:t>
      </w:r>
      <w:bookmarkEnd w:id="10"/>
      <w:bookmarkEnd w:id="11"/>
      <w:r>
        <w:rPr>
          <w:rFonts w:hint="eastAsia" w:ascii="宋体" w:hAnsi="宋体"/>
          <w:b/>
          <w:bCs/>
          <w:color w:val="auto"/>
          <w:kern w:val="0"/>
          <w:sz w:val="30"/>
          <w:szCs w:val="30"/>
        </w:rPr>
        <w:t>、</w:t>
      </w:r>
      <w:r>
        <w:rPr>
          <w:rFonts w:ascii="宋体" w:hAnsi="宋体"/>
          <w:b/>
          <w:bCs/>
          <w:color w:val="auto"/>
          <w:kern w:val="0"/>
          <w:sz w:val="30"/>
          <w:szCs w:val="30"/>
        </w:rPr>
        <w:t>环境保护目标及评价标准</w:t>
      </w:r>
    </w:p>
    <w:tbl>
      <w:tblPr>
        <w:tblStyle w:val="37"/>
        <w:tblW w:w="8603" w:type="dxa"/>
        <w:tblInd w:w="10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69"/>
        <w:gridCol w:w="8034"/>
      </w:tblGrid>
      <w:tr w14:paraId="6C44E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900" w:hRule="atLeast"/>
        </w:trPr>
        <w:tc>
          <w:tcPr>
            <w:tcW w:w="569" w:type="dxa"/>
            <w:vAlign w:val="center"/>
          </w:tcPr>
          <w:p w14:paraId="7C7FB5B4">
            <w:pPr>
              <w:keepNext w:val="0"/>
              <w:keepLines w:val="0"/>
              <w:suppressLineNumbers w:val="0"/>
              <w:spacing w:before="0" w:beforeAutospacing="0" w:after="0" w:afterAutospacing="0" w:line="360" w:lineRule="auto"/>
              <w:ind w:left="0" w:right="0"/>
              <w:jc w:val="center"/>
              <w:rPr>
                <w:rFonts w:hint="default"/>
                <w:b/>
                <w:color w:val="auto"/>
                <w:sz w:val="24"/>
                <w:szCs w:val="28"/>
              </w:rPr>
            </w:pPr>
            <w:r>
              <w:rPr>
                <w:rFonts w:hint="eastAsia" w:hAnsi="宋体"/>
                <w:color w:val="auto"/>
                <w:kern w:val="0"/>
                <w:sz w:val="24"/>
              </w:rPr>
              <w:t>区域</w:t>
            </w:r>
            <w:r>
              <w:rPr>
                <w:rFonts w:hint="default" w:hAnsi="宋体"/>
                <w:color w:val="auto"/>
                <w:kern w:val="0"/>
                <w:sz w:val="24"/>
              </w:rPr>
              <w:t>环境质量现状</w:t>
            </w:r>
          </w:p>
        </w:tc>
        <w:tc>
          <w:tcPr>
            <w:tcW w:w="8034" w:type="dxa"/>
          </w:tcPr>
          <w:p w14:paraId="717FDF6B">
            <w:pPr>
              <w:keepNext w:val="0"/>
              <w:keepLines w:val="0"/>
              <w:suppressLineNumbers w:val="0"/>
              <w:spacing w:before="0" w:beforeAutospacing="0" w:after="0" w:afterAutospacing="0" w:line="360" w:lineRule="auto"/>
              <w:ind w:left="0" w:right="0" w:firstLine="482" w:firstLineChars="200"/>
              <w:rPr>
                <w:rFonts w:hint="default"/>
                <w:b/>
                <w:color w:val="auto"/>
                <w:sz w:val="24"/>
                <w:szCs w:val="28"/>
              </w:rPr>
            </w:pPr>
            <w:r>
              <w:rPr>
                <w:rFonts w:hint="default"/>
                <w:b/>
                <w:color w:val="auto"/>
                <w:sz w:val="24"/>
                <w:szCs w:val="28"/>
              </w:rPr>
              <w:t>一</w:t>
            </w:r>
            <w:r>
              <w:rPr>
                <w:rFonts w:hint="eastAsia"/>
                <w:b/>
                <w:color w:val="auto"/>
                <w:sz w:val="24"/>
                <w:szCs w:val="28"/>
              </w:rPr>
              <w:t>、环境空气质量现状</w:t>
            </w:r>
          </w:p>
          <w:p w14:paraId="71658ED5">
            <w:pPr>
              <w:keepNext w:val="0"/>
              <w:keepLines w:val="0"/>
              <w:suppressLineNumbers w:val="0"/>
              <w:adjustRightInd w:val="0"/>
              <w:spacing w:before="0" w:beforeAutospacing="0" w:after="0" w:afterAutospacing="0" w:line="360" w:lineRule="auto"/>
              <w:ind w:left="0" w:right="0" w:firstLine="480" w:firstLineChars="200"/>
              <w:jc w:val="left"/>
              <w:rPr>
                <w:rFonts w:hint="default" w:hAnsi="宋体"/>
                <w:color w:val="auto"/>
                <w:sz w:val="24"/>
              </w:rPr>
            </w:pPr>
            <w:r>
              <w:rPr>
                <w:rFonts w:hint="eastAsia" w:hAnsi="宋体"/>
                <w:color w:val="auto"/>
                <w:sz w:val="24"/>
              </w:rPr>
              <w:t>（1）基本污染物环境质量现状</w:t>
            </w:r>
          </w:p>
          <w:p w14:paraId="23AB2D68">
            <w:pPr>
              <w:keepNext w:val="0"/>
              <w:keepLines w:val="0"/>
              <w:suppressLineNumbers w:val="0"/>
              <w:adjustRightInd w:val="0"/>
              <w:spacing w:before="0" w:beforeAutospacing="0" w:after="0" w:afterAutospacing="0" w:line="360" w:lineRule="auto"/>
              <w:ind w:left="0" w:right="0" w:firstLine="480" w:firstLineChars="200"/>
              <w:jc w:val="left"/>
              <w:rPr>
                <w:rFonts w:hint="default"/>
                <w:color w:val="auto"/>
                <w:sz w:val="24"/>
                <w:highlight w:val="none"/>
              </w:rPr>
            </w:pPr>
            <w:r>
              <w:rPr>
                <w:rFonts w:hint="default" w:hAnsi="宋体"/>
                <w:color w:val="auto"/>
                <w:sz w:val="24"/>
              </w:rPr>
              <w:t>本项</w:t>
            </w:r>
            <w:r>
              <w:rPr>
                <w:rFonts w:hint="default" w:hAnsi="宋体"/>
                <w:color w:val="auto"/>
                <w:sz w:val="24"/>
                <w:szCs w:val="24"/>
              </w:rPr>
              <w:t>目</w:t>
            </w:r>
            <w:r>
              <w:rPr>
                <w:rFonts w:hint="eastAsia" w:hAnsi="宋体"/>
                <w:color w:val="auto"/>
                <w:sz w:val="24"/>
                <w:szCs w:val="24"/>
                <w:lang w:val="en-US" w:eastAsia="zh-CN"/>
              </w:rPr>
              <w:t>租赁</w:t>
            </w:r>
            <w:r>
              <w:rPr>
                <w:rFonts w:hint="eastAsia"/>
                <w:color w:val="auto"/>
                <w:sz w:val="24"/>
                <w:lang w:val="en-US" w:eastAsia="zh-CN"/>
              </w:rPr>
              <w:t>安徽省淮南市凤台县凤台经济开发区电子智能制造产业园52#标准化厂房一层、二层、三层、四层建设</w:t>
            </w:r>
            <w:r>
              <w:rPr>
                <w:rFonts w:hint="default" w:hAnsi="宋体"/>
                <w:color w:val="auto"/>
                <w:sz w:val="24"/>
                <w:szCs w:val="24"/>
              </w:rPr>
              <w:t>，</w:t>
            </w:r>
            <w:r>
              <w:rPr>
                <w:rFonts w:hint="default" w:hAnsi="宋体"/>
                <w:color w:val="auto"/>
                <w:sz w:val="24"/>
                <w:szCs w:val="24"/>
                <w:highlight w:val="none"/>
              </w:rPr>
              <w:t>根据</w:t>
            </w:r>
            <w:r>
              <w:rPr>
                <w:rFonts w:hint="eastAsia" w:hAnsi="宋体"/>
                <w:color w:val="auto"/>
                <w:kern w:val="0"/>
                <w:sz w:val="24"/>
                <w:szCs w:val="24"/>
                <w:highlight w:val="none"/>
              </w:rPr>
              <w:t>《20</w:t>
            </w:r>
            <w:r>
              <w:rPr>
                <w:rFonts w:hint="eastAsia" w:hAnsi="宋体"/>
                <w:color w:val="auto"/>
                <w:kern w:val="0"/>
                <w:sz w:val="24"/>
                <w:szCs w:val="24"/>
                <w:highlight w:val="none"/>
                <w:lang w:val="en-US" w:eastAsia="zh-CN"/>
              </w:rPr>
              <w:t>25</w:t>
            </w:r>
            <w:r>
              <w:rPr>
                <w:rFonts w:hint="eastAsia" w:hAnsi="宋体"/>
                <w:color w:val="auto"/>
                <w:kern w:val="0"/>
                <w:sz w:val="24"/>
                <w:szCs w:val="24"/>
                <w:highlight w:val="none"/>
              </w:rPr>
              <w:t>年</w:t>
            </w:r>
            <w:r>
              <w:rPr>
                <w:rFonts w:hint="eastAsia" w:hAnsi="宋体"/>
                <w:color w:val="auto"/>
                <w:kern w:val="0"/>
                <w:sz w:val="24"/>
                <w:szCs w:val="24"/>
                <w:highlight w:val="none"/>
                <w:lang w:val="en-US" w:eastAsia="zh-CN"/>
              </w:rPr>
              <w:t>淮南</w:t>
            </w:r>
            <w:r>
              <w:rPr>
                <w:rFonts w:hint="eastAsia" w:hAnsi="宋体"/>
                <w:color w:val="auto"/>
                <w:kern w:val="0"/>
                <w:sz w:val="24"/>
                <w:szCs w:val="24"/>
                <w:highlight w:val="none"/>
              </w:rPr>
              <w:t>市生态环境质量状况公报》可知，全</w:t>
            </w:r>
            <w:r>
              <w:rPr>
                <w:rFonts w:hint="eastAsia" w:hAnsi="宋体"/>
                <w:color w:val="auto"/>
                <w:kern w:val="0"/>
                <w:sz w:val="24"/>
                <w:szCs w:val="24"/>
                <w:highlight w:val="none"/>
                <w:lang w:val="en-US" w:eastAsia="zh-CN"/>
              </w:rPr>
              <w:t>市年度环境空气</w:t>
            </w:r>
            <w:r>
              <w:rPr>
                <w:rFonts w:hint="eastAsia" w:hAnsi="宋体"/>
                <w:color w:val="auto"/>
                <w:kern w:val="0"/>
                <w:sz w:val="24"/>
                <w:szCs w:val="24"/>
                <w:highlight w:val="none"/>
              </w:rPr>
              <w:t>质量达到优的天数为</w:t>
            </w:r>
            <w:r>
              <w:rPr>
                <w:rFonts w:hint="eastAsia" w:hAnsi="宋体"/>
                <w:color w:val="auto"/>
                <w:kern w:val="0"/>
                <w:sz w:val="24"/>
                <w:szCs w:val="24"/>
                <w:highlight w:val="none"/>
                <w:lang w:val="en-US" w:eastAsia="zh-CN"/>
              </w:rPr>
              <w:t>97</w:t>
            </w:r>
            <w:r>
              <w:rPr>
                <w:rFonts w:hint="eastAsia" w:hAnsi="宋体"/>
                <w:color w:val="auto"/>
                <w:kern w:val="0"/>
                <w:sz w:val="24"/>
                <w:szCs w:val="24"/>
                <w:highlight w:val="none"/>
              </w:rPr>
              <w:t>天，良</w:t>
            </w:r>
            <w:r>
              <w:rPr>
                <w:rFonts w:hint="eastAsia" w:hAnsi="宋体"/>
                <w:color w:val="auto"/>
                <w:kern w:val="0"/>
                <w:sz w:val="24"/>
                <w:szCs w:val="24"/>
                <w:highlight w:val="none"/>
                <w:lang w:val="en-US" w:eastAsia="zh-CN"/>
              </w:rPr>
              <w:t>203</w:t>
            </w:r>
            <w:r>
              <w:rPr>
                <w:rFonts w:hint="eastAsia" w:hAnsi="宋体"/>
                <w:color w:val="auto"/>
                <w:kern w:val="0"/>
                <w:sz w:val="24"/>
                <w:szCs w:val="24"/>
                <w:highlight w:val="none"/>
              </w:rPr>
              <w:t>天</w:t>
            </w:r>
            <w:r>
              <w:rPr>
                <w:rFonts w:hint="eastAsia" w:hAnsi="宋体"/>
                <w:color w:val="auto"/>
                <w:kern w:val="0"/>
                <w:sz w:val="24"/>
                <w:szCs w:val="24"/>
                <w:highlight w:val="none"/>
                <w:lang w:eastAsia="zh-CN"/>
              </w:rPr>
              <w:t>、</w:t>
            </w:r>
            <w:r>
              <w:rPr>
                <w:rFonts w:hint="eastAsia" w:hAnsi="宋体"/>
                <w:color w:val="auto"/>
                <w:kern w:val="0"/>
                <w:sz w:val="24"/>
                <w:szCs w:val="24"/>
                <w:highlight w:val="none"/>
                <w:lang w:val="en-US" w:eastAsia="zh-CN"/>
              </w:rPr>
              <w:t>轻度污染56天、中度6天、重度2天、严重1天（由沙尘引起的重度污染1天，严重污染1天）；全市年度环境空气达标天数比例</w:t>
            </w:r>
            <w:r>
              <w:rPr>
                <w:rFonts w:hint="eastAsia" w:hAnsi="宋体"/>
                <w:color w:val="auto"/>
                <w:kern w:val="0"/>
                <w:sz w:val="24"/>
                <w:szCs w:val="24"/>
                <w:highlight w:val="none"/>
              </w:rPr>
              <w:t>为</w:t>
            </w:r>
            <w:r>
              <w:rPr>
                <w:rFonts w:hint="eastAsia" w:hAnsi="宋体"/>
                <w:color w:val="auto"/>
                <w:kern w:val="0"/>
                <w:sz w:val="24"/>
                <w:szCs w:val="24"/>
                <w:highlight w:val="none"/>
                <w:lang w:val="en-US" w:eastAsia="zh-CN"/>
              </w:rPr>
              <w:t>82.2</w:t>
            </w:r>
            <w:r>
              <w:rPr>
                <w:rFonts w:hint="eastAsia" w:hAnsi="宋体"/>
                <w:color w:val="auto"/>
                <w:kern w:val="0"/>
                <w:sz w:val="24"/>
                <w:szCs w:val="24"/>
                <w:highlight w:val="none"/>
              </w:rPr>
              <w:t>%。全市可吸入颗粒物（PM</w:t>
            </w:r>
            <w:r>
              <w:rPr>
                <w:rFonts w:hint="eastAsia" w:hAnsi="宋体"/>
                <w:color w:val="auto"/>
                <w:kern w:val="0"/>
                <w:sz w:val="24"/>
                <w:szCs w:val="24"/>
                <w:highlight w:val="none"/>
                <w:vertAlign w:val="subscript"/>
              </w:rPr>
              <w:t>10</w:t>
            </w:r>
            <w:r>
              <w:rPr>
                <w:rFonts w:hint="eastAsia" w:hAnsi="宋体"/>
                <w:color w:val="auto"/>
                <w:kern w:val="0"/>
                <w:sz w:val="24"/>
                <w:szCs w:val="24"/>
                <w:highlight w:val="none"/>
              </w:rPr>
              <w:t>）年平均浓度为</w:t>
            </w:r>
            <w:r>
              <w:rPr>
                <w:rFonts w:hint="eastAsia" w:hAnsi="宋体"/>
                <w:color w:val="auto"/>
                <w:kern w:val="0"/>
                <w:sz w:val="24"/>
                <w:szCs w:val="24"/>
                <w:highlight w:val="none"/>
                <w:lang w:val="en-US" w:eastAsia="zh-CN"/>
              </w:rPr>
              <w:t>61</w:t>
            </w:r>
            <w:r>
              <w:rPr>
                <w:rFonts w:hint="eastAsia" w:hAnsi="宋体"/>
                <w:color w:val="auto"/>
                <w:kern w:val="0"/>
                <w:sz w:val="24"/>
                <w:szCs w:val="24"/>
                <w:highlight w:val="none"/>
              </w:rPr>
              <w:t>微克/立方米，与202</w:t>
            </w:r>
            <w:r>
              <w:rPr>
                <w:rFonts w:hint="eastAsia" w:hAnsi="宋体"/>
                <w:color w:val="auto"/>
                <w:kern w:val="0"/>
                <w:sz w:val="24"/>
                <w:szCs w:val="24"/>
                <w:highlight w:val="none"/>
                <w:lang w:val="en-US" w:eastAsia="zh-CN"/>
              </w:rPr>
              <w:t>4</w:t>
            </w:r>
            <w:r>
              <w:rPr>
                <w:rFonts w:hint="eastAsia" w:hAnsi="宋体"/>
                <w:color w:val="auto"/>
                <w:kern w:val="0"/>
                <w:sz w:val="24"/>
                <w:szCs w:val="24"/>
                <w:highlight w:val="none"/>
              </w:rPr>
              <w:t>年</w:t>
            </w:r>
            <w:r>
              <w:rPr>
                <w:rFonts w:hint="eastAsia" w:hAnsi="宋体"/>
                <w:color w:val="auto"/>
                <w:kern w:val="0"/>
                <w:sz w:val="24"/>
                <w:szCs w:val="24"/>
                <w:highlight w:val="none"/>
                <w:lang w:val="en-US" w:eastAsia="zh-CN"/>
              </w:rPr>
              <w:t>相比</w:t>
            </w:r>
            <w:r>
              <w:rPr>
                <w:rFonts w:hint="eastAsia" w:hAnsi="宋体"/>
                <w:color w:val="auto"/>
                <w:kern w:val="0"/>
                <w:sz w:val="24"/>
                <w:szCs w:val="24"/>
                <w:highlight w:val="none"/>
              </w:rPr>
              <w:t>下降</w:t>
            </w:r>
            <w:r>
              <w:rPr>
                <w:rFonts w:hint="eastAsia" w:hAnsi="宋体"/>
                <w:color w:val="auto"/>
                <w:kern w:val="0"/>
                <w:sz w:val="24"/>
                <w:szCs w:val="24"/>
                <w:highlight w:val="none"/>
                <w:lang w:val="en-US" w:eastAsia="zh-CN"/>
              </w:rPr>
              <w:t>6.2个百分点</w:t>
            </w:r>
            <w:r>
              <w:rPr>
                <w:rFonts w:hint="eastAsia" w:hAnsi="宋体"/>
                <w:color w:val="auto"/>
                <w:kern w:val="0"/>
                <w:sz w:val="24"/>
                <w:szCs w:val="24"/>
                <w:highlight w:val="none"/>
              </w:rPr>
              <w:t>。细颗粒物（PM</w:t>
            </w:r>
            <w:r>
              <w:rPr>
                <w:rFonts w:hint="eastAsia" w:hAnsi="宋体"/>
                <w:color w:val="auto"/>
                <w:kern w:val="0"/>
                <w:sz w:val="24"/>
                <w:szCs w:val="24"/>
                <w:highlight w:val="none"/>
                <w:vertAlign w:val="subscript"/>
              </w:rPr>
              <w:t>2.5</w:t>
            </w:r>
            <w:r>
              <w:rPr>
                <w:rFonts w:hint="eastAsia" w:hAnsi="宋体"/>
                <w:color w:val="auto"/>
                <w:kern w:val="0"/>
                <w:sz w:val="24"/>
                <w:szCs w:val="24"/>
                <w:highlight w:val="none"/>
              </w:rPr>
              <w:t>）年均浓度为</w:t>
            </w:r>
            <w:r>
              <w:rPr>
                <w:rFonts w:hint="eastAsia" w:hAnsi="宋体"/>
                <w:color w:val="auto"/>
                <w:kern w:val="0"/>
                <w:sz w:val="24"/>
                <w:szCs w:val="24"/>
                <w:highlight w:val="none"/>
                <w:lang w:val="en-US" w:eastAsia="zh-CN"/>
              </w:rPr>
              <w:t>37.1</w:t>
            </w:r>
            <w:r>
              <w:rPr>
                <w:rFonts w:hint="eastAsia" w:hAnsi="宋体"/>
                <w:color w:val="auto"/>
                <w:kern w:val="0"/>
                <w:sz w:val="24"/>
                <w:szCs w:val="24"/>
                <w:highlight w:val="none"/>
              </w:rPr>
              <w:t>微克/立方米，与20</w:t>
            </w:r>
            <w:r>
              <w:rPr>
                <w:rFonts w:hint="eastAsia" w:hAnsi="宋体"/>
                <w:color w:val="auto"/>
                <w:kern w:val="0"/>
                <w:sz w:val="24"/>
                <w:szCs w:val="24"/>
                <w:highlight w:val="none"/>
                <w:lang w:val="en-US" w:eastAsia="zh-CN"/>
              </w:rPr>
              <w:t>24</w:t>
            </w:r>
            <w:r>
              <w:rPr>
                <w:rFonts w:hint="eastAsia" w:hAnsi="宋体"/>
                <w:color w:val="auto"/>
                <w:kern w:val="0"/>
                <w:sz w:val="24"/>
                <w:szCs w:val="24"/>
                <w:highlight w:val="none"/>
              </w:rPr>
              <w:t>年</w:t>
            </w:r>
            <w:r>
              <w:rPr>
                <w:rFonts w:hint="eastAsia" w:hAnsi="宋体"/>
                <w:color w:val="auto"/>
                <w:kern w:val="0"/>
                <w:sz w:val="24"/>
                <w:szCs w:val="24"/>
                <w:highlight w:val="none"/>
                <w:lang w:val="en-US" w:eastAsia="zh-CN"/>
              </w:rPr>
              <w:t>相比下降了7.25个百分点</w:t>
            </w:r>
            <w:r>
              <w:rPr>
                <w:rFonts w:hint="eastAsia" w:hAnsi="宋体"/>
                <w:color w:val="auto"/>
                <w:kern w:val="0"/>
                <w:sz w:val="24"/>
                <w:szCs w:val="24"/>
                <w:highlight w:val="none"/>
              </w:rPr>
              <w:t>。</w:t>
            </w:r>
          </w:p>
          <w:p w14:paraId="7EA0383C">
            <w:pPr>
              <w:keepNext w:val="0"/>
              <w:keepLines w:val="0"/>
              <w:suppressLineNumbers w:val="0"/>
              <w:adjustRightInd w:val="0"/>
              <w:spacing w:before="0" w:beforeAutospacing="0" w:after="0" w:afterAutospacing="0" w:line="360" w:lineRule="auto"/>
              <w:ind w:left="0" w:right="0" w:firstLine="480" w:firstLineChars="200"/>
              <w:jc w:val="left"/>
              <w:rPr>
                <w:rFonts w:hint="default"/>
                <w:color w:val="auto"/>
                <w:sz w:val="24"/>
                <w:highlight w:val="none"/>
              </w:rPr>
            </w:pPr>
            <w:r>
              <w:rPr>
                <w:rFonts w:hint="default" w:hAnsi="宋体"/>
                <w:color w:val="auto"/>
                <w:sz w:val="24"/>
                <w:highlight w:val="none"/>
              </w:rPr>
              <w:t>项目所在区域空气质量现状评价见下表：</w:t>
            </w:r>
          </w:p>
          <w:p w14:paraId="73F6F35D">
            <w:pPr>
              <w:pStyle w:val="223"/>
              <w:keepNext w:val="0"/>
              <w:keepLines w:val="0"/>
              <w:suppressLineNumbers w:val="0"/>
              <w:spacing w:before="0" w:beforeAutospacing="0" w:after="0" w:afterAutospacing="0"/>
              <w:ind w:left="0" w:right="0"/>
              <w:jc w:val="center"/>
              <w:rPr>
                <w:rFonts w:hint="default" w:eastAsia="黑体" w:cs="Times New Roman"/>
                <w:b/>
                <w:color w:val="auto"/>
                <w:szCs w:val="21"/>
                <w:highlight w:val="none"/>
              </w:rPr>
            </w:pPr>
            <w:r>
              <w:rPr>
                <w:rFonts w:hint="default" w:hAnsi="黑体" w:eastAsia="黑体" w:cs="Times New Roman"/>
                <w:color w:val="auto"/>
                <w:highlight w:val="none"/>
              </w:rPr>
              <w:t>表</w:t>
            </w:r>
            <w:r>
              <w:rPr>
                <w:rFonts w:hint="eastAsia" w:eastAsia="黑体" w:cs="Times New Roman"/>
                <w:color w:val="auto"/>
                <w:highlight w:val="none"/>
                <w:lang w:val="en-US" w:eastAsia="zh-CN"/>
              </w:rPr>
              <w:t>3-1</w:t>
            </w:r>
            <w:r>
              <w:rPr>
                <w:rFonts w:hint="default" w:eastAsia="黑体" w:cs="Times New Roman"/>
                <w:color w:val="auto"/>
                <w:highlight w:val="none"/>
              </w:rPr>
              <w:t xml:space="preserve"> </w:t>
            </w:r>
            <w:r>
              <w:rPr>
                <w:rFonts w:hint="default" w:hAnsi="黑体" w:eastAsia="黑体" w:cs="Times New Roman"/>
                <w:color w:val="auto"/>
                <w:highlight w:val="none"/>
              </w:rPr>
              <w:t>区域空气质量现状评价表</w:t>
            </w:r>
          </w:p>
          <w:tbl>
            <w:tblPr>
              <w:tblStyle w:val="37"/>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679"/>
              <w:gridCol w:w="2517"/>
              <w:gridCol w:w="1188"/>
              <w:gridCol w:w="1525"/>
              <w:gridCol w:w="910"/>
              <w:gridCol w:w="996"/>
            </w:tblGrid>
            <w:tr w14:paraId="0F96EC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34" w:type="pct"/>
                  <w:vMerge w:val="restart"/>
                  <w:tcBorders>
                    <w:top w:val="single" w:color="auto" w:sz="12" w:space="0"/>
                    <w:left w:val="nil"/>
                    <w:right w:val="single" w:color="auto" w:sz="4" w:space="0"/>
                  </w:tcBorders>
                  <w:vAlign w:val="center"/>
                </w:tcPr>
                <w:p w14:paraId="5449D15E">
                  <w:pPr>
                    <w:keepNext w:val="0"/>
                    <w:keepLines w:val="0"/>
                    <w:widowControl/>
                    <w:suppressLineNumbers w:val="0"/>
                    <w:spacing w:before="0" w:beforeAutospacing="0" w:after="0" w:afterAutospacing="0" w:line="276" w:lineRule="auto"/>
                    <w:ind w:left="0" w:right="0"/>
                    <w:jc w:val="center"/>
                    <w:rPr>
                      <w:rFonts w:hint="default"/>
                      <w:b/>
                      <w:bCs/>
                      <w:color w:val="auto"/>
                      <w:kern w:val="0"/>
                      <w:szCs w:val="21"/>
                      <w:highlight w:val="none"/>
                    </w:rPr>
                  </w:pPr>
                  <w:r>
                    <w:rPr>
                      <w:rFonts w:hint="eastAsia" w:hAnsi="宋体"/>
                      <w:b/>
                      <w:bCs/>
                      <w:color w:val="auto"/>
                      <w:kern w:val="0"/>
                      <w:szCs w:val="21"/>
                      <w:highlight w:val="none"/>
                    </w:rPr>
                    <w:t>污染物</w:t>
                  </w:r>
                </w:p>
              </w:tc>
              <w:tc>
                <w:tcPr>
                  <w:tcW w:w="1610" w:type="pct"/>
                  <w:vMerge w:val="restart"/>
                  <w:tcBorders>
                    <w:top w:val="single" w:color="auto" w:sz="12" w:space="0"/>
                    <w:left w:val="single" w:color="auto" w:sz="4" w:space="0"/>
                    <w:right w:val="single" w:color="auto" w:sz="4" w:space="0"/>
                  </w:tcBorders>
                  <w:vAlign w:val="center"/>
                </w:tcPr>
                <w:p w14:paraId="630A8C34">
                  <w:pPr>
                    <w:keepNext w:val="0"/>
                    <w:keepLines w:val="0"/>
                    <w:widowControl/>
                    <w:suppressLineNumbers w:val="0"/>
                    <w:spacing w:before="0" w:beforeAutospacing="0" w:after="0" w:afterAutospacing="0" w:line="276" w:lineRule="auto"/>
                    <w:ind w:left="0" w:right="0"/>
                    <w:jc w:val="center"/>
                    <w:rPr>
                      <w:rFonts w:hint="default"/>
                      <w:b/>
                      <w:bCs/>
                      <w:color w:val="auto"/>
                      <w:kern w:val="0"/>
                      <w:szCs w:val="21"/>
                      <w:highlight w:val="none"/>
                    </w:rPr>
                  </w:pPr>
                  <w:r>
                    <w:rPr>
                      <w:rFonts w:hint="eastAsia" w:hAnsi="宋体"/>
                      <w:b/>
                      <w:bCs/>
                      <w:color w:val="auto"/>
                      <w:kern w:val="0"/>
                      <w:szCs w:val="21"/>
                      <w:highlight w:val="none"/>
                    </w:rPr>
                    <w:t>年评价指标</w:t>
                  </w:r>
                </w:p>
              </w:tc>
              <w:tc>
                <w:tcPr>
                  <w:tcW w:w="760" w:type="pct"/>
                  <w:vMerge w:val="restart"/>
                  <w:tcBorders>
                    <w:top w:val="single" w:color="auto" w:sz="12" w:space="0"/>
                    <w:left w:val="single" w:color="auto" w:sz="4" w:space="0"/>
                    <w:right w:val="single" w:color="auto" w:sz="4" w:space="0"/>
                  </w:tcBorders>
                  <w:vAlign w:val="center"/>
                </w:tcPr>
                <w:p w14:paraId="2DC7C1F1">
                  <w:pPr>
                    <w:keepNext w:val="0"/>
                    <w:keepLines w:val="0"/>
                    <w:widowControl/>
                    <w:suppressLineNumbers w:val="0"/>
                    <w:spacing w:before="0" w:beforeAutospacing="0" w:after="0" w:afterAutospacing="0" w:line="276" w:lineRule="auto"/>
                    <w:ind w:left="0" w:right="0"/>
                    <w:jc w:val="center"/>
                    <w:rPr>
                      <w:rFonts w:hint="default"/>
                      <w:b/>
                      <w:bCs/>
                      <w:color w:val="auto"/>
                      <w:kern w:val="0"/>
                      <w:szCs w:val="21"/>
                      <w:highlight w:val="none"/>
                    </w:rPr>
                  </w:pPr>
                  <w:r>
                    <w:rPr>
                      <w:rFonts w:hint="eastAsia" w:hAnsi="宋体"/>
                      <w:b/>
                      <w:bCs/>
                      <w:color w:val="auto"/>
                      <w:kern w:val="0"/>
                      <w:szCs w:val="21"/>
                      <w:highlight w:val="none"/>
                    </w:rPr>
                    <w:t>现状浓度</w:t>
                  </w:r>
                </w:p>
                <w:p w14:paraId="756BFC43">
                  <w:pPr>
                    <w:keepNext w:val="0"/>
                    <w:keepLines w:val="0"/>
                    <w:widowControl/>
                    <w:suppressLineNumbers w:val="0"/>
                    <w:spacing w:before="0" w:beforeAutospacing="0" w:after="0" w:afterAutospacing="0" w:line="276" w:lineRule="auto"/>
                    <w:ind w:left="0" w:right="0"/>
                    <w:jc w:val="center"/>
                    <w:rPr>
                      <w:rFonts w:hint="default"/>
                      <w:b/>
                      <w:bCs/>
                      <w:color w:val="auto"/>
                      <w:kern w:val="0"/>
                      <w:szCs w:val="21"/>
                      <w:highlight w:val="none"/>
                    </w:rPr>
                  </w:pPr>
                  <w:r>
                    <w:rPr>
                      <w:rFonts w:hint="eastAsia" w:hAnsi="宋体"/>
                      <w:b/>
                      <w:bCs/>
                      <w:color w:val="auto"/>
                      <w:kern w:val="0"/>
                      <w:szCs w:val="21"/>
                      <w:highlight w:val="none"/>
                    </w:rPr>
                    <w:t>（</w:t>
                  </w:r>
                  <w:r>
                    <w:rPr>
                      <w:rFonts w:hint="default"/>
                      <w:b/>
                      <w:bCs/>
                      <w:color w:val="auto"/>
                      <w:kern w:val="0"/>
                      <w:szCs w:val="21"/>
                      <w:highlight w:val="none"/>
                    </w:rPr>
                    <w:t>μg/m</w:t>
                  </w:r>
                  <w:r>
                    <w:rPr>
                      <w:rFonts w:hint="default"/>
                      <w:b/>
                      <w:bCs/>
                      <w:color w:val="auto"/>
                      <w:kern w:val="0"/>
                      <w:szCs w:val="21"/>
                      <w:highlight w:val="none"/>
                      <w:vertAlign w:val="superscript"/>
                    </w:rPr>
                    <w:t>3</w:t>
                  </w:r>
                  <w:r>
                    <w:rPr>
                      <w:rFonts w:hint="eastAsia" w:hAnsi="宋体"/>
                      <w:b/>
                      <w:bCs/>
                      <w:color w:val="auto"/>
                      <w:kern w:val="0"/>
                      <w:szCs w:val="21"/>
                      <w:highlight w:val="none"/>
                    </w:rPr>
                    <w:t>）</w:t>
                  </w:r>
                </w:p>
              </w:tc>
              <w:tc>
                <w:tcPr>
                  <w:tcW w:w="2194" w:type="pct"/>
                  <w:gridSpan w:val="3"/>
                  <w:tcBorders>
                    <w:top w:val="single" w:color="auto" w:sz="12" w:space="0"/>
                    <w:left w:val="single" w:color="auto" w:sz="4" w:space="0"/>
                    <w:bottom w:val="single" w:color="auto" w:sz="4" w:space="0"/>
                    <w:right w:val="nil"/>
                  </w:tcBorders>
                  <w:shd w:val="clear" w:color="auto" w:fill="auto"/>
                  <w:vAlign w:val="center"/>
                </w:tcPr>
                <w:p w14:paraId="29E5FB4E">
                  <w:pPr>
                    <w:keepNext w:val="0"/>
                    <w:keepLines w:val="0"/>
                    <w:widowControl/>
                    <w:suppressLineNumbers w:val="0"/>
                    <w:spacing w:before="0" w:beforeAutospacing="0" w:after="0" w:afterAutospacing="0" w:line="276" w:lineRule="auto"/>
                    <w:ind w:left="0" w:leftChars="0" w:right="0" w:rightChars="0"/>
                    <w:jc w:val="center"/>
                    <w:rPr>
                      <w:rFonts w:hint="default" w:hAnsi="宋体"/>
                      <w:b/>
                      <w:bCs/>
                      <w:color w:val="auto"/>
                      <w:kern w:val="0"/>
                      <w:szCs w:val="21"/>
                      <w:highlight w:val="none"/>
                      <w:lang w:val="en-US"/>
                    </w:rPr>
                  </w:pPr>
                  <w:r>
                    <w:rPr>
                      <w:rFonts w:hint="eastAsia" w:hAnsi="宋体"/>
                      <w:b/>
                      <w:bCs/>
                      <w:color w:val="auto"/>
                      <w:kern w:val="0"/>
                      <w:szCs w:val="21"/>
                      <w:highlight w:val="none"/>
                    </w:rPr>
                    <w:t>GB3095-</w:t>
                  </w:r>
                  <w:r>
                    <w:rPr>
                      <w:rFonts w:hint="eastAsia" w:hAnsi="宋体"/>
                      <w:b/>
                      <w:bCs/>
                      <w:color w:val="auto"/>
                      <w:kern w:val="0"/>
                      <w:szCs w:val="21"/>
                      <w:highlight w:val="none"/>
                      <w:lang w:val="en-US" w:eastAsia="zh-CN"/>
                    </w:rPr>
                    <w:t>2026过渡阶段</w:t>
                  </w:r>
                  <w:r>
                    <w:rPr>
                      <w:rFonts w:hint="eastAsia" w:hAnsi="宋体"/>
                      <w:b/>
                      <w:bCs/>
                      <w:color w:val="auto"/>
                      <w:kern w:val="0"/>
                      <w:szCs w:val="21"/>
                      <w:highlight w:val="none"/>
                    </w:rPr>
                    <w:t>二级</w:t>
                  </w:r>
                  <w:r>
                    <w:rPr>
                      <w:rFonts w:hint="eastAsia" w:hAnsi="宋体"/>
                      <w:b/>
                      <w:bCs/>
                      <w:color w:val="auto"/>
                      <w:kern w:val="0"/>
                      <w:szCs w:val="21"/>
                      <w:highlight w:val="none"/>
                      <w:lang w:val="en-US" w:eastAsia="zh-CN"/>
                    </w:rPr>
                    <w:t>浓度限值</w:t>
                  </w:r>
                </w:p>
              </w:tc>
            </w:tr>
            <w:tr w14:paraId="69C048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34" w:type="pct"/>
                  <w:vMerge w:val="continue"/>
                  <w:tcBorders>
                    <w:left w:val="nil"/>
                    <w:bottom w:val="single" w:color="auto" w:sz="4" w:space="0"/>
                    <w:right w:val="single" w:color="auto" w:sz="4" w:space="0"/>
                  </w:tcBorders>
                  <w:vAlign w:val="center"/>
                </w:tcPr>
                <w:p w14:paraId="068A50FA">
                  <w:pPr>
                    <w:keepNext w:val="0"/>
                    <w:keepLines w:val="0"/>
                    <w:widowControl/>
                    <w:suppressLineNumbers w:val="0"/>
                    <w:spacing w:before="0" w:beforeAutospacing="0" w:after="0" w:afterAutospacing="0" w:line="276" w:lineRule="auto"/>
                    <w:ind w:left="0" w:right="0"/>
                    <w:jc w:val="center"/>
                    <w:rPr>
                      <w:rFonts w:hint="default"/>
                      <w:b/>
                      <w:bCs/>
                      <w:color w:val="auto"/>
                      <w:kern w:val="0"/>
                      <w:szCs w:val="21"/>
                      <w:highlight w:val="none"/>
                    </w:rPr>
                  </w:pPr>
                </w:p>
              </w:tc>
              <w:tc>
                <w:tcPr>
                  <w:tcW w:w="1610" w:type="pct"/>
                  <w:vMerge w:val="continue"/>
                  <w:tcBorders>
                    <w:left w:val="single" w:color="auto" w:sz="4" w:space="0"/>
                    <w:bottom w:val="single" w:color="auto" w:sz="4" w:space="0"/>
                    <w:right w:val="single" w:color="auto" w:sz="4" w:space="0"/>
                  </w:tcBorders>
                  <w:vAlign w:val="center"/>
                </w:tcPr>
                <w:p w14:paraId="48E2D1BD">
                  <w:pPr>
                    <w:keepNext w:val="0"/>
                    <w:keepLines w:val="0"/>
                    <w:widowControl/>
                    <w:suppressLineNumbers w:val="0"/>
                    <w:spacing w:before="0" w:beforeAutospacing="0" w:after="0" w:afterAutospacing="0" w:line="276" w:lineRule="auto"/>
                    <w:ind w:left="0" w:right="0"/>
                    <w:jc w:val="center"/>
                    <w:rPr>
                      <w:rFonts w:hint="default"/>
                      <w:b/>
                      <w:bCs/>
                      <w:color w:val="auto"/>
                      <w:kern w:val="0"/>
                      <w:szCs w:val="21"/>
                      <w:highlight w:val="none"/>
                    </w:rPr>
                  </w:pPr>
                </w:p>
              </w:tc>
              <w:tc>
                <w:tcPr>
                  <w:tcW w:w="760" w:type="pct"/>
                  <w:vMerge w:val="continue"/>
                  <w:tcBorders>
                    <w:left w:val="single" w:color="auto" w:sz="4" w:space="0"/>
                    <w:bottom w:val="single" w:color="auto" w:sz="4" w:space="0"/>
                    <w:right w:val="single" w:color="auto" w:sz="4" w:space="0"/>
                  </w:tcBorders>
                  <w:vAlign w:val="center"/>
                </w:tcPr>
                <w:p w14:paraId="3A9F1558">
                  <w:pPr>
                    <w:keepNext w:val="0"/>
                    <w:keepLines w:val="0"/>
                    <w:widowControl/>
                    <w:suppressLineNumbers w:val="0"/>
                    <w:spacing w:before="0" w:beforeAutospacing="0" w:after="0" w:afterAutospacing="0" w:line="276" w:lineRule="auto"/>
                    <w:ind w:left="0" w:right="0"/>
                    <w:jc w:val="center"/>
                    <w:rPr>
                      <w:rFonts w:hint="default"/>
                      <w:b/>
                      <w:bCs/>
                      <w:color w:val="auto"/>
                      <w:kern w:val="0"/>
                      <w:szCs w:val="21"/>
                      <w:highlight w:val="none"/>
                    </w:rPr>
                  </w:pPr>
                </w:p>
              </w:tc>
              <w:tc>
                <w:tcPr>
                  <w:tcW w:w="975" w:type="pct"/>
                  <w:tcBorders>
                    <w:top w:val="single" w:color="auto" w:sz="12" w:space="0"/>
                    <w:left w:val="single" w:color="auto" w:sz="4" w:space="0"/>
                    <w:bottom w:val="single" w:color="auto" w:sz="4" w:space="0"/>
                    <w:right w:val="nil"/>
                  </w:tcBorders>
                  <w:shd w:val="clear" w:color="auto" w:fill="auto"/>
                  <w:vAlign w:val="center"/>
                </w:tcPr>
                <w:p w14:paraId="4B2848AE">
                  <w:pPr>
                    <w:keepNext w:val="0"/>
                    <w:keepLines w:val="0"/>
                    <w:widowControl/>
                    <w:suppressLineNumbers w:val="0"/>
                    <w:spacing w:before="0" w:beforeAutospacing="0" w:after="0" w:afterAutospacing="0" w:line="276" w:lineRule="auto"/>
                    <w:ind w:left="0" w:right="0"/>
                    <w:jc w:val="center"/>
                    <w:rPr>
                      <w:rFonts w:hint="default"/>
                      <w:b/>
                      <w:bCs/>
                      <w:color w:val="auto"/>
                      <w:kern w:val="0"/>
                      <w:szCs w:val="21"/>
                      <w:highlight w:val="none"/>
                    </w:rPr>
                  </w:pPr>
                  <w:r>
                    <w:rPr>
                      <w:rFonts w:hint="eastAsia" w:hAnsi="宋体"/>
                      <w:b/>
                      <w:bCs/>
                      <w:color w:val="auto"/>
                      <w:kern w:val="0"/>
                      <w:szCs w:val="21"/>
                      <w:highlight w:val="none"/>
                    </w:rPr>
                    <w:t>标准值</w:t>
                  </w:r>
                </w:p>
                <w:p w14:paraId="1BB7162F">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b/>
                      <w:bCs/>
                      <w:color w:val="auto"/>
                      <w:kern w:val="0"/>
                      <w:sz w:val="21"/>
                      <w:szCs w:val="21"/>
                      <w:highlight w:val="none"/>
                      <w:lang w:val="en-US" w:eastAsia="zh-CN" w:bidi="ar-SA"/>
                    </w:rPr>
                  </w:pPr>
                  <w:r>
                    <w:rPr>
                      <w:rFonts w:hint="eastAsia" w:hAnsi="宋体"/>
                      <w:b/>
                      <w:bCs/>
                      <w:color w:val="auto"/>
                      <w:kern w:val="0"/>
                      <w:szCs w:val="21"/>
                      <w:highlight w:val="none"/>
                    </w:rPr>
                    <w:t>（</w:t>
                  </w:r>
                  <w:r>
                    <w:rPr>
                      <w:rFonts w:hint="default"/>
                      <w:b/>
                      <w:bCs/>
                      <w:color w:val="auto"/>
                      <w:kern w:val="0"/>
                      <w:szCs w:val="21"/>
                      <w:highlight w:val="none"/>
                    </w:rPr>
                    <w:t>μg/m</w:t>
                  </w:r>
                  <w:r>
                    <w:rPr>
                      <w:rFonts w:hint="default"/>
                      <w:b/>
                      <w:bCs/>
                      <w:color w:val="auto"/>
                      <w:kern w:val="0"/>
                      <w:szCs w:val="21"/>
                      <w:highlight w:val="none"/>
                      <w:vertAlign w:val="superscript"/>
                    </w:rPr>
                    <w:t>3</w:t>
                  </w:r>
                  <w:r>
                    <w:rPr>
                      <w:rFonts w:hint="eastAsia" w:hAnsi="宋体"/>
                      <w:b/>
                      <w:bCs/>
                      <w:color w:val="auto"/>
                      <w:kern w:val="0"/>
                      <w:szCs w:val="21"/>
                      <w:highlight w:val="none"/>
                    </w:rPr>
                    <w:t>）</w:t>
                  </w:r>
                </w:p>
              </w:tc>
              <w:tc>
                <w:tcPr>
                  <w:tcW w:w="582" w:type="pct"/>
                  <w:tcBorders>
                    <w:top w:val="single" w:color="auto" w:sz="12" w:space="0"/>
                    <w:left w:val="single" w:color="auto" w:sz="4" w:space="0"/>
                    <w:bottom w:val="single" w:color="auto" w:sz="4" w:space="0"/>
                    <w:right w:val="nil"/>
                  </w:tcBorders>
                  <w:shd w:val="clear" w:color="auto" w:fill="auto"/>
                  <w:vAlign w:val="center"/>
                </w:tcPr>
                <w:p w14:paraId="641B70CC">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b/>
                      <w:bCs/>
                      <w:color w:val="auto"/>
                      <w:kern w:val="0"/>
                      <w:sz w:val="21"/>
                      <w:szCs w:val="21"/>
                      <w:highlight w:val="none"/>
                      <w:lang w:val="en-US" w:eastAsia="zh-CN" w:bidi="ar-SA"/>
                    </w:rPr>
                  </w:pPr>
                  <w:r>
                    <w:rPr>
                      <w:rFonts w:hint="eastAsia" w:hAnsi="宋体"/>
                      <w:b/>
                      <w:bCs/>
                      <w:color w:val="auto"/>
                      <w:kern w:val="0"/>
                      <w:szCs w:val="21"/>
                      <w:highlight w:val="none"/>
                    </w:rPr>
                    <w:t>占标率（</w:t>
                  </w:r>
                  <w:r>
                    <w:rPr>
                      <w:rFonts w:hint="default"/>
                      <w:b/>
                      <w:bCs/>
                      <w:color w:val="auto"/>
                      <w:kern w:val="0"/>
                      <w:szCs w:val="21"/>
                      <w:highlight w:val="none"/>
                    </w:rPr>
                    <w:t>%</w:t>
                  </w:r>
                  <w:r>
                    <w:rPr>
                      <w:rFonts w:hint="eastAsia" w:hAnsi="宋体"/>
                      <w:b/>
                      <w:bCs/>
                      <w:color w:val="auto"/>
                      <w:kern w:val="0"/>
                      <w:szCs w:val="21"/>
                      <w:highlight w:val="none"/>
                    </w:rPr>
                    <w:t>）</w:t>
                  </w:r>
                </w:p>
              </w:tc>
              <w:tc>
                <w:tcPr>
                  <w:tcW w:w="636" w:type="pct"/>
                  <w:tcBorders>
                    <w:top w:val="single" w:color="auto" w:sz="12" w:space="0"/>
                    <w:left w:val="single" w:color="auto" w:sz="4" w:space="0"/>
                    <w:bottom w:val="single" w:color="auto" w:sz="4" w:space="0"/>
                    <w:right w:val="nil"/>
                  </w:tcBorders>
                  <w:shd w:val="clear" w:color="auto" w:fill="auto"/>
                  <w:vAlign w:val="center"/>
                </w:tcPr>
                <w:p w14:paraId="476E0A2E">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b/>
                      <w:bCs/>
                      <w:color w:val="auto"/>
                      <w:kern w:val="0"/>
                      <w:sz w:val="21"/>
                      <w:szCs w:val="21"/>
                      <w:highlight w:val="none"/>
                      <w:lang w:val="en-US" w:eastAsia="zh-CN" w:bidi="ar-SA"/>
                    </w:rPr>
                  </w:pPr>
                  <w:r>
                    <w:rPr>
                      <w:rFonts w:hint="eastAsia" w:hAnsi="宋体"/>
                      <w:b/>
                      <w:bCs/>
                      <w:color w:val="auto"/>
                      <w:kern w:val="0"/>
                      <w:szCs w:val="21"/>
                      <w:highlight w:val="none"/>
                    </w:rPr>
                    <w:t>达标情况</w:t>
                  </w:r>
                </w:p>
              </w:tc>
            </w:tr>
            <w:tr w14:paraId="086201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34" w:type="pct"/>
                  <w:tcBorders>
                    <w:top w:val="single" w:color="auto" w:sz="4" w:space="0"/>
                    <w:left w:val="nil"/>
                    <w:bottom w:val="single" w:color="auto" w:sz="4" w:space="0"/>
                    <w:right w:val="single" w:color="auto" w:sz="4" w:space="0"/>
                  </w:tcBorders>
                  <w:vAlign w:val="center"/>
                </w:tcPr>
                <w:p w14:paraId="5DFB6323">
                  <w:pPr>
                    <w:keepNext w:val="0"/>
                    <w:keepLines w:val="0"/>
                    <w:widowControl/>
                    <w:suppressLineNumbers w:val="0"/>
                    <w:spacing w:before="0" w:beforeAutospacing="0" w:after="0" w:afterAutospacing="0" w:line="276" w:lineRule="auto"/>
                    <w:ind w:left="0" w:right="0"/>
                    <w:jc w:val="center"/>
                    <w:rPr>
                      <w:rFonts w:hint="default"/>
                      <w:bCs/>
                      <w:color w:val="auto"/>
                      <w:kern w:val="0"/>
                      <w:szCs w:val="21"/>
                      <w:highlight w:val="none"/>
                    </w:rPr>
                  </w:pPr>
                  <w:r>
                    <w:rPr>
                      <w:rFonts w:hint="default"/>
                      <w:bCs/>
                      <w:color w:val="auto"/>
                      <w:kern w:val="0"/>
                      <w:szCs w:val="21"/>
                      <w:highlight w:val="none"/>
                    </w:rPr>
                    <w:t>SO</w:t>
                  </w:r>
                  <w:r>
                    <w:rPr>
                      <w:rFonts w:hint="default"/>
                      <w:bCs/>
                      <w:color w:val="auto"/>
                      <w:kern w:val="0"/>
                      <w:szCs w:val="21"/>
                      <w:highlight w:val="none"/>
                      <w:vertAlign w:val="subscript"/>
                    </w:rPr>
                    <w:t>2</w:t>
                  </w:r>
                </w:p>
              </w:tc>
              <w:tc>
                <w:tcPr>
                  <w:tcW w:w="1610" w:type="pct"/>
                  <w:tcBorders>
                    <w:top w:val="single" w:color="auto" w:sz="4" w:space="0"/>
                    <w:left w:val="single" w:color="auto" w:sz="4" w:space="0"/>
                    <w:bottom w:val="single" w:color="auto" w:sz="4" w:space="0"/>
                    <w:right w:val="single" w:color="auto" w:sz="4" w:space="0"/>
                  </w:tcBorders>
                  <w:vAlign w:val="center"/>
                </w:tcPr>
                <w:p w14:paraId="33006FA0">
                  <w:pPr>
                    <w:keepNext w:val="0"/>
                    <w:keepLines w:val="0"/>
                    <w:widowControl/>
                    <w:suppressLineNumbers w:val="0"/>
                    <w:spacing w:before="0" w:beforeAutospacing="0" w:after="0" w:afterAutospacing="0" w:line="276" w:lineRule="auto"/>
                    <w:ind w:left="0" w:right="0"/>
                    <w:jc w:val="center"/>
                    <w:rPr>
                      <w:rFonts w:hint="default"/>
                      <w:bCs/>
                      <w:color w:val="auto"/>
                      <w:kern w:val="0"/>
                      <w:szCs w:val="21"/>
                      <w:highlight w:val="none"/>
                    </w:rPr>
                  </w:pPr>
                  <w:r>
                    <w:rPr>
                      <w:rFonts w:hint="eastAsia" w:hAnsi="宋体"/>
                      <w:bCs/>
                      <w:color w:val="auto"/>
                      <w:kern w:val="0"/>
                      <w:szCs w:val="21"/>
                      <w:highlight w:val="none"/>
                    </w:rPr>
                    <w:t>年平均质量浓度</w:t>
                  </w:r>
                </w:p>
              </w:tc>
              <w:tc>
                <w:tcPr>
                  <w:tcW w:w="760" w:type="pct"/>
                  <w:tcBorders>
                    <w:top w:val="single" w:color="auto" w:sz="4" w:space="0"/>
                    <w:left w:val="single" w:color="auto" w:sz="4" w:space="0"/>
                    <w:bottom w:val="single" w:color="auto" w:sz="4" w:space="0"/>
                    <w:right w:val="single" w:color="auto" w:sz="4" w:space="0"/>
                  </w:tcBorders>
                  <w:vAlign w:val="center"/>
                </w:tcPr>
                <w:p w14:paraId="76C15158">
                  <w:pPr>
                    <w:keepNext w:val="0"/>
                    <w:keepLines w:val="0"/>
                    <w:widowControl/>
                    <w:suppressLineNumbers w:val="0"/>
                    <w:spacing w:before="0" w:beforeAutospacing="0" w:after="0" w:afterAutospacing="0" w:line="276" w:lineRule="auto"/>
                    <w:ind w:left="0" w:right="0"/>
                    <w:jc w:val="center"/>
                    <w:rPr>
                      <w:rFonts w:hint="default" w:eastAsia="宋体"/>
                      <w:bCs/>
                      <w:color w:val="auto"/>
                      <w:kern w:val="0"/>
                      <w:szCs w:val="21"/>
                      <w:highlight w:val="none"/>
                      <w:lang w:val="en-US" w:eastAsia="zh-CN"/>
                    </w:rPr>
                  </w:pPr>
                  <w:r>
                    <w:rPr>
                      <w:rFonts w:hint="eastAsia"/>
                      <w:bCs/>
                      <w:color w:val="auto"/>
                      <w:kern w:val="0"/>
                      <w:szCs w:val="21"/>
                      <w:highlight w:val="none"/>
                      <w:lang w:val="en-US" w:eastAsia="zh-CN"/>
                    </w:rPr>
                    <w:t>7</w:t>
                  </w:r>
                </w:p>
              </w:tc>
              <w:tc>
                <w:tcPr>
                  <w:tcW w:w="975" w:type="pct"/>
                  <w:tcBorders>
                    <w:top w:val="single" w:color="auto" w:sz="4" w:space="0"/>
                    <w:left w:val="single" w:color="auto" w:sz="4" w:space="0"/>
                    <w:bottom w:val="single" w:color="auto" w:sz="4" w:space="0"/>
                    <w:right w:val="nil"/>
                  </w:tcBorders>
                  <w:shd w:val="clear" w:color="auto" w:fill="auto"/>
                  <w:vAlign w:val="center"/>
                </w:tcPr>
                <w:p w14:paraId="1CAF0753">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bCs/>
                      <w:color w:val="auto"/>
                      <w:kern w:val="0"/>
                      <w:sz w:val="21"/>
                      <w:szCs w:val="21"/>
                      <w:highlight w:val="none"/>
                      <w:lang w:val="en-US" w:eastAsia="zh-CN" w:bidi="ar-SA"/>
                    </w:rPr>
                  </w:pPr>
                  <w:r>
                    <w:rPr>
                      <w:rFonts w:hint="default"/>
                      <w:bCs/>
                      <w:color w:val="auto"/>
                      <w:kern w:val="0"/>
                      <w:szCs w:val="21"/>
                      <w:highlight w:val="none"/>
                    </w:rPr>
                    <w:t>60</w:t>
                  </w:r>
                </w:p>
              </w:tc>
              <w:tc>
                <w:tcPr>
                  <w:tcW w:w="582" w:type="pct"/>
                  <w:tcBorders>
                    <w:top w:val="single" w:color="auto" w:sz="4" w:space="0"/>
                    <w:left w:val="single" w:color="auto" w:sz="4" w:space="0"/>
                    <w:bottom w:val="single" w:color="auto" w:sz="4" w:space="0"/>
                    <w:right w:val="nil"/>
                  </w:tcBorders>
                  <w:shd w:val="clear" w:color="auto" w:fill="auto"/>
                  <w:vAlign w:val="center"/>
                </w:tcPr>
                <w:p w14:paraId="1FFF3948">
                  <w:pPr>
                    <w:keepNext w:val="0"/>
                    <w:keepLines w:val="0"/>
                    <w:widowControl/>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bCs/>
                      <w:color w:val="auto"/>
                      <w:kern w:val="0"/>
                      <w:sz w:val="21"/>
                      <w:szCs w:val="21"/>
                      <w:highlight w:val="none"/>
                      <w:lang w:val="en-US" w:eastAsia="zh-CN" w:bidi="ar-SA"/>
                    </w:rPr>
                  </w:pPr>
                  <w:r>
                    <w:rPr>
                      <w:rFonts w:hint="eastAsia" w:cs="Times New Roman"/>
                      <w:bCs/>
                      <w:color w:val="auto"/>
                      <w:kern w:val="0"/>
                      <w:sz w:val="21"/>
                      <w:szCs w:val="21"/>
                      <w:highlight w:val="none"/>
                      <w:lang w:val="en-US" w:eastAsia="zh-CN" w:bidi="ar-SA"/>
                    </w:rPr>
                    <w:t>11.7</w:t>
                  </w:r>
                </w:p>
              </w:tc>
              <w:tc>
                <w:tcPr>
                  <w:tcW w:w="636" w:type="pct"/>
                  <w:tcBorders>
                    <w:top w:val="single" w:color="auto" w:sz="4" w:space="0"/>
                    <w:left w:val="single" w:color="auto" w:sz="4" w:space="0"/>
                    <w:bottom w:val="single" w:color="auto" w:sz="4" w:space="0"/>
                    <w:right w:val="nil"/>
                  </w:tcBorders>
                  <w:shd w:val="clear" w:color="auto" w:fill="auto"/>
                  <w:vAlign w:val="center"/>
                </w:tcPr>
                <w:p w14:paraId="1D0C1718">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bCs/>
                      <w:color w:val="auto"/>
                      <w:kern w:val="0"/>
                      <w:sz w:val="21"/>
                      <w:szCs w:val="21"/>
                      <w:highlight w:val="none"/>
                      <w:lang w:val="en-US" w:eastAsia="zh-CN" w:bidi="ar-SA"/>
                    </w:rPr>
                  </w:pPr>
                  <w:r>
                    <w:rPr>
                      <w:rFonts w:hint="eastAsia" w:hAnsi="宋体"/>
                      <w:bCs/>
                      <w:color w:val="auto"/>
                      <w:kern w:val="0"/>
                      <w:szCs w:val="21"/>
                      <w:highlight w:val="none"/>
                    </w:rPr>
                    <w:t>达标</w:t>
                  </w:r>
                </w:p>
              </w:tc>
            </w:tr>
            <w:tr w14:paraId="46A504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31" w:hRule="atLeast"/>
              </w:trPr>
              <w:tc>
                <w:tcPr>
                  <w:tcW w:w="434" w:type="pct"/>
                  <w:tcBorders>
                    <w:top w:val="single" w:color="auto" w:sz="4" w:space="0"/>
                    <w:left w:val="nil"/>
                    <w:bottom w:val="single" w:color="auto" w:sz="4" w:space="0"/>
                    <w:right w:val="single" w:color="auto" w:sz="4" w:space="0"/>
                  </w:tcBorders>
                  <w:vAlign w:val="center"/>
                </w:tcPr>
                <w:p w14:paraId="3F07B710">
                  <w:pPr>
                    <w:keepNext w:val="0"/>
                    <w:keepLines w:val="0"/>
                    <w:widowControl/>
                    <w:suppressLineNumbers w:val="0"/>
                    <w:spacing w:before="0" w:beforeAutospacing="0" w:after="0" w:afterAutospacing="0" w:line="276" w:lineRule="auto"/>
                    <w:ind w:left="0" w:right="0"/>
                    <w:jc w:val="center"/>
                    <w:rPr>
                      <w:rFonts w:hint="default"/>
                      <w:bCs/>
                      <w:color w:val="auto"/>
                      <w:kern w:val="0"/>
                      <w:szCs w:val="21"/>
                      <w:highlight w:val="none"/>
                    </w:rPr>
                  </w:pPr>
                  <w:r>
                    <w:rPr>
                      <w:rFonts w:hint="default"/>
                      <w:bCs/>
                      <w:color w:val="auto"/>
                      <w:kern w:val="0"/>
                      <w:szCs w:val="21"/>
                      <w:highlight w:val="none"/>
                    </w:rPr>
                    <w:t>NO</w:t>
                  </w:r>
                  <w:r>
                    <w:rPr>
                      <w:rFonts w:hint="default"/>
                      <w:bCs/>
                      <w:color w:val="auto"/>
                      <w:kern w:val="0"/>
                      <w:szCs w:val="21"/>
                      <w:highlight w:val="none"/>
                      <w:vertAlign w:val="subscript"/>
                    </w:rPr>
                    <w:t>2</w:t>
                  </w:r>
                </w:p>
              </w:tc>
              <w:tc>
                <w:tcPr>
                  <w:tcW w:w="1610" w:type="pct"/>
                  <w:tcBorders>
                    <w:top w:val="single" w:color="auto" w:sz="4" w:space="0"/>
                    <w:left w:val="single" w:color="auto" w:sz="4" w:space="0"/>
                    <w:bottom w:val="single" w:color="auto" w:sz="4" w:space="0"/>
                    <w:right w:val="single" w:color="auto" w:sz="4" w:space="0"/>
                  </w:tcBorders>
                  <w:vAlign w:val="center"/>
                </w:tcPr>
                <w:p w14:paraId="282E1DC3">
                  <w:pPr>
                    <w:keepNext w:val="0"/>
                    <w:keepLines w:val="0"/>
                    <w:widowControl/>
                    <w:suppressLineNumbers w:val="0"/>
                    <w:spacing w:before="0" w:beforeAutospacing="0" w:after="0" w:afterAutospacing="0" w:line="276" w:lineRule="auto"/>
                    <w:ind w:left="0" w:right="0"/>
                    <w:jc w:val="center"/>
                    <w:rPr>
                      <w:rFonts w:hint="default"/>
                      <w:bCs/>
                      <w:color w:val="auto"/>
                      <w:kern w:val="0"/>
                      <w:szCs w:val="21"/>
                      <w:highlight w:val="none"/>
                    </w:rPr>
                  </w:pPr>
                  <w:r>
                    <w:rPr>
                      <w:rFonts w:hint="eastAsia" w:hAnsi="宋体"/>
                      <w:bCs/>
                      <w:color w:val="auto"/>
                      <w:kern w:val="0"/>
                      <w:szCs w:val="21"/>
                      <w:highlight w:val="none"/>
                    </w:rPr>
                    <w:t>年平均质量浓度</w:t>
                  </w:r>
                </w:p>
              </w:tc>
              <w:tc>
                <w:tcPr>
                  <w:tcW w:w="760" w:type="pct"/>
                  <w:tcBorders>
                    <w:top w:val="single" w:color="auto" w:sz="4" w:space="0"/>
                    <w:left w:val="single" w:color="auto" w:sz="4" w:space="0"/>
                    <w:bottom w:val="single" w:color="auto" w:sz="4" w:space="0"/>
                    <w:right w:val="single" w:color="auto" w:sz="4" w:space="0"/>
                  </w:tcBorders>
                  <w:vAlign w:val="center"/>
                </w:tcPr>
                <w:p w14:paraId="7412363E">
                  <w:pPr>
                    <w:keepNext w:val="0"/>
                    <w:keepLines w:val="0"/>
                    <w:widowControl/>
                    <w:suppressLineNumbers w:val="0"/>
                    <w:spacing w:before="0" w:beforeAutospacing="0" w:after="0" w:afterAutospacing="0" w:line="276" w:lineRule="auto"/>
                    <w:ind w:left="0" w:right="0"/>
                    <w:jc w:val="center"/>
                    <w:rPr>
                      <w:rFonts w:hint="default" w:eastAsia="宋体"/>
                      <w:bCs/>
                      <w:color w:val="auto"/>
                      <w:kern w:val="0"/>
                      <w:szCs w:val="21"/>
                      <w:highlight w:val="none"/>
                      <w:lang w:val="en-US" w:eastAsia="zh-CN"/>
                    </w:rPr>
                  </w:pPr>
                  <w:r>
                    <w:rPr>
                      <w:rFonts w:hint="eastAsia"/>
                      <w:bCs/>
                      <w:color w:val="auto"/>
                      <w:kern w:val="0"/>
                      <w:szCs w:val="21"/>
                      <w:highlight w:val="none"/>
                      <w:lang w:val="en-US" w:eastAsia="zh-CN"/>
                    </w:rPr>
                    <w:t>18</w:t>
                  </w:r>
                </w:p>
              </w:tc>
              <w:tc>
                <w:tcPr>
                  <w:tcW w:w="975" w:type="pct"/>
                  <w:tcBorders>
                    <w:top w:val="single" w:color="auto" w:sz="4" w:space="0"/>
                    <w:left w:val="single" w:color="auto" w:sz="4" w:space="0"/>
                    <w:bottom w:val="single" w:color="auto" w:sz="4" w:space="0"/>
                    <w:right w:val="nil"/>
                  </w:tcBorders>
                  <w:shd w:val="clear" w:color="auto" w:fill="auto"/>
                  <w:vAlign w:val="center"/>
                </w:tcPr>
                <w:p w14:paraId="1DA1B7F4">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bCs/>
                      <w:color w:val="auto"/>
                      <w:kern w:val="0"/>
                      <w:sz w:val="21"/>
                      <w:szCs w:val="21"/>
                      <w:highlight w:val="none"/>
                      <w:lang w:val="en-US" w:eastAsia="zh-CN" w:bidi="ar-SA"/>
                    </w:rPr>
                  </w:pPr>
                  <w:r>
                    <w:rPr>
                      <w:rFonts w:hint="default"/>
                      <w:bCs/>
                      <w:color w:val="auto"/>
                      <w:kern w:val="0"/>
                      <w:szCs w:val="21"/>
                      <w:highlight w:val="none"/>
                    </w:rPr>
                    <w:t>40</w:t>
                  </w:r>
                </w:p>
              </w:tc>
              <w:tc>
                <w:tcPr>
                  <w:tcW w:w="582" w:type="pct"/>
                  <w:tcBorders>
                    <w:top w:val="single" w:color="auto" w:sz="4" w:space="0"/>
                    <w:left w:val="single" w:color="auto" w:sz="4" w:space="0"/>
                    <w:bottom w:val="single" w:color="auto" w:sz="4" w:space="0"/>
                    <w:right w:val="nil"/>
                  </w:tcBorders>
                  <w:shd w:val="clear" w:color="auto" w:fill="auto"/>
                  <w:vAlign w:val="center"/>
                </w:tcPr>
                <w:p w14:paraId="6E5655BD">
                  <w:pPr>
                    <w:keepNext w:val="0"/>
                    <w:keepLines w:val="0"/>
                    <w:widowControl/>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bCs/>
                      <w:color w:val="auto"/>
                      <w:kern w:val="0"/>
                      <w:sz w:val="21"/>
                      <w:szCs w:val="21"/>
                      <w:highlight w:val="none"/>
                      <w:lang w:val="en-US" w:eastAsia="zh-CN" w:bidi="ar-SA"/>
                    </w:rPr>
                  </w:pPr>
                  <w:r>
                    <w:rPr>
                      <w:rFonts w:hint="eastAsia" w:cs="Times New Roman"/>
                      <w:bCs/>
                      <w:color w:val="auto"/>
                      <w:kern w:val="0"/>
                      <w:sz w:val="21"/>
                      <w:szCs w:val="21"/>
                      <w:highlight w:val="none"/>
                      <w:lang w:val="en-US" w:eastAsia="zh-CN" w:bidi="ar-SA"/>
                    </w:rPr>
                    <w:t>45</w:t>
                  </w:r>
                </w:p>
              </w:tc>
              <w:tc>
                <w:tcPr>
                  <w:tcW w:w="636" w:type="pct"/>
                  <w:tcBorders>
                    <w:top w:val="single" w:color="auto" w:sz="4" w:space="0"/>
                    <w:left w:val="single" w:color="auto" w:sz="4" w:space="0"/>
                    <w:bottom w:val="single" w:color="auto" w:sz="4" w:space="0"/>
                    <w:right w:val="nil"/>
                  </w:tcBorders>
                  <w:shd w:val="clear" w:color="auto" w:fill="auto"/>
                  <w:vAlign w:val="center"/>
                </w:tcPr>
                <w:p w14:paraId="095C2B74">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bCs/>
                      <w:color w:val="auto"/>
                      <w:kern w:val="0"/>
                      <w:sz w:val="21"/>
                      <w:szCs w:val="21"/>
                      <w:highlight w:val="none"/>
                      <w:lang w:val="en-US" w:eastAsia="zh-CN" w:bidi="ar-SA"/>
                    </w:rPr>
                  </w:pPr>
                  <w:r>
                    <w:rPr>
                      <w:rFonts w:hint="eastAsia" w:hAnsi="宋体"/>
                      <w:bCs/>
                      <w:color w:val="auto"/>
                      <w:kern w:val="0"/>
                      <w:szCs w:val="21"/>
                      <w:highlight w:val="none"/>
                    </w:rPr>
                    <w:t>达标</w:t>
                  </w:r>
                </w:p>
              </w:tc>
            </w:tr>
            <w:tr w14:paraId="290E48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34" w:type="pct"/>
                  <w:tcBorders>
                    <w:top w:val="single" w:color="auto" w:sz="4" w:space="0"/>
                    <w:left w:val="nil"/>
                    <w:bottom w:val="single" w:color="auto" w:sz="4" w:space="0"/>
                    <w:right w:val="single" w:color="auto" w:sz="4" w:space="0"/>
                  </w:tcBorders>
                  <w:vAlign w:val="center"/>
                </w:tcPr>
                <w:p w14:paraId="01A7E883">
                  <w:pPr>
                    <w:keepNext w:val="0"/>
                    <w:keepLines w:val="0"/>
                    <w:widowControl/>
                    <w:suppressLineNumbers w:val="0"/>
                    <w:spacing w:before="0" w:beforeAutospacing="0" w:after="0" w:afterAutospacing="0" w:line="276" w:lineRule="auto"/>
                    <w:ind w:left="0" w:right="0"/>
                    <w:jc w:val="center"/>
                    <w:rPr>
                      <w:rFonts w:hint="default"/>
                      <w:bCs/>
                      <w:color w:val="auto"/>
                      <w:kern w:val="0"/>
                      <w:szCs w:val="21"/>
                      <w:highlight w:val="none"/>
                    </w:rPr>
                  </w:pPr>
                  <w:r>
                    <w:rPr>
                      <w:rFonts w:hint="default"/>
                      <w:bCs/>
                      <w:color w:val="auto"/>
                      <w:kern w:val="0"/>
                      <w:szCs w:val="21"/>
                      <w:highlight w:val="none"/>
                    </w:rPr>
                    <w:t>PM</w:t>
                  </w:r>
                  <w:r>
                    <w:rPr>
                      <w:rFonts w:hint="default"/>
                      <w:bCs/>
                      <w:color w:val="auto"/>
                      <w:kern w:val="0"/>
                      <w:szCs w:val="21"/>
                      <w:highlight w:val="none"/>
                      <w:vertAlign w:val="subscript"/>
                    </w:rPr>
                    <w:t>10</w:t>
                  </w:r>
                </w:p>
              </w:tc>
              <w:tc>
                <w:tcPr>
                  <w:tcW w:w="1610" w:type="pct"/>
                  <w:tcBorders>
                    <w:top w:val="single" w:color="auto" w:sz="4" w:space="0"/>
                    <w:left w:val="single" w:color="auto" w:sz="4" w:space="0"/>
                    <w:bottom w:val="single" w:color="auto" w:sz="4" w:space="0"/>
                    <w:right w:val="single" w:color="auto" w:sz="4" w:space="0"/>
                  </w:tcBorders>
                  <w:vAlign w:val="center"/>
                </w:tcPr>
                <w:p w14:paraId="48823CA3">
                  <w:pPr>
                    <w:keepNext w:val="0"/>
                    <w:keepLines w:val="0"/>
                    <w:widowControl/>
                    <w:suppressLineNumbers w:val="0"/>
                    <w:spacing w:before="0" w:beforeAutospacing="0" w:after="0" w:afterAutospacing="0" w:line="276" w:lineRule="auto"/>
                    <w:ind w:left="0" w:right="0"/>
                    <w:jc w:val="center"/>
                    <w:rPr>
                      <w:rFonts w:hint="default"/>
                      <w:bCs/>
                      <w:color w:val="auto"/>
                      <w:kern w:val="0"/>
                      <w:szCs w:val="21"/>
                      <w:highlight w:val="none"/>
                    </w:rPr>
                  </w:pPr>
                  <w:r>
                    <w:rPr>
                      <w:rFonts w:hint="eastAsia" w:hAnsi="宋体"/>
                      <w:bCs/>
                      <w:color w:val="auto"/>
                      <w:kern w:val="0"/>
                      <w:szCs w:val="21"/>
                      <w:highlight w:val="none"/>
                    </w:rPr>
                    <w:t>年平均质量浓度</w:t>
                  </w:r>
                </w:p>
              </w:tc>
              <w:tc>
                <w:tcPr>
                  <w:tcW w:w="760" w:type="pct"/>
                  <w:tcBorders>
                    <w:top w:val="single" w:color="auto" w:sz="4" w:space="0"/>
                    <w:left w:val="single" w:color="auto" w:sz="4" w:space="0"/>
                    <w:bottom w:val="single" w:color="auto" w:sz="4" w:space="0"/>
                    <w:right w:val="single" w:color="auto" w:sz="4" w:space="0"/>
                  </w:tcBorders>
                  <w:vAlign w:val="center"/>
                </w:tcPr>
                <w:p w14:paraId="0EBD5292">
                  <w:pPr>
                    <w:keepNext w:val="0"/>
                    <w:keepLines w:val="0"/>
                    <w:widowControl/>
                    <w:suppressLineNumbers w:val="0"/>
                    <w:spacing w:before="0" w:beforeAutospacing="0" w:after="0" w:afterAutospacing="0" w:line="276" w:lineRule="auto"/>
                    <w:ind w:left="0" w:right="0"/>
                    <w:jc w:val="center"/>
                    <w:rPr>
                      <w:rFonts w:hint="default" w:eastAsia="宋体"/>
                      <w:bCs/>
                      <w:color w:val="auto"/>
                      <w:kern w:val="0"/>
                      <w:szCs w:val="21"/>
                      <w:highlight w:val="none"/>
                      <w:lang w:val="en-US" w:eastAsia="zh-CN"/>
                    </w:rPr>
                  </w:pPr>
                  <w:r>
                    <w:rPr>
                      <w:rFonts w:hint="eastAsia"/>
                      <w:bCs/>
                      <w:color w:val="auto"/>
                      <w:kern w:val="0"/>
                      <w:szCs w:val="21"/>
                      <w:highlight w:val="none"/>
                      <w:lang w:val="en-US" w:eastAsia="zh-CN"/>
                    </w:rPr>
                    <w:t>61</w:t>
                  </w:r>
                </w:p>
              </w:tc>
              <w:tc>
                <w:tcPr>
                  <w:tcW w:w="975" w:type="pct"/>
                  <w:tcBorders>
                    <w:top w:val="single" w:color="auto" w:sz="4" w:space="0"/>
                    <w:left w:val="single" w:color="auto" w:sz="4" w:space="0"/>
                    <w:bottom w:val="single" w:color="auto" w:sz="4" w:space="0"/>
                    <w:right w:val="nil"/>
                  </w:tcBorders>
                  <w:shd w:val="clear" w:color="auto" w:fill="auto"/>
                  <w:vAlign w:val="center"/>
                </w:tcPr>
                <w:p w14:paraId="293B0C28">
                  <w:pPr>
                    <w:keepNext w:val="0"/>
                    <w:keepLines w:val="0"/>
                    <w:widowControl/>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bCs/>
                      <w:color w:val="auto"/>
                      <w:kern w:val="0"/>
                      <w:sz w:val="21"/>
                      <w:szCs w:val="21"/>
                      <w:highlight w:val="none"/>
                      <w:lang w:val="en-US" w:eastAsia="zh-CN" w:bidi="ar-SA"/>
                    </w:rPr>
                  </w:pPr>
                  <w:r>
                    <w:rPr>
                      <w:rFonts w:hint="eastAsia"/>
                      <w:bCs/>
                      <w:color w:val="auto"/>
                      <w:kern w:val="0"/>
                      <w:szCs w:val="21"/>
                      <w:highlight w:val="none"/>
                      <w:lang w:val="en-US" w:eastAsia="zh-CN"/>
                    </w:rPr>
                    <w:t>60</w:t>
                  </w:r>
                </w:p>
              </w:tc>
              <w:tc>
                <w:tcPr>
                  <w:tcW w:w="582" w:type="pct"/>
                  <w:tcBorders>
                    <w:top w:val="single" w:color="auto" w:sz="4" w:space="0"/>
                    <w:left w:val="single" w:color="auto" w:sz="4" w:space="0"/>
                    <w:bottom w:val="single" w:color="auto" w:sz="4" w:space="0"/>
                    <w:right w:val="nil"/>
                  </w:tcBorders>
                  <w:shd w:val="clear" w:color="auto" w:fill="auto"/>
                  <w:vAlign w:val="center"/>
                </w:tcPr>
                <w:p w14:paraId="44FA6735">
                  <w:pPr>
                    <w:keepNext w:val="0"/>
                    <w:keepLines w:val="0"/>
                    <w:widowControl/>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bCs/>
                      <w:color w:val="auto"/>
                      <w:kern w:val="0"/>
                      <w:sz w:val="21"/>
                      <w:szCs w:val="21"/>
                      <w:highlight w:val="none"/>
                      <w:lang w:val="en-US" w:eastAsia="zh-CN" w:bidi="ar-SA"/>
                    </w:rPr>
                  </w:pPr>
                  <w:r>
                    <w:rPr>
                      <w:rFonts w:hint="eastAsia" w:cs="Times New Roman"/>
                      <w:bCs/>
                      <w:color w:val="auto"/>
                      <w:kern w:val="0"/>
                      <w:sz w:val="21"/>
                      <w:szCs w:val="21"/>
                      <w:highlight w:val="none"/>
                      <w:lang w:val="en-US" w:eastAsia="zh-CN" w:bidi="ar-SA"/>
                    </w:rPr>
                    <w:t>101.7</w:t>
                  </w:r>
                </w:p>
              </w:tc>
              <w:tc>
                <w:tcPr>
                  <w:tcW w:w="636" w:type="pct"/>
                  <w:tcBorders>
                    <w:top w:val="single" w:color="auto" w:sz="4" w:space="0"/>
                    <w:left w:val="single" w:color="auto" w:sz="4" w:space="0"/>
                    <w:bottom w:val="single" w:color="auto" w:sz="4" w:space="0"/>
                    <w:right w:val="nil"/>
                  </w:tcBorders>
                  <w:shd w:val="clear" w:color="auto" w:fill="auto"/>
                  <w:vAlign w:val="center"/>
                </w:tcPr>
                <w:p w14:paraId="3BDC1E14">
                  <w:pPr>
                    <w:keepNext w:val="0"/>
                    <w:keepLines w:val="0"/>
                    <w:widowControl/>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bCs/>
                      <w:color w:val="auto"/>
                      <w:kern w:val="0"/>
                      <w:sz w:val="21"/>
                      <w:szCs w:val="21"/>
                      <w:highlight w:val="none"/>
                      <w:lang w:val="en-US" w:eastAsia="zh-CN" w:bidi="ar-SA"/>
                    </w:rPr>
                  </w:pPr>
                  <w:r>
                    <w:rPr>
                      <w:rFonts w:hint="eastAsia"/>
                      <w:bCs/>
                      <w:color w:val="auto"/>
                      <w:kern w:val="0"/>
                      <w:szCs w:val="21"/>
                      <w:highlight w:val="none"/>
                      <w:lang w:val="en-US" w:eastAsia="zh-CN"/>
                    </w:rPr>
                    <w:t>不</w:t>
                  </w:r>
                  <w:r>
                    <w:rPr>
                      <w:rFonts w:hint="default"/>
                      <w:bCs/>
                      <w:color w:val="auto"/>
                      <w:kern w:val="0"/>
                      <w:szCs w:val="21"/>
                      <w:highlight w:val="none"/>
                    </w:rPr>
                    <w:t>达标</w:t>
                  </w:r>
                </w:p>
              </w:tc>
            </w:tr>
            <w:tr w14:paraId="2A7540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34" w:type="pct"/>
                  <w:tcBorders>
                    <w:top w:val="single" w:color="auto" w:sz="4" w:space="0"/>
                    <w:left w:val="nil"/>
                    <w:bottom w:val="single" w:color="auto" w:sz="4" w:space="0"/>
                    <w:right w:val="single" w:color="auto" w:sz="4" w:space="0"/>
                  </w:tcBorders>
                  <w:vAlign w:val="center"/>
                </w:tcPr>
                <w:p w14:paraId="2FF2453B">
                  <w:pPr>
                    <w:keepNext w:val="0"/>
                    <w:keepLines w:val="0"/>
                    <w:widowControl/>
                    <w:suppressLineNumbers w:val="0"/>
                    <w:spacing w:before="0" w:beforeAutospacing="0" w:after="0" w:afterAutospacing="0" w:line="276" w:lineRule="auto"/>
                    <w:ind w:left="0" w:right="0"/>
                    <w:jc w:val="center"/>
                    <w:rPr>
                      <w:rFonts w:hint="default"/>
                      <w:bCs/>
                      <w:color w:val="auto"/>
                      <w:kern w:val="0"/>
                      <w:szCs w:val="21"/>
                      <w:highlight w:val="none"/>
                    </w:rPr>
                  </w:pPr>
                  <w:r>
                    <w:rPr>
                      <w:rFonts w:hint="default"/>
                      <w:bCs/>
                      <w:color w:val="auto"/>
                      <w:kern w:val="0"/>
                      <w:szCs w:val="21"/>
                      <w:highlight w:val="none"/>
                    </w:rPr>
                    <w:t>PM</w:t>
                  </w:r>
                  <w:r>
                    <w:rPr>
                      <w:rFonts w:hint="default"/>
                      <w:bCs/>
                      <w:color w:val="auto"/>
                      <w:kern w:val="0"/>
                      <w:szCs w:val="21"/>
                      <w:highlight w:val="none"/>
                      <w:vertAlign w:val="subscript"/>
                    </w:rPr>
                    <w:t>2.5</w:t>
                  </w:r>
                </w:p>
              </w:tc>
              <w:tc>
                <w:tcPr>
                  <w:tcW w:w="1610" w:type="pct"/>
                  <w:tcBorders>
                    <w:top w:val="single" w:color="auto" w:sz="4" w:space="0"/>
                    <w:left w:val="single" w:color="auto" w:sz="4" w:space="0"/>
                    <w:bottom w:val="single" w:color="auto" w:sz="4" w:space="0"/>
                    <w:right w:val="single" w:color="auto" w:sz="4" w:space="0"/>
                  </w:tcBorders>
                  <w:vAlign w:val="center"/>
                </w:tcPr>
                <w:p w14:paraId="5991E12C">
                  <w:pPr>
                    <w:keepNext w:val="0"/>
                    <w:keepLines w:val="0"/>
                    <w:widowControl/>
                    <w:suppressLineNumbers w:val="0"/>
                    <w:spacing w:before="0" w:beforeAutospacing="0" w:after="0" w:afterAutospacing="0" w:line="276" w:lineRule="auto"/>
                    <w:ind w:left="0" w:right="0"/>
                    <w:jc w:val="center"/>
                    <w:rPr>
                      <w:rFonts w:hint="default"/>
                      <w:bCs/>
                      <w:color w:val="auto"/>
                      <w:kern w:val="0"/>
                      <w:szCs w:val="21"/>
                      <w:highlight w:val="none"/>
                    </w:rPr>
                  </w:pPr>
                  <w:r>
                    <w:rPr>
                      <w:rFonts w:hint="eastAsia" w:hAnsi="宋体"/>
                      <w:bCs/>
                      <w:color w:val="auto"/>
                      <w:kern w:val="0"/>
                      <w:szCs w:val="21"/>
                      <w:highlight w:val="none"/>
                    </w:rPr>
                    <w:t>年平均质量浓度</w:t>
                  </w:r>
                </w:p>
              </w:tc>
              <w:tc>
                <w:tcPr>
                  <w:tcW w:w="760" w:type="pct"/>
                  <w:tcBorders>
                    <w:top w:val="single" w:color="auto" w:sz="4" w:space="0"/>
                    <w:left w:val="single" w:color="auto" w:sz="4" w:space="0"/>
                    <w:bottom w:val="single" w:color="auto" w:sz="4" w:space="0"/>
                    <w:right w:val="single" w:color="auto" w:sz="4" w:space="0"/>
                  </w:tcBorders>
                  <w:vAlign w:val="center"/>
                </w:tcPr>
                <w:p w14:paraId="0D93B985">
                  <w:pPr>
                    <w:keepNext w:val="0"/>
                    <w:keepLines w:val="0"/>
                    <w:widowControl/>
                    <w:suppressLineNumbers w:val="0"/>
                    <w:spacing w:before="0" w:beforeAutospacing="0" w:after="0" w:afterAutospacing="0" w:line="276" w:lineRule="auto"/>
                    <w:ind w:left="0" w:right="0"/>
                    <w:jc w:val="center"/>
                    <w:rPr>
                      <w:rFonts w:hint="default" w:eastAsia="宋体"/>
                      <w:bCs/>
                      <w:color w:val="auto"/>
                      <w:kern w:val="0"/>
                      <w:szCs w:val="21"/>
                      <w:highlight w:val="none"/>
                      <w:lang w:val="en-US" w:eastAsia="zh-CN"/>
                    </w:rPr>
                  </w:pPr>
                  <w:r>
                    <w:rPr>
                      <w:rFonts w:hint="eastAsia"/>
                      <w:bCs/>
                      <w:color w:val="auto"/>
                      <w:kern w:val="0"/>
                      <w:szCs w:val="21"/>
                      <w:highlight w:val="none"/>
                      <w:lang w:val="en-US" w:eastAsia="zh-CN"/>
                    </w:rPr>
                    <w:t>37.1</w:t>
                  </w:r>
                </w:p>
              </w:tc>
              <w:tc>
                <w:tcPr>
                  <w:tcW w:w="975" w:type="pct"/>
                  <w:tcBorders>
                    <w:top w:val="single" w:color="auto" w:sz="4" w:space="0"/>
                    <w:left w:val="single" w:color="auto" w:sz="4" w:space="0"/>
                    <w:bottom w:val="single" w:color="auto" w:sz="4" w:space="0"/>
                    <w:right w:val="nil"/>
                  </w:tcBorders>
                  <w:shd w:val="clear" w:color="auto" w:fill="auto"/>
                  <w:vAlign w:val="center"/>
                </w:tcPr>
                <w:p w14:paraId="0987FC82">
                  <w:pPr>
                    <w:keepNext w:val="0"/>
                    <w:keepLines w:val="0"/>
                    <w:widowControl/>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bCs/>
                      <w:color w:val="auto"/>
                      <w:kern w:val="0"/>
                      <w:sz w:val="21"/>
                      <w:szCs w:val="21"/>
                      <w:highlight w:val="none"/>
                      <w:lang w:val="en-US" w:eastAsia="zh-CN" w:bidi="ar-SA"/>
                    </w:rPr>
                  </w:pPr>
                  <w:r>
                    <w:rPr>
                      <w:rFonts w:hint="eastAsia"/>
                      <w:bCs/>
                      <w:color w:val="auto"/>
                      <w:kern w:val="0"/>
                      <w:szCs w:val="21"/>
                      <w:highlight w:val="none"/>
                      <w:lang w:val="en-US" w:eastAsia="zh-CN"/>
                    </w:rPr>
                    <w:t>30</w:t>
                  </w:r>
                </w:p>
              </w:tc>
              <w:tc>
                <w:tcPr>
                  <w:tcW w:w="582" w:type="pct"/>
                  <w:tcBorders>
                    <w:top w:val="single" w:color="auto" w:sz="4" w:space="0"/>
                    <w:left w:val="single" w:color="auto" w:sz="4" w:space="0"/>
                    <w:bottom w:val="single" w:color="auto" w:sz="4" w:space="0"/>
                    <w:right w:val="nil"/>
                  </w:tcBorders>
                  <w:shd w:val="clear" w:color="auto" w:fill="auto"/>
                  <w:vAlign w:val="center"/>
                </w:tcPr>
                <w:p w14:paraId="0284C666">
                  <w:pPr>
                    <w:keepNext w:val="0"/>
                    <w:keepLines w:val="0"/>
                    <w:widowControl/>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bCs/>
                      <w:color w:val="auto"/>
                      <w:kern w:val="0"/>
                      <w:sz w:val="21"/>
                      <w:szCs w:val="21"/>
                      <w:highlight w:val="none"/>
                      <w:lang w:val="en-US" w:eastAsia="zh-CN" w:bidi="ar-SA"/>
                    </w:rPr>
                  </w:pPr>
                  <w:r>
                    <w:rPr>
                      <w:rFonts w:hint="eastAsia" w:cs="Times New Roman"/>
                      <w:bCs/>
                      <w:color w:val="auto"/>
                      <w:kern w:val="0"/>
                      <w:sz w:val="21"/>
                      <w:szCs w:val="21"/>
                      <w:highlight w:val="none"/>
                      <w:lang w:val="en-US" w:eastAsia="zh-CN" w:bidi="ar-SA"/>
                    </w:rPr>
                    <w:t>123.7</w:t>
                  </w:r>
                </w:p>
              </w:tc>
              <w:tc>
                <w:tcPr>
                  <w:tcW w:w="636" w:type="pct"/>
                  <w:tcBorders>
                    <w:top w:val="single" w:color="auto" w:sz="4" w:space="0"/>
                    <w:left w:val="single" w:color="auto" w:sz="4" w:space="0"/>
                    <w:bottom w:val="single" w:color="auto" w:sz="4" w:space="0"/>
                    <w:right w:val="nil"/>
                  </w:tcBorders>
                  <w:shd w:val="clear" w:color="auto" w:fill="auto"/>
                  <w:vAlign w:val="center"/>
                </w:tcPr>
                <w:p w14:paraId="0D2F39AF">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bCs/>
                      <w:color w:val="auto"/>
                      <w:kern w:val="0"/>
                      <w:sz w:val="21"/>
                      <w:szCs w:val="21"/>
                      <w:highlight w:val="none"/>
                      <w:lang w:val="en-US" w:eastAsia="zh-CN" w:bidi="ar-SA"/>
                    </w:rPr>
                  </w:pPr>
                  <w:r>
                    <w:rPr>
                      <w:rFonts w:hint="eastAsia"/>
                      <w:bCs/>
                      <w:color w:val="auto"/>
                      <w:kern w:val="0"/>
                      <w:szCs w:val="21"/>
                      <w:highlight w:val="none"/>
                      <w:lang w:val="en-US" w:eastAsia="zh-CN"/>
                    </w:rPr>
                    <w:t>不达标</w:t>
                  </w:r>
                </w:p>
              </w:tc>
            </w:tr>
            <w:tr w14:paraId="65DC2F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34" w:type="pct"/>
                  <w:tcBorders>
                    <w:top w:val="single" w:color="auto" w:sz="4" w:space="0"/>
                    <w:left w:val="nil"/>
                    <w:bottom w:val="single" w:color="auto" w:sz="4" w:space="0"/>
                    <w:right w:val="single" w:color="auto" w:sz="4" w:space="0"/>
                  </w:tcBorders>
                  <w:vAlign w:val="center"/>
                </w:tcPr>
                <w:p w14:paraId="70451F14">
                  <w:pPr>
                    <w:keepNext w:val="0"/>
                    <w:keepLines w:val="0"/>
                    <w:widowControl/>
                    <w:suppressLineNumbers w:val="0"/>
                    <w:spacing w:before="0" w:beforeAutospacing="0" w:after="0" w:afterAutospacing="0" w:line="276" w:lineRule="auto"/>
                    <w:ind w:left="0" w:right="0"/>
                    <w:jc w:val="center"/>
                    <w:rPr>
                      <w:rFonts w:hint="default"/>
                      <w:bCs/>
                      <w:color w:val="auto"/>
                      <w:kern w:val="0"/>
                      <w:szCs w:val="21"/>
                      <w:highlight w:val="none"/>
                    </w:rPr>
                  </w:pPr>
                  <w:r>
                    <w:rPr>
                      <w:rFonts w:hint="default"/>
                      <w:bCs/>
                      <w:color w:val="auto"/>
                      <w:kern w:val="0"/>
                      <w:szCs w:val="21"/>
                      <w:highlight w:val="none"/>
                    </w:rPr>
                    <w:t>CO</w:t>
                  </w:r>
                </w:p>
              </w:tc>
              <w:tc>
                <w:tcPr>
                  <w:tcW w:w="1610" w:type="pct"/>
                  <w:tcBorders>
                    <w:top w:val="single" w:color="auto" w:sz="4" w:space="0"/>
                    <w:left w:val="single" w:color="auto" w:sz="4" w:space="0"/>
                    <w:bottom w:val="single" w:color="auto" w:sz="4" w:space="0"/>
                    <w:right w:val="single" w:color="auto" w:sz="4" w:space="0"/>
                  </w:tcBorders>
                  <w:vAlign w:val="center"/>
                </w:tcPr>
                <w:p w14:paraId="4C2BC8E8">
                  <w:pPr>
                    <w:keepNext w:val="0"/>
                    <w:keepLines w:val="0"/>
                    <w:widowControl/>
                    <w:suppressLineNumbers w:val="0"/>
                    <w:spacing w:before="0" w:beforeAutospacing="0" w:after="0" w:afterAutospacing="0" w:line="276" w:lineRule="auto"/>
                    <w:ind w:left="0" w:right="0"/>
                    <w:jc w:val="center"/>
                    <w:rPr>
                      <w:rFonts w:hint="default"/>
                      <w:bCs/>
                      <w:color w:val="auto"/>
                      <w:kern w:val="0"/>
                      <w:szCs w:val="21"/>
                      <w:highlight w:val="none"/>
                    </w:rPr>
                  </w:pPr>
                  <w:r>
                    <w:rPr>
                      <w:rFonts w:hint="eastAsia" w:hAnsi="宋体"/>
                      <w:bCs/>
                      <w:color w:val="auto"/>
                      <w:kern w:val="0"/>
                      <w:szCs w:val="21"/>
                      <w:highlight w:val="none"/>
                    </w:rPr>
                    <w:t>第</w:t>
                  </w:r>
                  <w:r>
                    <w:rPr>
                      <w:rFonts w:hint="default"/>
                      <w:bCs/>
                      <w:color w:val="auto"/>
                      <w:kern w:val="0"/>
                      <w:szCs w:val="21"/>
                      <w:highlight w:val="none"/>
                    </w:rPr>
                    <w:t>95</w:t>
                  </w:r>
                  <w:r>
                    <w:rPr>
                      <w:rFonts w:hint="eastAsia" w:hAnsi="宋体"/>
                      <w:bCs/>
                      <w:color w:val="auto"/>
                      <w:kern w:val="0"/>
                      <w:szCs w:val="21"/>
                      <w:highlight w:val="none"/>
                    </w:rPr>
                    <w:t>百分位数日平均质量浓度</w:t>
                  </w:r>
                </w:p>
              </w:tc>
              <w:tc>
                <w:tcPr>
                  <w:tcW w:w="760" w:type="pct"/>
                  <w:tcBorders>
                    <w:top w:val="single" w:color="auto" w:sz="4" w:space="0"/>
                    <w:left w:val="single" w:color="auto" w:sz="4" w:space="0"/>
                    <w:bottom w:val="single" w:color="auto" w:sz="4" w:space="0"/>
                    <w:right w:val="single" w:color="auto" w:sz="4" w:space="0"/>
                  </w:tcBorders>
                  <w:vAlign w:val="center"/>
                </w:tcPr>
                <w:p w14:paraId="654D9799">
                  <w:pPr>
                    <w:keepNext w:val="0"/>
                    <w:keepLines w:val="0"/>
                    <w:widowControl/>
                    <w:suppressLineNumbers w:val="0"/>
                    <w:spacing w:before="0" w:beforeAutospacing="0" w:after="0" w:afterAutospacing="0" w:line="276" w:lineRule="auto"/>
                    <w:ind w:left="0" w:right="0"/>
                    <w:jc w:val="center"/>
                    <w:rPr>
                      <w:rFonts w:hint="default" w:eastAsia="宋体"/>
                      <w:bCs/>
                      <w:color w:val="auto"/>
                      <w:kern w:val="0"/>
                      <w:szCs w:val="21"/>
                      <w:highlight w:val="none"/>
                      <w:lang w:val="en-US" w:eastAsia="zh-CN"/>
                    </w:rPr>
                  </w:pPr>
                  <w:r>
                    <w:rPr>
                      <w:rFonts w:hint="eastAsia"/>
                      <w:bCs/>
                      <w:color w:val="auto"/>
                      <w:kern w:val="0"/>
                      <w:szCs w:val="21"/>
                      <w:highlight w:val="none"/>
                      <w:lang w:val="en-US" w:eastAsia="zh-CN"/>
                    </w:rPr>
                    <w:t>800</w:t>
                  </w:r>
                </w:p>
              </w:tc>
              <w:tc>
                <w:tcPr>
                  <w:tcW w:w="975" w:type="pct"/>
                  <w:tcBorders>
                    <w:top w:val="single" w:color="auto" w:sz="4" w:space="0"/>
                    <w:left w:val="single" w:color="auto" w:sz="4" w:space="0"/>
                    <w:bottom w:val="single" w:color="auto" w:sz="4" w:space="0"/>
                    <w:right w:val="nil"/>
                  </w:tcBorders>
                  <w:shd w:val="clear" w:color="auto" w:fill="auto"/>
                  <w:vAlign w:val="center"/>
                </w:tcPr>
                <w:p w14:paraId="552672DA">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bCs/>
                      <w:color w:val="auto"/>
                      <w:kern w:val="0"/>
                      <w:sz w:val="21"/>
                      <w:szCs w:val="21"/>
                      <w:highlight w:val="none"/>
                      <w:lang w:val="en-US" w:eastAsia="zh-CN" w:bidi="ar-SA"/>
                    </w:rPr>
                  </w:pPr>
                  <w:r>
                    <w:rPr>
                      <w:rFonts w:hint="default"/>
                      <w:bCs/>
                      <w:color w:val="auto"/>
                      <w:kern w:val="0"/>
                      <w:szCs w:val="21"/>
                      <w:highlight w:val="none"/>
                    </w:rPr>
                    <w:t>4000</w:t>
                  </w:r>
                </w:p>
              </w:tc>
              <w:tc>
                <w:tcPr>
                  <w:tcW w:w="582" w:type="pct"/>
                  <w:tcBorders>
                    <w:top w:val="single" w:color="auto" w:sz="4" w:space="0"/>
                    <w:left w:val="single" w:color="auto" w:sz="4" w:space="0"/>
                    <w:bottom w:val="single" w:color="auto" w:sz="4" w:space="0"/>
                    <w:right w:val="nil"/>
                  </w:tcBorders>
                  <w:shd w:val="clear" w:color="auto" w:fill="auto"/>
                  <w:vAlign w:val="center"/>
                </w:tcPr>
                <w:p w14:paraId="6F89FDA1">
                  <w:pPr>
                    <w:keepNext w:val="0"/>
                    <w:keepLines w:val="0"/>
                    <w:widowControl/>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bCs/>
                      <w:color w:val="auto"/>
                      <w:kern w:val="0"/>
                      <w:sz w:val="21"/>
                      <w:szCs w:val="21"/>
                      <w:highlight w:val="none"/>
                      <w:lang w:val="en-US" w:eastAsia="zh-CN" w:bidi="ar-SA"/>
                    </w:rPr>
                  </w:pPr>
                  <w:r>
                    <w:rPr>
                      <w:rFonts w:hint="eastAsia" w:cs="Times New Roman"/>
                      <w:bCs/>
                      <w:color w:val="auto"/>
                      <w:kern w:val="0"/>
                      <w:sz w:val="21"/>
                      <w:szCs w:val="21"/>
                      <w:highlight w:val="none"/>
                      <w:lang w:val="en-US" w:eastAsia="zh-CN" w:bidi="ar-SA"/>
                    </w:rPr>
                    <w:t>20</w:t>
                  </w:r>
                </w:p>
              </w:tc>
              <w:tc>
                <w:tcPr>
                  <w:tcW w:w="636" w:type="pct"/>
                  <w:tcBorders>
                    <w:top w:val="single" w:color="auto" w:sz="4" w:space="0"/>
                    <w:left w:val="single" w:color="auto" w:sz="4" w:space="0"/>
                    <w:bottom w:val="single" w:color="auto" w:sz="4" w:space="0"/>
                    <w:right w:val="nil"/>
                  </w:tcBorders>
                  <w:shd w:val="clear" w:color="auto" w:fill="auto"/>
                  <w:vAlign w:val="center"/>
                </w:tcPr>
                <w:p w14:paraId="2E3CDF20">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bCs/>
                      <w:color w:val="auto"/>
                      <w:kern w:val="0"/>
                      <w:sz w:val="21"/>
                      <w:szCs w:val="21"/>
                      <w:highlight w:val="none"/>
                      <w:lang w:val="en-US" w:eastAsia="zh-CN" w:bidi="ar-SA"/>
                    </w:rPr>
                  </w:pPr>
                  <w:r>
                    <w:rPr>
                      <w:rFonts w:hint="eastAsia" w:hAnsi="宋体"/>
                      <w:bCs/>
                      <w:color w:val="auto"/>
                      <w:kern w:val="0"/>
                      <w:szCs w:val="21"/>
                      <w:highlight w:val="none"/>
                    </w:rPr>
                    <w:t>达标</w:t>
                  </w:r>
                </w:p>
              </w:tc>
            </w:tr>
            <w:tr w14:paraId="4AD19E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02" w:hRule="atLeast"/>
              </w:trPr>
              <w:tc>
                <w:tcPr>
                  <w:tcW w:w="434" w:type="pct"/>
                  <w:tcBorders>
                    <w:top w:val="single" w:color="auto" w:sz="4" w:space="0"/>
                    <w:left w:val="nil"/>
                    <w:bottom w:val="single" w:color="auto" w:sz="12" w:space="0"/>
                    <w:right w:val="single" w:color="auto" w:sz="4" w:space="0"/>
                  </w:tcBorders>
                  <w:vAlign w:val="center"/>
                </w:tcPr>
                <w:p w14:paraId="226480B2">
                  <w:pPr>
                    <w:keepNext w:val="0"/>
                    <w:keepLines w:val="0"/>
                    <w:widowControl/>
                    <w:suppressLineNumbers w:val="0"/>
                    <w:spacing w:before="0" w:beforeAutospacing="0" w:after="0" w:afterAutospacing="0" w:line="276" w:lineRule="auto"/>
                    <w:ind w:left="0" w:right="0"/>
                    <w:jc w:val="center"/>
                    <w:rPr>
                      <w:rFonts w:hint="default"/>
                      <w:bCs/>
                      <w:color w:val="auto"/>
                      <w:kern w:val="0"/>
                      <w:szCs w:val="21"/>
                      <w:highlight w:val="none"/>
                    </w:rPr>
                  </w:pPr>
                  <w:r>
                    <w:rPr>
                      <w:rFonts w:hint="default"/>
                      <w:bCs/>
                      <w:color w:val="auto"/>
                      <w:kern w:val="0"/>
                      <w:szCs w:val="21"/>
                      <w:highlight w:val="none"/>
                    </w:rPr>
                    <w:t>O</w:t>
                  </w:r>
                  <w:r>
                    <w:rPr>
                      <w:rFonts w:hint="default"/>
                      <w:bCs/>
                      <w:color w:val="auto"/>
                      <w:kern w:val="0"/>
                      <w:szCs w:val="21"/>
                      <w:highlight w:val="none"/>
                      <w:vertAlign w:val="subscript"/>
                    </w:rPr>
                    <w:t>3</w:t>
                  </w:r>
                </w:p>
              </w:tc>
              <w:tc>
                <w:tcPr>
                  <w:tcW w:w="1610" w:type="pct"/>
                  <w:tcBorders>
                    <w:top w:val="single" w:color="auto" w:sz="4" w:space="0"/>
                    <w:left w:val="single" w:color="auto" w:sz="4" w:space="0"/>
                    <w:bottom w:val="single" w:color="auto" w:sz="12" w:space="0"/>
                    <w:right w:val="single" w:color="auto" w:sz="4" w:space="0"/>
                  </w:tcBorders>
                  <w:vAlign w:val="center"/>
                </w:tcPr>
                <w:p w14:paraId="5886C643">
                  <w:pPr>
                    <w:keepNext w:val="0"/>
                    <w:keepLines w:val="0"/>
                    <w:widowControl/>
                    <w:suppressLineNumbers w:val="0"/>
                    <w:spacing w:before="0" w:beforeAutospacing="0" w:after="0" w:afterAutospacing="0" w:line="276" w:lineRule="auto"/>
                    <w:ind w:left="0" w:right="0"/>
                    <w:jc w:val="center"/>
                    <w:rPr>
                      <w:rFonts w:hint="default"/>
                      <w:bCs/>
                      <w:color w:val="auto"/>
                      <w:kern w:val="0"/>
                      <w:szCs w:val="21"/>
                      <w:highlight w:val="none"/>
                    </w:rPr>
                  </w:pPr>
                  <w:r>
                    <w:rPr>
                      <w:rFonts w:hint="eastAsia"/>
                      <w:bCs/>
                      <w:color w:val="auto"/>
                      <w:szCs w:val="21"/>
                      <w:highlight w:val="none"/>
                    </w:rPr>
                    <w:t>第</w:t>
                  </w:r>
                  <w:r>
                    <w:rPr>
                      <w:rFonts w:hint="default"/>
                      <w:bCs/>
                      <w:color w:val="auto"/>
                      <w:szCs w:val="21"/>
                      <w:highlight w:val="none"/>
                    </w:rPr>
                    <w:t>90</w:t>
                  </w:r>
                  <w:r>
                    <w:rPr>
                      <w:rFonts w:hint="eastAsia"/>
                      <w:bCs/>
                      <w:color w:val="auto"/>
                      <w:szCs w:val="21"/>
                      <w:highlight w:val="none"/>
                    </w:rPr>
                    <w:t>百分位数</w:t>
                  </w:r>
                  <w:r>
                    <w:rPr>
                      <w:rFonts w:hint="eastAsia" w:hAnsi="宋体"/>
                      <w:bCs/>
                      <w:color w:val="auto"/>
                      <w:kern w:val="0"/>
                      <w:szCs w:val="21"/>
                      <w:highlight w:val="none"/>
                    </w:rPr>
                    <w:t>日平均质量浓度</w:t>
                  </w:r>
                </w:p>
              </w:tc>
              <w:tc>
                <w:tcPr>
                  <w:tcW w:w="760" w:type="pct"/>
                  <w:tcBorders>
                    <w:top w:val="single" w:color="auto" w:sz="4" w:space="0"/>
                    <w:left w:val="single" w:color="auto" w:sz="4" w:space="0"/>
                    <w:bottom w:val="single" w:color="auto" w:sz="12" w:space="0"/>
                    <w:right w:val="single" w:color="auto" w:sz="4" w:space="0"/>
                  </w:tcBorders>
                  <w:vAlign w:val="center"/>
                </w:tcPr>
                <w:p w14:paraId="10B55A8F">
                  <w:pPr>
                    <w:keepNext w:val="0"/>
                    <w:keepLines w:val="0"/>
                    <w:widowControl/>
                    <w:suppressLineNumbers w:val="0"/>
                    <w:spacing w:before="0" w:beforeAutospacing="0" w:after="0" w:afterAutospacing="0" w:line="276" w:lineRule="auto"/>
                    <w:ind w:left="0" w:right="0"/>
                    <w:jc w:val="center"/>
                    <w:rPr>
                      <w:rFonts w:hint="default" w:eastAsia="宋体"/>
                      <w:bCs/>
                      <w:color w:val="auto"/>
                      <w:kern w:val="0"/>
                      <w:szCs w:val="21"/>
                      <w:highlight w:val="none"/>
                      <w:lang w:val="en-US" w:eastAsia="zh-CN"/>
                    </w:rPr>
                  </w:pPr>
                  <w:r>
                    <w:rPr>
                      <w:rFonts w:hint="eastAsia"/>
                      <w:bCs/>
                      <w:color w:val="auto"/>
                      <w:kern w:val="0"/>
                      <w:szCs w:val="21"/>
                      <w:highlight w:val="none"/>
                      <w:lang w:val="en-US" w:eastAsia="zh-CN"/>
                    </w:rPr>
                    <w:t>149</w:t>
                  </w:r>
                </w:p>
              </w:tc>
              <w:tc>
                <w:tcPr>
                  <w:tcW w:w="975" w:type="pct"/>
                  <w:tcBorders>
                    <w:top w:val="single" w:color="auto" w:sz="4" w:space="0"/>
                    <w:left w:val="single" w:color="auto" w:sz="4" w:space="0"/>
                    <w:bottom w:val="single" w:color="auto" w:sz="12" w:space="0"/>
                    <w:right w:val="nil"/>
                  </w:tcBorders>
                  <w:shd w:val="clear" w:color="auto" w:fill="auto"/>
                  <w:vAlign w:val="center"/>
                </w:tcPr>
                <w:p w14:paraId="77F04184">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bCs/>
                      <w:color w:val="auto"/>
                      <w:kern w:val="0"/>
                      <w:sz w:val="21"/>
                      <w:szCs w:val="21"/>
                      <w:highlight w:val="none"/>
                      <w:lang w:val="en-US" w:eastAsia="zh-CN" w:bidi="ar-SA"/>
                    </w:rPr>
                  </w:pPr>
                  <w:r>
                    <w:rPr>
                      <w:rFonts w:hint="default"/>
                      <w:bCs/>
                      <w:color w:val="auto"/>
                      <w:kern w:val="0"/>
                      <w:szCs w:val="21"/>
                      <w:highlight w:val="none"/>
                    </w:rPr>
                    <w:t>160</w:t>
                  </w:r>
                </w:p>
              </w:tc>
              <w:tc>
                <w:tcPr>
                  <w:tcW w:w="582" w:type="pct"/>
                  <w:tcBorders>
                    <w:top w:val="single" w:color="auto" w:sz="4" w:space="0"/>
                    <w:left w:val="single" w:color="auto" w:sz="4" w:space="0"/>
                    <w:bottom w:val="single" w:color="auto" w:sz="12" w:space="0"/>
                    <w:right w:val="nil"/>
                  </w:tcBorders>
                  <w:shd w:val="clear" w:color="auto" w:fill="auto"/>
                  <w:vAlign w:val="center"/>
                </w:tcPr>
                <w:p w14:paraId="1BD4092A">
                  <w:pPr>
                    <w:keepNext w:val="0"/>
                    <w:keepLines w:val="0"/>
                    <w:widowControl/>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bCs/>
                      <w:color w:val="auto"/>
                      <w:kern w:val="0"/>
                      <w:sz w:val="21"/>
                      <w:szCs w:val="21"/>
                      <w:highlight w:val="none"/>
                      <w:lang w:val="en-US" w:eastAsia="zh-CN" w:bidi="ar-SA"/>
                    </w:rPr>
                  </w:pPr>
                  <w:r>
                    <w:rPr>
                      <w:rFonts w:hint="eastAsia" w:cs="Times New Roman"/>
                      <w:bCs/>
                      <w:color w:val="auto"/>
                      <w:kern w:val="0"/>
                      <w:sz w:val="21"/>
                      <w:szCs w:val="21"/>
                      <w:highlight w:val="none"/>
                      <w:lang w:val="en-US" w:eastAsia="zh-CN" w:bidi="ar-SA"/>
                    </w:rPr>
                    <w:t>93.1</w:t>
                  </w:r>
                </w:p>
              </w:tc>
              <w:tc>
                <w:tcPr>
                  <w:tcW w:w="636" w:type="pct"/>
                  <w:tcBorders>
                    <w:top w:val="single" w:color="auto" w:sz="4" w:space="0"/>
                    <w:left w:val="single" w:color="auto" w:sz="4" w:space="0"/>
                    <w:bottom w:val="single" w:color="auto" w:sz="12" w:space="0"/>
                    <w:right w:val="nil"/>
                  </w:tcBorders>
                  <w:shd w:val="clear" w:color="auto" w:fill="auto"/>
                  <w:vAlign w:val="center"/>
                </w:tcPr>
                <w:p w14:paraId="338D64C2">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bCs/>
                      <w:color w:val="auto"/>
                      <w:kern w:val="0"/>
                      <w:sz w:val="21"/>
                      <w:szCs w:val="21"/>
                      <w:highlight w:val="none"/>
                      <w:lang w:val="en-US" w:eastAsia="zh-CN" w:bidi="ar-SA"/>
                    </w:rPr>
                  </w:pPr>
                  <w:r>
                    <w:rPr>
                      <w:rFonts w:hint="eastAsia" w:hAnsi="宋体"/>
                      <w:bCs/>
                      <w:color w:val="auto"/>
                      <w:kern w:val="0"/>
                      <w:szCs w:val="21"/>
                      <w:highlight w:val="none"/>
                    </w:rPr>
                    <w:t>达标</w:t>
                  </w:r>
                </w:p>
              </w:tc>
            </w:tr>
          </w:tbl>
          <w:p w14:paraId="2FBB1A14">
            <w:pPr>
              <w:keepNext w:val="0"/>
              <w:keepLines w:val="0"/>
              <w:widowControl/>
              <w:suppressLineNumbers w:val="0"/>
              <w:spacing w:before="0" w:beforeAutospacing="0" w:after="0" w:afterAutospacing="0" w:line="360" w:lineRule="auto"/>
              <w:ind w:left="0" w:right="0" w:firstLine="480" w:firstLineChars="200"/>
              <w:rPr>
                <w:rFonts w:hint="default" w:ascii="Times New Roman"/>
                <w:color w:val="auto"/>
                <w:sz w:val="24"/>
                <w:szCs w:val="21"/>
              </w:rPr>
            </w:pPr>
            <w:r>
              <w:rPr>
                <w:rFonts w:hint="eastAsia" w:hAnsi="宋体"/>
                <w:color w:val="auto"/>
                <w:kern w:val="0"/>
                <w:sz w:val="24"/>
                <w:szCs w:val="24"/>
                <w:highlight w:val="none"/>
              </w:rPr>
              <w:t>根据《20</w:t>
            </w:r>
            <w:r>
              <w:rPr>
                <w:rFonts w:hint="eastAsia" w:hAnsi="宋体"/>
                <w:color w:val="auto"/>
                <w:kern w:val="0"/>
                <w:sz w:val="24"/>
                <w:szCs w:val="24"/>
                <w:highlight w:val="none"/>
                <w:lang w:val="en-US" w:eastAsia="zh-CN"/>
              </w:rPr>
              <w:t>25</w:t>
            </w:r>
            <w:r>
              <w:rPr>
                <w:rFonts w:hint="eastAsia" w:hAnsi="宋体"/>
                <w:color w:val="auto"/>
                <w:kern w:val="0"/>
                <w:sz w:val="24"/>
                <w:szCs w:val="24"/>
                <w:highlight w:val="none"/>
              </w:rPr>
              <w:t>年</w:t>
            </w:r>
            <w:r>
              <w:rPr>
                <w:rFonts w:hint="eastAsia" w:hAnsi="宋体"/>
                <w:color w:val="auto"/>
                <w:kern w:val="0"/>
                <w:sz w:val="24"/>
                <w:szCs w:val="24"/>
                <w:highlight w:val="none"/>
                <w:lang w:val="en-US" w:eastAsia="zh-CN"/>
              </w:rPr>
              <w:t>淮南</w:t>
            </w:r>
            <w:r>
              <w:rPr>
                <w:rFonts w:hint="eastAsia" w:hAnsi="宋体"/>
                <w:color w:val="auto"/>
                <w:kern w:val="0"/>
                <w:sz w:val="24"/>
                <w:szCs w:val="24"/>
                <w:highlight w:val="none"/>
              </w:rPr>
              <w:t>市生态环境质量状况公报》并结合</w:t>
            </w:r>
            <w:r>
              <w:rPr>
                <w:rFonts w:hint="eastAsia" w:hAnsi="宋体"/>
                <w:color w:val="auto"/>
                <w:kern w:val="0"/>
                <w:sz w:val="24"/>
                <w:szCs w:val="24"/>
                <w:highlight w:val="none"/>
                <w:lang w:val="en-US" w:eastAsia="zh-CN"/>
              </w:rPr>
              <w:t>《环境空气质量标准》（GB3095-2026）表1中过渡阶段二级浓度限值</w:t>
            </w:r>
            <w:r>
              <w:rPr>
                <w:rFonts w:hint="eastAsia" w:hAnsi="宋体"/>
                <w:color w:val="auto"/>
                <w:kern w:val="0"/>
                <w:sz w:val="24"/>
                <w:szCs w:val="24"/>
                <w:highlight w:val="none"/>
              </w:rPr>
              <w:t>可知，</w:t>
            </w:r>
            <w:r>
              <w:rPr>
                <w:rFonts w:hint="eastAsia" w:ascii="Times New Roman" w:hAnsi="宋体"/>
                <w:color w:val="auto"/>
                <w:sz w:val="24"/>
                <w:szCs w:val="24"/>
                <w:highlight w:val="none"/>
              </w:rPr>
              <w:t>二氧化硫（</w:t>
            </w:r>
            <w:r>
              <w:rPr>
                <w:rFonts w:hint="default" w:ascii="Times New Roman" w:hAnsi="Times New Roman"/>
                <w:color w:val="auto"/>
                <w:sz w:val="24"/>
                <w:szCs w:val="24"/>
                <w:highlight w:val="none"/>
              </w:rPr>
              <w:t>SO</w:t>
            </w:r>
            <w:r>
              <w:rPr>
                <w:rFonts w:hint="default" w:ascii="Times New Roman" w:hAnsi="Times New Roman"/>
                <w:color w:val="auto"/>
                <w:sz w:val="24"/>
                <w:szCs w:val="24"/>
                <w:highlight w:val="none"/>
                <w:vertAlign w:val="subscript"/>
              </w:rPr>
              <w:t>2</w:t>
            </w:r>
            <w:r>
              <w:rPr>
                <w:rFonts w:hint="eastAsia" w:ascii="Times New Roman" w:hAnsi="宋体"/>
                <w:color w:val="auto"/>
                <w:sz w:val="24"/>
                <w:szCs w:val="24"/>
                <w:highlight w:val="none"/>
              </w:rPr>
              <w:t>）、二氧化氮（</w:t>
            </w:r>
            <w:r>
              <w:rPr>
                <w:rFonts w:hint="default" w:ascii="Times New Roman" w:hAnsi="Times New Roman"/>
                <w:color w:val="auto"/>
                <w:sz w:val="24"/>
                <w:szCs w:val="24"/>
                <w:highlight w:val="none"/>
              </w:rPr>
              <w:t>NO</w:t>
            </w:r>
            <w:r>
              <w:rPr>
                <w:rFonts w:hint="default" w:ascii="Times New Roman" w:hAnsi="Times New Roman"/>
                <w:color w:val="auto"/>
                <w:sz w:val="24"/>
                <w:szCs w:val="24"/>
                <w:highlight w:val="none"/>
                <w:vertAlign w:val="subscript"/>
              </w:rPr>
              <w:t>2</w:t>
            </w:r>
            <w:r>
              <w:rPr>
                <w:rFonts w:hint="eastAsia" w:ascii="Times New Roman" w:hAnsi="宋体"/>
                <w:color w:val="auto"/>
                <w:sz w:val="24"/>
                <w:szCs w:val="24"/>
                <w:highlight w:val="none"/>
              </w:rPr>
              <w:t>）、一氧化碳（</w:t>
            </w:r>
            <w:r>
              <w:rPr>
                <w:rFonts w:hint="default" w:ascii="Times New Roman" w:hAnsi="Times New Roman"/>
                <w:color w:val="auto"/>
                <w:sz w:val="24"/>
                <w:szCs w:val="24"/>
                <w:highlight w:val="none"/>
              </w:rPr>
              <w:t>CO</w:t>
            </w:r>
            <w:r>
              <w:rPr>
                <w:rFonts w:hint="eastAsia" w:ascii="Times New Roman" w:hAnsi="宋体"/>
                <w:color w:val="auto"/>
                <w:sz w:val="24"/>
                <w:szCs w:val="24"/>
                <w:highlight w:val="none"/>
              </w:rPr>
              <w:t>）、臭氧（</w:t>
            </w:r>
            <w:r>
              <w:rPr>
                <w:rFonts w:hint="default" w:ascii="Times New Roman" w:hAnsi="Times New Roman"/>
                <w:color w:val="auto"/>
                <w:sz w:val="24"/>
                <w:szCs w:val="24"/>
                <w:highlight w:val="none"/>
              </w:rPr>
              <w:t>O</w:t>
            </w:r>
            <w:r>
              <w:rPr>
                <w:rFonts w:hint="default" w:ascii="Times New Roman" w:hAnsi="Times New Roman"/>
                <w:color w:val="auto"/>
                <w:sz w:val="24"/>
                <w:szCs w:val="24"/>
                <w:highlight w:val="none"/>
                <w:vertAlign w:val="subscript"/>
              </w:rPr>
              <w:t>3</w:t>
            </w:r>
            <w:r>
              <w:rPr>
                <w:rFonts w:hint="eastAsia" w:ascii="Times New Roman" w:hAnsi="宋体"/>
                <w:color w:val="auto"/>
                <w:sz w:val="24"/>
                <w:szCs w:val="24"/>
                <w:highlight w:val="none"/>
              </w:rPr>
              <w:t>）均符合</w:t>
            </w:r>
            <w:r>
              <w:rPr>
                <w:rFonts w:hint="eastAsia" w:hAnsi="宋体"/>
                <w:color w:val="auto"/>
                <w:sz w:val="24"/>
                <w:szCs w:val="24"/>
                <w:highlight w:val="none"/>
                <w:lang w:val="en-US" w:eastAsia="zh-CN"/>
              </w:rPr>
              <w:t>《环境空气质量标准》（GB3095-2026）表1中过渡阶段二级浓度限值要求</w:t>
            </w:r>
            <w:r>
              <w:rPr>
                <w:rFonts w:hint="eastAsia" w:ascii="Times New Roman" w:hAnsi="宋体"/>
                <w:color w:val="auto"/>
                <w:sz w:val="24"/>
                <w:szCs w:val="24"/>
                <w:highlight w:val="none"/>
              </w:rPr>
              <w:t>，细颗粒物（</w:t>
            </w:r>
            <w:r>
              <w:rPr>
                <w:rFonts w:hint="default" w:ascii="Times New Roman" w:hAnsi="Times New Roman"/>
                <w:color w:val="auto"/>
                <w:sz w:val="24"/>
                <w:szCs w:val="24"/>
                <w:highlight w:val="none"/>
              </w:rPr>
              <w:t>PM</w:t>
            </w:r>
            <w:r>
              <w:rPr>
                <w:rFonts w:hint="default" w:ascii="Times New Roman" w:hAnsi="Times New Roman"/>
                <w:color w:val="auto"/>
                <w:sz w:val="24"/>
                <w:szCs w:val="24"/>
                <w:highlight w:val="none"/>
                <w:vertAlign w:val="subscript"/>
              </w:rPr>
              <w:t>2.5</w:t>
            </w:r>
            <w:r>
              <w:rPr>
                <w:rFonts w:hint="eastAsia" w:ascii="Times New Roman" w:hAnsi="宋体"/>
                <w:color w:val="auto"/>
                <w:sz w:val="24"/>
                <w:szCs w:val="24"/>
                <w:highlight w:val="none"/>
              </w:rPr>
              <w:t>）</w:t>
            </w:r>
            <w:r>
              <w:rPr>
                <w:rFonts w:hint="eastAsia" w:hAnsi="宋体"/>
                <w:color w:val="auto"/>
                <w:sz w:val="24"/>
                <w:szCs w:val="24"/>
                <w:highlight w:val="none"/>
                <w:lang w:val="en-US" w:eastAsia="zh-CN"/>
              </w:rPr>
              <w:t>及</w:t>
            </w:r>
            <w:r>
              <w:rPr>
                <w:rFonts w:hint="eastAsia" w:ascii="Times New Roman" w:hAnsi="宋体"/>
                <w:color w:val="auto"/>
                <w:sz w:val="24"/>
                <w:szCs w:val="24"/>
                <w:highlight w:val="none"/>
              </w:rPr>
              <w:t>可吸入颗粒物（</w:t>
            </w:r>
            <w:r>
              <w:rPr>
                <w:rFonts w:hint="default" w:ascii="Times New Roman" w:hAnsi="Times New Roman"/>
                <w:color w:val="auto"/>
                <w:sz w:val="24"/>
                <w:szCs w:val="24"/>
                <w:highlight w:val="none"/>
              </w:rPr>
              <w:t>PM</w:t>
            </w:r>
            <w:r>
              <w:rPr>
                <w:rFonts w:hint="default" w:ascii="Times New Roman" w:hAnsi="Times New Roman"/>
                <w:color w:val="auto"/>
                <w:sz w:val="24"/>
                <w:szCs w:val="24"/>
                <w:highlight w:val="none"/>
                <w:vertAlign w:val="subscript"/>
              </w:rPr>
              <w:t>10</w:t>
            </w:r>
            <w:r>
              <w:rPr>
                <w:rFonts w:hint="eastAsia" w:ascii="Times New Roman" w:hAnsi="宋体"/>
                <w:color w:val="auto"/>
                <w:sz w:val="24"/>
                <w:szCs w:val="24"/>
                <w:highlight w:val="none"/>
              </w:rPr>
              <w:t>）</w:t>
            </w:r>
            <w:r>
              <w:rPr>
                <w:rFonts w:hint="eastAsia" w:hAnsi="宋体"/>
                <w:color w:val="auto"/>
                <w:sz w:val="24"/>
                <w:szCs w:val="24"/>
                <w:highlight w:val="none"/>
                <w:lang w:val="en-US" w:eastAsia="zh-CN"/>
              </w:rPr>
              <w:t>年均浓度超过</w:t>
            </w:r>
            <w:r>
              <w:rPr>
                <w:rFonts w:hint="eastAsia" w:ascii="Times New Roman" w:hAnsi="宋体"/>
                <w:color w:val="auto"/>
                <w:sz w:val="24"/>
                <w:szCs w:val="24"/>
                <w:highlight w:val="none"/>
              </w:rPr>
              <w:t>《环境空气质量标准》（</w:t>
            </w:r>
            <w:r>
              <w:rPr>
                <w:rFonts w:hint="default" w:ascii="Times New Roman" w:hAnsi="Times New Roman"/>
                <w:color w:val="auto"/>
                <w:sz w:val="24"/>
                <w:szCs w:val="24"/>
                <w:highlight w:val="none"/>
              </w:rPr>
              <w:t>GB3095-20</w:t>
            </w:r>
            <w:r>
              <w:rPr>
                <w:rFonts w:hint="eastAsia"/>
                <w:color w:val="auto"/>
                <w:sz w:val="24"/>
                <w:szCs w:val="24"/>
                <w:highlight w:val="none"/>
                <w:lang w:val="en-US" w:eastAsia="zh-CN"/>
              </w:rPr>
              <w:t>26</w:t>
            </w:r>
            <w:r>
              <w:rPr>
                <w:rFonts w:hint="eastAsia" w:ascii="Times New Roman" w:hAnsi="宋体"/>
                <w:color w:val="auto"/>
                <w:sz w:val="24"/>
                <w:szCs w:val="24"/>
                <w:highlight w:val="none"/>
              </w:rPr>
              <w:t>）</w:t>
            </w:r>
            <w:r>
              <w:rPr>
                <w:rFonts w:hint="eastAsia" w:hAnsi="宋体"/>
                <w:color w:val="auto"/>
                <w:sz w:val="24"/>
                <w:szCs w:val="24"/>
                <w:highlight w:val="none"/>
                <w:lang w:val="en-US" w:eastAsia="zh-CN"/>
              </w:rPr>
              <w:t>表1中过渡阶段二级浓度限值</w:t>
            </w:r>
            <w:r>
              <w:rPr>
                <w:rFonts w:hint="eastAsia" w:ascii="Times New Roman" w:hAnsi="宋体"/>
                <w:color w:val="auto"/>
                <w:sz w:val="24"/>
                <w:szCs w:val="24"/>
                <w:highlight w:val="none"/>
              </w:rPr>
              <w:t>要求</w:t>
            </w:r>
            <w:r>
              <w:rPr>
                <w:rFonts w:hint="eastAsia" w:hAnsi="宋体"/>
                <w:color w:val="auto"/>
                <w:sz w:val="24"/>
                <w:szCs w:val="24"/>
                <w:highlight w:val="none"/>
                <w:lang w:eastAsia="zh-CN"/>
              </w:rPr>
              <w:t>。</w:t>
            </w:r>
            <w:r>
              <w:rPr>
                <w:rFonts w:hint="eastAsia" w:ascii="Times New Roman" w:hAnsi="Times New Roman"/>
                <w:color w:val="auto"/>
                <w:sz w:val="24"/>
                <w:szCs w:val="24"/>
                <w:highlight w:val="none"/>
              </w:rPr>
              <w:t>因此，项目所在评价区域为不达标区</w:t>
            </w:r>
            <w:r>
              <w:rPr>
                <w:rFonts w:hint="eastAsia" w:ascii="Times New Roman"/>
                <w:color w:val="auto"/>
                <w:sz w:val="24"/>
                <w:szCs w:val="21"/>
              </w:rPr>
              <w:t>。</w:t>
            </w:r>
          </w:p>
          <w:p w14:paraId="4B95852E">
            <w:pPr>
              <w:keepNext w:val="0"/>
              <w:keepLines w:val="0"/>
              <w:suppressLineNumbers w:val="0"/>
              <w:spacing w:before="0" w:beforeAutospacing="0" w:after="0" w:afterAutospacing="0" w:line="360" w:lineRule="auto"/>
              <w:ind w:left="0" w:right="0" w:firstLine="480" w:firstLineChars="200"/>
              <w:rPr>
                <w:rFonts w:hint="default" w:ascii="Times New Roman"/>
                <w:color w:val="auto"/>
                <w:sz w:val="24"/>
                <w:szCs w:val="21"/>
              </w:rPr>
            </w:pPr>
            <w:r>
              <w:rPr>
                <w:rFonts w:hint="eastAsia" w:ascii="Times New Roman"/>
                <w:color w:val="auto"/>
                <w:sz w:val="24"/>
                <w:szCs w:val="21"/>
              </w:rPr>
              <w:t>为加强大气污染防治工作，持续改善环境空气质量，淮南市通过集中专项整治“小散乱污”企业、企业清洁生产技术改造、小锅炉升级改造、燃煤机组超低排放改造，整治散装物料堆场，督促企业完成挥发性有机物整改任务，强化建筑施工扬尘监管，加强道路扬尘清理、责令餐饮油烟单位安装油烟净化装置，取缔室外露天烧烤点，开展秸秆禁烧，淘汰黄标车，禁限放烟花爆竹等措施改善环境空气质量。</w:t>
            </w:r>
          </w:p>
          <w:p w14:paraId="67747917">
            <w:pPr>
              <w:keepNext w:val="0"/>
              <w:keepLines w:val="0"/>
              <w:suppressLineNumbers w:val="0"/>
              <w:adjustRightInd w:val="0"/>
              <w:spacing w:before="0" w:beforeAutospacing="0" w:after="0" w:afterAutospacing="0" w:line="360" w:lineRule="auto"/>
              <w:ind w:left="0" w:right="0" w:firstLine="480" w:firstLineChars="200"/>
              <w:jc w:val="left"/>
              <w:rPr>
                <w:rFonts w:hint="default" w:hAnsi="宋体"/>
                <w:color w:val="auto"/>
                <w:sz w:val="24"/>
              </w:rPr>
            </w:pPr>
            <w:r>
              <w:rPr>
                <w:rFonts w:hint="eastAsia" w:hAnsi="宋体"/>
                <w:color w:val="auto"/>
                <w:sz w:val="24"/>
              </w:rPr>
              <w:t>（2）特征污染物环境空气质量现状</w:t>
            </w:r>
          </w:p>
          <w:p w14:paraId="42D21D2E">
            <w:pPr>
              <w:keepNext w:val="0"/>
              <w:keepLines w:val="0"/>
              <w:suppressLineNumbers w:val="0"/>
              <w:spacing w:before="0" w:beforeAutospacing="0" w:after="0" w:afterAutospacing="0" w:line="360" w:lineRule="auto"/>
              <w:ind w:left="0" w:right="0" w:firstLine="480" w:firstLineChars="200"/>
              <w:rPr>
                <w:rFonts w:hint="default"/>
                <w:color w:val="auto"/>
                <w:sz w:val="24"/>
                <w:szCs w:val="24"/>
              </w:rPr>
            </w:pPr>
            <w:r>
              <w:rPr>
                <w:rFonts w:hint="eastAsia"/>
                <w:color w:val="auto"/>
                <w:sz w:val="24"/>
                <w:szCs w:val="24"/>
                <w:lang w:val="en-US" w:eastAsia="zh-CN"/>
              </w:rPr>
              <w:t>本</w:t>
            </w:r>
            <w:r>
              <w:rPr>
                <w:rFonts w:hint="eastAsia"/>
                <w:color w:val="auto"/>
                <w:sz w:val="24"/>
                <w:szCs w:val="24"/>
              </w:rPr>
              <w:t>项目生产过程产生的特征污染物为非甲烷总烃</w:t>
            </w:r>
            <w:r>
              <w:rPr>
                <w:rFonts w:hint="eastAsia"/>
                <w:color w:val="auto"/>
                <w:sz w:val="24"/>
                <w:szCs w:val="24"/>
                <w:lang w:val="en-US" w:eastAsia="zh-CN"/>
              </w:rPr>
              <w:t>、苯、甲苯</w:t>
            </w:r>
            <w:r>
              <w:rPr>
                <w:rFonts w:hint="eastAsia"/>
                <w:color w:val="auto"/>
                <w:sz w:val="24"/>
                <w:szCs w:val="24"/>
              </w:rPr>
              <w:t>、</w:t>
            </w:r>
            <w:r>
              <w:rPr>
                <w:rFonts w:hint="eastAsia"/>
                <w:color w:val="auto"/>
                <w:sz w:val="24"/>
                <w:szCs w:val="24"/>
                <w:lang w:val="en-US" w:eastAsia="zh-CN"/>
              </w:rPr>
              <w:t>乙苯、二甲苯、苯乙烯、臭气浓度</w:t>
            </w:r>
            <w:r>
              <w:rPr>
                <w:rFonts w:hint="eastAsia"/>
                <w:color w:val="auto"/>
                <w:kern w:val="0"/>
                <w:sz w:val="24"/>
                <w:szCs w:val="24"/>
                <w:lang w:val="en-US" w:eastAsia="zh-CN"/>
              </w:rPr>
              <w:t>及</w:t>
            </w:r>
            <w:r>
              <w:rPr>
                <w:rFonts w:hint="eastAsia"/>
                <w:color w:val="auto"/>
                <w:sz w:val="24"/>
                <w:szCs w:val="24"/>
              </w:rPr>
              <w:t>TSP，《环境空气质量标准》（GB3095-20</w:t>
            </w:r>
            <w:r>
              <w:rPr>
                <w:rFonts w:hint="eastAsia"/>
                <w:color w:val="auto"/>
                <w:sz w:val="24"/>
                <w:szCs w:val="24"/>
                <w:lang w:val="en-US" w:eastAsia="zh-CN"/>
              </w:rPr>
              <w:t>26</w:t>
            </w:r>
            <w:r>
              <w:rPr>
                <w:rFonts w:hint="eastAsia"/>
                <w:color w:val="auto"/>
                <w:sz w:val="24"/>
                <w:szCs w:val="24"/>
              </w:rPr>
              <w:t>）中未涉及非甲烷总烃</w:t>
            </w:r>
            <w:r>
              <w:rPr>
                <w:rFonts w:hint="eastAsia"/>
                <w:color w:val="auto"/>
                <w:sz w:val="24"/>
                <w:szCs w:val="24"/>
                <w:lang w:val="en-US" w:eastAsia="zh-CN"/>
              </w:rPr>
              <w:t>、苯、甲苯</w:t>
            </w:r>
            <w:r>
              <w:rPr>
                <w:rFonts w:hint="eastAsia"/>
                <w:color w:val="auto"/>
                <w:sz w:val="24"/>
                <w:szCs w:val="24"/>
              </w:rPr>
              <w:t>、</w:t>
            </w:r>
            <w:r>
              <w:rPr>
                <w:rFonts w:hint="eastAsia"/>
                <w:color w:val="auto"/>
                <w:sz w:val="24"/>
                <w:szCs w:val="24"/>
                <w:lang w:val="en-US" w:eastAsia="zh-CN"/>
              </w:rPr>
              <w:t>二甲苯、乙苯、苯乙烯、臭气浓度</w:t>
            </w:r>
            <w:r>
              <w:rPr>
                <w:rFonts w:hint="eastAsia"/>
                <w:color w:val="auto"/>
                <w:sz w:val="24"/>
                <w:szCs w:val="24"/>
              </w:rPr>
              <w:t>相应的标准值。根据全国环评技术评估服务咨询平台解答内容技术指南中提到“排放国家、地方环境空气质量标准中有标准限值要求的特征污染物，其中环境空气质量标准指《环境空气质量标准》（GB3095）和地方的环境空气质量标准，不包括《环境影响评价技术导则大气环境》（HJ2.2-2018）附录D</w:t>
            </w:r>
            <w:r>
              <w:rPr>
                <w:rFonts w:hint="eastAsia"/>
                <w:color w:val="auto"/>
                <w:sz w:val="24"/>
                <w:szCs w:val="24"/>
                <w:lang w:eastAsia="zh-CN"/>
              </w:rPr>
              <w:t>、</w:t>
            </w:r>
            <w:r>
              <w:rPr>
                <w:rFonts w:hint="eastAsia"/>
                <w:color w:val="auto"/>
                <w:sz w:val="24"/>
                <w:szCs w:val="24"/>
              </w:rPr>
              <w:t>《工业企业设计卫生标准》（TJ36-97）、《前苏联居住区标准》（CH245-71）、《环境影响评价技术导则</w:t>
            </w:r>
            <w:r>
              <w:rPr>
                <w:rFonts w:hint="eastAsia"/>
                <w:color w:val="auto"/>
                <w:sz w:val="24"/>
                <w:szCs w:val="24"/>
                <w:lang w:val="en-US" w:eastAsia="zh-CN"/>
              </w:rPr>
              <w:t xml:space="preserve"> </w:t>
            </w:r>
            <w:r>
              <w:rPr>
                <w:rFonts w:hint="eastAsia"/>
                <w:color w:val="auto"/>
                <w:sz w:val="24"/>
                <w:szCs w:val="24"/>
              </w:rPr>
              <w:t>制药建设项目》（HJ611-2011）、《大气污染物综合排放标准详解》等导则或参考资料。排放的特征污染物需要在国家、地方环境空气质量标准中有限值要求才涉及现状监测，且优先引用现有监测数据。”因此，本项目不需要对大气特征污染物非甲烷总烃</w:t>
            </w:r>
            <w:r>
              <w:rPr>
                <w:rFonts w:hint="eastAsia"/>
                <w:color w:val="auto"/>
                <w:sz w:val="24"/>
                <w:szCs w:val="24"/>
                <w:lang w:val="en-US" w:eastAsia="zh-CN"/>
              </w:rPr>
              <w:t>、苯、甲苯</w:t>
            </w:r>
            <w:r>
              <w:rPr>
                <w:rFonts w:hint="eastAsia"/>
                <w:color w:val="auto"/>
                <w:sz w:val="24"/>
                <w:szCs w:val="24"/>
              </w:rPr>
              <w:t>、</w:t>
            </w:r>
            <w:r>
              <w:rPr>
                <w:rFonts w:hint="eastAsia"/>
                <w:color w:val="auto"/>
                <w:sz w:val="24"/>
                <w:szCs w:val="24"/>
                <w:lang w:val="en-US" w:eastAsia="zh-CN"/>
              </w:rPr>
              <w:t>二甲苯、乙苯、苯乙烯及臭气浓度</w:t>
            </w:r>
            <w:r>
              <w:rPr>
                <w:rFonts w:hint="eastAsia"/>
                <w:color w:val="auto"/>
                <w:sz w:val="24"/>
                <w:szCs w:val="24"/>
              </w:rPr>
              <w:t>相应的标准值进行现状监测。</w:t>
            </w:r>
          </w:p>
          <w:p w14:paraId="206DE767">
            <w:pPr>
              <w:keepNext w:val="0"/>
              <w:keepLines w:val="0"/>
              <w:suppressLineNumbers w:val="0"/>
              <w:spacing w:before="0" w:beforeAutospacing="0" w:after="0" w:afterAutospacing="0" w:line="360" w:lineRule="auto"/>
              <w:ind w:left="0" w:right="0" w:firstLine="480" w:firstLineChars="200"/>
              <w:rPr>
                <w:rFonts w:hint="eastAsia" w:ascii="Times New Roman" w:hAnsi="宋体"/>
                <w:color w:val="auto"/>
                <w:sz w:val="24"/>
                <w:szCs w:val="24"/>
              </w:rPr>
            </w:pPr>
            <w:r>
              <w:rPr>
                <w:rFonts w:hint="default" w:ascii="Times New Roman"/>
                <w:color w:val="auto"/>
                <w:sz w:val="24"/>
                <w:szCs w:val="24"/>
              </w:rPr>
              <w:t>与本项目有关的其他大气污染物为</w:t>
            </w:r>
            <w:r>
              <w:rPr>
                <w:rFonts w:hint="eastAsia" w:ascii="Times New Roman"/>
                <w:color w:val="auto"/>
                <w:sz w:val="24"/>
                <w:szCs w:val="24"/>
              </w:rPr>
              <w:t>TSP</w:t>
            </w:r>
            <w:r>
              <w:rPr>
                <w:rFonts w:hint="default" w:ascii="Times New Roman"/>
                <w:color w:val="auto"/>
                <w:sz w:val="24"/>
                <w:szCs w:val="24"/>
              </w:rPr>
              <w:t>，为了解区域环境空气质量现状</w:t>
            </w:r>
            <w:r>
              <w:rPr>
                <w:rFonts w:hint="eastAsia" w:ascii="Times New Roman"/>
                <w:color w:val="auto"/>
                <w:sz w:val="24"/>
                <w:szCs w:val="24"/>
              </w:rPr>
              <w:t>，评价数据引用</w:t>
            </w:r>
            <w:r>
              <w:rPr>
                <w:rFonts w:hint="default" w:ascii="Times New Roman"/>
                <w:color w:val="auto"/>
                <w:sz w:val="24"/>
                <w:szCs w:val="24"/>
              </w:rPr>
              <w:t>《安徽凤台经济开发区总体发展规划（2024-2035年）（调区）环境影响报告书》</w:t>
            </w:r>
            <w:r>
              <w:rPr>
                <w:rFonts w:hint="eastAsia" w:ascii="Times New Roman"/>
                <w:color w:val="auto"/>
                <w:sz w:val="24"/>
                <w:szCs w:val="24"/>
              </w:rPr>
              <w:t>中的监测数据，监测时间为</w:t>
            </w:r>
            <w:r>
              <w:rPr>
                <w:rFonts w:hint="default" w:ascii="Times New Roman"/>
                <w:color w:val="auto"/>
                <w:sz w:val="24"/>
                <w:szCs w:val="24"/>
              </w:rPr>
              <w:t>202</w:t>
            </w:r>
            <w:r>
              <w:rPr>
                <w:rFonts w:hint="eastAsia" w:ascii="Times New Roman"/>
                <w:color w:val="auto"/>
                <w:sz w:val="24"/>
                <w:szCs w:val="24"/>
              </w:rPr>
              <w:t>3年10月20日-10月26日，引用监测点</w:t>
            </w:r>
            <w:r>
              <w:rPr>
                <w:rFonts w:hint="default" w:ascii="Times New Roman"/>
                <w:color w:val="auto"/>
                <w:sz w:val="24"/>
                <w:szCs w:val="24"/>
              </w:rPr>
              <w:t>凤凰湖片区内现有彭</w:t>
            </w:r>
            <w:r>
              <w:rPr>
                <w:rFonts w:hint="eastAsia" w:ascii="Times New Roman"/>
                <w:color w:val="auto"/>
                <w:sz w:val="24"/>
                <w:szCs w:val="24"/>
              </w:rPr>
              <w:t>伍</w:t>
            </w:r>
            <w:r>
              <w:rPr>
                <w:rFonts w:hint="default" w:ascii="Times New Roman"/>
                <w:color w:val="auto"/>
                <w:sz w:val="24"/>
                <w:szCs w:val="24"/>
              </w:rPr>
              <w:t>村居民区</w:t>
            </w:r>
            <w:r>
              <w:rPr>
                <w:rFonts w:hint="eastAsia" w:ascii="Times New Roman"/>
                <w:color w:val="auto"/>
                <w:sz w:val="24"/>
                <w:szCs w:val="24"/>
              </w:rPr>
              <w:t>位于本项目所在地西侧约</w:t>
            </w:r>
            <w:r>
              <w:rPr>
                <w:rFonts w:hint="eastAsia"/>
                <w:color w:val="auto"/>
                <w:sz w:val="24"/>
                <w:szCs w:val="24"/>
                <w:lang w:val="en-US" w:eastAsia="zh-CN"/>
              </w:rPr>
              <w:t>4.0</w:t>
            </w:r>
            <w:r>
              <w:rPr>
                <w:rFonts w:hint="default" w:ascii="Times New Roman"/>
                <w:color w:val="auto"/>
                <w:sz w:val="24"/>
                <w:szCs w:val="24"/>
              </w:rPr>
              <w:t>km</w:t>
            </w:r>
            <w:r>
              <w:rPr>
                <w:rFonts w:hint="eastAsia" w:ascii="Times New Roman"/>
                <w:color w:val="auto"/>
                <w:sz w:val="24"/>
                <w:szCs w:val="24"/>
              </w:rPr>
              <w:t>。属于本项目周边</w:t>
            </w:r>
            <w:r>
              <w:rPr>
                <w:rFonts w:hint="default" w:ascii="Times New Roman"/>
                <w:color w:val="auto"/>
                <w:sz w:val="24"/>
                <w:szCs w:val="24"/>
              </w:rPr>
              <w:t>5</w:t>
            </w:r>
            <w:r>
              <w:rPr>
                <w:rFonts w:hint="eastAsia" w:ascii="Times New Roman"/>
                <w:color w:val="auto"/>
                <w:sz w:val="24"/>
                <w:szCs w:val="24"/>
              </w:rPr>
              <w:t>千米范围内近</w:t>
            </w:r>
            <w:r>
              <w:rPr>
                <w:rFonts w:hint="default" w:ascii="Times New Roman"/>
                <w:color w:val="auto"/>
                <w:sz w:val="24"/>
                <w:szCs w:val="24"/>
              </w:rPr>
              <w:t>3</w:t>
            </w:r>
            <w:r>
              <w:rPr>
                <w:rFonts w:hint="eastAsia" w:ascii="Times New Roman"/>
                <w:color w:val="auto"/>
                <w:sz w:val="24"/>
                <w:szCs w:val="24"/>
              </w:rPr>
              <w:t>年的现有监测数据，数据引用符合规定。项目与引用监测点位置关系图</w:t>
            </w:r>
            <w:r>
              <w:rPr>
                <w:rFonts w:hint="eastAsia"/>
                <w:color w:val="auto"/>
                <w:sz w:val="24"/>
                <w:szCs w:val="24"/>
                <w:lang w:val="en-US" w:eastAsia="zh-CN"/>
              </w:rPr>
              <w:t>如下图3-1</w:t>
            </w:r>
            <w:r>
              <w:rPr>
                <w:rFonts w:hint="eastAsia" w:ascii="Times New Roman"/>
                <w:color w:val="auto"/>
                <w:sz w:val="24"/>
                <w:szCs w:val="24"/>
              </w:rPr>
              <w:t>，</w:t>
            </w:r>
            <w:r>
              <w:rPr>
                <w:rFonts w:hint="eastAsia" w:ascii="Times New Roman" w:hAnsi="宋体"/>
                <w:color w:val="auto"/>
                <w:sz w:val="24"/>
                <w:szCs w:val="24"/>
              </w:rPr>
              <w:t>监测结果统计见下表：</w:t>
            </w:r>
          </w:p>
          <w:p w14:paraId="139D64C4">
            <w:pPr>
              <w:keepNext w:val="0"/>
              <w:keepLines w:val="0"/>
              <w:suppressLineNumbers w:val="0"/>
              <w:spacing w:before="0" w:beforeAutospacing="0" w:after="0" w:afterAutospacing="0"/>
              <w:ind w:left="0" w:right="0"/>
              <w:rPr>
                <w:rFonts w:hint="eastAsia"/>
              </w:rPr>
            </w:pPr>
          </w:p>
          <w:p w14:paraId="2AACEA65">
            <w:pPr>
              <w:keepNext w:val="0"/>
              <w:keepLines w:val="0"/>
              <w:suppressLineNumbers w:val="0"/>
              <w:spacing w:before="0" w:beforeAutospacing="0" w:after="0" w:afterAutospacing="0"/>
              <w:ind w:left="0" w:right="0"/>
              <w:rPr>
                <w:rFonts w:hint="eastAsia"/>
              </w:rPr>
            </w:pPr>
          </w:p>
          <w:p w14:paraId="0C8256AE">
            <w:pPr>
              <w:keepNext w:val="0"/>
              <w:keepLines w:val="0"/>
              <w:suppressLineNumbers w:val="0"/>
              <w:spacing w:before="0" w:beforeAutospacing="0" w:after="0" w:afterAutospacing="0"/>
              <w:ind w:left="0" w:right="0"/>
              <w:rPr>
                <w:rFonts w:hint="eastAsia"/>
              </w:rPr>
            </w:pPr>
          </w:p>
          <w:p w14:paraId="7D84BA13">
            <w:pPr>
              <w:keepNext w:val="0"/>
              <w:keepLines w:val="0"/>
              <w:suppressLineNumbers w:val="0"/>
              <w:spacing w:before="0" w:beforeAutospacing="0" w:after="0" w:afterAutospacing="0"/>
              <w:ind w:left="0" w:right="0"/>
              <w:rPr>
                <w:rFonts w:hint="eastAsia"/>
              </w:rPr>
            </w:pPr>
          </w:p>
          <w:p w14:paraId="5E4F9D38">
            <w:pPr>
              <w:keepNext w:val="0"/>
              <w:keepLines w:val="0"/>
              <w:suppressLineNumbers w:val="0"/>
              <w:spacing w:before="0" w:beforeAutospacing="0" w:after="0" w:afterAutospacing="0"/>
              <w:ind w:left="0" w:right="0"/>
              <w:rPr>
                <w:rFonts w:hint="eastAsia"/>
              </w:rPr>
            </w:pPr>
          </w:p>
          <w:p w14:paraId="07ABD27C">
            <w:pPr>
              <w:keepNext w:val="0"/>
              <w:keepLines w:val="0"/>
              <w:suppressLineNumbers w:val="0"/>
              <w:wordWrap w:val="0"/>
              <w:spacing w:before="0" w:beforeAutospacing="0" w:after="0" w:afterAutospacing="0" w:line="360" w:lineRule="auto"/>
              <w:ind w:left="0" w:right="0"/>
              <w:jc w:val="center"/>
              <w:rPr>
                <w:rFonts w:hint="default" w:ascii="Times New Roman" w:hAnsi="黑体" w:eastAsia="黑体"/>
                <w:color w:val="auto"/>
                <w:kern w:val="0"/>
                <w:sz w:val="24"/>
                <w:szCs w:val="24"/>
              </w:rPr>
            </w:pPr>
            <w:r>
              <w:rPr>
                <w:rFonts w:hint="default" w:ascii="Times New Roman" w:hAnsi="黑体" w:eastAsia="黑体"/>
                <w:color w:val="auto"/>
                <w:kern w:val="0"/>
                <w:sz w:val="24"/>
                <w:szCs w:val="24"/>
              </w:rPr>
              <w:t>表</w:t>
            </w:r>
            <w:r>
              <w:rPr>
                <w:rFonts w:hint="default" w:ascii="Times New Roman" w:hAnsi="Times New Roman" w:eastAsia="黑体"/>
                <w:color w:val="auto"/>
                <w:kern w:val="0"/>
                <w:sz w:val="24"/>
                <w:szCs w:val="24"/>
              </w:rPr>
              <w:t>3-</w:t>
            </w:r>
            <w:r>
              <w:rPr>
                <w:rFonts w:hint="eastAsia" w:ascii="Times New Roman" w:hAnsi="Times New Roman" w:eastAsia="黑体"/>
                <w:color w:val="auto"/>
                <w:kern w:val="0"/>
                <w:sz w:val="24"/>
                <w:szCs w:val="24"/>
              </w:rPr>
              <w:t xml:space="preserve">2  </w:t>
            </w:r>
            <w:r>
              <w:rPr>
                <w:rFonts w:hint="default" w:ascii="Times New Roman" w:hAnsi="Times New Roman" w:eastAsia="黑体"/>
                <w:color w:val="auto"/>
                <w:kern w:val="0"/>
                <w:sz w:val="24"/>
                <w:szCs w:val="24"/>
              </w:rPr>
              <w:t>其他污染物</w:t>
            </w:r>
            <w:r>
              <w:rPr>
                <w:rFonts w:hint="default" w:ascii="Times New Roman" w:hAnsi="黑体" w:eastAsia="黑体"/>
                <w:color w:val="auto"/>
                <w:kern w:val="0"/>
                <w:sz w:val="24"/>
                <w:szCs w:val="24"/>
              </w:rPr>
              <w:t>监测</w:t>
            </w:r>
            <w:r>
              <w:rPr>
                <w:rFonts w:hint="eastAsia" w:ascii="Times New Roman" w:hAnsi="黑体" w:eastAsia="黑体"/>
                <w:color w:val="auto"/>
                <w:kern w:val="0"/>
                <w:sz w:val="24"/>
                <w:szCs w:val="24"/>
              </w:rPr>
              <w:t>结果一览表</w:t>
            </w:r>
          </w:p>
          <w:tbl>
            <w:tblPr>
              <w:tblStyle w:val="37"/>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93"/>
              <w:gridCol w:w="1538"/>
              <w:gridCol w:w="850"/>
              <w:gridCol w:w="993"/>
              <w:gridCol w:w="1275"/>
              <w:gridCol w:w="1276"/>
              <w:gridCol w:w="793"/>
            </w:tblGrid>
            <w:tr w14:paraId="7348B5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0" w:type="auto"/>
                  <w:vMerge w:val="restart"/>
                  <w:noWrap w:val="0"/>
                  <w:vAlign w:val="center"/>
                </w:tcPr>
                <w:p w14:paraId="092EA0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b/>
                      <w:bCs/>
                      <w:color w:val="auto"/>
                      <w:sz w:val="21"/>
                      <w:szCs w:val="21"/>
                    </w:rPr>
                  </w:pPr>
                  <w:r>
                    <w:rPr>
                      <w:rFonts w:hint="default" w:ascii="Times New Roman" w:hAnsi="Times New Roman"/>
                      <w:b/>
                      <w:bCs/>
                      <w:color w:val="auto"/>
                      <w:sz w:val="21"/>
                      <w:szCs w:val="21"/>
                    </w:rPr>
                    <w:t>监测点</w:t>
                  </w:r>
                </w:p>
              </w:tc>
              <w:tc>
                <w:tcPr>
                  <w:tcW w:w="1538" w:type="dxa"/>
                  <w:vMerge w:val="restart"/>
                  <w:noWrap w:val="0"/>
                  <w:vAlign w:val="center"/>
                </w:tcPr>
                <w:p w14:paraId="34D8B44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b/>
                      <w:bCs/>
                      <w:color w:val="auto"/>
                      <w:sz w:val="21"/>
                      <w:szCs w:val="21"/>
                    </w:rPr>
                  </w:pPr>
                  <w:r>
                    <w:rPr>
                      <w:rFonts w:hint="default" w:ascii="Times New Roman" w:hAnsi="Times New Roman"/>
                      <w:b/>
                      <w:bCs/>
                      <w:color w:val="auto"/>
                      <w:sz w:val="21"/>
                      <w:szCs w:val="21"/>
                    </w:rPr>
                    <w:t>污染物</w:t>
                  </w:r>
                </w:p>
              </w:tc>
              <w:tc>
                <w:tcPr>
                  <w:tcW w:w="4394" w:type="dxa"/>
                  <w:gridSpan w:val="4"/>
                  <w:noWrap w:val="0"/>
                  <w:vAlign w:val="center"/>
                </w:tcPr>
                <w:p w14:paraId="7602996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b/>
                      <w:bCs/>
                      <w:color w:val="auto"/>
                      <w:sz w:val="21"/>
                      <w:szCs w:val="21"/>
                    </w:rPr>
                  </w:pPr>
                  <w:r>
                    <w:rPr>
                      <w:rFonts w:hint="default" w:ascii="Times New Roman" w:hAnsi="Times New Roman"/>
                      <w:b/>
                      <w:bCs/>
                      <w:color w:val="auto"/>
                      <w:sz w:val="21"/>
                      <w:szCs w:val="21"/>
                    </w:rPr>
                    <w:t>浓度值</w:t>
                  </w:r>
                </w:p>
              </w:tc>
              <w:tc>
                <w:tcPr>
                  <w:tcW w:w="793" w:type="dxa"/>
                  <w:vMerge w:val="restart"/>
                  <w:noWrap w:val="0"/>
                  <w:vAlign w:val="center"/>
                </w:tcPr>
                <w:p w14:paraId="08663DA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b/>
                      <w:bCs/>
                      <w:color w:val="auto"/>
                      <w:sz w:val="21"/>
                      <w:szCs w:val="21"/>
                    </w:rPr>
                  </w:pPr>
                  <w:r>
                    <w:rPr>
                      <w:rFonts w:hint="default" w:ascii="Times New Roman" w:hAnsi="Times New Roman"/>
                      <w:b/>
                      <w:bCs/>
                      <w:color w:val="auto"/>
                      <w:sz w:val="21"/>
                      <w:szCs w:val="21"/>
                    </w:rPr>
                    <w:t>达标情况</w:t>
                  </w:r>
                </w:p>
              </w:tc>
            </w:tr>
            <w:tr w14:paraId="6585C5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0" w:type="auto"/>
                  <w:vMerge w:val="continue"/>
                  <w:noWrap w:val="0"/>
                  <w:vAlign w:val="center"/>
                </w:tcPr>
                <w:p w14:paraId="765F9C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b/>
                      <w:bCs/>
                      <w:color w:val="auto"/>
                      <w:sz w:val="21"/>
                      <w:szCs w:val="21"/>
                    </w:rPr>
                  </w:pPr>
                </w:p>
              </w:tc>
              <w:tc>
                <w:tcPr>
                  <w:tcW w:w="1538" w:type="dxa"/>
                  <w:vMerge w:val="continue"/>
                  <w:noWrap w:val="0"/>
                  <w:vAlign w:val="center"/>
                </w:tcPr>
                <w:p w14:paraId="409DC1E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b/>
                      <w:bCs/>
                      <w:color w:val="auto"/>
                      <w:sz w:val="21"/>
                      <w:szCs w:val="21"/>
                    </w:rPr>
                  </w:pPr>
                </w:p>
              </w:tc>
              <w:tc>
                <w:tcPr>
                  <w:tcW w:w="1843" w:type="dxa"/>
                  <w:gridSpan w:val="2"/>
                  <w:noWrap w:val="0"/>
                  <w:vAlign w:val="center"/>
                </w:tcPr>
                <w:p w14:paraId="0CA3B88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b/>
                      <w:bCs/>
                      <w:color w:val="auto"/>
                      <w:sz w:val="21"/>
                      <w:szCs w:val="21"/>
                    </w:rPr>
                  </w:pPr>
                  <w:r>
                    <w:rPr>
                      <w:rFonts w:hint="default" w:ascii="Times New Roman" w:hAnsi="Times New Roman"/>
                      <w:b/>
                      <w:bCs/>
                      <w:color w:val="auto"/>
                      <w:sz w:val="21"/>
                      <w:szCs w:val="21"/>
                    </w:rPr>
                    <w:t>浓度范围（μg/m</w:t>
                  </w:r>
                  <w:r>
                    <w:rPr>
                      <w:rFonts w:hint="default" w:ascii="Times New Roman" w:hAnsi="Times New Roman"/>
                      <w:b/>
                      <w:bCs/>
                      <w:color w:val="auto"/>
                      <w:sz w:val="21"/>
                      <w:szCs w:val="21"/>
                      <w:vertAlign w:val="superscript"/>
                    </w:rPr>
                    <w:t>3</w:t>
                  </w:r>
                  <w:r>
                    <w:rPr>
                      <w:rFonts w:hint="default" w:ascii="Times New Roman" w:hAnsi="Times New Roman"/>
                      <w:b/>
                      <w:bCs/>
                      <w:color w:val="auto"/>
                      <w:sz w:val="21"/>
                      <w:szCs w:val="21"/>
                    </w:rPr>
                    <w:t>）</w:t>
                  </w:r>
                </w:p>
              </w:tc>
              <w:tc>
                <w:tcPr>
                  <w:tcW w:w="1275" w:type="dxa"/>
                  <w:vMerge w:val="restart"/>
                  <w:noWrap w:val="0"/>
                  <w:vAlign w:val="center"/>
                </w:tcPr>
                <w:p w14:paraId="448E0C9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b/>
                      <w:bCs/>
                      <w:color w:val="auto"/>
                      <w:sz w:val="21"/>
                      <w:szCs w:val="21"/>
                    </w:rPr>
                  </w:pPr>
                  <w:r>
                    <w:rPr>
                      <w:rFonts w:hint="default" w:ascii="Times New Roman" w:hAnsi="Times New Roman"/>
                      <w:b/>
                      <w:bCs/>
                      <w:color w:val="auto"/>
                      <w:sz w:val="21"/>
                      <w:szCs w:val="21"/>
                    </w:rPr>
                    <w:t>最大占标率（%）</w:t>
                  </w:r>
                </w:p>
              </w:tc>
              <w:tc>
                <w:tcPr>
                  <w:tcW w:w="1276" w:type="dxa"/>
                  <w:vMerge w:val="restart"/>
                  <w:noWrap w:val="0"/>
                  <w:vAlign w:val="center"/>
                </w:tcPr>
                <w:p w14:paraId="1B6552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b/>
                      <w:bCs/>
                      <w:color w:val="auto"/>
                      <w:sz w:val="21"/>
                      <w:szCs w:val="21"/>
                    </w:rPr>
                  </w:pPr>
                  <w:r>
                    <w:rPr>
                      <w:rFonts w:hint="default" w:ascii="Times New Roman" w:hAnsi="Times New Roman"/>
                      <w:b/>
                      <w:bCs/>
                      <w:color w:val="auto"/>
                      <w:sz w:val="21"/>
                      <w:szCs w:val="21"/>
                    </w:rPr>
                    <w:t>超标率（%）</w:t>
                  </w:r>
                </w:p>
              </w:tc>
              <w:tc>
                <w:tcPr>
                  <w:tcW w:w="793" w:type="dxa"/>
                  <w:vMerge w:val="continue"/>
                  <w:noWrap w:val="0"/>
                  <w:vAlign w:val="center"/>
                </w:tcPr>
                <w:p w14:paraId="7AAAD4B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b/>
                      <w:bCs/>
                      <w:color w:val="auto"/>
                      <w:sz w:val="21"/>
                      <w:szCs w:val="21"/>
                    </w:rPr>
                  </w:pPr>
                </w:p>
              </w:tc>
            </w:tr>
            <w:tr w14:paraId="3EFE51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0" w:type="auto"/>
                  <w:vMerge w:val="continue"/>
                  <w:noWrap w:val="0"/>
                  <w:vAlign w:val="center"/>
                </w:tcPr>
                <w:p w14:paraId="7107B0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b/>
                      <w:bCs/>
                      <w:color w:val="auto"/>
                      <w:sz w:val="21"/>
                      <w:szCs w:val="21"/>
                    </w:rPr>
                  </w:pPr>
                </w:p>
              </w:tc>
              <w:tc>
                <w:tcPr>
                  <w:tcW w:w="1538" w:type="dxa"/>
                  <w:vMerge w:val="continue"/>
                  <w:noWrap w:val="0"/>
                  <w:vAlign w:val="center"/>
                </w:tcPr>
                <w:p w14:paraId="5AD67D0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b/>
                      <w:bCs/>
                      <w:color w:val="auto"/>
                      <w:sz w:val="21"/>
                      <w:szCs w:val="21"/>
                    </w:rPr>
                  </w:pPr>
                </w:p>
              </w:tc>
              <w:tc>
                <w:tcPr>
                  <w:tcW w:w="850" w:type="dxa"/>
                  <w:noWrap w:val="0"/>
                  <w:vAlign w:val="center"/>
                </w:tcPr>
                <w:p w14:paraId="6C2C98E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b/>
                      <w:bCs/>
                      <w:color w:val="auto"/>
                      <w:sz w:val="21"/>
                      <w:szCs w:val="21"/>
                    </w:rPr>
                  </w:pPr>
                  <w:r>
                    <w:rPr>
                      <w:rFonts w:hint="default" w:ascii="Times New Roman" w:hAnsi="Times New Roman"/>
                      <w:b/>
                      <w:bCs/>
                      <w:color w:val="auto"/>
                      <w:sz w:val="21"/>
                      <w:szCs w:val="21"/>
                    </w:rPr>
                    <w:t>最小值</w:t>
                  </w:r>
                </w:p>
              </w:tc>
              <w:tc>
                <w:tcPr>
                  <w:tcW w:w="993" w:type="dxa"/>
                  <w:noWrap w:val="0"/>
                  <w:vAlign w:val="center"/>
                </w:tcPr>
                <w:p w14:paraId="244ADA4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b/>
                      <w:bCs/>
                      <w:color w:val="auto"/>
                      <w:sz w:val="21"/>
                      <w:szCs w:val="21"/>
                    </w:rPr>
                  </w:pPr>
                  <w:r>
                    <w:rPr>
                      <w:rFonts w:hint="default" w:ascii="Times New Roman" w:hAnsi="Times New Roman"/>
                      <w:b/>
                      <w:bCs/>
                      <w:color w:val="auto"/>
                      <w:sz w:val="21"/>
                      <w:szCs w:val="21"/>
                    </w:rPr>
                    <w:t>最大值</w:t>
                  </w:r>
                </w:p>
              </w:tc>
              <w:tc>
                <w:tcPr>
                  <w:tcW w:w="1275" w:type="dxa"/>
                  <w:vMerge w:val="continue"/>
                  <w:noWrap w:val="0"/>
                  <w:vAlign w:val="center"/>
                </w:tcPr>
                <w:p w14:paraId="73F1490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b/>
                      <w:bCs/>
                      <w:color w:val="auto"/>
                      <w:sz w:val="21"/>
                      <w:szCs w:val="21"/>
                    </w:rPr>
                  </w:pPr>
                </w:p>
              </w:tc>
              <w:tc>
                <w:tcPr>
                  <w:tcW w:w="1276" w:type="dxa"/>
                  <w:vMerge w:val="continue"/>
                  <w:noWrap w:val="0"/>
                  <w:vAlign w:val="center"/>
                </w:tcPr>
                <w:p w14:paraId="221BE1D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b/>
                      <w:bCs/>
                      <w:color w:val="auto"/>
                      <w:sz w:val="21"/>
                      <w:szCs w:val="21"/>
                    </w:rPr>
                  </w:pPr>
                </w:p>
              </w:tc>
              <w:tc>
                <w:tcPr>
                  <w:tcW w:w="793" w:type="dxa"/>
                  <w:vMerge w:val="continue"/>
                  <w:noWrap w:val="0"/>
                  <w:vAlign w:val="center"/>
                </w:tcPr>
                <w:p w14:paraId="67D4D4F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b/>
                      <w:bCs/>
                      <w:color w:val="auto"/>
                      <w:sz w:val="21"/>
                      <w:szCs w:val="21"/>
                    </w:rPr>
                  </w:pPr>
                </w:p>
              </w:tc>
            </w:tr>
            <w:tr w14:paraId="480DA3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0" w:type="auto"/>
                  <w:noWrap w:val="0"/>
                  <w:vAlign w:val="center"/>
                </w:tcPr>
                <w:p w14:paraId="318F685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color w:val="auto"/>
                      <w:sz w:val="21"/>
                      <w:szCs w:val="21"/>
                    </w:rPr>
                  </w:pPr>
                  <w:r>
                    <w:rPr>
                      <w:rFonts w:hint="default" w:ascii="Times New Roman" w:hAnsi="Times New Roman"/>
                      <w:color w:val="auto"/>
                      <w:sz w:val="21"/>
                      <w:szCs w:val="21"/>
                    </w:rPr>
                    <w:t>彭伍村居民区</w:t>
                  </w:r>
                </w:p>
              </w:tc>
              <w:tc>
                <w:tcPr>
                  <w:tcW w:w="1538" w:type="dxa"/>
                  <w:noWrap w:val="0"/>
                  <w:vAlign w:val="center"/>
                </w:tcPr>
                <w:p w14:paraId="793EE9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color w:val="auto"/>
                      <w:sz w:val="21"/>
                      <w:szCs w:val="21"/>
                    </w:rPr>
                  </w:pPr>
                  <w:r>
                    <w:rPr>
                      <w:rFonts w:hint="default" w:ascii="Times New Roman" w:hAnsi="Times New Roman"/>
                      <w:color w:val="auto"/>
                      <w:sz w:val="21"/>
                      <w:szCs w:val="21"/>
                    </w:rPr>
                    <w:t>TSP（日均值）</w:t>
                  </w:r>
                </w:p>
              </w:tc>
              <w:tc>
                <w:tcPr>
                  <w:tcW w:w="850" w:type="dxa"/>
                  <w:noWrap w:val="0"/>
                  <w:vAlign w:val="center"/>
                </w:tcPr>
                <w:p w14:paraId="52F7DD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color w:val="auto"/>
                      <w:sz w:val="21"/>
                      <w:szCs w:val="21"/>
                    </w:rPr>
                  </w:pPr>
                  <w:r>
                    <w:rPr>
                      <w:rFonts w:hint="eastAsia" w:ascii="Times New Roman" w:hAnsi="Times New Roman"/>
                      <w:color w:val="auto"/>
                      <w:sz w:val="21"/>
                      <w:szCs w:val="21"/>
                    </w:rPr>
                    <w:t>81</w:t>
                  </w:r>
                </w:p>
              </w:tc>
              <w:tc>
                <w:tcPr>
                  <w:tcW w:w="993" w:type="dxa"/>
                  <w:noWrap w:val="0"/>
                  <w:vAlign w:val="center"/>
                </w:tcPr>
                <w:p w14:paraId="1C082F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color w:val="auto"/>
                      <w:sz w:val="21"/>
                      <w:szCs w:val="21"/>
                    </w:rPr>
                  </w:pPr>
                  <w:r>
                    <w:rPr>
                      <w:rFonts w:hint="eastAsia" w:ascii="Times New Roman" w:hAnsi="Times New Roman"/>
                      <w:color w:val="auto"/>
                      <w:sz w:val="21"/>
                      <w:szCs w:val="21"/>
                    </w:rPr>
                    <w:t>88</w:t>
                  </w:r>
                </w:p>
              </w:tc>
              <w:tc>
                <w:tcPr>
                  <w:tcW w:w="1275" w:type="dxa"/>
                  <w:noWrap w:val="0"/>
                  <w:vAlign w:val="center"/>
                </w:tcPr>
                <w:p w14:paraId="589C16F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color w:val="auto"/>
                      <w:sz w:val="21"/>
                      <w:szCs w:val="21"/>
                    </w:rPr>
                  </w:pPr>
                  <w:r>
                    <w:rPr>
                      <w:rFonts w:hint="eastAsia" w:ascii="Times New Roman" w:hAnsi="Times New Roman"/>
                      <w:color w:val="auto"/>
                      <w:sz w:val="21"/>
                      <w:szCs w:val="21"/>
                    </w:rPr>
                    <w:t>29.3</w:t>
                  </w:r>
                </w:p>
              </w:tc>
              <w:tc>
                <w:tcPr>
                  <w:tcW w:w="1276" w:type="dxa"/>
                  <w:noWrap w:val="0"/>
                  <w:vAlign w:val="center"/>
                </w:tcPr>
                <w:p w14:paraId="454D977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color w:val="auto"/>
                      <w:sz w:val="21"/>
                      <w:szCs w:val="21"/>
                    </w:rPr>
                  </w:pPr>
                  <w:r>
                    <w:rPr>
                      <w:rFonts w:hint="eastAsia" w:ascii="Times New Roman" w:hAnsi="Times New Roman"/>
                      <w:color w:val="auto"/>
                      <w:sz w:val="21"/>
                      <w:szCs w:val="21"/>
                    </w:rPr>
                    <w:t>0</w:t>
                  </w:r>
                </w:p>
              </w:tc>
              <w:tc>
                <w:tcPr>
                  <w:tcW w:w="793" w:type="dxa"/>
                  <w:noWrap w:val="0"/>
                  <w:vAlign w:val="center"/>
                </w:tcPr>
                <w:p w14:paraId="7F4F37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color w:val="auto"/>
                      <w:sz w:val="21"/>
                      <w:szCs w:val="21"/>
                    </w:rPr>
                  </w:pPr>
                  <w:r>
                    <w:rPr>
                      <w:rFonts w:hint="default" w:ascii="Times New Roman" w:hAnsi="Times New Roman"/>
                      <w:color w:val="auto"/>
                      <w:sz w:val="21"/>
                      <w:szCs w:val="21"/>
                    </w:rPr>
                    <w:t>达标</w:t>
                  </w:r>
                </w:p>
              </w:tc>
            </w:tr>
          </w:tbl>
          <w:p w14:paraId="31C50868">
            <w:pPr>
              <w:keepNext w:val="0"/>
              <w:keepLines w:val="0"/>
              <w:suppressLineNumbers w:val="0"/>
              <w:spacing w:before="0" w:beforeAutospacing="0" w:after="0" w:afterAutospacing="0" w:line="360" w:lineRule="auto"/>
              <w:ind w:left="0" w:right="0" w:firstLine="420" w:firstLineChars="200"/>
              <w:rPr>
                <w:rFonts w:hint="default"/>
              </w:rPr>
            </w:pPr>
            <w:r>
              <w:rPr>
                <w:rFonts w:hint="default"/>
              </w:rPr>
              <w:drawing>
                <wp:anchor distT="0" distB="0" distL="114300" distR="114300" simplePos="0" relativeHeight="251676672" behindDoc="0" locked="0" layoutInCell="1" allowOverlap="1">
                  <wp:simplePos x="0" y="0"/>
                  <wp:positionH relativeFrom="column">
                    <wp:posOffset>4028440</wp:posOffset>
                  </wp:positionH>
                  <wp:positionV relativeFrom="paragraph">
                    <wp:posOffset>569595</wp:posOffset>
                  </wp:positionV>
                  <wp:extent cx="986155" cy="886460"/>
                  <wp:effectExtent l="0" t="0" r="4445" b="8890"/>
                  <wp:wrapNone/>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986155" cy="886460"/>
                          </a:xfrm>
                          <a:prstGeom prst="rect">
                            <a:avLst/>
                          </a:prstGeom>
                          <a:noFill/>
                          <a:ln>
                            <a:noFill/>
                          </a:ln>
                        </pic:spPr>
                      </pic:pic>
                    </a:graphicData>
                  </a:graphic>
                </wp:anchor>
              </w:drawing>
            </w:r>
            <w:r>
              <w:rPr>
                <w:rFonts w:hint="default"/>
                <w:color w:val="auto"/>
              </w:rPr>
              <w:drawing>
                <wp:anchor distT="0" distB="0" distL="114300" distR="114300" simplePos="0" relativeHeight="251659264" behindDoc="0" locked="0" layoutInCell="1" allowOverlap="1">
                  <wp:simplePos x="0" y="0"/>
                  <wp:positionH relativeFrom="column">
                    <wp:posOffset>-51435</wp:posOffset>
                  </wp:positionH>
                  <wp:positionV relativeFrom="paragraph">
                    <wp:posOffset>572770</wp:posOffset>
                  </wp:positionV>
                  <wp:extent cx="5067935" cy="3571875"/>
                  <wp:effectExtent l="9525" t="9525" r="27940" b="1905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5"/>
                          <a:stretch>
                            <a:fillRect/>
                          </a:stretch>
                        </pic:blipFill>
                        <pic:spPr>
                          <a:xfrm>
                            <a:off x="0" y="0"/>
                            <a:ext cx="5067935" cy="3571875"/>
                          </a:xfrm>
                          <a:prstGeom prst="rect">
                            <a:avLst/>
                          </a:prstGeom>
                          <a:noFill/>
                          <a:ln w="9525" cmpd="sng">
                            <a:solidFill>
                              <a:schemeClr val="tx1"/>
                            </a:solidFill>
                            <a:prstDash val="solid"/>
                          </a:ln>
                        </pic:spPr>
                      </pic:pic>
                    </a:graphicData>
                  </a:graphic>
                </wp:anchor>
              </w:drawing>
            </w:r>
            <w:r>
              <w:rPr>
                <w:rFonts w:hint="eastAsia" w:ascii="Times New Roman" w:hAnsi="宋体"/>
                <w:color w:val="auto"/>
                <w:sz w:val="24"/>
                <w:szCs w:val="24"/>
              </w:rPr>
              <w:t>监测结果表明，监测点位</w:t>
            </w:r>
            <w:r>
              <w:rPr>
                <w:rFonts w:hint="default" w:ascii="Times New Roman" w:hAnsi="宋体"/>
                <w:color w:val="auto"/>
                <w:sz w:val="24"/>
                <w:szCs w:val="24"/>
              </w:rPr>
              <w:t>彭伍村居民区</w:t>
            </w:r>
            <w:r>
              <w:rPr>
                <w:rFonts w:hint="eastAsia" w:ascii="Times New Roman" w:hAnsi="宋体"/>
                <w:color w:val="auto"/>
                <w:sz w:val="24"/>
                <w:szCs w:val="24"/>
              </w:rPr>
              <w:t>TSP日均值满足《环境空气质量标准》（GB3095-2026）中过渡阶段浓度限值二级标准限值要求</w:t>
            </w:r>
            <w:r>
              <w:rPr>
                <w:rFonts w:hint="eastAsia" w:hAnsi="宋体"/>
                <w:color w:val="auto"/>
                <w:sz w:val="24"/>
                <w:szCs w:val="24"/>
                <w:lang w:eastAsia="zh-CN"/>
              </w:rPr>
              <w:t>。</w:t>
            </w:r>
          </w:p>
          <w:p w14:paraId="60626D02">
            <w:pPr>
              <w:keepNext w:val="0"/>
              <w:keepLines w:val="0"/>
              <w:suppressLineNumbers w:val="0"/>
              <w:spacing w:before="0" w:beforeAutospacing="0" w:after="0" w:afterAutospacing="0" w:line="360" w:lineRule="auto"/>
              <w:ind w:left="0" w:right="0" w:firstLine="0" w:firstLineChars="0"/>
              <w:rPr>
                <w:rFonts w:hint="default"/>
              </w:rPr>
            </w:pPr>
          </w:p>
          <w:p w14:paraId="254835D4">
            <w:pPr>
              <w:keepNext w:val="0"/>
              <w:keepLines w:val="0"/>
              <w:suppressLineNumbers w:val="0"/>
              <w:spacing w:before="0" w:beforeAutospacing="0" w:after="0" w:afterAutospacing="0" w:line="360" w:lineRule="auto"/>
              <w:ind w:left="0" w:right="0" w:firstLine="0" w:firstLineChars="0"/>
              <w:rPr>
                <w:rFonts w:hint="eastAsia"/>
                <w:color w:val="auto"/>
              </w:rPr>
            </w:pPr>
          </w:p>
          <w:p w14:paraId="0724A04D">
            <w:pPr>
              <w:keepNext w:val="0"/>
              <w:keepLines w:val="0"/>
              <w:suppressLineNumbers w:val="0"/>
              <w:spacing w:before="0" w:beforeAutospacing="0" w:after="0" w:afterAutospacing="0"/>
              <w:ind w:left="0" w:right="0"/>
              <w:rPr>
                <w:rFonts w:hint="eastAsia"/>
                <w:color w:val="auto"/>
              </w:rPr>
            </w:pPr>
          </w:p>
          <w:p w14:paraId="63AA8F01">
            <w:pPr>
              <w:keepNext w:val="0"/>
              <w:keepLines w:val="0"/>
              <w:suppressLineNumbers w:val="0"/>
              <w:spacing w:before="0" w:beforeAutospacing="0" w:after="0" w:afterAutospacing="0"/>
              <w:ind w:left="0" w:right="0"/>
              <w:rPr>
                <w:rFonts w:hint="eastAsia"/>
                <w:color w:val="auto"/>
              </w:rPr>
            </w:pPr>
          </w:p>
          <w:p w14:paraId="7433A2CD">
            <w:pPr>
              <w:keepNext w:val="0"/>
              <w:keepLines w:val="0"/>
              <w:suppressLineNumbers w:val="0"/>
              <w:spacing w:before="0" w:beforeAutospacing="0" w:after="0" w:afterAutospacing="0"/>
              <w:ind w:left="0" w:right="0"/>
              <w:rPr>
                <w:rFonts w:hint="eastAsia"/>
                <w:color w:val="auto"/>
              </w:rPr>
            </w:pPr>
          </w:p>
          <w:p w14:paraId="25E4863C">
            <w:pPr>
              <w:keepNext w:val="0"/>
              <w:keepLines w:val="0"/>
              <w:suppressLineNumbers w:val="0"/>
              <w:spacing w:before="0" w:beforeAutospacing="0" w:after="0" w:afterAutospacing="0"/>
              <w:ind w:left="0" w:right="0"/>
              <w:rPr>
                <w:rFonts w:hint="eastAsia"/>
                <w:color w:val="auto"/>
              </w:rPr>
            </w:pPr>
            <w:r>
              <w:rPr>
                <w:rFonts w:hint="default"/>
                <w:color w:val="auto"/>
                <w:sz w:val="24"/>
              </w:rPr>
              <mc:AlternateContent>
                <mc:Choice Requires="wps">
                  <w:drawing>
                    <wp:anchor distT="0" distB="0" distL="114300" distR="114300" simplePos="0" relativeHeight="251667456" behindDoc="0" locked="0" layoutInCell="1" allowOverlap="1">
                      <wp:simplePos x="0" y="0"/>
                      <wp:positionH relativeFrom="column">
                        <wp:posOffset>4378325</wp:posOffset>
                      </wp:positionH>
                      <wp:positionV relativeFrom="paragraph">
                        <wp:posOffset>148590</wp:posOffset>
                      </wp:positionV>
                      <wp:extent cx="641985" cy="332740"/>
                      <wp:effectExtent l="0" t="0" r="0" b="0"/>
                      <wp:wrapNone/>
                      <wp:docPr id="12" name="文本框 83465"/>
                      <wp:cNvGraphicFramePr/>
                      <a:graphic xmlns:a="http://schemas.openxmlformats.org/drawingml/2006/main">
                        <a:graphicData uri="http://schemas.microsoft.com/office/word/2010/wordprocessingShape">
                          <wps:wsp>
                            <wps:cNvSpPr txBox="1"/>
                            <wps:spPr>
                              <a:xfrm>
                                <a:off x="0" y="0"/>
                                <a:ext cx="641985" cy="332740"/>
                              </a:xfrm>
                              <a:prstGeom prst="rect">
                                <a:avLst/>
                              </a:prstGeom>
                              <a:noFill/>
                              <a:ln>
                                <a:noFill/>
                              </a:ln>
                            </wps:spPr>
                            <wps:txbx>
                              <w:txbxContent>
                                <w:p w14:paraId="3FD7A06C">
                                  <w:pPr>
                                    <w:jc w:val="center"/>
                                    <w:rPr>
                                      <w:rFonts w:hint="default" w:eastAsia="宋体"/>
                                      <w:color w:val="FF0000"/>
                                      <w:lang w:val="en-US" w:eastAsia="zh-CN"/>
                                    </w:rPr>
                                  </w:pPr>
                                  <w:r>
                                    <w:rPr>
                                      <w:rFonts w:hint="eastAsia" w:eastAsia="宋体"/>
                                      <w:color w:val="FF0000"/>
                                      <w:lang w:val="en-US" w:eastAsia="zh-CN"/>
                                    </w:rPr>
                                    <w:t>本项目</w:t>
                                  </w:r>
                                </w:p>
                              </w:txbxContent>
                            </wps:txbx>
                            <wps:bodyPr upright="1"/>
                          </wps:wsp>
                        </a:graphicData>
                      </a:graphic>
                    </wp:anchor>
                  </w:drawing>
                </mc:Choice>
                <mc:Fallback>
                  <w:pict>
                    <v:shape id="文本框 83465" o:spid="_x0000_s1026" o:spt="202" type="#_x0000_t202" style="position:absolute;left:0pt;margin-left:344.75pt;margin-top:11.7pt;height:26.2pt;width:50.55pt;z-index:251667456;mso-width-relative:page;mso-height-relative:page;" filled="f" stroked="f" coordsize="21600,21600" o:gfxdata="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tekT&#10;VNcAAAAJAQAADwAAAAAAAAABACAAAAAiAAAAZHJzL2Rvd25yZXYueG1sUEsBAhQAFAAAAAgAh07i&#10;QPskqlWxAQAAUgMAAA4AAAAAAAAAAQAgAAAAJgEAAGRycy9lMm9Eb2MueG1sUEsFBgAAAAAGAAYA&#10;WQEAAEkFAAAAAA==&#10;">
                      <v:fill on="f" focussize="0,0"/>
                      <v:stroke on="f"/>
                      <v:imagedata o:title=""/>
                      <o:lock v:ext="edit" aspectratio="f"/>
                      <v:textbox>
                        <w:txbxContent>
                          <w:p w14:paraId="3FD7A06C">
                            <w:pPr>
                              <w:jc w:val="center"/>
                              <w:rPr>
                                <w:rFonts w:hint="default" w:eastAsia="宋体"/>
                                <w:color w:val="FF0000"/>
                                <w:lang w:val="en-US" w:eastAsia="zh-CN"/>
                              </w:rPr>
                            </w:pPr>
                            <w:r>
                              <w:rPr>
                                <w:rFonts w:hint="eastAsia" w:eastAsia="宋体"/>
                                <w:color w:val="FF0000"/>
                                <w:lang w:val="en-US" w:eastAsia="zh-CN"/>
                              </w:rPr>
                              <w:t>本项目</w:t>
                            </w:r>
                          </w:p>
                        </w:txbxContent>
                      </v:textbox>
                    </v:shape>
                  </w:pict>
                </mc:Fallback>
              </mc:AlternateContent>
            </w:r>
          </w:p>
          <w:p w14:paraId="49319A15">
            <w:pPr>
              <w:keepNext w:val="0"/>
              <w:keepLines w:val="0"/>
              <w:suppressLineNumbers w:val="0"/>
              <w:spacing w:before="0" w:beforeAutospacing="0" w:after="0" w:afterAutospacing="0"/>
              <w:ind w:left="0" w:right="0"/>
              <w:rPr>
                <w:rFonts w:hint="eastAsia"/>
                <w:color w:val="auto"/>
              </w:rPr>
            </w:pPr>
          </w:p>
          <w:p w14:paraId="2DBF9B83">
            <w:pPr>
              <w:keepNext w:val="0"/>
              <w:keepLines w:val="0"/>
              <w:suppressLineNumbers w:val="0"/>
              <w:spacing w:before="0" w:beforeAutospacing="0" w:after="0" w:afterAutospacing="0"/>
              <w:ind w:left="0" w:right="0"/>
              <w:rPr>
                <w:rFonts w:hint="eastAsia"/>
                <w:color w:val="auto"/>
              </w:rPr>
            </w:pPr>
            <w:r>
              <w:rPr>
                <w:rFonts w:hint="default"/>
                <w:color w:val="auto"/>
                <w:sz w:val="24"/>
              </w:rPr>
              <mc:AlternateContent>
                <mc:Choice Requires="wps">
                  <w:drawing>
                    <wp:anchor distT="0" distB="0" distL="114300" distR="114300" simplePos="0" relativeHeight="251668480" behindDoc="0" locked="0" layoutInCell="1" allowOverlap="1">
                      <wp:simplePos x="0" y="0"/>
                      <wp:positionH relativeFrom="column">
                        <wp:posOffset>696595</wp:posOffset>
                      </wp:positionH>
                      <wp:positionV relativeFrom="paragraph">
                        <wp:posOffset>35560</wp:posOffset>
                      </wp:positionV>
                      <wp:extent cx="3980180" cy="767715"/>
                      <wp:effectExtent l="0" t="10795" r="1270" b="21590"/>
                      <wp:wrapNone/>
                      <wp:docPr id="15" name="直线 83463"/>
                      <wp:cNvGraphicFramePr/>
                      <a:graphic xmlns:a="http://schemas.openxmlformats.org/drawingml/2006/main">
                        <a:graphicData uri="http://schemas.microsoft.com/office/word/2010/wordprocessingShape">
                          <wps:wsp>
                            <wps:cNvCnPr/>
                            <wps:spPr>
                              <a:xfrm flipH="1">
                                <a:off x="0" y="0"/>
                                <a:ext cx="3980180" cy="767715"/>
                              </a:xfrm>
                              <a:prstGeom prst="line">
                                <a:avLst/>
                              </a:prstGeom>
                              <a:ln w="9525" cap="flat" cmpd="sng">
                                <a:solidFill>
                                  <a:srgbClr val="FF0000"/>
                                </a:solidFill>
                                <a:prstDash val="solid"/>
                                <a:headEnd type="triangle" w="sm" len="med"/>
                                <a:tailEnd type="triangle" w="sm" len="med"/>
                              </a:ln>
                            </wps:spPr>
                            <wps:bodyPr upright="1"/>
                          </wps:wsp>
                        </a:graphicData>
                      </a:graphic>
                    </wp:anchor>
                  </w:drawing>
                </mc:Choice>
                <mc:Fallback>
                  <w:pict>
                    <v:line id="直线 83463" o:spid="_x0000_s1026" o:spt="20" style="position:absolute;left:0pt;flip:x;margin-left:54.85pt;margin-top:2.8pt;height:60.45pt;width:313.4pt;z-index:251668480;mso-width-relative:page;mso-height-relative:page;" filled="f" stroked="t" coordsize="21600,21600" o:gfxdata="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RXM9Y1QAAAAkBAAAPAAAAAAAAAAEAIAAAACIAAABkcnMvZG93bnJldi54&#10;bWxQSwECFAAUAAAACACHTuJAMhwcF/0BAAD1AwAADgAAAAAAAAABACAAAAAkAQAAZHJzL2Uyb0Rv&#10;Yy54bWxQSwUGAAAAAAYABgBZAQAAkwUAAAAA&#10;">
                      <v:fill on="f" focussize="0,0"/>
                      <v:stroke color="#FF0000" joinstyle="round" startarrow="block" startarrowwidth="narrow" endarrow="block" endarrowwidth="narrow"/>
                      <v:imagedata o:title=""/>
                      <o:lock v:ext="edit" aspectratio="f"/>
                    </v:line>
                  </w:pict>
                </mc:Fallback>
              </mc:AlternateContent>
            </w:r>
            <w:r>
              <w:rPr>
                <w:rFonts w:hint="default"/>
                <w:color w:val="auto"/>
                <w:sz w:val="24"/>
              </w:rPr>
              <mc:AlternateContent>
                <mc:Choice Requires="wps">
                  <w:drawing>
                    <wp:anchor distT="0" distB="0" distL="114300" distR="114300" simplePos="0" relativeHeight="251669504" behindDoc="0" locked="0" layoutInCell="1" allowOverlap="1">
                      <wp:simplePos x="0" y="0"/>
                      <wp:positionH relativeFrom="column">
                        <wp:posOffset>2338705</wp:posOffset>
                      </wp:positionH>
                      <wp:positionV relativeFrom="paragraph">
                        <wp:posOffset>100330</wp:posOffset>
                      </wp:positionV>
                      <wp:extent cx="582930" cy="332740"/>
                      <wp:effectExtent l="0" t="0" r="0" b="0"/>
                      <wp:wrapNone/>
                      <wp:docPr id="26" name="文本框 83464"/>
                      <wp:cNvGraphicFramePr/>
                      <a:graphic xmlns:a="http://schemas.openxmlformats.org/drawingml/2006/main">
                        <a:graphicData uri="http://schemas.microsoft.com/office/word/2010/wordprocessingShape">
                          <wps:wsp>
                            <wps:cNvSpPr txBox="1"/>
                            <wps:spPr>
                              <a:xfrm>
                                <a:off x="0" y="0"/>
                                <a:ext cx="582930" cy="332740"/>
                              </a:xfrm>
                              <a:prstGeom prst="rect">
                                <a:avLst/>
                              </a:prstGeom>
                              <a:noFill/>
                              <a:ln>
                                <a:noFill/>
                              </a:ln>
                            </wps:spPr>
                            <wps:txbx>
                              <w:txbxContent>
                                <w:p w14:paraId="25C4A6AB">
                                  <w:pPr>
                                    <w:jc w:val="center"/>
                                    <w:rPr>
                                      <w:rFonts w:hint="default" w:eastAsia="宋体"/>
                                      <w:color w:val="FFFFFF" w:themeColor="background1"/>
                                      <w:lang w:val="en-US" w:eastAsia="zh-CN"/>
                                      <w14:textFill>
                                        <w14:solidFill>
                                          <w14:schemeClr w14:val="bg1"/>
                                        </w14:solidFill>
                                      </w14:textFill>
                                    </w:rPr>
                                  </w:pPr>
                                  <w:r>
                                    <w:rPr>
                                      <w:rFonts w:hint="eastAsia"/>
                                      <w:color w:val="FF0000"/>
                                      <w:lang w:val="en-US" w:eastAsia="zh-CN"/>
                                    </w:rPr>
                                    <w:t>4000m</w:t>
                                  </w:r>
                                </w:p>
                              </w:txbxContent>
                            </wps:txbx>
                            <wps:bodyPr upright="1"/>
                          </wps:wsp>
                        </a:graphicData>
                      </a:graphic>
                    </wp:anchor>
                  </w:drawing>
                </mc:Choice>
                <mc:Fallback>
                  <w:pict>
                    <v:shape id="文本框 83464" o:spid="_x0000_s1026" o:spt="202" type="#_x0000_t202" style="position:absolute;left:0pt;margin-left:184.15pt;margin-top:7.9pt;height:26.2pt;width:45.9pt;z-index:251669504;mso-width-relative:page;mso-height-relative:page;" filled="f" stroked="f" coordsize="21600,21600" o:gfxdata="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OxZ&#10;eaDXAAAACQEAAA8AAAAAAAAAAQAgAAAAIgAAAGRycy9kb3ducmV2LnhtbFBLAQIUABQAAAAIAIdO&#10;4kBq0KGasgEAAFIDAAAOAAAAAAAAAAEAIAAAACYBAABkcnMvZTJvRG9jLnhtbFBLBQYAAAAABgAG&#10;AFkBAABKBQAAAAA=&#10;">
                      <v:fill on="f" focussize="0,0"/>
                      <v:stroke on="f"/>
                      <v:imagedata o:title=""/>
                      <o:lock v:ext="edit" aspectratio="f"/>
                      <v:textbox>
                        <w:txbxContent>
                          <w:p w14:paraId="25C4A6AB">
                            <w:pPr>
                              <w:jc w:val="center"/>
                              <w:rPr>
                                <w:rFonts w:hint="default" w:eastAsia="宋体"/>
                                <w:color w:val="FFFFFF" w:themeColor="background1"/>
                                <w:lang w:val="en-US" w:eastAsia="zh-CN"/>
                                <w14:textFill>
                                  <w14:solidFill>
                                    <w14:schemeClr w14:val="bg1"/>
                                  </w14:solidFill>
                                </w14:textFill>
                              </w:rPr>
                            </w:pPr>
                            <w:r>
                              <w:rPr>
                                <w:rFonts w:hint="eastAsia"/>
                                <w:color w:val="FF0000"/>
                                <w:lang w:val="en-US" w:eastAsia="zh-CN"/>
                              </w:rPr>
                              <w:t>4000m</w:t>
                            </w:r>
                          </w:p>
                        </w:txbxContent>
                      </v:textbox>
                    </v:shape>
                  </w:pict>
                </mc:Fallback>
              </mc:AlternateContent>
            </w:r>
          </w:p>
          <w:p w14:paraId="0F2AD73F">
            <w:pPr>
              <w:keepNext w:val="0"/>
              <w:keepLines w:val="0"/>
              <w:suppressLineNumbers w:val="0"/>
              <w:spacing w:before="0" w:beforeAutospacing="0" w:after="0" w:afterAutospacing="0"/>
              <w:ind w:left="0" w:right="0"/>
              <w:rPr>
                <w:rFonts w:hint="eastAsia"/>
                <w:color w:val="auto"/>
              </w:rPr>
            </w:pPr>
          </w:p>
          <w:p w14:paraId="474BB358">
            <w:pPr>
              <w:keepNext w:val="0"/>
              <w:keepLines w:val="0"/>
              <w:suppressLineNumbers w:val="0"/>
              <w:spacing w:before="0" w:beforeAutospacing="0" w:after="0" w:afterAutospacing="0"/>
              <w:ind w:left="0" w:right="0"/>
              <w:rPr>
                <w:rFonts w:hint="eastAsia"/>
                <w:color w:val="auto"/>
              </w:rPr>
            </w:pPr>
            <w:r>
              <w:rPr>
                <w:rFonts w:hint="default"/>
                <w:color w:val="auto"/>
                <w:sz w:val="24"/>
              </w:rPr>
              <mc:AlternateContent>
                <mc:Choice Requires="wps">
                  <w:drawing>
                    <wp:anchor distT="0" distB="0" distL="114300" distR="114300" simplePos="0" relativeHeight="251670528" behindDoc="0" locked="0" layoutInCell="1" allowOverlap="1">
                      <wp:simplePos x="0" y="0"/>
                      <wp:positionH relativeFrom="column">
                        <wp:posOffset>451485</wp:posOffset>
                      </wp:positionH>
                      <wp:positionV relativeFrom="paragraph">
                        <wp:posOffset>124460</wp:posOffset>
                      </wp:positionV>
                      <wp:extent cx="418465" cy="321310"/>
                      <wp:effectExtent l="0" t="0" r="0" b="0"/>
                      <wp:wrapNone/>
                      <wp:docPr id="28" name="文本框 83462"/>
                      <wp:cNvGraphicFramePr/>
                      <a:graphic xmlns:a="http://schemas.openxmlformats.org/drawingml/2006/main">
                        <a:graphicData uri="http://schemas.microsoft.com/office/word/2010/wordprocessingShape">
                          <wps:wsp>
                            <wps:cNvSpPr txBox="1"/>
                            <wps:spPr>
                              <a:xfrm>
                                <a:off x="0" y="0"/>
                                <a:ext cx="418465" cy="321310"/>
                              </a:xfrm>
                              <a:prstGeom prst="rect">
                                <a:avLst/>
                              </a:prstGeom>
                              <a:noFill/>
                              <a:ln>
                                <a:noFill/>
                              </a:ln>
                            </wps:spPr>
                            <wps:txbx>
                              <w:txbxContent>
                                <w:p w14:paraId="7420BFB2">
                                  <w:pPr>
                                    <w:jc w:val="center"/>
                                    <w:rPr>
                                      <w:rFonts w:hint="default" w:eastAsia="宋体"/>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G1</w:t>
                                  </w:r>
                                </w:p>
                              </w:txbxContent>
                            </wps:txbx>
                            <wps:bodyPr upright="1"/>
                          </wps:wsp>
                        </a:graphicData>
                      </a:graphic>
                    </wp:anchor>
                  </w:drawing>
                </mc:Choice>
                <mc:Fallback>
                  <w:pict>
                    <v:shape id="文本框 83462" o:spid="_x0000_s1026" o:spt="202" type="#_x0000_t202" style="position:absolute;left:0pt;margin-left:35.55pt;margin-top:9.8pt;height:25.3pt;width:32.95pt;z-index:251670528;mso-width-relative:page;mso-height-relative:page;" filled="f" stroked="f" coordsize="21600,21600" o:gfxdata="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L2ypHNQA&#10;AAAIAQAADwAAAAAAAAABACAAAAAiAAAAZHJzL2Rvd25yZXYueG1sUEsBAhQAFAAAAAgAh07iQNe+&#10;Z5OxAQAAUgMAAA4AAAAAAAAAAQAgAAAAIwEAAGRycy9lMm9Eb2MueG1sUEsFBgAAAAAGAAYAWQEA&#10;AEYFAAAAAA==&#10;">
                      <v:fill on="f" focussize="0,0"/>
                      <v:stroke on="f"/>
                      <v:imagedata o:title=""/>
                      <o:lock v:ext="edit" aspectratio="f"/>
                      <v:textbox>
                        <w:txbxContent>
                          <w:p w14:paraId="7420BFB2">
                            <w:pPr>
                              <w:jc w:val="center"/>
                              <w:rPr>
                                <w:rFonts w:hint="default" w:eastAsia="宋体"/>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G1</w:t>
                            </w:r>
                          </w:p>
                        </w:txbxContent>
                      </v:textbox>
                    </v:shape>
                  </w:pict>
                </mc:Fallback>
              </mc:AlternateContent>
            </w:r>
          </w:p>
          <w:p w14:paraId="73165BC7">
            <w:pPr>
              <w:keepNext w:val="0"/>
              <w:keepLines w:val="0"/>
              <w:suppressLineNumbers w:val="0"/>
              <w:spacing w:before="0" w:beforeAutospacing="0" w:after="0" w:afterAutospacing="0"/>
              <w:ind w:left="0" w:right="0"/>
              <w:rPr>
                <w:rFonts w:hint="eastAsia"/>
                <w:color w:val="auto"/>
              </w:rPr>
            </w:pPr>
            <w:r>
              <w:rPr>
                <w:rFonts w:hint="default"/>
                <w:color w:val="auto"/>
                <w:sz w:val="24"/>
              </w:rPr>
              <mc:AlternateContent>
                <mc:Choice Requires="wps">
                  <w:drawing>
                    <wp:anchor distT="0" distB="0" distL="114300" distR="114300" simplePos="0" relativeHeight="251671552" behindDoc="0" locked="0" layoutInCell="1" allowOverlap="1">
                      <wp:simplePos x="0" y="0"/>
                      <wp:positionH relativeFrom="column">
                        <wp:posOffset>71120</wp:posOffset>
                      </wp:positionH>
                      <wp:positionV relativeFrom="paragraph">
                        <wp:posOffset>108585</wp:posOffset>
                      </wp:positionV>
                      <wp:extent cx="641985" cy="289560"/>
                      <wp:effectExtent l="0" t="0" r="0" b="0"/>
                      <wp:wrapNone/>
                      <wp:docPr id="29" name="文本框 83465"/>
                      <wp:cNvGraphicFramePr/>
                      <a:graphic xmlns:a="http://schemas.openxmlformats.org/drawingml/2006/main">
                        <a:graphicData uri="http://schemas.microsoft.com/office/word/2010/wordprocessingShape">
                          <wps:wsp>
                            <wps:cNvSpPr txBox="1"/>
                            <wps:spPr>
                              <a:xfrm>
                                <a:off x="0" y="0"/>
                                <a:ext cx="641985" cy="289560"/>
                              </a:xfrm>
                              <a:prstGeom prst="rect">
                                <a:avLst/>
                              </a:prstGeom>
                              <a:noFill/>
                              <a:ln>
                                <a:noFill/>
                              </a:ln>
                            </wps:spPr>
                            <wps:txbx>
                              <w:txbxContent>
                                <w:p w14:paraId="7540C41A">
                                  <w:pPr>
                                    <w:jc w:val="center"/>
                                    <w:rPr>
                                      <w:rFonts w:hint="default" w:eastAsia="宋体"/>
                                      <w:color w:val="0000FF"/>
                                      <w:lang w:val="en-US" w:eastAsia="zh-CN"/>
                                    </w:rPr>
                                  </w:pPr>
                                  <w:r>
                                    <w:rPr>
                                      <w:rFonts w:hint="eastAsia"/>
                                      <w:color w:val="0000FF"/>
                                      <w:lang w:val="en-US" w:eastAsia="zh-CN"/>
                                    </w:rPr>
                                    <w:t>彭庄村</w:t>
                                  </w:r>
                                </w:p>
                              </w:txbxContent>
                            </wps:txbx>
                            <wps:bodyPr upright="1"/>
                          </wps:wsp>
                        </a:graphicData>
                      </a:graphic>
                    </wp:anchor>
                  </w:drawing>
                </mc:Choice>
                <mc:Fallback>
                  <w:pict>
                    <v:shape id="文本框 83465" o:spid="_x0000_s1026" o:spt="202" type="#_x0000_t202" style="position:absolute;left:0pt;margin-left:5.6pt;margin-top:8.55pt;height:22.8pt;width:50.55pt;z-index:251671552;mso-width-relative:page;mso-height-relative:page;" filled="f" stroked="f" coordsize="21600,21600" o:gfxdata="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ZaaU&#10;1QAAAAgBAAAPAAAAAAAAAAEAIAAAACIAAABkcnMvZG93bnJldi54bWxQSwECFAAUAAAACACHTuJA&#10;JyiK0rIBAABSAwAADgAAAAAAAAABACAAAAAkAQAAZHJzL2Uyb0RvYy54bWxQSwUGAAAAAAYABgBZ&#10;AQAASAUAAAAA&#10;">
                      <v:fill on="f" focussize="0,0"/>
                      <v:stroke on="f"/>
                      <v:imagedata o:title=""/>
                      <o:lock v:ext="edit" aspectratio="f"/>
                      <v:textbox>
                        <w:txbxContent>
                          <w:p w14:paraId="7540C41A">
                            <w:pPr>
                              <w:jc w:val="center"/>
                              <w:rPr>
                                <w:rFonts w:hint="default" w:eastAsia="宋体"/>
                                <w:color w:val="0000FF"/>
                                <w:lang w:val="en-US" w:eastAsia="zh-CN"/>
                              </w:rPr>
                            </w:pPr>
                            <w:r>
                              <w:rPr>
                                <w:rFonts w:hint="eastAsia"/>
                                <w:color w:val="0000FF"/>
                                <w:lang w:val="en-US" w:eastAsia="zh-CN"/>
                              </w:rPr>
                              <w:t>彭庄村</w:t>
                            </w:r>
                          </w:p>
                        </w:txbxContent>
                      </v:textbox>
                    </v:shape>
                  </w:pict>
                </mc:Fallback>
              </mc:AlternateContent>
            </w:r>
            <w:r>
              <w:rPr>
                <w:rFonts w:hint="default"/>
                <w:color w:val="auto"/>
                <w:sz w:val="24"/>
              </w:rPr>
              <mc:AlternateContent>
                <mc:Choice Requires="wps">
                  <w:drawing>
                    <wp:anchor distT="0" distB="0" distL="114300" distR="114300" simplePos="0" relativeHeight="251662336" behindDoc="0" locked="0" layoutInCell="1" allowOverlap="1">
                      <wp:simplePos x="0" y="0"/>
                      <wp:positionH relativeFrom="column">
                        <wp:posOffset>589915</wp:posOffset>
                      </wp:positionH>
                      <wp:positionV relativeFrom="paragraph">
                        <wp:posOffset>132080</wp:posOffset>
                      </wp:positionV>
                      <wp:extent cx="106680" cy="96520"/>
                      <wp:effectExtent l="4445" t="4445" r="22225" b="13335"/>
                      <wp:wrapNone/>
                      <wp:docPr id="434" name="椭圆 83461"/>
                      <wp:cNvGraphicFramePr/>
                      <a:graphic xmlns:a="http://schemas.openxmlformats.org/drawingml/2006/main">
                        <a:graphicData uri="http://schemas.microsoft.com/office/word/2010/wordprocessingShape">
                          <wps:wsp>
                            <wps:cNvSpPr/>
                            <wps:spPr>
                              <a:xfrm>
                                <a:off x="0" y="0"/>
                                <a:ext cx="106680" cy="96520"/>
                              </a:xfrm>
                              <a:prstGeom prst="ellipse">
                                <a:avLst/>
                              </a:prstGeom>
                              <a:solidFill>
                                <a:srgbClr val="FFFFFF"/>
                              </a:solidFill>
                              <a:ln w="9525" cap="flat" cmpd="sng">
                                <a:solidFill>
                                  <a:srgbClr val="000000"/>
                                </a:solidFill>
                                <a:prstDash val="solid"/>
                                <a:headEnd type="none" w="med" len="med"/>
                                <a:tailEnd type="triangle" w="sm" len="lg"/>
                              </a:ln>
                            </wps:spPr>
                            <wps:bodyPr upright="1"/>
                          </wps:wsp>
                        </a:graphicData>
                      </a:graphic>
                    </wp:anchor>
                  </w:drawing>
                </mc:Choice>
                <mc:Fallback>
                  <w:pict>
                    <v:shape id="椭圆 83461" o:spid="_x0000_s1026" o:spt="3" type="#_x0000_t3" style="position:absolute;left:0pt;margin-left:46.45pt;margin-top:10.4pt;height:7.6pt;width:8.4pt;z-index:251662336;mso-width-relative:page;mso-height-relative:page;" fillcolor="#FFFFFF" filled="t" stroked="t" coordsize="21600,21600" o:gfxdata="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ll2CNgAAAAIAQAADwAAAAAAAAABACAAAAAiAAAA&#10;ZHJzL2Rvd25yZXYueG1sUEsBAhQAFAAAAAgAh07iQNh0x+YHAgAAHQQAAA4AAAAAAAAAAQAgAAAA&#10;JwEAAGRycy9lMm9Eb2MueG1sUEsFBgAAAAAGAAYAWQEAAKAFAAAAAA==&#10;">
                      <v:fill on="t" focussize="0,0"/>
                      <v:stroke color="#000000" joinstyle="round" endarrow="block" endarrowwidth="narrow" endarrowlength="long"/>
                      <v:imagedata o:title=""/>
                      <o:lock v:ext="edit" aspectratio="f"/>
                    </v:shape>
                  </w:pict>
                </mc:Fallback>
              </mc:AlternateContent>
            </w:r>
          </w:p>
          <w:p w14:paraId="6C0BEF7D">
            <w:pPr>
              <w:keepNext w:val="0"/>
              <w:keepLines w:val="0"/>
              <w:suppressLineNumbers w:val="0"/>
              <w:spacing w:before="0" w:beforeAutospacing="0" w:after="0" w:afterAutospacing="0"/>
              <w:ind w:left="0" w:right="0"/>
              <w:rPr>
                <w:rFonts w:hint="eastAsia"/>
                <w:color w:val="auto"/>
              </w:rPr>
            </w:pPr>
          </w:p>
          <w:p w14:paraId="09803D5C">
            <w:pPr>
              <w:keepNext w:val="0"/>
              <w:keepLines w:val="0"/>
              <w:suppressLineNumbers w:val="0"/>
              <w:spacing w:before="0" w:beforeAutospacing="0" w:after="0" w:afterAutospacing="0"/>
              <w:ind w:left="0" w:right="0"/>
              <w:rPr>
                <w:rFonts w:hint="eastAsia"/>
                <w:color w:val="auto"/>
              </w:rPr>
            </w:pPr>
            <w:r>
              <w:rPr>
                <w:rFonts w:hint="default"/>
                <w:color w:val="auto"/>
                <w:sz w:val="21"/>
              </w:rPr>
              <mc:AlternateContent>
                <mc:Choice Requires="wps">
                  <w:drawing>
                    <wp:anchor distT="0" distB="0" distL="114300" distR="114300" simplePos="0" relativeHeight="251672576" behindDoc="0" locked="0" layoutInCell="1" allowOverlap="1">
                      <wp:simplePos x="0" y="0"/>
                      <wp:positionH relativeFrom="column">
                        <wp:posOffset>3197860</wp:posOffset>
                      </wp:positionH>
                      <wp:positionV relativeFrom="paragraph">
                        <wp:posOffset>93980</wp:posOffset>
                      </wp:positionV>
                      <wp:extent cx="1809750" cy="876300"/>
                      <wp:effectExtent l="4445" t="4445" r="14605" b="14605"/>
                      <wp:wrapNone/>
                      <wp:docPr id="46" name="文本框 46"/>
                      <wp:cNvGraphicFramePr/>
                      <a:graphic xmlns:a="http://schemas.openxmlformats.org/drawingml/2006/main">
                        <a:graphicData uri="http://schemas.microsoft.com/office/word/2010/wordprocessingShape">
                          <wps:wsp>
                            <wps:cNvSpPr txBox="1"/>
                            <wps:spPr>
                              <a:xfrm>
                                <a:off x="4737735" y="4359910"/>
                                <a:ext cx="1809750" cy="876300"/>
                              </a:xfrm>
                              <a:prstGeom prst="rect">
                                <a:avLst/>
                              </a:prstGeom>
                              <a:solidFill>
                                <a:schemeClr val="lt1">
                                  <a:alpha val="40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607CC4D">
                                  <w:pPr>
                                    <w:keepNext w:val="0"/>
                                    <w:keepLines w:val="0"/>
                                    <w:pageBreakBefore w:val="0"/>
                                    <w:widowControl w:val="0"/>
                                    <w:kinsoku/>
                                    <w:wordWrap/>
                                    <w:overflowPunct/>
                                    <w:topLinePunct w:val="0"/>
                                    <w:bidi w:val="0"/>
                                    <w:adjustRightInd/>
                                    <w:snapToGrid/>
                                    <w:spacing w:line="276" w:lineRule="auto"/>
                                    <w:jc w:val="center"/>
                                    <w:textAlignment w:val="auto"/>
                                    <w:rPr>
                                      <w:rFonts w:hint="eastAsia" w:ascii="黑体" w:hAnsi="黑体" w:eastAsia="黑体" w:cs="黑体"/>
                                      <w:lang w:val="en-US" w:eastAsia="zh-CN"/>
                                    </w:rPr>
                                  </w:pPr>
                                  <w:r>
                                    <w:rPr>
                                      <w:rFonts w:hint="eastAsia" w:ascii="黑体" w:hAnsi="黑体" w:eastAsia="黑体" w:cs="黑体"/>
                                      <w:lang w:val="en-US" w:eastAsia="zh-CN"/>
                                    </w:rPr>
                                    <w:t>图例</w:t>
                                  </w:r>
                                </w:p>
                                <w:p w14:paraId="4513478B">
                                  <w:pPr>
                                    <w:keepNext w:val="0"/>
                                    <w:keepLines w:val="0"/>
                                    <w:pageBreakBefore w:val="0"/>
                                    <w:widowControl w:val="0"/>
                                    <w:kinsoku/>
                                    <w:wordWrap/>
                                    <w:overflowPunct/>
                                    <w:topLinePunct w:val="0"/>
                                    <w:bidi w:val="0"/>
                                    <w:adjustRightInd/>
                                    <w:snapToGrid/>
                                    <w:spacing w:line="276" w:lineRule="auto"/>
                                    <w:ind w:firstLine="840" w:firstLineChars="400"/>
                                    <w:textAlignment w:val="auto"/>
                                    <w:rPr>
                                      <w:rFonts w:hint="eastAsia" w:ascii="黑体" w:hAnsi="黑体" w:eastAsia="黑体" w:cs="黑体"/>
                                      <w:lang w:val="en-US" w:eastAsia="zh-CN"/>
                                    </w:rPr>
                                  </w:pPr>
                                  <w:r>
                                    <w:rPr>
                                      <w:rFonts w:hint="eastAsia" w:ascii="黑体" w:hAnsi="黑体" w:eastAsia="黑体" w:cs="黑体"/>
                                      <w:lang w:val="en-US" w:eastAsia="zh-CN"/>
                                    </w:rPr>
                                    <w:t>项目厂区范围</w:t>
                                  </w:r>
                                </w:p>
                                <w:p w14:paraId="162FB83C">
                                  <w:pPr>
                                    <w:keepNext w:val="0"/>
                                    <w:keepLines w:val="0"/>
                                    <w:pageBreakBefore w:val="0"/>
                                    <w:widowControl w:val="0"/>
                                    <w:kinsoku/>
                                    <w:wordWrap/>
                                    <w:overflowPunct/>
                                    <w:topLinePunct w:val="0"/>
                                    <w:bidi w:val="0"/>
                                    <w:adjustRightInd/>
                                    <w:snapToGrid/>
                                    <w:spacing w:line="276" w:lineRule="auto"/>
                                    <w:ind w:firstLine="840" w:firstLineChars="400"/>
                                    <w:textAlignment w:val="auto"/>
                                    <w:rPr>
                                      <w:rFonts w:hint="eastAsia" w:ascii="黑体" w:hAnsi="黑体" w:eastAsia="黑体" w:cs="黑体"/>
                                      <w:lang w:val="en-US" w:eastAsia="zh-CN"/>
                                    </w:rPr>
                                  </w:pPr>
                                  <w:r>
                                    <w:rPr>
                                      <w:rFonts w:hint="eastAsia" w:ascii="黑体" w:hAnsi="黑体" w:eastAsia="黑体" w:cs="黑体"/>
                                      <w:lang w:val="en-US" w:eastAsia="zh-CN"/>
                                    </w:rPr>
                                    <w:t>大气现状监测点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1.8pt;margin-top:7.4pt;height:69pt;width:142.5pt;z-index:251672576;mso-width-relative:page;mso-height-relative:page;" fillcolor="#FFFFFF [3201]" filled="t" stroked="t" coordsize="21600,21600" o:gfxdata="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wO7cs1gAAAAoBAAAPAAAAAAAAAAEAIAAAACIAAABkcnMvZG93&#10;bnJldi54bWxQSwECFAAUAAAACACHTuJAWR4o83QCAADmBAAADgAAAAAAAAABACAAAAAlAQAAZHJz&#10;L2Uyb0RvYy54bWxQSwUGAAAAAAYABgBZAQAACwYAAAAA&#10;">
                      <v:fill on="t" opacity="26214f" focussize="0,0"/>
                      <v:stroke weight="0.5pt" color="#000000 [3204]" joinstyle="round"/>
                      <v:imagedata o:title=""/>
                      <o:lock v:ext="edit" aspectratio="f"/>
                      <v:textbox>
                        <w:txbxContent>
                          <w:p w14:paraId="4607CC4D">
                            <w:pPr>
                              <w:keepNext w:val="0"/>
                              <w:keepLines w:val="0"/>
                              <w:pageBreakBefore w:val="0"/>
                              <w:widowControl w:val="0"/>
                              <w:kinsoku/>
                              <w:wordWrap/>
                              <w:overflowPunct/>
                              <w:topLinePunct w:val="0"/>
                              <w:bidi w:val="0"/>
                              <w:adjustRightInd/>
                              <w:snapToGrid/>
                              <w:spacing w:line="276" w:lineRule="auto"/>
                              <w:jc w:val="center"/>
                              <w:textAlignment w:val="auto"/>
                              <w:rPr>
                                <w:rFonts w:hint="eastAsia" w:ascii="黑体" w:hAnsi="黑体" w:eastAsia="黑体" w:cs="黑体"/>
                                <w:lang w:val="en-US" w:eastAsia="zh-CN"/>
                              </w:rPr>
                            </w:pPr>
                            <w:r>
                              <w:rPr>
                                <w:rFonts w:hint="eastAsia" w:ascii="黑体" w:hAnsi="黑体" w:eastAsia="黑体" w:cs="黑体"/>
                                <w:lang w:val="en-US" w:eastAsia="zh-CN"/>
                              </w:rPr>
                              <w:t>图例</w:t>
                            </w:r>
                          </w:p>
                          <w:p w14:paraId="4513478B">
                            <w:pPr>
                              <w:keepNext w:val="0"/>
                              <w:keepLines w:val="0"/>
                              <w:pageBreakBefore w:val="0"/>
                              <w:widowControl w:val="0"/>
                              <w:kinsoku/>
                              <w:wordWrap/>
                              <w:overflowPunct/>
                              <w:topLinePunct w:val="0"/>
                              <w:bidi w:val="0"/>
                              <w:adjustRightInd/>
                              <w:snapToGrid/>
                              <w:spacing w:line="276" w:lineRule="auto"/>
                              <w:ind w:firstLine="840" w:firstLineChars="400"/>
                              <w:textAlignment w:val="auto"/>
                              <w:rPr>
                                <w:rFonts w:hint="eastAsia" w:ascii="黑体" w:hAnsi="黑体" w:eastAsia="黑体" w:cs="黑体"/>
                                <w:lang w:val="en-US" w:eastAsia="zh-CN"/>
                              </w:rPr>
                            </w:pPr>
                            <w:r>
                              <w:rPr>
                                <w:rFonts w:hint="eastAsia" w:ascii="黑体" w:hAnsi="黑体" w:eastAsia="黑体" w:cs="黑体"/>
                                <w:lang w:val="en-US" w:eastAsia="zh-CN"/>
                              </w:rPr>
                              <w:t>项目厂区范围</w:t>
                            </w:r>
                          </w:p>
                          <w:p w14:paraId="162FB83C">
                            <w:pPr>
                              <w:keepNext w:val="0"/>
                              <w:keepLines w:val="0"/>
                              <w:pageBreakBefore w:val="0"/>
                              <w:widowControl w:val="0"/>
                              <w:kinsoku/>
                              <w:wordWrap/>
                              <w:overflowPunct/>
                              <w:topLinePunct w:val="0"/>
                              <w:bidi w:val="0"/>
                              <w:adjustRightInd/>
                              <w:snapToGrid/>
                              <w:spacing w:line="276" w:lineRule="auto"/>
                              <w:ind w:firstLine="840" w:firstLineChars="400"/>
                              <w:textAlignment w:val="auto"/>
                              <w:rPr>
                                <w:rFonts w:hint="eastAsia" w:ascii="黑体" w:hAnsi="黑体" w:eastAsia="黑体" w:cs="黑体"/>
                                <w:lang w:val="en-US" w:eastAsia="zh-CN"/>
                              </w:rPr>
                            </w:pPr>
                            <w:r>
                              <w:rPr>
                                <w:rFonts w:hint="eastAsia" w:ascii="黑体" w:hAnsi="黑体" w:eastAsia="黑体" w:cs="黑体"/>
                                <w:lang w:val="en-US" w:eastAsia="zh-CN"/>
                              </w:rPr>
                              <w:t>大气现状监测点</w:t>
                            </w:r>
                          </w:p>
                        </w:txbxContent>
                      </v:textbox>
                    </v:shape>
                  </w:pict>
                </mc:Fallback>
              </mc:AlternateContent>
            </w:r>
          </w:p>
          <w:p w14:paraId="08D45D6B">
            <w:pPr>
              <w:keepNext w:val="0"/>
              <w:keepLines w:val="0"/>
              <w:suppressLineNumbers w:val="0"/>
              <w:spacing w:before="0" w:beforeAutospacing="0" w:after="0" w:afterAutospacing="0"/>
              <w:ind w:left="0" w:right="0"/>
              <w:rPr>
                <w:rFonts w:hint="eastAsia"/>
                <w:color w:val="auto"/>
              </w:rPr>
            </w:pPr>
          </w:p>
          <w:p w14:paraId="10C88FA9">
            <w:pPr>
              <w:keepNext w:val="0"/>
              <w:keepLines w:val="0"/>
              <w:suppressLineNumbers w:val="0"/>
              <w:spacing w:before="0" w:beforeAutospacing="0" w:after="0" w:afterAutospacing="0"/>
              <w:ind w:left="0" w:right="0"/>
              <w:rPr>
                <w:rFonts w:hint="eastAsia"/>
                <w:color w:val="auto"/>
              </w:rPr>
            </w:pPr>
            <w:r>
              <w:rPr>
                <w:rFonts w:hint="default"/>
                <w:color w:val="auto"/>
                <w:sz w:val="21"/>
              </w:rPr>
              <mc:AlternateContent>
                <mc:Choice Requires="wps">
                  <w:drawing>
                    <wp:anchor distT="0" distB="0" distL="114300" distR="114300" simplePos="0" relativeHeight="251674624" behindDoc="0" locked="0" layoutInCell="1" allowOverlap="1">
                      <wp:simplePos x="0" y="0"/>
                      <wp:positionH relativeFrom="column">
                        <wp:posOffset>3434080</wp:posOffset>
                      </wp:positionH>
                      <wp:positionV relativeFrom="paragraph">
                        <wp:posOffset>19050</wp:posOffset>
                      </wp:positionV>
                      <wp:extent cx="200025" cy="95250"/>
                      <wp:effectExtent l="6350" t="6350" r="22225" b="12700"/>
                      <wp:wrapNone/>
                      <wp:docPr id="49" name="矩形 49"/>
                      <wp:cNvGraphicFramePr/>
                      <a:graphic xmlns:a="http://schemas.openxmlformats.org/drawingml/2006/main">
                        <a:graphicData uri="http://schemas.microsoft.com/office/word/2010/wordprocessingShape">
                          <wps:wsp>
                            <wps:cNvSpPr/>
                            <wps:spPr>
                              <a:xfrm>
                                <a:off x="4013835" y="4550410"/>
                                <a:ext cx="200025" cy="95250"/>
                              </a:xfrm>
                              <a:prstGeom prst="rect">
                                <a:avLst/>
                              </a:prstGeom>
                              <a:noFill/>
                              <a:ln w="12700" cmpd="sng">
                                <a:solidFill>
                                  <a:srgbClr val="FF0000"/>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0.4pt;margin-top:1.5pt;height:7.5pt;width:15.75pt;z-index:251674624;v-text-anchor:middle;mso-width-relative:page;mso-height-relative:page;" filled="f" stroked="t" coordsize="21600,21600" o:gfxdata="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Hi8VUfVAAAACAEAAA8AAAAAAAAAAQAgAAAAIgAAAGRycy9kb3ducmV2LnhtbFBLAQIU&#10;ABQAAAAIAIdO4kC2f4SPaAIAAMAEAAAOAAAAAAAAAAEAIAAAACQBAABkcnMvZTJvRG9jLnhtbFBL&#10;BQYAAAAABgAGAFkBAAD+BQAAAAA=&#10;">
                      <v:fill on="f" focussize="0,0"/>
                      <v:stroke weight="1pt" color="#FF0000 [2404]" joinstyle="round"/>
                      <v:imagedata o:title=""/>
                      <o:lock v:ext="edit" aspectratio="f"/>
                    </v:rect>
                  </w:pict>
                </mc:Fallback>
              </mc:AlternateContent>
            </w:r>
          </w:p>
          <w:p w14:paraId="72C8109E">
            <w:pPr>
              <w:keepNext w:val="0"/>
              <w:keepLines w:val="0"/>
              <w:suppressLineNumbers w:val="0"/>
              <w:spacing w:before="0" w:beforeAutospacing="0" w:after="0" w:afterAutospacing="0"/>
              <w:ind w:left="0" w:right="0"/>
              <w:rPr>
                <w:rFonts w:hint="eastAsia"/>
                <w:color w:val="auto"/>
              </w:rPr>
            </w:pPr>
            <w:r>
              <w:rPr>
                <w:rFonts w:hint="default"/>
                <w:color w:val="auto"/>
                <w:sz w:val="24"/>
              </w:rPr>
              <mc:AlternateContent>
                <mc:Choice Requires="wps">
                  <w:drawing>
                    <wp:anchor distT="0" distB="0" distL="114300" distR="114300" simplePos="0" relativeHeight="251673600" behindDoc="0" locked="0" layoutInCell="1" allowOverlap="1">
                      <wp:simplePos x="0" y="0"/>
                      <wp:positionH relativeFrom="column">
                        <wp:posOffset>3477895</wp:posOffset>
                      </wp:positionH>
                      <wp:positionV relativeFrom="paragraph">
                        <wp:posOffset>64770</wp:posOffset>
                      </wp:positionV>
                      <wp:extent cx="106680" cy="96520"/>
                      <wp:effectExtent l="4445" t="4445" r="22225" b="13335"/>
                      <wp:wrapNone/>
                      <wp:docPr id="47" name="椭圆 83461"/>
                      <wp:cNvGraphicFramePr/>
                      <a:graphic xmlns:a="http://schemas.openxmlformats.org/drawingml/2006/main">
                        <a:graphicData uri="http://schemas.microsoft.com/office/word/2010/wordprocessingShape">
                          <wps:wsp>
                            <wps:cNvSpPr/>
                            <wps:spPr>
                              <a:xfrm>
                                <a:off x="0" y="0"/>
                                <a:ext cx="106680" cy="96520"/>
                              </a:xfrm>
                              <a:prstGeom prst="ellipse">
                                <a:avLst/>
                              </a:prstGeom>
                              <a:solidFill>
                                <a:srgbClr val="FFFFFF"/>
                              </a:solidFill>
                              <a:ln w="9525" cap="flat" cmpd="sng">
                                <a:solidFill>
                                  <a:srgbClr val="000000"/>
                                </a:solidFill>
                                <a:prstDash val="solid"/>
                                <a:headEnd type="none" w="med" len="med"/>
                                <a:tailEnd type="triangle" w="sm" len="lg"/>
                              </a:ln>
                            </wps:spPr>
                            <wps:bodyPr upright="1"/>
                          </wps:wsp>
                        </a:graphicData>
                      </a:graphic>
                    </wp:anchor>
                  </w:drawing>
                </mc:Choice>
                <mc:Fallback>
                  <w:pict>
                    <v:shape id="椭圆 83461" o:spid="_x0000_s1026" o:spt="3" type="#_x0000_t3" style="position:absolute;left:0pt;margin-left:273.85pt;margin-top:5.1pt;height:7.6pt;width:8.4pt;z-index:251673600;mso-width-relative:page;mso-height-relative:page;" fillcolor="#FFFFFF" filled="t" stroked="t" coordsize="21600,21600" o:gfxdata="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GSHVG9kAAAAJAQAADwAAAAAAAAABACAAAAAiAAAA&#10;ZHJzL2Rvd25yZXYueG1sUEsBAhQAFAAAAAgAh07iQG/uwlgGAgAAHAQAAA4AAAAAAAAAAQAgAAAA&#10;KAEAAGRycy9lMm9Eb2MueG1sUEsFBgAAAAAGAAYAWQEAAKAFAAAAAA==&#10;">
                      <v:fill on="t" focussize="0,0"/>
                      <v:stroke color="#000000" joinstyle="round" endarrow="block" endarrowwidth="narrow" endarrowlength="long"/>
                      <v:imagedata o:title=""/>
                      <o:lock v:ext="edit" aspectratio="f"/>
                    </v:shape>
                  </w:pict>
                </mc:Fallback>
              </mc:AlternateContent>
            </w:r>
          </w:p>
          <w:p w14:paraId="1B083875">
            <w:pPr>
              <w:keepNext w:val="0"/>
              <w:keepLines w:val="0"/>
              <w:suppressLineNumbers w:val="0"/>
              <w:spacing w:before="0" w:beforeAutospacing="0" w:after="0" w:afterAutospacing="0"/>
              <w:ind w:left="0" w:right="0"/>
              <w:rPr>
                <w:rFonts w:hint="eastAsia"/>
                <w:color w:val="auto"/>
              </w:rPr>
            </w:pPr>
          </w:p>
          <w:p w14:paraId="364B27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color w:val="auto"/>
                <w:sz w:val="24"/>
                <w:szCs w:val="24"/>
                <w:highlight w:val="none"/>
              </w:rPr>
            </w:pPr>
            <w:r>
              <w:rPr>
                <w:rFonts w:hint="default" w:ascii="Times New Roman" w:hAnsi="Times New Roman" w:eastAsia="黑体" w:cs="Times New Roman"/>
                <w:color w:val="auto"/>
                <w:sz w:val="24"/>
                <w:szCs w:val="24"/>
                <w:lang w:val="en-US" w:eastAsia="zh-CN"/>
              </w:rPr>
              <w:t>图</w:t>
            </w:r>
            <w:r>
              <w:rPr>
                <w:rFonts w:hint="eastAsia" w:eastAsia="黑体" w:cs="Times New Roman"/>
                <w:color w:val="auto"/>
                <w:sz w:val="24"/>
                <w:szCs w:val="24"/>
                <w:lang w:val="en-US" w:eastAsia="zh-CN"/>
              </w:rPr>
              <w:t>3-1</w:t>
            </w:r>
            <w:r>
              <w:rPr>
                <w:rFonts w:hint="default" w:ascii="Times New Roman" w:hAnsi="Times New Roman" w:eastAsia="黑体" w:cs="Times New Roman"/>
                <w:color w:val="auto"/>
                <w:sz w:val="24"/>
                <w:szCs w:val="24"/>
                <w:lang w:val="en-US" w:eastAsia="zh-CN"/>
              </w:rPr>
              <w:t xml:space="preserve"> </w:t>
            </w:r>
            <w:r>
              <w:rPr>
                <w:rFonts w:hint="eastAsia" w:ascii="Times New Roman" w:hAnsi="Times New Roman" w:eastAsia="黑体" w:cs="Times New Roman"/>
                <w:color w:val="auto"/>
                <w:sz w:val="24"/>
                <w:szCs w:val="24"/>
                <w:lang w:val="en-US" w:eastAsia="zh-CN"/>
              </w:rPr>
              <w:t>大气环境质量现状监测引用点位示意图</w:t>
            </w:r>
          </w:p>
          <w:p w14:paraId="6FB94B74">
            <w:pPr>
              <w:keepNext w:val="0"/>
              <w:keepLines w:val="0"/>
              <w:suppressLineNumbers w:val="0"/>
              <w:spacing w:before="0" w:beforeAutospacing="0" w:after="0" w:afterAutospacing="0" w:line="360" w:lineRule="auto"/>
              <w:ind w:left="0" w:right="0" w:firstLine="482" w:firstLineChars="200"/>
              <w:rPr>
                <w:rFonts w:hint="default" w:ascii="Times New Roman Regular" w:hAnsi="Times New Roman Regular" w:cs="Times New Roman Regular"/>
                <w:b/>
                <w:color w:val="auto"/>
                <w:sz w:val="24"/>
                <w:szCs w:val="28"/>
                <w:highlight w:val="none"/>
              </w:rPr>
            </w:pPr>
            <w:r>
              <w:rPr>
                <w:rFonts w:hint="default" w:ascii="Times New Roman Regular" w:hAnsi="Times New Roman Regular" w:cs="Times New Roman Regular"/>
                <w:b/>
                <w:color w:val="auto"/>
                <w:sz w:val="24"/>
                <w:szCs w:val="28"/>
                <w:highlight w:val="none"/>
              </w:rPr>
              <w:t>二、地表水</w:t>
            </w:r>
            <w:r>
              <w:rPr>
                <w:rFonts w:hint="eastAsia" w:ascii="Times New Roman Regular" w:hAnsi="Times New Roman Regular" w:cs="Times New Roman Regular"/>
                <w:b/>
                <w:color w:val="auto"/>
                <w:sz w:val="24"/>
                <w:szCs w:val="28"/>
                <w:highlight w:val="none"/>
                <w:lang w:val="en-US" w:eastAsia="zh-CN"/>
              </w:rPr>
              <w:t>环境</w:t>
            </w:r>
            <w:r>
              <w:rPr>
                <w:rFonts w:hint="default" w:ascii="Times New Roman Regular" w:hAnsi="Times New Roman Regular" w:cs="Times New Roman Regular"/>
                <w:b/>
                <w:color w:val="auto"/>
                <w:sz w:val="24"/>
                <w:szCs w:val="28"/>
                <w:highlight w:val="none"/>
              </w:rPr>
              <w:t>质量现状</w:t>
            </w:r>
          </w:p>
          <w:p w14:paraId="0D9FE9B0">
            <w:pPr>
              <w:keepNext w:val="0"/>
              <w:keepLines w:val="0"/>
              <w:suppressLineNumbers w:val="0"/>
              <w:autoSpaceDE w:val="0"/>
              <w:autoSpaceDN w:val="0"/>
              <w:spacing w:before="0" w:beforeAutospacing="0" w:after="0" w:afterAutospacing="0" w:line="360" w:lineRule="auto"/>
              <w:ind w:left="0" w:right="0" w:firstLine="480" w:firstLineChars="200"/>
              <w:rPr>
                <w:rFonts w:hint="eastAsia" w:ascii="Times New Roman Regular" w:hAnsi="Times New Roman Regular" w:cs="Times New Roman Regular"/>
                <w:color w:val="auto"/>
                <w:sz w:val="24"/>
                <w:szCs w:val="24"/>
                <w:highlight w:val="none"/>
                <w:lang w:val="en-US" w:eastAsia="zh-CN"/>
              </w:rPr>
            </w:pPr>
            <w:r>
              <w:rPr>
                <w:rFonts w:hint="eastAsia" w:ascii="Times New Roman Regular" w:hAnsi="Times New Roman Regular" w:cs="Times New Roman Regular"/>
                <w:color w:val="auto"/>
                <w:sz w:val="24"/>
                <w:szCs w:val="24"/>
                <w:highlight w:val="none"/>
                <w:lang w:val="en-US" w:eastAsia="zh-CN"/>
              </w:rPr>
              <w:t>本项目产生的循环冷却系统排水与经化粪池预处理后的生活污水一并经厂区废水总排口接管至凤台县污水处理厂处理后排入架河，最终进入淮河。</w:t>
            </w:r>
          </w:p>
          <w:p w14:paraId="64B9C1F5">
            <w:pPr>
              <w:keepNext w:val="0"/>
              <w:keepLines w:val="0"/>
              <w:suppressLineNumbers w:val="0"/>
              <w:autoSpaceDE w:val="0"/>
              <w:autoSpaceDN w:val="0"/>
              <w:spacing w:before="0" w:beforeAutospacing="0" w:after="0" w:afterAutospacing="0" w:line="360" w:lineRule="auto"/>
              <w:ind w:left="0" w:right="0" w:firstLine="480" w:firstLineChars="200"/>
              <w:rPr>
                <w:rFonts w:hint="eastAsia" w:ascii="Times New Roman" w:hAnsi="Times New Roman"/>
                <w:color w:val="auto"/>
                <w:sz w:val="24"/>
                <w:highlight w:val="none"/>
              </w:rPr>
            </w:pPr>
            <w:r>
              <w:rPr>
                <w:rFonts w:hint="default" w:ascii="Times New Roman" w:hAnsi="Times New Roman"/>
                <w:color w:val="auto"/>
                <w:sz w:val="24"/>
                <w:highlight w:val="none"/>
              </w:rPr>
              <w:t>根据淮南市生态环境局发布的《</w:t>
            </w:r>
            <w:r>
              <w:rPr>
                <w:rFonts w:hint="eastAsia" w:ascii="Times New Roman" w:hAnsi="Times New Roman"/>
                <w:color w:val="auto"/>
                <w:sz w:val="24"/>
                <w:highlight w:val="none"/>
              </w:rPr>
              <w:t>20</w:t>
            </w:r>
            <w:r>
              <w:rPr>
                <w:rFonts w:hint="eastAsia" w:ascii="Times New Roman" w:hAnsi="Times New Roman"/>
                <w:color w:val="auto"/>
                <w:sz w:val="24"/>
                <w:highlight w:val="none"/>
                <w:lang w:val="en-US" w:eastAsia="zh-CN"/>
              </w:rPr>
              <w:t>26</w:t>
            </w:r>
            <w:r>
              <w:rPr>
                <w:rFonts w:hint="eastAsia" w:ascii="Times New Roman" w:hAnsi="Times New Roman"/>
                <w:color w:val="auto"/>
                <w:sz w:val="24"/>
                <w:highlight w:val="none"/>
              </w:rPr>
              <w:t>年</w:t>
            </w:r>
            <w:r>
              <w:rPr>
                <w:rFonts w:hint="eastAsia"/>
                <w:color w:val="auto"/>
                <w:sz w:val="24"/>
                <w:highlight w:val="none"/>
                <w:lang w:val="en-US" w:eastAsia="zh-CN"/>
              </w:rPr>
              <w:t>4月</w:t>
            </w:r>
            <w:r>
              <w:rPr>
                <w:rFonts w:hint="eastAsia" w:ascii="Times New Roman" w:hAnsi="Times New Roman"/>
                <w:color w:val="auto"/>
                <w:sz w:val="24"/>
                <w:highlight w:val="none"/>
              </w:rPr>
              <w:t>环境质量</w:t>
            </w:r>
            <w:r>
              <w:rPr>
                <w:rFonts w:hint="eastAsia"/>
                <w:color w:val="auto"/>
                <w:sz w:val="24"/>
                <w:highlight w:val="none"/>
                <w:lang w:val="en-US" w:eastAsia="zh-CN"/>
              </w:rPr>
              <w:t>月</w:t>
            </w:r>
            <w:r>
              <w:rPr>
                <w:rFonts w:hint="eastAsia" w:ascii="Times New Roman" w:hAnsi="Times New Roman"/>
                <w:color w:val="auto"/>
                <w:sz w:val="24"/>
                <w:highlight w:val="none"/>
              </w:rPr>
              <w:t>报</w:t>
            </w:r>
            <w:r>
              <w:rPr>
                <w:rFonts w:hint="default" w:ascii="Times New Roman" w:hAnsi="Times New Roman"/>
                <w:color w:val="auto"/>
                <w:sz w:val="24"/>
                <w:highlight w:val="none"/>
              </w:rPr>
              <w:t>》</w:t>
            </w:r>
            <w:r>
              <w:rPr>
                <w:rFonts w:hint="eastAsia" w:ascii="Times New Roman" w:hAnsi="Times New Roman"/>
                <w:color w:val="auto"/>
                <w:sz w:val="24"/>
                <w:highlight w:val="none"/>
              </w:rPr>
              <w:t>中的内容，</w:t>
            </w:r>
            <w:r>
              <w:rPr>
                <w:rFonts w:hint="eastAsia"/>
                <w:color w:val="auto"/>
                <w:sz w:val="24"/>
                <w:highlight w:val="none"/>
                <w:lang w:val="en-US" w:eastAsia="zh-CN"/>
              </w:rPr>
              <w:t>架河</w:t>
            </w:r>
            <w:r>
              <w:rPr>
                <w:rFonts w:hint="eastAsia" w:ascii="Times New Roman" w:hAnsi="Times New Roman"/>
                <w:color w:val="auto"/>
                <w:sz w:val="24"/>
                <w:highlight w:val="none"/>
              </w:rPr>
              <w:t>评价结果见下表。</w:t>
            </w:r>
          </w:p>
          <w:p w14:paraId="11114F9B">
            <w:pPr>
              <w:keepNext w:val="0"/>
              <w:keepLines w:val="0"/>
              <w:suppressLineNumbers w:val="0"/>
              <w:spacing w:before="0" w:beforeAutospacing="0" w:after="0" w:afterAutospacing="0"/>
              <w:ind w:left="0" w:right="0"/>
              <w:rPr>
                <w:rFonts w:hint="eastAsia"/>
              </w:rPr>
            </w:pPr>
          </w:p>
          <w:p w14:paraId="7EBD2474">
            <w:pPr>
              <w:keepNext w:val="0"/>
              <w:keepLines w:val="0"/>
              <w:suppressLineNumbers w:val="0"/>
              <w:spacing w:before="0" w:beforeAutospacing="0" w:after="0" w:afterAutospacing="0"/>
              <w:ind w:left="0" w:right="0"/>
              <w:rPr>
                <w:rFonts w:hint="eastAsia"/>
              </w:rPr>
            </w:pPr>
          </w:p>
          <w:p w14:paraId="5EC47B9B">
            <w:pPr>
              <w:keepNext w:val="0"/>
              <w:keepLines w:val="0"/>
              <w:suppressLineNumbers w:val="0"/>
              <w:spacing w:before="0" w:beforeAutospacing="0" w:after="0" w:afterAutospacing="0"/>
              <w:ind w:left="0" w:right="0"/>
              <w:rPr>
                <w:rFonts w:hint="eastAsia"/>
              </w:rPr>
            </w:pPr>
          </w:p>
          <w:p w14:paraId="746A1246">
            <w:pPr>
              <w:keepNext w:val="0"/>
              <w:keepLines w:val="0"/>
              <w:suppressLineNumbers w:val="0"/>
              <w:spacing w:before="0" w:beforeAutospacing="0" w:after="0" w:afterAutospacing="0"/>
              <w:ind w:left="0" w:right="0"/>
              <w:rPr>
                <w:rFonts w:hint="eastAsia"/>
              </w:rPr>
            </w:pPr>
          </w:p>
          <w:p w14:paraId="741AE47F">
            <w:pPr>
              <w:keepNext w:val="0"/>
              <w:keepLines w:val="0"/>
              <w:suppressLineNumbers w:val="0"/>
              <w:spacing w:before="0" w:beforeAutospacing="0" w:after="0" w:afterAutospacing="0"/>
              <w:ind w:left="0" w:right="0"/>
              <w:rPr>
                <w:rFonts w:hint="default"/>
              </w:rPr>
            </w:pPr>
          </w:p>
          <w:p w14:paraId="34CA8D51">
            <w:pPr>
              <w:keepNext w:val="0"/>
              <w:keepLines w:val="0"/>
              <w:suppressLineNumbers w:val="0"/>
              <w:spacing w:before="0" w:beforeAutospacing="0" w:after="0" w:afterAutospacing="0" w:line="360" w:lineRule="auto"/>
              <w:ind w:left="0" w:right="0"/>
              <w:jc w:val="center"/>
              <w:rPr>
                <w:rFonts w:hint="default" w:ascii="Times New Roman" w:hAnsi="Times New Roman" w:eastAsia="黑体"/>
                <w:color w:val="auto"/>
                <w:sz w:val="24"/>
                <w:szCs w:val="24"/>
                <w:highlight w:val="none"/>
              </w:rPr>
            </w:pPr>
            <w:r>
              <w:rPr>
                <w:rFonts w:hint="default" w:ascii="Times New Roman" w:hAnsi="Times New Roman" w:eastAsia="黑体"/>
                <w:color w:val="auto"/>
                <w:sz w:val="24"/>
                <w:szCs w:val="21"/>
                <w:highlight w:val="none"/>
              </w:rPr>
              <w:t>表3-</w:t>
            </w:r>
            <w:r>
              <w:rPr>
                <w:rFonts w:hint="eastAsia" w:ascii="Times New Roman" w:hAnsi="Times New Roman" w:eastAsia="黑体"/>
                <w:color w:val="auto"/>
                <w:sz w:val="24"/>
                <w:szCs w:val="21"/>
                <w:highlight w:val="none"/>
              </w:rPr>
              <w:t xml:space="preserve">3  </w:t>
            </w:r>
            <w:r>
              <w:rPr>
                <w:rFonts w:hint="default" w:ascii="Times New Roman" w:hAnsi="Times New Roman" w:eastAsia="黑体"/>
                <w:color w:val="auto"/>
                <w:sz w:val="24"/>
                <w:szCs w:val="21"/>
                <w:highlight w:val="none"/>
              </w:rPr>
              <w:t>地表水环境质量监测结果一览表</w:t>
            </w:r>
          </w:p>
          <w:tbl>
            <w:tblPr>
              <w:tblStyle w:val="37"/>
              <w:tblW w:w="5000" w:type="pct"/>
              <w:tblInd w:w="0" w:type="dxa"/>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868"/>
              <w:gridCol w:w="1520"/>
              <w:gridCol w:w="1088"/>
              <w:gridCol w:w="1736"/>
              <w:gridCol w:w="1088"/>
              <w:gridCol w:w="1518"/>
            </w:tblGrid>
            <w:tr w14:paraId="3E66FB08">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555" w:type="pct"/>
                  <w:noWrap w:val="0"/>
                  <w:vAlign w:val="center"/>
                </w:tcPr>
                <w:p w14:paraId="3BCC949F">
                  <w:pPr>
                    <w:keepNext w:val="0"/>
                    <w:keepLines w:val="0"/>
                    <w:suppressLineNumbers w:val="0"/>
                    <w:autoSpaceDE w:val="0"/>
                    <w:autoSpaceDN w:val="0"/>
                    <w:spacing w:before="0" w:beforeAutospacing="0" w:after="0" w:afterAutospacing="0" w:line="276" w:lineRule="auto"/>
                    <w:ind w:left="0" w:right="0"/>
                    <w:jc w:val="center"/>
                    <w:rPr>
                      <w:rFonts w:hint="default" w:ascii="Times New Roman" w:hAnsi="Times New Roman"/>
                      <w:b/>
                      <w:color w:val="auto"/>
                      <w:szCs w:val="21"/>
                      <w:highlight w:val="none"/>
                    </w:rPr>
                  </w:pPr>
                  <w:r>
                    <w:rPr>
                      <w:rFonts w:hint="default" w:ascii="Times New Roman" w:hAnsi="Times New Roman"/>
                      <w:b/>
                      <w:color w:val="auto"/>
                      <w:szCs w:val="21"/>
                      <w:highlight w:val="none"/>
                    </w:rPr>
                    <w:t>河流</w:t>
                  </w:r>
                </w:p>
              </w:tc>
              <w:tc>
                <w:tcPr>
                  <w:tcW w:w="972" w:type="pct"/>
                  <w:noWrap w:val="0"/>
                  <w:vAlign w:val="center"/>
                </w:tcPr>
                <w:p w14:paraId="4CAEF8D0">
                  <w:pPr>
                    <w:keepNext w:val="0"/>
                    <w:keepLines w:val="0"/>
                    <w:suppressLineNumbers w:val="0"/>
                    <w:autoSpaceDE w:val="0"/>
                    <w:autoSpaceDN w:val="0"/>
                    <w:spacing w:before="0" w:beforeAutospacing="0" w:after="0" w:afterAutospacing="0" w:line="276" w:lineRule="auto"/>
                    <w:ind w:left="0" w:right="0"/>
                    <w:jc w:val="center"/>
                    <w:rPr>
                      <w:rFonts w:hint="default" w:ascii="Times New Roman" w:hAnsi="Times New Roman"/>
                      <w:b/>
                      <w:color w:val="auto"/>
                      <w:szCs w:val="21"/>
                      <w:highlight w:val="none"/>
                    </w:rPr>
                  </w:pPr>
                  <w:r>
                    <w:rPr>
                      <w:rFonts w:hint="default" w:ascii="Times New Roman" w:hAnsi="Times New Roman"/>
                      <w:b/>
                      <w:color w:val="auto"/>
                      <w:szCs w:val="21"/>
                      <w:highlight w:val="none"/>
                    </w:rPr>
                    <w:t>断面名称</w:t>
                  </w:r>
                </w:p>
                <w:p w14:paraId="5150FE25">
                  <w:pPr>
                    <w:keepNext w:val="0"/>
                    <w:keepLines w:val="0"/>
                    <w:suppressLineNumbers w:val="0"/>
                    <w:autoSpaceDE w:val="0"/>
                    <w:autoSpaceDN w:val="0"/>
                    <w:spacing w:before="0" w:beforeAutospacing="0" w:after="0" w:afterAutospacing="0" w:line="276" w:lineRule="auto"/>
                    <w:ind w:left="0" w:right="0"/>
                    <w:jc w:val="center"/>
                    <w:rPr>
                      <w:rFonts w:hint="default" w:ascii="Times New Roman" w:hAnsi="Times New Roman"/>
                      <w:b/>
                      <w:color w:val="auto"/>
                      <w:szCs w:val="21"/>
                      <w:highlight w:val="none"/>
                    </w:rPr>
                  </w:pPr>
                  <w:r>
                    <w:rPr>
                      <w:rFonts w:hint="default" w:ascii="Times New Roman" w:hAnsi="Times New Roman"/>
                      <w:b/>
                      <w:color w:val="auto"/>
                      <w:szCs w:val="21"/>
                      <w:highlight w:val="none"/>
                    </w:rPr>
                    <w:t>（考核城市）</w:t>
                  </w:r>
                </w:p>
              </w:tc>
              <w:tc>
                <w:tcPr>
                  <w:tcW w:w="696" w:type="pct"/>
                  <w:noWrap w:val="0"/>
                  <w:vAlign w:val="center"/>
                </w:tcPr>
                <w:p w14:paraId="2C8E943B">
                  <w:pPr>
                    <w:keepNext w:val="0"/>
                    <w:keepLines w:val="0"/>
                    <w:suppressLineNumbers w:val="0"/>
                    <w:autoSpaceDE w:val="0"/>
                    <w:autoSpaceDN w:val="0"/>
                    <w:spacing w:before="0" w:beforeAutospacing="0" w:after="0" w:afterAutospacing="0" w:line="276" w:lineRule="auto"/>
                    <w:ind w:left="0" w:right="0"/>
                    <w:jc w:val="center"/>
                    <w:rPr>
                      <w:rFonts w:hint="default" w:ascii="Times New Roman" w:hAnsi="Times New Roman"/>
                      <w:b/>
                      <w:color w:val="auto"/>
                      <w:szCs w:val="21"/>
                      <w:highlight w:val="none"/>
                    </w:rPr>
                  </w:pPr>
                  <w:r>
                    <w:rPr>
                      <w:rFonts w:hint="default" w:ascii="Times New Roman" w:hAnsi="Times New Roman"/>
                      <w:b/>
                      <w:color w:val="auto"/>
                      <w:szCs w:val="21"/>
                      <w:highlight w:val="none"/>
                    </w:rPr>
                    <w:t>本月水质</w:t>
                  </w:r>
                </w:p>
              </w:tc>
              <w:tc>
                <w:tcPr>
                  <w:tcW w:w="1110" w:type="pct"/>
                  <w:noWrap w:val="0"/>
                  <w:vAlign w:val="center"/>
                </w:tcPr>
                <w:p w14:paraId="1025E641">
                  <w:pPr>
                    <w:keepNext w:val="0"/>
                    <w:keepLines w:val="0"/>
                    <w:suppressLineNumbers w:val="0"/>
                    <w:autoSpaceDE w:val="0"/>
                    <w:autoSpaceDN w:val="0"/>
                    <w:spacing w:before="0" w:beforeAutospacing="0" w:after="0" w:afterAutospacing="0" w:line="276" w:lineRule="auto"/>
                    <w:ind w:left="0" w:right="0"/>
                    <w:jc w:val="center"/>
                    <w:rPr>
                      <w:rFonts w:hint="default" w:ascii="Times New Roman" w:hAnsi="Times New Roman"/>
                      <w:b/>
                      <w:color w:val="auto"/>
                      <w:szCs w:val="21"/>
                      <w:highlight w:val="none"/>
                    </w:rPr>
                  </w:pPr>
                  <w:r>
                    <w:rPr>
                      <w:rFonts w:hint="default" w:ascii="Times New Roman" w:hAnsi="Times New Roman"/>
                      <w:b/>
                      <w:color w:val="auto"/>
                      <w:szCs w:val="21"/>
                      <w:highlight w:val="none"/>
                    </w:rPr>
                    <w:t>超标因子及倍数</w:t>
                  </w:r>
                </w:p>
              </w:tc>
              <w:tc>
                <w:tcPr>
                  <w:tcW w:w="696" w:type="pct"/>
                  <w:noWrap w:val="0"/>
                  <w:vAlign w:val="center"/>
                </w:tcPr>
                <w:p w14:paraId="6603F048">
                  <w:pPr>
                    <w:keepNext w:val="0"/>
                    <w:keepLines w:val="0"/>
                    <w:suppressLineNumbers w:val="0"/>
                    <w:autoSpaceDE w:val="0"/>
                    <w:autoSpaceDN w:val="0"/>
                    <w:spacing w:before="0" w:beforeAutospacing="0" w:after="0" w:afterAutospacing="0" w:line="276" w:lineRule="auto"/>
                    <w:ind w:left="0" w:right="0"/>
                    <w:jc w:val="center"/>
                    <w:rPr>
                      <w:rFonts w:hint="default" w:ascii="Times New Roman" w:hAnsi="Times New Roman"/>
                      <w:b/>
                      <w:color w:val="auto"/>
                      <w:szCs w:val="21"/>
                      <w:highlight w:val="none"/>
                    </w:rPr>
                  </w:pPr>
                  <w:r>
                    <w:rPr>
                      <w:rFonts w:hint="default" w:ascii="Times New Roman" w:hAnsi="Times New Roman"/>
                      <w:b/>
                      <w:color w:val="auto"/>
                      <w:szCs w:val="21"/>
                      <w:highlight w:val="none"/>
                    </w:rPr>
                    <w:t>上月水质</w:t>
                  </w:r>
                </w:p>
              </w:tc>
              <w:tc>
                <w:tcPr>
                  <w:tcW w:w="972" w:type="pct"/>
                  <w:noWrap w:val="0"/>
                  <w:vAlign w:val="center"/>
                </w:tcPr>
                <w:p w14:paraId="55DE2E72">
                  <w:pPr>
                    <w:keepNext w:val="0"/>
                    <w:keepLines w:val="0"/>
                    <w:suppressLineNumbers w:val="0"/>
                    <w:autoSpaceDE w:val="0"/>
                    <w:autoSpaceDN w:val="0"/>
                    <w:spacing w:before="0" w:beforeAutospacing="0" w:after="0" w:afterAutospacing="0" w:line="276" w:lineRule="auto"/>
                    <w:ind w:left="0" w:right="0"/>
                    <w:jc w:val="center"/>
                    <w:rPr>
                      <w:rFonts w:hint="default" w:ascii="Times New Roman" w:hAnsi="Times New Roman"/>
                      <w:b/>
                      <w:color w:val="auto"/>
                      <w:szCs w:val="21"/>
                      <w:highlight w:val="none"/>
                    </w:rPr>
                  </w:pPr>
                  <w:r>
                    <w:rPr>
                      <w:rFonts w:hint="default" w:ascii="Times New Roman" w:hAnsi="Times New Roman"/>
                      <w:b/>
                      <w:color w:val="auto"/>
                      <w:szCs w:val="21"/>
                      <w:highlight w:val="none"/>
                    </w:rPr>
                    <w:t>去年同期水质</w:t>
                  </w:r>
                </w:p>
              </w:tc>
            </w:tr>
            <w:tr w14:paraId="630482E9">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555" w:type="pct"/>
                  <w:noWrap w:val="0"/>
                  <w:vAlign w:val="center"/>
                </w:tcPr>
                <w:p w14:paraId="64B1255D">
                  <w:pPr>
                    <w:keepNext w:val="0"/>
                    <w:keepLines w:val="0"/>
                    <w:suppressLineNumbers w:val="0"/>
                    <w:autoSpaceDE w:val="0"/>
                    <w:autoSpaceDN w:val="0"/>
                    <w:spacing w:before="0" w:beforeAutospacing="0" w:after="0" w:afterAutospacing="0" w:line="276" w:lineRule="auto"/>
                    <w:ind w:left="0" w:right="0"/>
                    <w:jc w:val="center"/>
                    <w:rPr>
                      <w:rFonts w:hint="default" w:ascii="Times New Roman" w:hAnsi="Times New Roman"/>
                      <w:color w:val="auto"/>
                      <w:szCs w:val="21"/>
                      <w:highlight w:val="none"/>
                    </w:rPr>
                  </w:pPr>
                  <w:r>
                    <w:rPr>
                      <w:rFonts w:hint="eastAsia" w:ascii="Times New Roman" w:hAnsi="Times New Roman"/>
                      <w:color w:val="auto"/>
                      <w:szCs w:val="21"/>
                      <w:highlight w:val="none"/>
                    </w:rPr>
                    <w:t>架河</w:t>
                  </w:r>
                </w:p>
              </w:tc>
              <w:tc>
                <w:tcPr>
                  <w:tcW w:w="972" w:type="pct"/>
                  <w:noWrap w:val="0"/>
                  <w:vAlign w:val="center"/>
                </w:tcPr>
                <w:p w14:paraId="7B8862D8">
                  <w:pPr>
                    <w:keepNext w:val="0"/>
                    <w:keepLines w:val="0"/>
                    <w:suppressLineNumbers w:val="0"/>
                    <w:autoSpaceDE w:val="0"/>
                    <w:autoSpaceDN w:val="0"/>
                    <w:spacing w:before="0" w:beforeAutospacing="0" w:after="0" w:afterAutospacing="0" w:line="276" w:lineRule="auto"/>
                    <w:ind w:left="0" w:right="0"/>
                    <w:jc w:val="center"/>
                    <w:rPr>
                      <w:rFonts w:hint="default" w:ascii="Times New Roman" w:hAnsi="Times New Roman"/>
                      <w:color w:val="auto"/>
                      <w:szCs w:val="21"/>
                      <w:highlight w:val="none"/>
                    </w:rPr>
                  </w:pPr>
                  <w:r>
                    <w:rPr>
                      <w:rFonts w:hint="default" w:ascii="Times New Roman" w:hAnsi="Times New Roman"/>
                      <w:color w:val="auto"/>
                      <w:szCs w:val="21"/>
                      <w:highlight w:val="none"/>
                    </w:rPr>
                    <w:t>架河入淮口</w:t>
                  </w:r>
                </w:p>
              </w:tc>
              <w:tc>
                <w:tcPr>
                  <w:tcW w:w="696" w:type="pct"/>
                  <w:noWrap w:val="0"/>
                  <w:vAlign w:val="center"/>
                </w:tcPr>
                <w:p w14:paraId="13158C69">
                  <w:pPr>
                    <w:keepNext w:val="0"/>
                    <w:keepLines w:val="0"/>
                    <w:suppressLineNumbers w:val="0"/>
                    <w:autoSpaceDE w:val="0"/>
                    <w:autoSpaceDN w:val="0"/>
                    <w:spacing w:before="0" w:beforeAutospacing="0" w:after="0" w:afterAutospacing="0" w:line="276" w:lineRule="auto"/>
                    <w:ind w:left="0" w:right="0"/>
                    <w:jc w:val="center"/>
                    <w:rPr>
                      <w:rFonts w:hint="default" w:ascii="Times New Roman" w:hAnsi="Times New Roman"/>
                      <w:color w:val="auto"/>
                      <w:szCs w:val="21"/>
                      <w:highlight w:val="none"/>
                    </w:rPr>
                  </w:pPr>
                  <w:r>
                    <w:rPr>
                      <w:rFonts w:hint="default" w:ascii="Times New Roman" w:hAnsi="Times New Roman"/>
                      <w:bCs/>
                      <w:color w:val="auto"/>
                      <w:szCs w:val="21"/>
                      <w:highlight w:val="none"/>
                    </w:rPr>
                    <w:t>Ⅲ</w:t>
                  </w:r>
                </w:p>
              </w:tc>
              <w:tc>
                <w:tcPr>
                  <w:tcW w:w="1110" w:type="pct"/>
                  <w:noWrap w:val="0"/>
                  <w:vAlign w:val="center"/>
                </w:tcPr>
                <w:p w14:paraId="091CA412">
                  <w:pPr>
                    <w:keepNext w:val="0"/>
                    <w:keepLines w:val="0"/>
                    <w:suppressLineNumbers w:val="0"/>
                    <w:autoSpaceDE w:val="0"/>
                    <w:autoSpaceDN w:val="0"/>
                    <w:spacing w:before="0" w:beforeAutospacing="0" w:after="0" w:afterAutospacing="0" w:line="276" w:lineRule="auto"/>
                    <w:ind w:left="0" w:right="0"/>
                    <w:jc w:val="center"/>
                    <w:rPr>
                      <w:rFonts w:hint="default" w:ascii="Times New Roman" w:hAnsi="Times New Roman"/>
                      <w:color w:val="auto"/>
                      <w:szCs w:val="21"/>
                      <w:highlight w:val="none"/>
                    </w:rPr>
                  </w:pPr>
                  <w:r>
                    <w:rPr>
                      <w:rFonts w:hint="eastAsia" w:ascii="Times New Roman" w:hAnsi="Times New Roman"/>
                      <w:color w:val="auto"/>
                      <w:szCs w:val="21"/>
                      <w:highlight w:val="none"/>
                    </w:rPr>
                    <w:t>/</w:t>
                  </w:r>
                </w:p>
              </w:tc>
              <w:tc>
                <w:tcPr>
                  <w:tcW w:w="696" w:type="pct"/>
                  <w:noWrap w:val="0"/>
                  <w:vAlign w:val="center"/>
                </w:tcPr>
                <w:p w14:paraId="77EA6D51">
                  <w:pPr>
                    <w:keepNext w:val="0"/>
                    <w:keepLines w:val="0"/>
                    <w:suppressLineNumbers w:val="0"/>
                    <w:spacing w:before="0" w:beforeAutospacing="0" w:after="0" w:afterAutospacing="0"/>
                    <w:ind w:left="0" w:right="0"/>
                    <w:jc w:val="center"/>
                    <w:rPr>
                      <w:rFonts w:hint="default"/>
                      <w:color w:val="auto"/>
                      <w:highlight w:val="none"/>
                    </w:rPr>
                  </w:pPr>
                  <w:r>
                    <w:rPr>
                      <w:rFonts w:hint="default" w:ascii="Times New Roman" w:hAnsi="Times New Roman"/>
                      <w:bCs/>
                      <w:color w:val="auto"/>
                      <w:szCs w:val="21"/>
                      <w:highlight w:val="none"/>
                    </w:rPr>
                    <w:t>Ⅲ</w:t>
                  </w:r>
                </w:p>
              </w:tc>
              <w:tc>
                <w:tcPr>
                  <w:tcW w:w="972" w:type="pct"/>
                  <w:noWrap w:val="0"/>
                  <w:vAlign w:val="center"/>
                </w:tcPr>
                <w:p w14:paraId="5E6F0619">
                  <w:pPr>
                    <w:keepNext w:val="0"/>
                    <w:keepLines w:val="0"/>
                    <w:suppressLineNumbers w:val="0"/>
                    <w:spacing w:before="0" w:beforeAutospacing="0" w:after="0" w:afterAutospacing="0"/>
                    <w:ind w:left="0" w:right="0"/>
                    <w:jc w:val="center"/>
                    <w:rPr>
                      <w:rFonts w:hint="default"/>
                      <w:color w:val="auto"/>
                      <w:highlight w:val="none"/>
                    </w:rPr>
                  </w:pPr>
                  <w:r>
                    <w:rPr>
                      <w:rFonts w:hint="default" w:ascii="Times New Roman" w:hAnsi="Times New Roman"/>
                      <w:bCs/>
                      <w:color w:val="auto"/>
                      <w:szCs w:val="21"/>
                      <w:highlight w:val="none"/>
                    </w:rPr>
                    <w:t>Ⅲ</w:t>
                  </w:r>
                </w:p>
              </w:tc>
            </w:tr>
          </w:tbl>
          <w:p w14:paraId="56B6C9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color w:val="auto"/>
                <w:sz w:val="24"/>
                <w:szCs w:val="24"/>
                <w:highlight w:val="none"/>
              </w:rPr>
            </w:pPr>
            <w:r>
              <w:rPr>
                <w:rFonts w:hint="eastAsia" w:ascii="Times New Roman" w:hAnsi="Times New Roman"/>
                <w:color w:val="auto"/>
                <w:sz w:val="24"/>
                <w:highlight w:val="none"/>
              </w:rPr>
              <w:t>由上表可知，架河水质满足《地表水环境质量标准》（</w:t>
            </w:r>
            <w:r>
              <w:rPr>
                <w:rFonts w:hint="default" w:ascii="Times New Roman" w:hAnsi="Times New Roman"/>
                <w:color w:val="auto"/>
                <w:sz w:val="24"/>
                <w:highlight w:val="none"/>
              </w:rPr>
              <w:t>GB3838-2002</w:t>
            </w:r>
            <w:r>
              <w:rPr>
                <w:rFonts w:hint="eastAsia" w:ascii="Times New Roman" w:hAnsi="Times New Roman"/>
                <w:color w:val="auto"/>
                <w:sz w:val="24"/>
                <w:highlight w:val="none"/>
              </w:rPr>
              <w:t>）</w:t>
            </w:r>
            <w:r>
              <w:rPr>
                <w:rFonts w:hint="default" w:ascii="Times New Roman" w:hAnsi="Times New Roman"/>
                <w:bCs/>
                <w:color w:val="auto"/>
                <w:sz w:val="24"/>
                <w:highlight w:val="none"/>
              </w:rPr>
              <w:t>Ⅲ</w:t>
            </w:r>
            <w:r>
              <w:rPr>
                <w:rFonts w:hint="eastAsia" w:ascii="Times New Roman" w:hAnsi="Times New Roman"/>
                <w:color w:val="auto"/>
                <w:sz w:val="24"/>
                <w:highlight w:val="none"/>
              </w:rPr>
              <w:t>类标准要求，故评价区域内地表水环境质量达标</w:t>
            </w:r>
            <w:r>
              <w:rPr>
                <w:rFonts w:hint="default" w:ascii="Times New Roman" w:hAnsi="Times New Roman"/>
                <w:color w:val="auto"/>
                <w:sz w:val="24"/>
                <w:szCs w:val="24"/>
                <w:highlight w:val="none"/>
              </w:rPr>
              <w:t>。</w:t>
            </w:r>
          </w:p>
          <w:p w14:paraId="5FFE2BAD">
            <w:pPr>
              <w:keepNext w:val="0"/>
              <w:keepLines w:val="0"/>
              <w:suppressLineNumbers w:val="0"/>
              <w:spacing w:before="0" w:beforeAutospacing="0" w:after="0" w:afterAutospacing="0" w:line="360" w:lineRule="auto"/>
              <w:ind w:left="0" w:right="0" w:firstLine="482" w:firstLineChars="200"/>
              <w:rPr>
                <w:rFonts w:hint="default"/>
                <w:b/>
                <w:bCs/>
                <w:color w:val="auto"/>
                <w:sz w:val="24"/>
                <w:szCs w:val="28"/>
              </w:rPr>
            </w:pPr>
            <w:r>
              <w:rPr>
                <w:rFonts w:hint="eastAsia"/>
                <w:b/>
                <w:bCs/>
                <w:color w:val="auto"/>
                <w:sz w:val="24"/>
                <w:szCs w:val="28"/>
              </w:rPr>
              <w:t>三、声环境质量现状</w:t>
            </w:r>
          </w:p>
          <w:p w14:paraId="2896D95E">
            <w:pPr>
              <w:keepNext w:val="0"/>
              <w:keepLines w:val="0"/>
              <w:suppressLineNumbers w:val="0"/>
              <w:spacing w:before="0" w:beforeAutospacing="0" w:after="0" w:afterAutospacing="0" w:line="360" w:lineRule="auto"/>
              <w:ind w:left="0" w:right="0" w:firstLine="480" w:firstLineChars="200"/>
              <w:rPr>
                <w:rFonts w:hint="eastAsia"/>
                <w:color w:val="auto"/>
                <w:sz w:val="24"/>
                <w:lang w:val="en-US" w:eastAsia="zh-CN"/>
              </w:rPr>
            </w:pPr>
            <w:r>
              <w:rPr>
                <w:rFonts w:hint="eastAsia"/>
                <w:color w:val="auto"/>
                <w:sz w:val="24"/>
              </w:rPr>
              <w:t>根据现场勘查，项目厂界外50m范围内</w:t>
            </w:r>
            <w:r>
              <w:rPr>
                <w:rFonts w:hint="eastAsia"/>
                <w:color w:val="auto"/>
                <w:sz w:val="24"/>
                <w:lang w:val="en-US" w:eastAsia="zh-CN"/>
              </w:rPr>
              <w:t>不</w:t>
            </w:r>
            <w:r>
              <w:rPr>
                <w:rFonts w:hint="eastAsia"/>
                <w:color w:val="auto"/>
                <w:sz w:val="24"/>
              </w:rPr>
              <w:t>存在</w:t>
            </w:r>
            <w:r>
              <w:rPr>
                <w:rFonts w:hint="eastAsia"/>
                <w:color w:val="auto"/>
                <w:sz w:val="24"/>
                <w:lang w:val="en-US" w:eastAsia="zh-CN"/>
              </w:rPr>
              <w:t>声环境保护目标。</w:t>
            </w:r>
          </w:p>
          <w:p w14:paraId="0A9171DC">
            <w:pPr>
              <w:keepNext w:val="0"/>
              <w:keepLines w:val="0"/>
              <w:suppressLineNumbers w:val="0"/>
              <w:spacing w:before="0" w:beforeAutospacing="0" w:after="0" w:afterAutospacing="0" w:line="360" w:lineRule="auto"/>
              <w:ind w:left="0" w:right="0" w:firstLine="482" w:firstLineChars="200"/>
              <w:rPr>
                <w:rFonts w:hint="default"/>
                <w:b/>
                <w:bCs/>
                <w:color w:val="auto"/>
                <w:sz w:val="24"/>
                <w:szCs w:val="28"/>
              </w:rPr>
            </w:pPr>
            <w:r>
              <w:rPr>
                <w:rFonts w:hint="eastAsia"/>
                <w:b/>
                <w:bCs/>
                <w:color w:val="auto"/>
                <w:sz w:val="24"/>
                <w:szCs w:val="28"/>
              </w:rPr>
              <w:t>四、生态环境</w:t>
            </w:r>
          </w:p>
          <w:p w14:paraId="4F6861C6">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hAnsi="宋体"/>
                <w:color w:val="auto"/>
                <w:sz w:val="24"/>
                <w:szCs w:val="24"/>
              </w:rPr>
              <w:t>本项目位于</w:t>
            </w:r>
            <w:r>
              <w:rPr>
                <w:rFonts w:hint="eastAsia" w:hAnsi="宋体"/>
                <w:color w:val="auto"/>
                <w:sz w:val="24"/>
                <w:szCs w:val="24"/>
                <w:lang w:val="en-US" w:eastAsia="zh-CN"/>
              </w:rPr>
              <w:t>安徽省淮南市凤台县凤台经济开发区电子智能制造产业园52#标准化厂房一层、二层、三层、四层</w:t>
            </w:r>
            <w:r>
              <w:rPr>
                <w:rFonts w:hint="eastAsia"/>
                <w:color w:val="auto"/>
                <w:sz w:val="24"/>
              </w:rPr>
              <w:t>，</w:t>
            </w:r>
            <w:r>
              <w:rPr>
                <w:rFonts w:hint="eastAsia"/>
                <w:color w:val="auto"/>
                <w:sz w:val="24"/>
                <w:lang w:val="en-US" w:eastAsia="zh-CN"/>
              </w:rPr>
              <w:t>为规划工业用</w:t>
            </w:r>
            <w:r>
              <w:rPr>
                <w:rFonts w:hint="default" w:ascii="Times New Roman" w:hAnsi="Times New Roman" w:eastAsia="宋体" w:cs="Times New Roman"/>
                <w:color w:val="auto"/>
                <w:sz w:val="24"/>
                <w:szCs w:val="24"/>
                <w:lang w:val="en-US" w:eastAsia="zh-CN"/>
              </w:rPr>
              <w:t>地</w:t>
            </w:r>
            <w:r>
              <w:rPr>
                <w:rFonts w:hint="default" w:ascii="Times New Roman" w:hAnsi="Times New Roman" w:eastAsia="宋体" w:cs="Times New Roman"/>
                <w:color w:val="auto"/>
                <w:sz w:val="24"/>
                <w:szCs w:val="24"/>
              </w:rPr>
              <w:t>，</w:t>
            </w:r>
            <w:r>
              <w:rPr>
                <w:rFonts w:hint="eastAsia" w:ascii="Times New Roman Regular" w:hAnsi="Times New Roman Regular" w:eastAsia="宋体" w:cs="Times New Roman Regular"/>
                <w:color w:val="auto"/>
                <w:sz w:val="24"/>
                <w:szCs w:val="24"/>
                <w:highlight w:val="none"/>
                <w:lang w:val="en-US" w:eastAsia="zh-CN"/>
              </w:rPr>
              <w:t>用地范围内无生态环境保护目标，无需进行生态</w:t>
            </w:r>
            <w:r>
              <w:rPr>
                <w:rFonts w:hint="eastAsia" w:ascii="Times New Roman Regular" w:hAnsi="Times New Roman Regular" w:cs="Times New Roman Regular"/>
                <w:color w:val="auto"/>
                <w:sz w:val="24"/>
                <w:szCs w:val="24"/>
                <w:highlight w:val="none"/>
                <w:lang w:val="en-US" w:eastAsia="zh-CN"/>
              </w:rPr>
              <w:t>环境</w:t>
            </w:r>
            <w:r>
              <w:rPr>
                <w:rFonts w:hint="eastAsia" w:ascii="Times New Roman Regular" w:hAnsi="Times New Roman Regular" w:eastAsia="宋体" w:cs="Times New Roman Regular"/>
                <w:color w:val="auto"/>
                <w:sz w:val="24"/>
                <w:szCs w:val="24"/>
                <w:highlight w:val="none"/>
                <w:lang w:val="en-US" w:eastAsia="zh-CN"/>
              </w:rPr>
              <w:t>现状调查。</w:t>
            </w:r>
          </w:p>
          <w:p w14:paraId="67EC2C1E">
            <w:pPr>
              <w:keepNext w:val="0"/>
              <w:keepLines w:val="0"/>
              <w:suppressLineNumbers w:val="0"/>
              <w:spacing w:before="0" w:beforeAutospacing="0" w:after="0" w:afterAutospacing="0" w:line="360" w:lineRule="auto"/>
              <w:ind w:left="0" w:right="0" w:firstLine="482" w:firstLineChars="200"/>
              <w:rPr>
                <w:rFonts w:hint="default"/>
                <w:b/>
                <w:color w:val="auto"/>
                <w:sz w:val="24"/>
              </w:rPr>
            </w:pPr>
            <w:r>
              <w:rPr>
                <w:rFonts w:hint="eastAsia"/>
                <w:b/>
                <w:color w:val="auto"/>
                <w:sz w:val="24"/>
              </w:rPr>
              <w:t>五、地下水、土壤环境</w:t>
            </w:r>
          </w:p>
          <w:p w14:paraId="4BA73CF2">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ascii="Times New Roman" w:hAnsi="Times New Roman"/>
                <w:bCs/>
                <w:color w:val="auto"/>
                <w:sz w:val="24"/>
              </w:rPr>
              <w:t>根据《建设项目环境影响报告表编制技术指南（污染影响类（试行））》，原则上不开展环境质量现状调查。</w:t>
            </w:r>
            <w:r>
              <w:rPr>
                <w:rFonts w:hint="default" w:ascii="Times New Roman" w:hAnsi="Times New Roman"/>
                <w:bCs/>
                <w:color w:val="auto"/>
                <w:sz w:val="24"/>
              </w:rPr>
              <w:t>本项目无地下隐蔽式储罐，采取有效的防渗防漏措施后，基本无污染地下水、土壤环境途径。项目周边500m范围内无地下水集中式饮用水水源和热水、矿泉水、温泉等特殊地下水资源，故本次不开展土壤、地下水环境质量现状调查</w:t>
            </w:r>
            <w:r>
              <w:rPr>
                <w:rFonts w:hint="eastAsia"/>
                <w:color w:val="auto"/>
                <w:sz w:val="24"/>
              </w:rPr>
              <w:t>。</w:t>
            </w:r>
          </w:p>
          <w:p w14:paraId="5FFE286F">
            <w:pPr>
              <w:keepNext w:val="0"/>
              <w:keepLines w:val="0"/>
              <w:suppressLineNumbers w:val="0"/>
              <w:bidi w:val="0"/>
              <w:spacing w:before="0" w:beforeAutospacing="0" w:after="0" w:afterAutospacing="0" w:line="360" w:lineRule="auto"/>
              <w:ind w:left="0" w:right="0"/>
              <w:rPr>
                <w:rFonts w:hint="default"/>
                <w:color w:val="auto"/>
              </w:rPr>
            </w:pPr>
          </w:p>
          <w:p w14:paraId="140A29BB">
            <w:pPr>
              <w:keepNext w:val="0"/>
              <w:keepLines w:val="0"/>
              <w:suppressLineNumbers w:val="0"/>
              <w:bidi w:val="0"/>
              <w:spacing w:before="0" w:beforeAutospacing="0" w:after="0" w:afterAutospacing="0" w:line="360" w:lineRule="auto"/>
              <w:ind w:left="0" w:right="0"/>
              <w:rPr>
                <w:rFonts w:hint="default"/>
                <w:color w:val="auto"/>
              </w:rPr>
            </w:pPr>
          </w:p>
          <w:p w14:paraId="0FCBF84E">
            <w:pPr>
              <w:keepNext w:val="0"/>
              <w:keepLines w:val="0"/>
              <w:suppressLineNumbers w:val="0"/>
              <w:bidi w:val="0"/>
              <w:spacing w:before="0" w:beforeAutospacing="0" w:after="0" w:afterAutospacing="0" w:line="360" w:lineRule="auto"/>
              <w:ind w:left="0" w:right="0"/>
              <w:rPr>
                <w:rFonts w:hint="default"/>
                <w:color w:val="auto"/>
              </w:rPr>
            </w:pPr>
          </w:p>
          <w:p w14:paraId="61DE40CB">
            <w:pPr>
              <w:keepNext w:val="0"/>
              <w:keepLines w:val="0"/>
              <w:suppressLineNumbers w:val="0"/>
              <w:bidi w:val="0"/>
              <w:spacing w:before="0" w:beforeAutospacing="0" w:after="0" w:afterAutospacing="0" w:line="360" w:lineRule="auto"/>
              <w:ind w:left="0" w:right="0"/>
              <w:rPr>
                <w:rFonts w:hint="default"/>
                <w:color w:val="auto"/>
              </w:rPr>
            </w:pPr>
          </w:p>
          <w:p w14:paraId="476F190F">
            <w:pPr>
              <w:keepNext w:val="0"/>
              <w:keepLines w:val="0"/>
              <w:suppressLineNumbers w:val="0"/>
              <w:bidi w:val="0"/>
              <w:spacing w:before="0" w:beforeAutospacing="0" w:after="0" w:afterAutospacing="0" w:line="360" w:lineRule="auto"/>
              <w:ind w:left="0" w:right="0"/>
              <w:rPr>
                <w:rFonts w:hint="default"/>
                <w:color w:val="auto"/>
              </w:rPr>
            </w:pPr>
          </w:p>
          <w:p w14:paraId="47780B77">
            <w:pPr>
              <w:keepNext w:val="0"/>
              <w:keepLines w:val="0"/>
              <w:suppressLineNumbers w:val="0"/>
              <w:bidi w:val="0"/>
              <w:spacing w:before="0" w:beforeAutospacing="0" w:after="0" w:afterAutospacing="0" w:line="360" w:lineRule="auto"/>
              <w:ind w:left="0" w:right="0"/>
              <w:rPr>
                <w:rFonts w:hint="default"/>
                <w:color w:val="auto"/>
              </w:rPr>
            </w:pPr>
          </w:p>
          <w:p w14:paraId="62A6BB97">
            <w:pPr>
              <w:keepNext w:val="0"/>
              <w:keepLines w:val="0"/>
              <w:suppressLineNumbers w:val="0"/>
              <w:bidi w:val="0"/>
              <w:spacing w:before="0" w:beforeAutospacing="0" w:after="0" w:afterAutospacing="0" w:line="360" w:lineRule="auto"/>
              <w:ind w:left="0" w:right="0"/>
              <w:rPr>
                <w:rFonts w:hint="default"/>
                <w:color w:val="auto"/>
              </w:rPr>
            </w:pPr>
          </w:p>
          <w:p w14:paraId="614E5B1B">
            <w:pPr>
              <w:keepNext w:val="0"/>
              <w:keepLines w:val="0"/>
              <w:suppressLineNumbers w:val="0"/>
              <w:bidi w:val="0"/>
              <w:spacing w:before="0" w:beforeAutospacing="0" w:after="0" w:afterAutospacing="0" w:line="360" w:lineRule="auto"/>
              <w:ind w:left="0" w:right="0"/>
              <w:rPr>
                <w:rFonts w:hint="default"/>
                <w:color w:val="auto"/>
              </w:rPr>
            </w:pPr>
          </w:p>
          <w:p w14:paraId="40C667C4">
            <w:pPr>
              <w:keepNext w:val="0"/>
              <w:keepLines w:val="0"/>
              <w:suppressLineNumbers w:val="0"/>
              <w:bidi w:val="0"/>
              <w:spacing w:before="0" w:beforeAutospacing="0" w:after="0" w:afterAutospacing="0" w:line="360" w:lineRule="auto"/>
              <w:ind w:left="0" w:right="0"/>
              <w:rPr>
                <w:rFonts w:hint="default"/>
                <w:color w:val="auto"/>
              </w:rPr>
            </w:pPr>
          </w:p>
          <w:p w14:paraId="43B9698D">
            <w:pPr>
              <w:keepNext w:val="0"/>
              <w:keepLines w:val="0"/>
              <w:suppressLineNumbers w:val="0"/>
              <w:bidi w:val="0"/>
              <w:spacing w:before="0" w:beforeAutospacing="0" w:after="0" w:afterAutospacing="0" w:line="360" w:lineRule="auto"/>
              <w:ind w:left="0" w:right="0"/>
              <w:rPr>
                <w:rFonts w:hint="default"/>
                <w:color w:val="auto"/>
              </w:rPr>
            </w:pPr>
          </w:p>
          <w:p w14:paraId="7C669F3B">
            <w:pPr>
              <w:keepNext w:val="0"/>
              <w:keepLines w:val="0"/>
              <w:suppressLineNumbers w:val="0"/>
              <w:bidi w:val="0"/>
              <w:spacing w:before="0" w:beforeAutospacing="0" w:after="0" w:afterAutospacing="0" w:line="360" w:lineRule="auto"/>
              <w:ind w:left="0" w:right="0"/>
              <w:rPr>
                <w:rFonts w:hint="default"/>
                <w:color w:val="auto"/>
                <w:sz w:val="24"/>
                <w:szCs w:val="24"/>
              </w:rPr>
            </w:pPr>
          </w:p>
          <w:p w14:paraId="29DEB9D2">
            <w:pPr>
              <w:pStyle w:val="19"/>
              <w:keepNext w:val="0"/>
              <w:keepLines w:val="0"/>
              <w:suppressLineNumbers w:val="0"/>
              <w:spacing w:before="0" w:beforeAutospacing="0" w:afterAutospacing="0"/>
              <w:ind w:left="0" w:leftChars="0" w:right="0" w:firstLine="0" w:firstLineChars="0"/>
              <w:rPr>
                <w:rFonts w:hint="default"/>
                <w:color w:val="auto"/>
              </w:rPr>
            </w:pPr>
          </w:p>
        </w:tc>
      </w:tr>
    </w:tbl>
    <w:p w14:paraId="36F6EDB2">
      <w:pPr>
        <w:widowControl/>
        <w:outlineLvl w:val="0"/>
        <w:rPr>
          <w:rFonts w:ascii="宋体" w:hAnsi="宋体"/>
          <w:b/>
          <w:bCs/>
          <w:color w:val="auto"/>
          <w:kern w:val="0"/>
          <w:sz w:val="30"/>
          <w:szCs w:val="30"/>
        </w:rPr>
        <w:sectPr>
          <w:pgSz w:w="11906" w:h="16838"/>
          <w:pgMar w:top="1440" w:right="1508" w:bottom="1440" w:left="1797" w:header="851" w:footer="992" w:gutter="0"/>
          <w:pgBorders>
            <w:top w:val="none" w:sz="0" w:space="0"/>
            <w:left w:val="none" w:sz="0" w:space="0"/>
            <w:bottom w:val="none" w:sz="0" w:space="0"/>
            <w:right w:val="none" w:sz="0" w:space="0"/>
          </w:pgBorders>
          <w:cols w:space="720" w:num="1"/>
          <w:docGrid w:type="lines" w:linePitch="312" w:charSpace="0"/>
        </w:sectPr>
      </w:pPr>
      <w:bookmarkStart w:id="12" w:name="_Toc354926676"/>
    </w:p>
    <w:tbl>
      <w:tblPr>
        <w:tblStyle w:val="37"/>
        <w:tblW w:w="0" w:type="auto"/>
        <w:tblInd w:w="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51"/>
        <w:gridCol w:w="8018"/>
      </w:tblGrid>
      <w:tr w14:paraId="2DA5E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1" w:type="dxa"/>
            <w:vAlign w:val="center"/>
          </w:tcPr>
          <w:p w14:paraId="7B790CAC">
            <w:pPr>
              <w:pStyle w:val="183"/>
              <w:keepNext w:val="0"/>
              <w:keepLines w:val="0"/>
              <w:suppressLineNumbers w:val="0"/>
              <w:spacing w:before="0" w:beforeAutospacing="0" w:after="0" w:afterAutospacing="0" w:line="360" w:lineRule="auto"/>
              <w:ind w:left="0" w:right="0" w:firstLine="0"/>
              <w:jc w:val="center"/>
              <w:rPr>
                <w:rFonts w:hint="default" w:hAnsi="宋体"/>
                <w:color w:val="auto"/>
                <w:szCs w:val="22"/>
              </w:rPr>
            </w:pPr>
            <w:r>
              <w:rPr>
                <w:rFonts w:hint="default" w:hAnsi="宋体"/>
                <w:color w:val="auto"/>
                <w:szCs w:val="22"/>
              </w:rPr>
              <w:t>环境保护目标</w:t>
            </w:r>
          </w:p>
        </w:tc>
        <w:tc>
          <w:tcPr>
            <w:tcW w:w="8018" w:type="dxa"/>
          </w:tcPr>
          <w:p w14:paraId="539C69FC">
            <w:pPr>
              <w:keepNext w:val="0"/>
              <w:keepLines w:val="0"/>
              <w:suppressLineNumbers w:val="0"/>
              <w:spacing w:before="0" w:beforeAutospacing="0" w:after="0" w:afterAutospacing="0" w:line="360" w:lineRule="auto"/>
              <w:ind w:left="0" w:right="0" w:firstLine="480" w:firstLineChars="200"/>
              <w:jc w:val="left"/>
              <w:rPr>
                <w:rFonts w:hint="default"/>
                <w:bCs/>
                <w:color w:val="auto"/>
                <w:kern w:val="0"/>
                <w:sz w:val="24"/>
              </w:rPr>
            </w:pPr>
            <w:r>
              <w:rPr>
                <w:rFonts w:hint="default"/>
                <w:bCs/>
                <w:color w:val="auto"/>
                <w:kern w:val="0"/>
                <w:sz w:val="24"/>
              </w:rPr>
              <w:t>根据建设项目地理位置和性质，项目</w:t>
            </w:r>
            <w:r>
              <w:rPr>
                <w:rFonts w:hint="eastAsia"/>
                <w:bCs/>
                <w:color w:val="auto"/>
                <w:kern w:val="0"/>
                <w:sz w:val="24"/>
              </w:rPr>
              <w:t>500m范围内存在</w:t>
            </w:r>
            <w:r>
              <w:rPr>
                <w:rFonts w:hint="eastAsia"/>
                <w:bCs/>
                <w:color w:val="auto"/>
                <w:kern w:val="0"/>
                <w:sz w:val="24"/>
                <w:lang w:val="en-US" w:eastAsia="zh-CN"/>
              </w:rPr>
              <w:t>2处</w:t>
            </w:r>
            <w:r>
              <w:rPr>
                <w:rFonts w:hint="eastAsia"/>
                <w:bCs/>
                <w:color w:val="auto"/>
                <w:kern w:val="0"/>
                <w:sz w:val="24"/>
              </w:rPr>
              <w:t>大气环境保护目标</w:t>
            </w:r>
            <w:r>
              <w:rPr>
                <w:rFonts w:hint="eastAsia"/>
                <w:bCs/>
                <w:color w:val="auto"/>
                <w:kern w:val="0"/>
                <w:sz w:val="24"/>
                <w:lang w:eastAsia="zh-CN"/>
              </w:rPr>
              <w:t>（</w:t>
            </w:r>
            <w:r>
              <w:rPr>
                <w:rFonts w:hint="eastAsia"/>
                <w:bCs/>
                <w:color w:val="auto"/>
                <w:kern w:val="0"/>
                <w:sz w:val="24"/>
                <w:lang w:val="en-US" w:eastAsia="zh-CN"/>
              </w:rPr>
              <w:t>距项目西侧厂界最近约250m</w:t>
            </w:r>
            <w:r>
              <w:rPr>
                <w:rFonts w:hint="eastAsia"/>
                <w:bCs/>
                <w:color w:val="auto"/>
                <w:kern w:val="0"/>
                <w:sz w:val="24"/>
                <w:lang w:eastAsia="zh-CN"/>
              </w:rPr>
              <w:t>）</w:t>
            </w:r>
            <w:r>
              <w:rPr>
                <w:rFonts w:hint="eastAsia"/>
                <w:bCs/>
                <w:color w:val="auto"/>
                <w:kern w:val="0"/>
                <w:sz w:val="24"/>
              </w:rPr>
              <w:t>，50m范围内</w:t>
            </w:r>
            <w:r>
              <w:rPr>
                <w:rFonts w:hint="eastAsia"/>
                <w:bCs/>
                <w:color w:val="auto"/>
                <w:kern w:val="0"/>
                <w:sz w:val="24"/>
                <w:lang w:val="en-US" w:eastAsia="zh-CN"/>
              </w:rPr>
              <w:t>不</w:t>
            </w:r>
            <w:r>
              <w:rPr>
                <w:rFonts w:hint="eastAsia"/>
                <w:bCs/>
                <w:color w:val="auto"/>
                <w:kern w:val="0"/>
                <w:sz w:val="24"/>
              </w:rPr>
              <w:t>存在声环境保护目标，本项目</w:t>
            </w:r>
            <w:r>
              <w:rPr>
                <w:rFonts w:hint="default"/>
                <w:bCs/>
                <w:color w:val="auto"/>
                <w:kern w:val="0"/>
                <w:sz w:val="24"/>
              </w:rPr>
              <w:t>周边主要环境保护对象见下表</w:t>
            </w:r>
            <w:r>
              <w:rPr>
                <w:rFonts w:hint="eastAsia"/>
                <w:bCs/>
                <w:color w:val="auto"/>
                <w:kern w:val="0"/>
                <w:sz w:val="24"/>
                <w:lang w:val="en-US" w:eastAsia="zh-CN"/>
              </w:rPr>
              <w:t>3-4</w:t>
            </w:r>
            <w:r>
              <w:rPr>
                <w:rFonts w:hint="default"/>
                <w:bCs/>
                <w:color w:val="auto"/>
                <w:kern w:val="0"/>
                <w:sz w:val="24"/>
              </w:rPr>
              <w:t>及附图</w:t>
            </w:r>
            <w:r>
              <w:rPr>
                <w:rFonts w:hint="eastAsia"/>
                <w:bCs/>
                <w:color w:val="auto"/>
                <w:kern w:val="0"/>
                <w:sz w:val="24"/>
                <w:lang w:val="en-US" w:eastAsia="zh-CN"/>
              </w:rPr>
              <w:t>3</w:t>
            </w:r>
            <w:r>
              <w:rPr>
                <w:rFonts w:hint="default"/>
                <w:bCs/>
                <w:color w:val="auto"/>
                <w:kern w:val="0"/>
                <w:sz w:val="24"/>
              </w:rPr>
              <w:t>。</w:t>
            </w:r>
          </w:p>
          <w:p w14:paraId="3FF0050B">
            <w:pPr>
              <w:keepNext w:val="0"/>
              <w:keepLines w:val="0"/>
              <w:suppressLineNumbers w:val="0"/>
              <w:spacing w:before="0" w:beforeAutospacing="0" w:after="0" w:afterAutospacing="0" w:line="360" w:lineRule="auto"/>
              <w:ind w:left="0" w:right="0"/>
              <w:jc w:val="center"/>
              <w:rPr>
                <w:rFonts w:hint="default" w:eastAsia="黑体"/>
                <w:bCs/>
                <w:color w:val="auto"/>
                <w:sz w:val="24"/>
                <w:szCs w:val="24"/>
              </w:rPr>
            </w:pPr>
            <w:r>
              <w:rPr>
                <w:rFonts w:hint="default" w:eastAsia="黑体"/>
                <w:color w:val="auto"/>
                <w:sz w:val="24"/>
                <w:szCs w:val="24"/>
              </w:rPr>
              <w:t>表</w:t>
            </w:r>
            <w:r>
              <w:rPr>
                <w:rFonts w:hint="eastAsia" w:eastAsia="黑体"/>
                <w:color w:val="auto"/>
                <w:sz w:val="24"/>
                <w:szCs w:val="24"/>
                <w:lang w:val="en-US" w:eastAsia="zh-CN"/>
              </w:rPr>
              <w:t>3-4</w:t>
            </w:r>
            <w:r>
              <w:rPr>
                <w:rFonts w:hint="eastAsia" w:eastAsia="黑体"/>
                <w:color w:val="auto"/>
                <w:sz w:val="24"/>
                <w:szCs w:val="24"/>
              </w:rPr>
              <w:t xml:space="preserve"> </w:t>
            </w:r>
            <w:r>
              <w:rPr>
                <w:rFonts w:hint="default" w:eastAsia="黑体"/>
                <w:color w:val="auto"/>
                <w:sz w:val="24"/>
                <w:szCs w:val="24"/>
              </w:rPr>
              <w:t>项目主要环境保护目标</w:t>
            </w:r>
            <w:r>
              <w:rPr>
                <w:rFonts w:hint="eastAsia" w:eastAsia="黑体"/>
                <w:color w:val="auto"/>
                <w:sz w:val="24"/>
                <w:szCs w:val="24"/>
              </w:rPr>
              <w:t>一览表</w:t>
            </w:r>
          </w:p>
          <w:tbl>
            <w:tblPr>
              <w:tblStyle w:val="38"/>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063"/>
              <w:gridCol w:w="1521"/>
              <w:gridCol w:w="950"/>
              <w:gridCol w:w="637"/>
              <w:gridCol w:w="712"/>
              <w:gridCol w:w="1126"/>
              <w:gridCol w:w="1790"/>
            </w:tblGrid>
            <w:tr w14:paraId="2B4121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681" w:type="pct"/>
                  <w:vAlign w:val="center"/>
                </w:tcPr>
                <w:p w14:paraId="3DF9ACC3">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环境要素</w:t>
                  </w:r>
                </w:p>
              </w:tc>
              <w:tc>
                <w:tcPr>
                  <w:tcW w:w="975" w:type="pct"/>
                  <w:vAlign w:val="center"/>
                </w:tcPr>
                <w:p w14:paraId="737C7F93">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环境保护目标</w:t>
                  </w:r>
                </w:p>
              </w:tc>
              <w:tc>
                <w:tcPr>
                  <w:tcW w:w="609" w:type="pct"/>
                  <w:vAlign w:val="center"/>
                </w:tcPr>
                <w:p w14:paraId="03603C56">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坐标/m</w:t>
                  </w:r>
                </w:p>
                <w:p w14:paraId="2C4F5DD0">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（X,Y）</w:t>
                  </w:r>
                </w:p>
              </w:tc>
              <w:tc>
                <w:tcPr>
                  <w:tcW w:w="408" w:type="pct"/>
                  <w:vAlign w:val="center"/>
                </w:tcPr>
                <w:p w14:paraId="23A6B82F">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方位</w:t>
                  </w:r>
                </w:p>
              </w:tc>
              <w:tc>
                <w:tcPr>
                  <w:tcW w:w="456" w:type="pct"/>
                  <w:vAlign w:val="center"/>
                </w:tcPr>
                <w:p w14:paraId="60891844">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距离</w:t>
                  </w:r>
                </w:p>
                <w:p w14:paraId="0BEE2ED8">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（m）</w:t>
                  </w:r>
                </w:p>
              </w:tc>
              <w:tc>
                <w:tcPr>
                  <w:tcW w:w="721" w:type="pct"/>
                  <w:vAlign w:val="center"/>
                </w:tcPr>
                <w:p w14:paraId="3FD0603F">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规模</w:t>
                  </w:r>
                </w:p>
              </w:tc>
              <w:tc>
                <w:tcPr>
                  <w:tcW w:w="1147" w:type="pct"/>
                  <w:vAlign w:val="center"/>
                </w:tcPr>
                <w:p w14:paraId="4B8786B4">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环境功能</w:t>
                  </w:r>
                </w:p>
              </w:tc>
            </w:tr>
            <w:tr w14:paraId="4E0FA1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681" w:type="pct"/>
                  <w:vMerge w:val="restart"/>
                  <w:vAlign w:val="center"/>
                </w:tcPr>
                <w:p w14:paraId="47CF7194">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大气环境</w:t>
                  </w:r>
                </w:p>
              </w:tc>
              <w:tc>
                <w:tcPr>
                  <w:tcW w:w="975" w:type="pct"/>
                  <w:vAlign w:val="center"/>
                </w:tcPr>
                <w:p w14:paraId="0D44ABCA">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凤台县执法办案管理中心</w:t>
                  </w:r>
                </w:p>
              </w:tc>
              <w:tc>
                <w:tcPr>
                  <w:tcW w:w="609" w:type="pct"/>
                  <w:vAlign w:val="center"/>
                </w:tcPr>
                <w:p w14:paraId="2D7116F1">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-245</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-95</w:t>
                  </w:r>
                </w:p>
              </w:tc>
              <w:tc>
                <w:tcPr>
                  <w:tcW w:w="408" w:type="pct"/>
                  <w:vAlign w:val="center"/>
                </w:tcPr>
                <w:p w14:paraId="4406991D">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SW</w:t>
                  </w:r>
                </w:p>
              </w:tc>
              <w:tc>
                <w:tcPr>
                  <w:tcW w:w="456" w:type="pct"/>
                  <w:vAlign w:val="center"/>
                </w:tcPr>
                <w:p w14:paraId="6CC1833F">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250</w:t>
                  </w:r>
                </w:p>
              </w:tc>
              <w:tc>
                <w:tcPr>
                  <w:tcW w:w="721" w:type="pct"/>
                  <w:vAlign w:val="center"/>
                </w:tcPr>
                <w:p w14:paraId="72CBAA87">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约</w:t>
                  </w:r>
                  <w:r>
                    <w:rPr>
                      <w:rFonts w:hint="eastAsia" w:cs="Times New Roman"/>
                      <w:color w:val="auto"/>
                      <w:sz w:val="21"/>
                      <w:szCs w:val="21"/>
                      <w:lang w:val="en-US" w:eastAsia="zh-CN"/>
                    </w:rPr>
                    <w:t>50</w:t>
                  </w:r>
                  <w:r>
                    <w:rPr>
                      <w:rFonts w:hint="default" w:ascii="Times New Roman" w:hAnsi="Times New Roman" w:eastAsia="宋体" w:cs="Times New Roman"/>
                      <w:color w:val="auto"/>
                      <w:sz w:val="21"/>
                      <w:szCs w:val="21"/>
                    </w:rPr>
                    <w:t>人</w:t>
                  </w:r>
                </w:p>
              </w:tc>
              <w:tc>
                <w:tcPr>
                  <w:tcW w:w="1147" w:type="pct"/>
                  <w:vMerge w:val="restart"/>
                  <w:vAlign w:val="center"/>
                </w:tcPr>
                <w:p w14:paraId="4BEB77B9">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《环境空气质量标准》（GB3095-</w:t>
                  </w:r>
                  <w:r>
                    <w:rPr>
                      <w:rFonts w:hint="eastAsia" w:cs="Times New Roman"/>
                      <w:color w:val="auto"/>
                      <w:sz w:val="21"/>
                      <w:szCs w:val="21"/>
                      <w:lang w:val="en-US" w:eastAsia="zh-CN"/>
                    </w:rPr>
                    <w:t>2026</w:t>
                  </w:r>
                  <w:r>
                    <w:rPr>
                      <w:rFonts w:hint="default" w:ascii="Times New Roman" w:hAnsi="Times New Roman" w:eastAsia="宋体" w:cs="Times New Roman"/>
                      <w:color w:val="auto"/>
                      <w:sz w:val="21"/>
                      <w:szCs w:val="21"/>
                    </w:rPr>
                    <w:t>）中</w:t>
                  </w:r>
                  <w:r>
                    <w:rPr>
                      <w:rFonts w:hint="eastAsia" w:cs="Times New Roman"/>
                      <w:color w:val="auto"/>
                      <w:sz w:val="21"/>
                      <w:szCs w:val="21"/>
                      <w:lang w:val="en-US" w:eastAsia="zh-CN"/>
                    </w:rPr>
                    <w:t>过渡阶段</w:t>
                  </w:r>
                  <w:r>
                    <w:rPr>
                      <w:rFonts w:hint="default" w:ascii="Times New Roman" w:hAnsi="Times New Roman" w:eastAsia="宋体" w:cs="Times New Roman"/>
                      <w:color w:val="auto"/>
                      <w:sz w:val="21"/>
                      <w:szCs w:val="21"/>
                    </w:rPr>
                    <w:t>二级标准</w:t>
                  </w:r>
                </w:p>
              </w:tc>
            </w:tr>
            <w:tr w14:paraId="4CDD3C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681" w:type="pct"/>
                  <w:vMerge w:val="continue"/>
                  <w:vAlign w:val="center"/>
                </w:tcPr>
                <w:p w14:paraId="576BC1B0">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 w:val="21"/>
                      <w:szCs w:val="21"/>
                    </w:rPr>
                  </w:pPr>
                </w:p>
              </w:tc>
              <w:tc>
                <w:tcPr>
                  <w:tcW w:w="975" w:type="pct"/>
                  <w:vAlign w:val="center"/>
                </w:tcPr>
                <w:p w14:paraId="206F4AF6">
                  <w:pPr>
                    <w:keepNext w:val="0"/>
                    <w:keepLines w:val="0"/>
                    <w:suppressLineNumbers w:val="0"/>
                    <w:spacing w:before="0" w:beforeAutospacing="0" w:after="0" w:afterAutospacing="0" w:line="276" w:lineRule="auto"/>
                    <w:ind w:left="0" w:right="0"/>
                    <w:jc w:val="center"/>
                    <w:rPr>
                      <w:rFonts w:hint="default" w:cs="Times New Roman"/>
                      <w:color w:val="auto"/>
                      <w:sz w:val="21"/>
                      <w:szCs w:val="21"/>
                      <w:lang w:val="en-US" w:eastAsia="zh-CN"/>
                    </w:rPr>
                  </w:pPr>
                  <w:r>
                    <w:rPr>
                      <w:rFonts w:hint="eastAsia" w:cs="Times New Roman"/>
                      <w:color w:val="auto"/>
                      <w:sz w:val="21"/>
                      <w:szCs w:val="21"/>
                      <w:lang w:val="en-US" w:eastAsia="zh-CN"/>
                    </w:rPr>
                    <w:t>凤凰湖新城</w:t>
                  </w:r>
                </w:p>
              </w:tc>
              <w:tc>
                <w:tcPr>
                  <w:tcW w:w="609" w:type="pct"/>
                  <w:vAlign w:val="center"/>
                </w:tcPr>
                <w:p w14:paraId="78D719CF">
                  <w:pPr>
                    <w:keepNext w:val="0"/>
                    <w:keepLines w:val="0"/>
                    <w:suppressLineNumbers w:val="0"/>
                    <w:spacing w:before="0" w:beforeAutospacing="0" w:after="0" w:afterAutospacing="0" w:line="276" w:lineRule="auto"/>
                    <w:ind w:left="0" w:right="0"/>
                    <w:jc w:val="center"/>
                    <w:rPr>
                      <w:rFonts w:hint="default" w:cs="Times New Roman"/>
                      <w:color w:val="auto"/>
                      <w:sz w:val="21"/>
                      <w:szCs w:val="21"/>
                      <w:lang w:val="en-US" w:eastAsia="zh-CN"/>
                    </w:rPr>
                  </w:pPr>
                  <w:r>
                    <w:rPr>
                      <w:rFonts w:hint="eastAsia" w:cs="Times New Roman"/>
                      <w:color w:val="auto"/>
                      <w:sz w:val="21"/>
                      <w:szCs w:val="21"/>
                      <w:lang w:val="en-US" w:eastAsia="zh-CN"/>
                    </w:rPr>
                    <w:t>360，-305</w:t>
                  </w:r>
                </w:p>
              </w:tc>
              <w:tc>
                <w:tcPr>
                  <w:tcW w:w="408" w:type="pct"/>
                  <w:vAlign w:val="center"/>
                </w:tcPr>
                <w:p w14:paraId="6B3D7293">
                  <w:pPr>
                    <w:keepNext w:val="0"/>
                    <w:keepLines w:val="0"/>
                    <w:suppressLineNumbers w:val="0"/>
                    <w:spacing w:before="0" w:beforeAutospacing="0" w:after="0" w:afterAutospacing="0" w:line="276" w:lineRule="auto"/>
                    <w:ind w:left="0" w:right="0"/>
                    <w:jc w:val="center"/>
                    <w:rPr>
                      <w:rFonts w:hint="default" w:cs="Times New Roman"/>
                      <w:color w:val="auto"/>
                      <w:sz w:val="21"/>
                      <w:szCs w:val="21"/>
                      <w:lang w:val="en-US" w:eastAsia="zh-CN"/>
                    </w:rPr>
                  </w:pPr>
                  <w:r>
                    <w:rPr>
                      <w:rFonts w:hint="eastAsia" w:cs="Times New Roman"/>
                      <w:color w:val="auto"/>
                      <w:sz w:val="21"/>
                      <w:szCs w:val="21"/>
                      <w:lang w:val="en-US" w:eastAsia="zh-CN"/>
                    </w:rPr>
                    <w:t>SW</w:t>
                  </w:r>
                </w:p>
              </w:tc>
              <w:tc>
                <w:tcPr>
                  <w:tcW w:w="456" w:type="pct"/>
                  <w:vAlign w:val="center"/>
                </w:tcPr>
                <w:p w14:paraId="4B0EC839">
                  <w:pPr>
                    <w:keepNext w:val="0"/>
                    <w:keepLines w:val="0"/>
                    <w:suppressLineNumbers w:val="0"/>
                    <w:spacing w:before="0" w:beforeAutospacing="0" w:after="0" w:afterAutospacing="0" w:line="276" w:lineRule="auto"/>
                    <w:ind w:left="0" w:right="0"/>
                    <w:jc w:val="center"/>
                    <w:rPr>
                      <w:rFonts w:hint="default" w:cs="Times New Roman"/>
                      <w:color w:val="auto"/>
                      <w:sz w:val="21"/>
                      <w:szCs w:val="21"/>
                      <w:lang w:val="en-US" w:eastAsia="zh-CN"/>
                    </w:rPr>
                  </w:pPr>
                  <w:r>
                    <w:rPr>
                      <w:rFonts w:hint="eastAsia" w:cs="Times New Roman"/>
                      <w:color w:val="auto"/>
                      <w:sz w:val="21"/>
                      <w:szCs w:val="21"/>
                      <w:lang w:val="en-US" w:eastAsia="zh-CN"/>
                    </w:rPr>
                    <w:t>480</w:t>
                  </w:r>
                </w:p>
              </w:tc>
              <w:tc>
                <w:tcPr>
                  <w:tcW w:w="721" w:type="pct"/>
                  <w:vAlign w:val="center"/>
                </w:tcPr>
                <w:p w14:paraId="7B787EC5">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约2160户，约10800人</w:t>
                  </w:r>
                </w:p>
              </w:tc>
              <w:tc>
                <w:tcPr>
                  <w:tcW w:w="1147" w:type="pct"/>
                  <w:vMerge w:val="continue"/>
                  <w:vAlign w:val="center"/>
                </w:tcPr>
                <w:p w14:paraId="546D7066">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 w:val="21"/>
                      <w:szCs w:val="21"/>
                    </w:rPr>
                  </w:pPr>
                </w:p>
              </w:tc>
            </w:tr>
            <w:tr w14:paraId="2510C2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681" w:type="pct"/>
                  <w:vAlign w:val="center"/>
                </w:tcPr>
                <w:p w14:paraId="2BD6A7AE">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地下水</w:t>
                  </w:r>
                </w:p>
                <w:p w14:paraId="468B4D49">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w:t>
                  </w:r>
                </w:p>
              </w:tc>
              <w:tc>
                <w:tcPr>
                  <w:tcW w:w="4318" w:type="pct"/>
                  <w:gridSpan w:val="6"/>
                  <w:vAlign w:val="center"/>
                </w:tcPr>
                <w:p w14:paraId="5A84A27A">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厂界外500米范围内无地下水集中式饮用水水源和热水、矿泉水、温泉等特殊地下水资源</w:t>
                  </w:r>
                </w:p>
              </w:tc>
            </w:tr>
            <w:tr w14:paraId="179C53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681" w:type="pct"/>
                  <w:vAlign w:val="center"/>
                </w:tcPr>
                <w:p w14:paraId="37488DBB">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生态环境</w:t>
                  </w:r>
                </w:p>
              </w:tc>
              <w:tc>
                <w:tcPr>
                  <w:tcW w:w="4318" w:type="pct"/>
                  <w:gridSpan w:val="6"/>
                  <w:vAlign w:val="center"/>
                </w:tcPr>
                <w:p w14:paraId="231EF3CE">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用地范围内无生态环境保护目标</w:t>
                  </w:r>
                </w:p>
              </w:tc>
            </w:tr>
          </w:tbl>
          <w:p w14:paraId="28256D43">
            <w:pPr>
              <w:keepNext w:val="0"/>
              <w:keepLines w:val="0"/>
              <w:suppressLineNumbers w:val="0"/>
              <w:spacing w:before="0" w:beforeAutospacing="0" w:after="0" w:afterAutospacing="0"/>
              <w:ind w:left="0" w:right="0"/>
              <w:rPr>
                <w:rFonts w:hint="default"/>
                <w:b/>
                <w:color w:val="auto"/>
              </w:rPr>
            </w:pPr>
            <w:r>
              <w:rPr>
                <w:rFonts w:hint="default"/>
                <w:b/>
                <w:color w:val="auto"/>
              </w:rPr>
              <w:t>注：以</w:t>
            </w:r>
            <w:r>
              <w:rPr>
                <w:rFonts w:hint="eastAsia"/>
                <w:b/>
                <w:color w:val="auto"/>
                <w:lang w:val="en-US" w:eastAsia="zh-CN"/>
              </w:rPr>
              <w:t>厂区中心</w:t>
            </w:r>
            <w:r>
              <w:rPr>
                <w:rFonts w:hint="default"/>
                <w:b/>
                <w:color w:val="auto"/>
              </w:rPr>
              <w:t>为坐标起点。</w:t>
            </w:r>
          </w:p>
          <w:p w14:paraId="591E30A2">
            <w:pPr>
              <w:keepNext w:val="0"/>
              <w:keepLines w:val="0"/>
              <w:suppressLineNumbers w:val="0"/>
              <w:bidi w:val="0"/>
              <w:spacing w:before="0" w:beforeAutospacing="0" w:after="0" w:afterAutospacing="0" w:line="360" w:lineRule="auto"/>
              <w:ind w:left="0" w:right="0"/>
              <w:rPr>
                <w:rFonts w:hint="default"/>
                <w:color w:val="auto"/>
                <w:sz w:val="24"/>
                <w:szCs w:val="24"/>
              </w:rPr>
            </w:pPr>
          </w:p>
          <w:p w14:paraId="06F030BB">
            <w:pPr>
              <w:keepNext w:val="0"/>
              <w:keepLines w:val="0"/>
              <w:suppressLineNumbers w:val="0"/>
              <w:bidi w:val="0"/>
              <w:spacing w:before="0" w:beforeAutospacing="0" w:after="0" w:afterAutospacing="0" w:line="360" w:lineRule="auto"/>
              <w:ind w:left="0" w:right="0"/>
              <w:rPr>
                <w:rFonts w:hint="default"/>
                <w:color w:val="auto"/>
                <w:sz w:val="24"/>
                <w:szCs w:val="24"/>
              </w:rPr>
            </w:pPr>
          </w:p>
          <w:p w14:paraId="5CA9F6BC">
            <w:pPr>
              <w:keepNext w:val="0"/>
              <w:keepLines w:val="0"/>
              <w:suppressLineNumbers w:val="0"/>
              <w:bidi w:val="0"/>
              <w:spacing w:before="0" w:beforeAutospacing="0" w:after="0" w:afterAutospacing="0" w:line="360" w:lineRule="auto"/>
              <w:ind w:left="0" w:right="0"/>
              <w:rPr>
                <w:rFonts w:hint="default"/>
                <w:color w:val="auto"/>
                <w:sz w:val="24"/>
                <w:szCs w:val="24"/>
              </w:rPr>
            </w:pPr>
          </w:p>
          <w:p w14:paraId="498CA65B">
            <w:pPr>
              <w:keepNext w:val="0"/>
              <w:keepLines w:val="0"/>
              <w:suppressLineNumbers w:val="0"/>
              <w:bidi w:val="0"/>
              <w:spacing w:before="0" w:beforeAutospacing="0" w:after="0" w:afterAutospacing="0" w:line="360" w:lineRule="auto"/>
              <w:ind w:left="0" w:right="0"/>
              <w:rPr>
                <w:rFonts w:hint="default"/>
                <w:color w:val="auto"/>
                <w:sz w:val="24"/>
                <w:szCs w:val="24"/>
              </w:rPr>
            </w:pPr>
          </w:p>
          <w:p w14:paraId="65D9A939">
            <w:pPr>
              <w:keepNext w:val="0"/>
              <w:keepLines w:val="0"/>
              <w:suppressLineNumbers w:val="0"/>
              <w:bidi w:val="0"/>
              <w:spacing w:before="0" w:beforeAutospacing="0" w:after="0" w:afterAutospacing="0" w:line="360" w:lineRule="auto"/>
              <w:ind w:left="0" w:right="0"/>
              <w:rPr>
                <w:rFonts w:hint="default"/>
                <w:color w:val="auto"/>
                <w:sz w:val="24"/>
                <w:szCs w:val="24"/>
              </w:rPr>
            </w:pPr>
          </w:p>
          <w:p w14:paraId="44B2130F">
            <w:pPr>
              <w:keepNext w:val="0"/>
              <w:keepLines w:val="0"/>
              <w:suppressLineNumbers w:val="0"/>
              <w:bidi w:val="0"/>
              <w:spacing w:before="0" w:beforeAutospacing="0" w:after="0" w:afterAutospacing="0" w:line="360" w:lineRule="auto"/>
              <w:ind w:left="0" w:right="0"/>
              <w:rPr>
                <w:rFonts w:hint="default"/>
                <w:color w:val="auto"/>
                <w:sz w:val="24"/>
                <w:szCs w:val="24"/>
              </w:rPr>
            </w:pPr>
          </w:p>
          <w:p w14:paraId="770AD5CE">
            <w:pPr>
              <w:keepNext w:val="0"/>
              <w:keepLines w:val="0"/>
              <w:suppressLineNumbers w:val="0"/>
              <w:bidi w:val="0"/>
              <w:spacing w:before="0" w:beforeAutospacing="0" w:after="0" w:afterAutospacing="0" w:line="360" w:lineRule="auto"/>
              <w:ind w:left="0" w:right="0"/>
              <w:rPr>
                <w:rFonts w:hint="default"/>
                <w:color w:val="auto"/>
                <w:sz w:val="24"/>
                <w:szCs w:val="24"/>
              </w:rPr>
            </w:pPr>
          </w:p>
          <w:p w14:paraId="16C3EF7D">
            <w:pPr>
              <w:keepNext w:val="0"/>
              <w:keepLines w:val="0"/>
              <w:suppressLineNumbers w:val="0"/>
              <w:bidi w:val="0"/>
              <w:spacing w:before="0" w:beforeAutospacing="0" w:after="0" w:afterAutospacing="0" w:line="360" w:lineRule="auto"/>
              <w:ind w:left="0" w:right="0"/>
              <w:rPr>
                <w:rFonts w:hint="default"/>
                <w:color w:val="auto"/>
                <w:sz w:val="24"/>
                <w:szCs w:val="24"/>
              </w:rPr>
            </w:pPr>
          </w:p>
          <w:p w14:paraId="2269C2AE">
            <w:pPr>
              <w:keepNext w:val="0"/>
              <w:keepLines w:val="0"/>
              <w:suppressLineNumbers w:val="0"/>
              <w:bidi w:val="0"/>
              <w:spacing w:before="0" w:beforeAutospacing="0" w:after="0" w:afterAutospacing="0" w:line="360" w:lineRule="auto"/>
              <w:ind w:left="0" w:right="0"/>
              <w:rPr>
                <w:rFonts w:hint="default"/>
                <w:color w:val="auto"/>
                <w:sz w:val="24"/>
                <w:szCs w:val="24"/>
              </w:rPr>
            </w:pPr>
          </w:p>
          <w:p w14:paraId="7B1E4B05">
            <w:pPr>
              <w:keepNext w:val="0"/>
              <w:keepLines w:val="0"/>
              <w:suppressLineNumbers w:val="0"/>
              <w:bidi w:val="0"/>
              <w:spacing w:before="0" w:beforeAutospacing="0" w:after="0" w:afterAutospacing="0" w:line="360" w:lineRule="auto"/>
              <w:ind w:left="0" w:right="0"/>
              <w:rPr>
                <w:rFonts w:hint="default"/>
                <w:color w:val="auto"/>
                <w:sz w:val="24"/>
                <w:szCs w:val="24"/>
              </w:rPr>
            </w:pPr>
          </w:p>
          <w:p w14:paraId="1212E927">
            <w:pPr>
              <w:keepNext w:val="0"/>
              <w:keepLines w:val="0"/>
              <w:suppressLineNumbers w:val="0"/>
              <w:bidi w:val="0"/>
              <w:spacing w:before="0" w:beforeAutospacing="0" w:after="0" w:afterAutospacing="0" w:line="360" w:lineRule="auto"/>
              <w:ind w:left="0" w:right="0"/>
              <w:rPr>
                <w:rFonts w:hint="default"/>
                <w:color w:val="auto"/>
                <w:sz w:val="24"/>
                <w:szCs w:val="24"/>
              </w:rPr>
            </w:pPr>
          </w:p>
          <w:p w14:paraId="5CBD9048">
            <w:pPr>
              <w:keepNext w:val="0"/>
              <w:keepLines w:val="0"/>
              <w:suppressLineNumbers w:val="0"/>
              <w:bidi w:val="0"/>
              <w:spacing w:before="0" w:beforeAutospacing="0" w:after="0" w:afterAutospacing="0" w:line="360" w:lineRule="auto"/>
              <w:ind w:left="0" w:right="0"/>
              <w:rPr>
                <w:rFonts w:hint="default"/>
                <w:color w:val="auto"/>
                <w:sz w:val="24"/>
                <w:szCs w:val="24"/>
              </w:rPr>
            </w:pPr>
          </w:p>
          <w:p w14:paraId="0B6BEE6E">
            <w:pPr>
              <w:keepNext w:val="0"/>
              <w:keepLines w:val="0"/>
              <w:suppressLineNumbers w:val="0"/>
              <w:bidi w:val="0"/>
              <w:spacing w:before="0" w:beforeAutospacing="0" w:after="0" w:afterAutospacing="0" w:line="360" w:lineRule="auto"/>
              <w:ind w:left="0" w:right="0"/>
              <w:rPr>
                <w:rFonts w:hint="default"/>
                <w:color w:val="auto"/>
                <w:sz w:val="24"/>
                <w:szCs w:val="24"/>
              </w:rPr>
            </w:pPr>
          </w:p>
          <w:p w14:paraId="1E26C40A">
            <w:pPr>
              <w:keepNext w:val="0"/>
              <w:keepLines w:val="0"/>
              <w:suppressLineNumbers w:val="0"/>
              <w:bidi w:val="0"/>
              <w:spacing w:before="0" w:beforeAutospacing="0" w:after="0" w:afterAutospacing="0" w:line="360" w:lineRule="auto"/>
              <w:ind w:left="0" w:right="0"/>
              <w:rPr>
                <w:rFonts w:hint="default"/>
                <w:color w:val="auto"/>
                <w:sz w:val="24"/>
                <w:szCs w:val="24"/>
              </w:rPr>
            </w:pPr>
          </w:p>
          <w:p w14:paraId="6D96831F">
            <w:pPr>
              <w:keepNext w:val="0"/>
              <w:keepLines w:val="0"/>
              <w:suppressLineNumbers w:val="0"/>
              <w:bidi w:val="0"/>
              <w:spacing w:before="0" w:beforeAutospacing="0" w:after="0" w:afterAutospacing="0" w:line="360" w:lineRule="auto"/>
              <w:ind w:left="0" w:right="0"/>
              <w:rPr>
                <w:rFonts w:hint="default"/>
                <w:color w:val="auto"/>
                <w:sz w:val="24"/>
                <w:szCs w:val="24"/>
              </w:rPr>
            </w:pPr>
          </w:p>
          <w:p w14:paraId="0E48D983">
            <w:pPr>
              <w:keepNext w:val="0"/>
              <w:keepLines w:val="0"/>
              <w:suppressLineNumbers w:val="0"/>
              <w:spacing w:before="0" w:beforeAutospacing="0" w:after="0" w:afterAutospacing="0"/>
              <w:ind w:left="0" w:right="0"/>
              <w:rPr>
                <w:rFonts w:hint="default"/>
                <w:color w:val="auto"/>
              </w:rPr>
            </w:pPr>
          </w:p>
          <w:p w14:paraId="44949BFD">
            <w:pPr>
              <w:keepNext w:val="0"/>
              <w:keepLines w:val="0"/>
              <w:suppressLineNumbers w:val="0"/>
              <w:bidi w:val="0"/>
              <w:spacing w:before="0" w:beforeAutospacing="0" w:after="0" w:afterAutospacing="0"/>
              <w:ind w:left="0" w:right="0"/>
              <w:rPr>
                <w:rFonts w:hint="default"/>
                <w:color w:val="auto"/>
              </w:rPr>
            </w:pPr>
          </w:p>
        </w:tc>
      </w:tr>
    </w:tbl>
    <w:p w14:paraId="52686E06">
      <w:pPr>
        <w:widowControl/>
        <w:outlineLvl w:val="0"/>
        <w:rPr>
          <w:rFonts w:ascii="宋体" w:hAnsi="宋体"/>
          <w:b/>
          <w:bCs/>
          <w:color w:val="auto"/>
          <w:kern w:val="0"/>
          <w:sz w:val="30"/>
          <w:szCs w:val="30"/>
        </w:rPr>
        <w:sectPr>
          <w:pgSz w:w="11906" w:h="16838"/>
          <w:pgMar w:top="1440" w:right="1508" w:bottom="1440" w:left="1797" w:header="851" w:footer="992" w:gutter="0"/>
          <w:pgBorders>
            <w:top w:val="none" w:sz="0" w:space="0"/>
            <w:left w:val="none" w:sz="0" w:space="0"/>
            <w:bottom w:val="none" w:sz="0" w:space="0"/>
            <w:right w:val="none" w:sz="0" w:space="0"/>
          </w:pgBorders>
          <w:cols w:space="720" w:num="1"/>
          <w:docGrid w:type="lines" w:linePitch="312" w:charSpace="0"/>
        </w:sectPr>
      </w:pPr>
    </w:p>
    <w:tbl>
      <w:tblPr>
        <w:tblStyle w:val="37"/>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72"/>
        <w:gridCol w:w="8074"/>
      </w:tblGrid>
      <w:tr w14:paraId="2695B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48" w:hRule="atLeast"/>
        </w:trPr>
        <w:tc>
          <w:tcPr>
            <w:tcW w:w="572" w:type="dxa"/>
            <w:vAlign w:val="center"/>
          </w:tcPr>
          <w:p w14:paraId="146D7641">
            <w:pPr>
              <w:pStyle w:val="147"/>
              <w:keepNext w:val="0"/>
              <w:keepLines w:val="0"/>
              <w:widowControl/>
              <w:suppressLineNumbers w:val="0"/>
              <w:spacing w:before="0" w:beforeAutospacing="0" w:after="0" w:afterAutospacing="0" w:line="360" w:lineRule="auto"/>
              <w:ind w:left="0" w:leftChars="0" w:right="0" w:firstLine="0" w:firstLineChars="0"/>
              <w:jc w:val="center"/>
              <w:rPr>
                <w:rFonts w:hint="default"/>
                <w:b/>
                <w:color w:val="auto"/>
                <w:sz w:val="24"/>
                <w:szCs w:val="24"/>
              </w:rPr>
            </w:pPr>
            <w:r>
              <w:rPr>
                <w:rFonts w:hint="default" w:hAnsi="宋体"/>
                <w:color w:val="auto"/>
                <w:kern w:val="0"/>
                <w:sz w:val="24"/>
              </w:rPr>
              <w:t>污染物排放控制标准</w:t>
            </w:r>
          </w:p>
        </w:tc>
        <w:tc>
          <w:tcPr>
            <w:tcW w:w="8002" w:type="dxa"/>
          </w:tcPr>
          <w:p w14:paraId="3569EE57">
            <w:pPr>
              <w:pStyle w:val="147"/>
              <w:keepNext w:val="0"/>
              <w:keepLines w:val="0"/>
              <w:widowControl/>
              <w:suppressLineNumbers w:val="0"/>
              <w:spacing w:before="0" w:beforeAutospacing="0" w:after="0" w:afterAutospacing="0" w:line="360" w:lineRule="auto"/>
              <w:ind w:left="0" w:right="0" w:firstLine="482"/>
              <w:rPr>
                <w:rFonts w:hint="default"/>
                <w:b/>
                <w:color w:val="auto"/>
                <w:sz w:val="24"/>
                <w:szCs w:val="24"/>
              </w:rPr>
            </w:pPr>
            <w:r>
              <w:rPr>
                <w:rFonts w:hint="default"/>
                <w:b/>
                <w:color w:val="auto"/>
                <w:sz w:val="24"/>
                <w:szCs w:val="24"/>
              </w:rPr>
              <w:t>1</w:t>
            </w:r>
            <w:r>
              <w:rPr>
                <w:rFonts w:hint="eastAsia"/>
                <w:b/>
                <w:color w:val="auto"/>
                <w:sz w:val="24"/>
                <w:szCs w:val="24"/>
                <w:lang w:val="en-US" w:eastAsia="zh-CN"/>
              </w:rPr>
              <w:t>.</w:t>
            </w:r>
            <w:r>
              <w:rPr>
                <w:rFonts w:hint="eastAsia"/>
                <w:b/>
                <w:color w:val="auto"/>
                <w:sz w:val="24"/>
                <w:szCs w:val="24"/>
              </w:rPr>
              <w:t>大气</w:t>
            </w:r>
            <w:r>
              <w:rPr>
                <w:rFonts w:hint="default"/>
                <w:b/>
                <w:color w:val="auto"/>
                <w:sz w:val="24"/>
                <w:szCs w:val="24"/>
              </w:rPr>
              <w:t>污染物</w:t>
            </w:r>
          </w:p>
          <w:p w14:paraId="3D2725C9">
            <w:pPr>
              <w:pStyle w:val="147"/>
              <w:keepNext w:val="0"/>
              <w:keepLines w:val="0"/>
              <w:widowControl/>
              <w:suppressLineNumbers w:val="0"/>
              <w:spacing w:before="0" w:beforeAutospacing="0" w:after="0" w:afterAutospacing="0" w:line="360" w:lineRule="auto"/>
              <w:ind w:left="0" w:right="0" w:firstLine="472"/>
              <w:rPr>
                <w:rFonts w:hint="eastAsia"/>
                <w:color w:val="auto"/>
                <w:spacing w:val="-2"/>
                <w:kern w:val="0"/>
                <w:sz w:val="24"/>
                <w:szCs w:val="20"/>
                <w:lang w:val="en-US" w:eastAsia="zh-CN"/>
              </w:rPr>
            </w:pPr>
            <w:r>
              <w:rPr>
                <w:rFonts w:hint="eastAsia"/>
                <w:color w:val="auto"/>
                <w:spacing w:val="-2"/>
                <w:kern w:val="0"/>
                <w:sz w:val="24"/>
                <w:szCs w:val="20"/>
                <w:lang w:val="en-US" w:eastAsia="zh-CN"/>
              </w:rPr>
              <w:t>本项目生产过程中产生的废气污染物主要为颗粒物、挥发性有机物（以非甲烷总烃计）、甲苯、二甲苯、苯、乙苯、苯乙烯及臭气浓度。</w:t>
            </w:r>
          </w:p>
          <w:p w14:paraId="3E980907">
            <w:pPr>
              <w:pStyle w:val="147"/>
              <w:keepNext w:val="0"/>
              <w:keepLines w:val="0"/>
              <w:widowControl/>
              <w:suppressLineNumbers w:val="0"/>
              <w:spacing w:before="0" w:beforeAutospacing="0" w:after="0" w:afterAutospacing="0" w:line="360" w:lineRule="auto"/>
              <w:ind w:left="0" w:right="0" w:firstLine="472"/>
              <w:rPr>
                <w:rFonts w:hint="default"/>
                <w:color w:val="auto"/>
                <w:spacing w:val="-2"/>
                <w:kern w:val="0"/>
                <w:sz w:val="24"/>
                <w:szCs w:val="20"/>
                <w:lang w:val="en-US" w:eastAsia="zh-CN"/>
              </w:rPr>
            </w:pPr>
            <w:r>
              <w:rPr>
                <w:rFonts w:hint="eastAsia" w:ascii="Times New Roman" w:hAnsi="Times New Roman" w:eastAsia="宋体" w:cs="Times New Roman"/>
                <w:color w:val="auto"/>
                <w:sz w:val="24"/>
                <w:szCs w:val="24"/>
                <w:lang w:val="en-US" w:eastAsia="zh-CN"/>
              </w:rPr>
              <w:t>注塑废气中</w:t>
            </w:r>
            <w:r>
              <w:rPr>
                <w:rFonts w:hint="eastAsia" w:ascii="Times New Roman" w:hAnsi="Times New Roman" w:eastAsia="宋体" w:cs="Times New Roman"/>
                <w:color w:val="auto"/>
                <w:sz w:val="24"/>
                <w:szCs w:val="24"/>
              </w:rPr>
              <w:t>非甲烷总烃</w:t>
            </w:r>
            <w:r>
              <w:rPr>
                <w:rFonts w:hint="eastAsia" w:ascii="Times New Roman" w:hAnsi="Times New Roman" w:eastAsia="宋体" w:cs="Times New Roman"/>
                <w:color w:val="auto"/>
                <w:sz w:val="24"/>
                <w:szCs w:val="24"/>
                <w:lang w:eastAsia="zh-CN"/>
              </w:rPr>
              <w:t>、</w:t>
            </w:r>
            <w:r>
              <w:rPr>
                <w:rFonts w:hint="eastAsia" w:cs="Times New Roman"/>
                <w:color w:val="auto"/>
                <w:sz w:val="24"/>
                <w:szCs w:val="24"/>
                <w:lang w:val="en-US" w:eastAsia="zh-CN"/>
              </w:rPr>
              <w:t>二甲苯</w:t>
            </w:r>
            <w:r>
              <w:rPr>
                <w:rFonts w:hint="eastAsia" w:ascii="Times New Roman" w:hAnsi="Times New Roman" w:eastAsia="宋体" w:cs="Times New Roman"/>
                <w:bCs/>
                <w:color w:val="auto"/>
                <w:kern w:val="0"/>
                <w:sz w:val="24"/>
                <w:szCs w:val="24"/>
              </w:rPr>
              <w:t>有组织排放执行《固定源挥发性有机物综合排放标准第6部分：其他行业》（DB34/4812.6-2024）中</w:t>
            </w:r>
            <w:r>
              <w:rPr>
                <w:rFonts w:hint="eastAsia" w:ascii="Times New Roman" w:hAnsi="Times New Roman" w:eastAsia="宋体" w:cs="Times New Roman"/>
                <w:bCs/>
                <w:color w:val="auto"/>
                <w:kern w:val="0"/>
                <w:sz w:val="24"/>
                <w:szCs w:val="24"/>
                <w:lang w:val="en-US" w:eastAsia="zh-CN"/>
              </w:rPr>
              <w:t>相关</w:t>
            </w:r>
            <w:r>
              <w:rPr>
                <w:rFonts w:hint="eastAsia" w:ascii="Times New Roman" w:hAnsi="Times New Roman" w:eastAsia="宋体" w:cs="Times New Roman"/>
                <w:bCs/>
                <w:color w:val="auto"/>
                <w:kern w:val="0"/>
                <w:sz w:val="24"/>
                <w:szCs w:val="24"/>
              </w:rPr>
              <w:t>排放限值</w:t>
            </w:r>
            <w:r>
              <w:rPr>
                <w:rFonts w:hint="eastAsia" w:ascii="Times New Roman" w:hAnsi="Times New Roman" w:eastAsia="宋体" w:cs="Times New Roman"/>
                <w:bCs/>
                <w:color w:val="auto"/>
                <w:kern w:val="0"/>
                <w:sz w:val="24"/>
                <w:szCs w:val="24"/>
                <w:lang w:eastAsia="zh-CN"/>
              </w:rPr>
              <w:t>，</w:t>
            </w:r>
            <w:r>
              <w:rPr>
                <w:rFonts w:hint="eastAsia"/>
                <w:color w:val="auto"/>
                <w:spacing w:val="-2"/>
                <w:kern w:val="0"/>
                <w:sz w:val="24"/>
                <w:szCs w:val="20"/>
                <w:lang w:val="en-US" w:eastAsia="zh-CN"/>
              </w:rPr>
              <w:t>甲苯、苯、乙苯、苯乙烯、颗粒物等大气污染物</w:t>
            </w:r>
            <w:r>
              <w:rPr>
                <w:rFonts w:hint="eastAsia" w:ascii="Times New Roman" w:hAnsi="Times New Roman"/>
                <w:color w:val="auto"/>
                <w:kern w:val="0"/>
                <w:sz w:val="24"/>
                <w:szCs w:val="24"/>
                <w:lang w:val="en-US" w:eastAsia="zh-CN"/>
              </w:rPr>
              <w:t>有组织排放执行《合成树脂工业污染物排放标准》（GB31572-2015，含2024年修改单）表5中特别排放限值。</w:t>
            </w:r>
          </w:p>
          <w:p w14:paraId="2F1F63E7">
            <w:pPr>
              <w:pStyle w:val="147"/>
              <w:keepNext w:val="0"/>
              <w:keepLines w:val="0"/>
              <w:widowControl/>
              <w:suppressLineNumbers w:val="0"/>
              <w:spacing w:before="0" w:beforeAutospacing="0" w:after="0" w:afterAutospacing="0" w:line="360" w:lineRule="auto"/>
              <w:ind w:left="0" w:right="0" w:firstLine="472"/>
              <w:rPr>
                <w:rFonts w:hint="default"/>
                <w:color w:val="auto"/>
                <w:spacing w:val="-2"/>
                <w:kern w:val="0"/>
                <w:sz w:val="24"/>
                <w:szCs w:val="20"/>
                <w:lang w:val="en-US"/>
              </w:rPr>
            </w:pPr>
            <w:r>
              <w:rPr>
                <w:rFonts w:hint="eastAsia"/>
                <w:color w:val="auto"/>
                <w:sz w:val="24"/>
                <w:szCs w:val="24"/>
                <w:lang w:val="en-US" w:eastAsia="zh-CN"/>
              </w:rPr>
              <w:t>颗粒物、非甲烷总烃及甲苯无组织排放均执</w:t>
            </w:r>
            <w:r>
              <w:rPr>
                <w:rFonts w:hint="eastAsia"/>
                <w:color w:val="auto"/>
                <w:spacing w:val="-2"/>
                <w:kern w:val="0"/>
                <w:sz w:val="24"/>
                <w:szCs w:val="20"/>
                <w:lang w:val="en-US" w:eastAsia="zh-CN"/>
              </w:rPr>
              <w:t>行《合成树脂工业污染物排放标准》</w:t>
            </w:r>
            <w:r>
              <w:rPr>
                <w:rFonts w:hint="eastAsia" w:ascii="Times New Roman" w:hAnsi="Times New Roman"/>
                <w:color w:val="auto"/>
                <w:kern w:val="0"/>
                <w:sz w:val="24"/>
                <w:szCs w:val="24"/>
                <w:lang w:val="en-US" w:eastAsia="zh-CN"/>
              </w:rPr>
              <w:t>（GB31572-2015，含2024年修改单）</w:t>
            </w:r>
            <w:r>
              <w:rPr>
                <w:rFonts w:hint="eastAsia"/>
                <w:color w:val="auto"/>
                <w:spacing w:val="-2"/>
                <w:kern w:val="0"/>
                <w:sz w:val="24"/>
                <w:szCs w:val="20"/>
                <w:lang w:val="en-US" w:eastAsia="zh-CN"/>
              </w:rPr>
              <w:t>表9企业边界大气污染物浓度限值；</w:t>
            </w:r>
            <w:r>
              <w:rPr>
                <w:rFonts w:hint="eastAsia"/>
                <w:color w:val="auto"/>
                <w:sz w:val="24"/>
                <w:szCs w:val="24"/>
                <w:lang w:val="en-US" w:eastAsia="zh-CN"/>
              </w:rPr>
              <w:t>乙苯无组织排放参照执行安徽省《固定源挥发性有机物综合排放标准 第6部分：其他行业》（DB34/4812.6-2024）表5企业边界VOCs排放限值；苯乙烯无组织排放执行</w:t>
            </w:r>
            <w:r>
              <w:rPr>
                <w:rFonts w:hint="eastAsia" w:ascii="Times New Roman" w:hAnsi="Times New Roman" w:eastAsia="宋体" w:cs="Times New Roman"/>
                <w:bCs/>
                <w:color w:val="auto"/>
                <w:kern w:val="0"/>
                <w:sz w:val="24"/>
                <w:szCs w:val="24"/>
                <w:lang w:val="en-US" w:eastAsia="zh-CN"/>
              </w:rPr>
              <w:t>《恶臭污染物排放标准》（GB14554-93）表1二级排放标准</w:t>
            </w:r>
            <w:r>
              <w:rPr>
                <w:rFonts w:hint="eastAsia" w:cs="Times New Roman"/>
                <w:bCs/>
                <w:color w:val="auto"/>
                <w:kern w:val="0"/>
                <w:sz w:val="24"/>
                <w:szCs w:val="24"/>
                <w:lang w:val="en-US" w:eastAsia="zh-CN"/>
              </w:rPr>
              <w:t>；臭气浓度有组织及无组织排放执行</w:t>
            </w:r>
            <w:r>
              <w:rPr>
                <w:rFonts w:hint="eastAsia" w:ascii="Times New Roman" w:hAnsi="Times New Roman" w:eastAsia="宋体" w:cs="Times New Roman"/>
                <w:bCs/>
                <w:color w:val="auto"/>
                <w:kern w:val="0"/>
                <w:sz w:val="24"/>
                <w:szCs w:val="24"/>
                <w:lang w:val="en-US" w:eastAsia="zh-CN"/>
              </w:rPr>
              <w:t>《恶臭污染物排放标准》（GB14554-93）</w:t>
            </w:r>
            <w:r>
              <w:rPr>
                <w:rFonts w:hint="eastAsia" w:cs="Times New Roman"/>
                <w:bCs/>
                <w:color w:val="auto"/>
                <w:kern w:val="0"/>
                <w:sz w:val="24"/>
                <w:szCs w:val="24"/>
                <w:lang w:val="en-US" w:eastAsia="zh-CN"/>
              </w:rPr>
              <w:t>表2中相关</w:t>
            </w:r>
            <w:r>
              <w:rPr>
                <w:rFonts w:hint="eastAsia" w:ascii="Times New Roman" w:hAnsi="Times New Roman" w:eastAsia="宋体" w:cs="Times New Roman"/>
                <w:bCs/>
                <w:color w:val="auto"/>
                <w:kern w:val="0"/>
                <w:sz w:val="24"/>
                <w:szCs w:val="24"/>
                <w:lang w:val="en-US" w:eastAsia="zh-CN"/>
              </w:rPr>
              <w:t>排放标准。</w:t>
            </w:r>
          </w:p>
          <w:p w14:paraId="7F481A00">
            <w:pPr>
              <w:keepNext w:val="0"/>
              <w:keepLines w:val="0"/>
              <w:suppressLineNumbers w:val="0"/>
              <w:spacing w:before="0" w:beforeAutospacing="0" w:after="0" w:afterAutospacing="0" w:line="360" w:lineRule="auto"/>
              <w:ind w:left="0" w:right="0" w:firstLine="472" w:firstLineChars="200"/>
              <w:rPr>
                <w:rFonts w:hint="eastAsia" w:eastAsia="宋体"/>
                <w:color w:val="auto"/>
                <w:sz w:val="24"/>
                <w:lang w:val="en-US" w:eastAsia="zh-CN"/>
              </w:rPr>
            </w:pPr>
            <w:r>
              <w:rPr>
                <w:rFonts w:hint="eastAsia"/>
                <w:color w:val="auto"/>
                <w:spacing w:val="-2"/>
                <w:kern w:val="0"/>
                <w:sz w:val="24"/>
                <w:szCs w:val="20"/>
              </w:rPr>
              <w:t>企业厂区内VOCs无组织排放执行安徽省《固定源挥发性有机物综合排放标准 第6部分：其他行业》（DB34/4812.6-2024）表4中排放限值</w:t>
            </w:r>
            <w:r>
              <w:rPr>
                <w:rFonts w:hint="eastAsia"/>
                <w:color w:val="auto"/>
                <w:spacing w:val="-2"/>
                <w:kern w:val="0"/>
                <w:sz w:val="24"/>
                <w:szCs w:val="20"/>
                <w:lang w:eastAsia="zh-CN"/>
              </w:rPr>
              <w:t>。</w:t>
            </w:r>
          </w:p>
          <w:p w14:paraId="0B6028D0">
            <w:pPr>
              <w:pStyle w:val="147"/>
              <w:keepNext w:val="0"/>
              <w:keepLines w:val="0"/>
              <w:widowControl/>
              <w:suppressLineNumbers w:val="0"/>
              <w:spacing w:before="0" w:beforeAutospacing="0" w:after="0" w:afterAutospacing="0" w:line="360" w:lineRule="auto"/>
              <w:ind w:left="0" w:right="0" w:firstLine="480"/>
              <w:rPr>
                <w:rFonts w:hint="default"/>
                <w:color w:val="auto"/>
                <w:kern w:val="0"/>
                <w:sz w:val="24"/>
              </w:rPr>
            </w:pPr>
            <w:r>
              <w:rPr>
                <w:rFonts w:hint="default"/>
                <w:color w:val="auto"/>
                <w:sz w:val="24"/>
              </w:rPr>
              <w:t>具体详见下表：</w:t>
            </w:r>
          </w:p>
          <w:p w14:paraId="6C6115B0">
            <w:pPr>
              <w:pStyle w:val="223"/>
              <w:keepNext w:val="0"/>
              <w:keepLines w:val="0"/>
              <w:suppressLineNumbers w:val="0"/>
              <w:spacing w:before="0" w:beforeAutospacing="0" w:after="0" w:afterAutospacing="0"/>
              <w:ind w:left="0" w:right="0"/>
              <w:jc w:val="center"/>
              <w:rPr>
                <w:rFonts w:hint="default" w:eastAsia="黑体" w:cs="Times New Roman"/>
                <w:color w:val="auto"/>
                <w:szCs w:val="21"/>
              </w:rPr>
            </w:pPr>
            <w:r>
              <w:rPr>
                <w:rFonts w:hint="default" w:hAnsi="黑体" w:eastAsia="黑体" w:cs="Times New Roman"/>
                <w:color w:val="auto"/>
              </w:rPr>
              <w:t>表</w:t>
            </w:r>
            <w:r>
              <w:rPr>
                <w:rFonts w:hint="eastAsia" w:hAnsi="黑体" w:eastAsia="黑体" w:cs="Times New Roman"/>
                <w:color w:val="auto"/>
                <w:lang w:val="en-US" w:eastAsia="zh-CN"/>
              </w:rPr>
              <w:t>3-5</w:t>
            </w:r>
            <w:r>
              <w:rPr>
                <w:rFonts w:hint="default" w:eastAsia="黑体" w:cs="Times New Roman"/>
                <w:color w:val="auto"/>
              </w:rPr>
              <w:t xml:space="preserve"> </w:t>
            </w:r>
            <w:r>
              <w:rPr>
                <w:rFonts w:hint="default" w:eastAsia="黑体" w:cs="Times New Roman"/>
                <w:color w:val="auto"/>
                <w:szCs w:val="20"/>
              </w:rPr>
              <w:t>DB34/4812.6-2024</w:t>
            </w:r>
            <w:r>
              <w:rPr>
                <w:rFonts w:hint="default" w:hAnsi="黑体" w:eastAsia="黑体" w:cs="Times New Roman"/>
                <w:color w:val="auto"/>
              </w:rPr>
              <w:t>大气污染物排放限值</w:t>
            </w:r>
          </w:p>
          <w:tbl>
            <w:tblPr>
              <w:tblStyle w:val="37"/>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920"/>
              <w:gridCol w:w="1219"/>
              <w:gridCol w:w="1472"/>
              <w:gridCol w:w="1478"/>
              <w:gridCol w:w="2690"/>
            </w:tblGrid>
            <w:tr w14:paraId="4AE7C74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920" w:type="dxa"/>
                  <w:vAlign w:val="center"/>
                </w:tcPr>
                <w:p w14:paraId="2E346BC9">
                  <w:pPr>
                    <w:keepNext w:val="0"/>
                    <w:keepLines w:val="0"/>
                    <w:suppressLineNumbers w:val="0"/>
                    <w:spacing w:before="0" w:beforeAutospacing="0" w:after="0" w:afterAutospacing="0" w:line="276" w:lineRule="auto"/>
                    <w:ind w:left="0" w:right="0"/>
                    <w:jc w:val="center"/>
                    <w:rPr>
                      <w:rFonts w:hint="default"/>
                      <w:b/>
                      <w:color w:val="auto"/>
                      <w:szCs w:val="21"/>
                    </w:rPr>
                  </w:pPr>
                  <w:r>
                    <w:rPr>
                      <w:rFonts w:hint="eastAsia"/>
                      <w:b/>
                      <w:color w:val="auto"/>
                      <w:szCs w:val="21"/>
                    </w:rPr>
                    <w:t>指标</w:t>
                  </w:r>
                </w:p>
              </w:tc>
              <w:tc>
                <w:tcPr>
                  <w:tcW w:w="1217" w:type="dxa"/>
                  <w:vAlign w:val="center"/>
                </w:tcPr>
                <w:p w14:paraId="7D85F046">
                  <w:pPr>
                    <w:keepNext w:val="0"/>
                    <w:keepLines w:val="0"/>
                    <w:widowControl/>
                    <w:suppressLineNumbers w:val="0"/>
                    <w:spacing w:before="0" w:beforeAutospacing="0" w:after="0" w:afterAutospacing="0" w:line="276" w:lineRule="auto"/>
                    <w:ind w:left="0" w:right="0"/>
                    <w:jc w:val="center"/>
                    <w:rPr>
                      <w:rFonts w:hint="eastAsia"/>
                      <w:b/>
                      <w:color w:val="auto"/>
                      <w:kern w:val="0"/>
                      <w:szCs w:val="21"/>
                    </w:rPr>
                  </w:pPr>
                  <w:r>
                    <w:rPr>
                      <w:rFonts w:hint="eastAsia"/>
                      <w:b/>
                      <w:color w:val="auto"/>
                      <w:kern w:val="0"/>
                      <w:szCs w:val="21"/>
                    </w:rPr>
                    <w:t>最高允许</w:t>
                  </w:r>
                </w:p>
                <w:p w14:paraId="5594DC44">
                  <w:pPr>
                    <w:keepNext w:val="0"/>
                    <w:keepLines w:val="0"/>
                    <w:widowControl/>
                    <w:suppressLineNumbers w:val="0"/>
                    <w:spacing w:before="0" w:beforeAutospacing="0" w:after="0" w:afterAutospacing="0" w:line="276" w:lineRule="auto"/>
                    <w:ind w:left="0" w:right="0"/>
                    <w:jc w:val="center"/>
                    <w:rPr>
                      <w:rFonts w:hint="default"/>
                      <w:b/>
                      <w:color w:val="auto"/>
                      <w:kern w:val="0"/>
                      <w:szCs w:val="21"/>
                    </w:rPr>
                  </w:pPr>
                  <w:r>
                    <w:rPr>
                      <w:rFonts w:hint="eastAsia"/>
                      <w:b/>
                      <w:color w:val="auto"/>
                      <w:kern w:val="0"/>
                      <w:szCs w:val="21"/>
                    </w:rPr>
                    <w:t>排放浓度（</w:t>
                  </w:r>
                  <w:r>
                    <w:rPr>
                      <w:rFonts w:hint="default"/>
                      <w:b/>
                      <w:color w:val="auto"/>
                      <w:kern w:val="0"/>
                      <w:szCs w:val="21"/>
                    </w:rPr>
                    <w:t>mg/m</w:t>
                  </w:r>
                  <w:r>
                    <w:rPr>
                      <w:rFonts w:hint="default"/>
                      <w:b/>
                      <w:color w:val="auto"/>
                      <w:kern w:val="0"/>
                      <w:szCs w:val="21"/>
                      <w:vertAlign w:val="superscript"/>
                    </w:rPr>
                    <w:t>3</w:t>
                  </w:r>
                  <w:r>
                    <w:rPr>
                      <w:rFonts w:hint="eastAsia"/>
                      <w:b/>
                      <w:color w:val="auto"/>
                      <w:kern w:val="0"/>
                      <w:szCs w:val="21"/>
                    </w:rPr>
                    <w:t>）</w:t>
                  </w:r>
                </w:p>
              </w:tc>
              <w:tc>
                <w:tcPr>
                  <w:tcW w:w="1472" w:type="dxa"/>
                  <w:vAlign w:val="center"/>
                </w:tcPr>
                <w:p w14:paraId="690AD16A">
                  <w:pPr>
                    <w:keepNext w:val="0"/>
                    <w:keepLines w:val="0"/>
                    <w:widowControl/>
                    <w:suppressLineNumbers w:val="0"/>
                    <w:spacing w:before="0" w:beforeAutospacing="0" w:after="0" w:afterAutospacing="0" w:line="276" w:lineRule="auto"/>
                    <w:ind w:left="0" w:right="0"/>
                    <w:jc w:val="center"/>
                    <w:rPr>
                      <w:rFonts w:hint="eastAsia"/>
                      <w:b/>
                      <w:color w:val="auto"/>
                      <w:kern w:val="0"/>
                      <w:szCs w:val="21"/>
                    </w:rPr>
                  </w:pPr>
                  <w:r>
                    <w:rPr>
                      <w:rFonts w:hint="eastAsia"/>
                      <w:b/>
                      <w:color w:val="auto"/>
                      <w:kern w:val="0"/>
                      <w:szCs w:val="21"/>
                    </w:rPr>
                    <w:t>最高允许</w:t>
                  </w:r>
                </w:p>
                <w:p w14:paraId="3BDB447C">
                  <w:pPr>
                    <w:keepNext w:val="0"/>
                    <w:keepLines w:val="0"/>
                    <w:widowControl/>
                    <w:suppressLineNumbers w:val="0"/>
                    <w:spacing w:before="0" w:beforeAutospacing="0" w:after="0" w:afterAutospacing="0" w:line="276" w:lineRule="auto"/>
                    <w:ind w:left="0" w:right="0"/>
                    <w:jc w:val="center"/>
                    <w:rPr>
                      <w:rFonts w:hint="default"/>
                      <w:b/>
                      <w:color w:val="auto"/>
                      <w:kern w:val="0"/>
                      <w:szCs w:val="21"/>
                    </w:rPr>
                  </w:pPr>
                  <w:r>
                    <w:rPr>
                      <w:rFonts w:hint="eastAsia"/>
                      <w:b/>
                      <w:color w:val="auto"/>
                      <w:kern w:val="0"/>
                      <w:szCs w:val="21"/>
                    </w:rPr>
                    <w:t>排放速率（kg/h）</w:t>
                  </w:r>
                </w:p>
              </w:tc>
              <w:tc>
                <w:tcPr>
                  <w:tcW w:w="1478" w:type="dxa"/>
                  <w:vAlign w:val="center"/>
                </w:tcPr>
                <w:p w14:paraId="4BB3FE42">
                  <w:pPr>
                    <w:keepNext w:val="0"/>
                    <w:keepLines w:val="0"/>
                    <w:widowControl/>
                    <w:suppressLineNumbers w:val="0"/>
                    <w:spacing w:before="0" w:beforeAutospacing="0" w:after="0" w:afterAutospacing="0" w:line="276" w:lineRule="auto"/>
                    <w:ind w:left="0" w:right="0"/>
                    <w:jc w:val="center"/>
                    <w:rPr>
                      <w:rFonts w:hint="eastAsia"/>
                      <w:b/>
                      <w:color w:val="auto"/>
                      <w:kern w:val="0"/>
                      <w:szCs w:val="21"/>
                    </w:rPr>
                  </w:pPr>
                  <w:r>
                    <w:rPr>
                      <w:rFonts w:hint="eastAsia"/>
                      <w:b/>
                      <w:color w:val="auto"/>
                      <w:kern w:val="0"/>
                      <w:szCs w:val="21"/>
                    </w:rPr>
                    <w:t>污染物排放</w:t>
                  </w:r>
                </w:p>
                <w:p w14:paraId="0F12C299">
                  <w:pPr>
                    <w:keepNext w:val="0"/>
                    <w:keepLines w:val="0"/>
                    <w:widowControl/>
                    <w:suppressLineNumbers w:val="0"/>
                    <w:spacing w:before="0" w:beforeAutospacing="0" w:after="0" w:afterAutospacing="0" w:line="276" w:lineRule="auto"/>
                    <w:ind w:left="0" w:right="0"/>
                    <w:jc w:val="center"/>
                    <w:rPr>
                      <w:rFonts w:hint="default"/>
                      <w:b/>
                      <w:color w:val="auto"/>
                      <w:kern w:val="0"/>
                      <w:szCs w:val="21"/>
                    </w:rPr>
                  </w:pPr>
                  <w:r>
                    <w:rPr>
                      <w:rFonts w:hint="eastAsia"/>
                      <w:b/>
                      <w:color w:val="auto"/>
                      <w:kern w:val="0"/>
                      <w:szCs w:val="21"/>
                    </w:rPr>
                    <w:t>监控位置</w:t>
                  </w:r>
                </w:p>
              </w:tc>
              <w:tc>
                <w:tcPr>
                  <w:tcW w:w="2690" w:type="dxa"/>
                  <w:vAlign w:val="center"/>
                </w:tcPr>
                <w:p w14:paraId="0790EB8E">
                  <w:pPr>
                    <w:keepNext w:val="0"/>
                    <w:keepLines w:val="0"/>
                    <w:widowControl/>
                    <w:suppressLineNumbers w:val="0"/>
                    <w:spacing w:before="0" w:beforeAutospacing="0" w:after="0" w:afterAutospacing="0" w:line="276" w:lineRule="auto"/>
                    <w:ind w:left="0" w:right="0"/>
                    <w:jc w:val="center"/>
                    <w:rPr>
                      <w:rFonts w:hint="default"/>
                      <w:b/>
                      <w:color w:val="auto"/>
                      <w:kern w:val="0"/>
                      <w:szCs w:val="21"/>
                    </w:rPr>
                  </w:pPr>
                  <w:r>
                    <w:rPr>
                      <w:rFonts w:hint="eastAsia"/>
                      <w:b/>
                      <w:color w:val="auto"/>
                      <w:kern w:val="0"/>
                      <w:szCs w:val="21"/>
                    </w:rPr>
                    <w:t>标准来源</w:t>
                  </w:r>
                </w:p>
              </w:tc>
            </w:tr>
            <w:tr w14:paraId="2AF6FB0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920" w:type="dxa"/>
                  <w:vAlign w:val="center"/>
                </w:tcPr>
                <w:p w14:paraId="0C8FA0C5">
                  <w:pPr>
                    <w:pStyle w:val="239"/>
                    <w:keepNext w:val="0"/>
                    <w:keepLines w:val="0"/>
                    <w:suppressLineNumbers w:val="0"/>
                    <w:adjustRightInd/>
                    <w:snapToGrid/>
                    <w:spacing w:before="0" w:beforeAutospacing="0" w:after="0" w:afterAutospacing="0" w:line="276" w:lineRule="auto"/>
                    <w:ind w:left="0" w:right="0"/>
                    <w:rPr>
                      <w:rFonts w:hint="default" w:ascii="Times New Roman" w:hAnsi="Times New Roman" w:eastAsia="宋体"/>
                      <w:color w:val="auto"/>
                      <w:kern w:val="2"/>
                      <w:sz w:val="21"/>
                      <w:szCs w:val="21"/>
                    </w:rPr>
                  </w:pPr>
                  <w:r>
                    <w:rPr>
                      <w:rFonts w:hint="default" w:ascii="Times New Roman" w:hAnsi="Times New Roman" w:eastAsia="宋体"/>
                      <w:color w:val="auto"/>
                      <w:kern w:val="2"/>
                      <w:sz w:val="21"/>
                      <w:szCs w:val="21"/>
                    </w:rPr>
                    <w:t>NMHC</w:t>
                  </w:r>
                </w:p>
              </w:tc>
              <w:tc>
                <w:tcPr>
                  <w:tcW w:w="1217" w:type="dxa"/>
                  <w:vAlign w:val="center"/>
                </w:tcPr>
                <w:p w14:paraId="2B06C426">
                  <w:pPr>
                    <w:pStyle w:val="239"/>
                    <w:keepNext w:val="0"/>
                    <w:keepLines w:val="0"/>
                    <w:suppressLineNumbers w:val="0"/>
                    <w:adjustRightInd/>
                    <w:snapToGrid/>
                    <w:spacing w:before="0" w:beforeAutospacing="0" w:after="0" w:afterAutospacing="0" w:line="276" w:lineRule="auto"/>
                    <w:ind w:left="0" w:right="0"/>
                    <w:rPr>
                      <w:rFonts w:hint="default" w:ascii="Times New Roman" w:hAnsi="Times New Roman" w:eastAsia="宋体"/>
                      <w:color w:val="auto"/>
                      <w:kern w:val="2"/>
                      <w:sz w:val="21"/>
                      <w:szCs w:val="21"/>
                      <w:lang w:val="en-US" w:eastAsia="zh-CN"/>
                    </w:rPr>
                  </w:pPr>
                  <w:r>
                    <w:rPr>
                      <w:rFonts w:hint="eastAsia" w:ascii="Times New Roman" w:hAnsi="Times New Roman" w:eastAsia="宋体"/>
                      <w:color w:val="auto"/>
                      <w:kern w:val="2"/>
                      <w:sz w:val="21"/>
                      <w:szCs w:val="21"/>
                      <w:lang w:val="en-US" w:eastAsia="zh-CN"/>
                    </w:rPr>
                    <w:t>40</w:t>
                  </w:r>
                </w:p>
              </w:tc>
              <w:tc>
                <w:tcPr>
                  <w:tcW w:w="1472" w:type="dxa"/>
                  <w:vAlign w:val="center"/>
                </w:tcPr>
                <w:p w14:paraId="7C3DB41A">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1.6</w:t>
                  </w:r>
                </w:p>
              </w:tc>
              <w:tc>
                <w:tcPr>
                  <w:tcW w:w="1478" w:type="dxa"/>
                  <w:vMerge w:val="restart"/>
                  <w:vAlign w:val="center"/>
                </w:tcPr>
                <w:p w14:paraId="7D2AAE2C">
                  <w:pPr>
                    <w:keepNext w:val="0"/>
                    <w:keepLines w:val="0"/>
                    <w:suppressLineNumbers w:val="0"/>
                    <w:spacing w:before="0" w:beforeAutospacing="0" w:after="0" w:afterAutospacing="0" w:line="276" w:lineRule="auto"/>
                    <w:ind w:left="0" w:right="0"/>
                    <w:jc w:val="center"/>
                    <w:rPr>
                      <w:rFonts w:hint="default"/>
                      <w:color w:val="auto"/>
                      <w:szCs w:val="21"/>
                    </w:rPr>
                  </w:pPr>
                  <w:r>
                    <w:rPr>
                      <w:rFonts w:hint="eastAsia"/>
                      <w:color w:val="auto"/>
                      <w:szCs w:val="21"/>
                    </w:rPr>
                    <w:t>车间或生产设施排气筒</w:t>
                  </w:r>
                </w:p>
              </w:tc>
              <w:tc>
                <w:tcPr>
                  <w:tcW w:w="2690" w:type="dxa"/>
                  <w:vMerge w:val="restart"/>
                  <w:vAlign w:val="center"/>
                </w:tcPr>
                <w:p w14:paraId="1A79801D">
                  <w:pPr>
                    <w:keepNext w:val="0"/>
                    <w:keepLines w:val="0"/>
                    <w:suppressLineNumbers w:val="0"/>
                    <w:spacing w:before="0" w:beforeAutospacing="0" w:after="0" w:afterAutospacing="0" w:line="276" w:lineRule="auto"/>
                    <w:ind w:left="0" w:right="0"/>
                    <w:jc w:val="center"/>
                    <w:rPr>
                      <w:rFonts w:hint="default"/>
                      <w:color w:val="auto"/>
                      <w:szCs w:val="21"/>
                    </w:rPr>
                  </w:pPr>
                  <w:r>
                    <w:rPr>
                      <w:rFonts w:hint="eastAsia"/>
                      <w:color w:val="auto"/>
                      <w:szCs w:val="21"/>
                    </w:rPr>
                    <w:t>安徽省《固定源挥发性有机物综合排放标准 第6部分：其他行业》（DB34/4812.6-2024）</w:t>
                  </w:r>
                </w:p>
              </w:tc>
            </w:tr>
            <w:tr w14:paraId="14E4BD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920" w:type="dxa"/>
                  <w:vAlign w:val="center"/>
                </w:tcPr>
                <w:p w14:paraId="1E958D65">
                  <w:pPr>
                    <w:pStyle w:val="239"/>
                    <w:keepNext w:val="0"/>
                    <w:keepLines w:val="0"/>
                    <w:suppressLineNumbers w:val="0"/>
                    <w:adjustRightInd/>
                    <w:snapToGrid/>
                    <w:spacing w:before="0" w:beforeAutospacing="0" w:after="0" w:afterAutospacing="0" w:line="276" w:lineRule="auto"/>
                    <w:ind w:left="0" w:right="0"/>
                    <w:rPr>
                      <w:rFonts w:hint="default" w:ascii="Times New Roman" w:hAnsi="Times New Roman" w:eastAsia="宋体"/>
                      <w:color w:val="auto"/>
                      <w:kern w:val="2"/>
                      <w:sz w:val="21"/>
                      <w:szCs w:val="21"/>
                      <w:lang w:val="en-US" w:eastAsia="zh-CN"/>
                    </w:rPr>
                  </w:pPr>
                  <w:r>
                    <w:rPr>
                      <w:rFonts w:hint="eastAsia" w:ascii="Times New Roman" w:hAnsi="Times New Roman" w:eastAsia="宋体"/>
                      <w:color w:val="auto"/>
                      <w:kern w:val="2"/>
                      <w:sz w:val="21"/>
                      <w:szCs w:val="21"/>
                      <w:lang w:val="en-US" w:eastAsia="zh-CN"/>
                    </w:rPr>
                    <w:t>二甲苯</w:t>
                  </w:r>
                </w:p>
              </w:tc>
              <w:tc>
                <w:tcPr>
                  <w:tcW w:w="1217" w:type="dxa"/>
                  <w:vAlign w:val="center"/>
                </w:tcPr>
                <w:p w14:paraId="0EA536F9">
                  <w:pPr>
                    <w:pStyle w:val="239"/>
                    <w:keepNext w:val="0"/>
                    <w:keepLines w:val="0"/>
                    <w:suppressLineNumbers w:val="0"/>
                    <w:adjustRightInd/>
                    <w:snapToGrid/>
                    <w:spacing w:before="0" w:beforeAutospacing="0" w:after="0" w:afterAutospacing="0" w:line="276" w:lineRule="auto"/>
                    <w:ind w:left="0" w:right="0"/>
                    <w:rPr>
                      <w:rFonts w:hint="default" w:ascii="Times New Roman" w:hAnsi="Times New Roman" w:eastAsia="宋体"/>
                      <w:color w:val="auto"/>
                      <w:kern w:val="2"/>
                      <w:sz w:val="21"/>
                      <w:szCs w:val="21"/>
                      <w:lang w:val="en-US" w:eastAsia="zh-CN"/>
                    </w:rPr>
                  </w:pPr>
                  <w:r>
                    <w:rPr>
                      <w:rFonts w:hint="eastAsia" w:ascii="Times New Roman" w:hAnsi="Times New Roman" w:eastAsia="宋体"/>
                      <w:color w:val="auto"/>
                      <w:kern w:val="2"/>
                      <w:sz w:val="21"/>
                      <w:szCs w:val="21"/>
                      <w:lang w:val="en-US" w:eastAsia="zh-CN"/>
                    </w:rPr>
                    <w:t>20</w:t>
                  </w:r>
                </w:p>
              </w:tc>
              <w:tc>
                <w:tcPr>
                  <w:tcW w:w="1472" w:type="dxa"/>
                  <w:vAlign w:val="center"/>
                </w:tcPr>
                <w:p w14:paraId="22DBA96D">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w:t>
                  </w:r>
                </w:p>
              </w:tc>
              <w:tc>
                <w:tcPr>
                  <w:tcW w:w="1478" w:type="dxa"/>
                  <w:vMerge w:val="continue"/>
                  <w:vAlign w:val="center"/>
                </w:tcPr>
                <w:p w14:paraId="5096ABF4">
                  <w:pPr>
                    <w:keepNext w:val="0"/>
                    <w:keepLines w:val="0"/>
                    <w:suppressLineNumbers w:val="0"/>
                    <w:spacing w:before="0" w:beforeAutospacing="0" w:after="0" w:afterAutospacing="0" w:line="276" w:lineRule="auto"/>
                    <w:ind w:left="0" w:right="0"/>
                    <w:jc w:val="center"/>
                    <w:rPr>
                      <w:rFonts w:hint="eastAsia"/>
                      <w:color w:val="auto"/>
                      <w:szCs w:val="21"/>
                    </w:rPr>
                  </w:pPr>
                </w:p>
              </w:tc>
              <w:tc>
                <w:tcPr>
                  <w:tcW w:w="2690" w:type="dxa"/>
                  <w:vMerge w:val="continue"/>
                  <w:vAlign w:val="center"/>
                </w:tcPr>
                <w:p w14:paraId="42534FF9">
                  <w:pPr>
                    <w:keepNext w:val="0"/>
                    <w:keepLines w:val="0"/>
                    <w:suppressLineNumbers w:val="0"/>
                    <w:spacing w:before="0" w:beforeAutospacing="0" w:after="0" w:afterAutospacing="0" w:line="276" w:lineRule="auto"/>
                    <w:ind w:left="0" w:right="0"/>
                    <w:jc w:val="center"/>
                    <w:rPr>
                      <w:rFonts w:hint="eastAsia"/>
                      <w:color w:val="auto"/>
                      <w:szCs w:val="21"/>
                    </w:rPr>
                  </w:pPr>
                </w:p>
              </w:tc>
            </w:tr>
          </w:tbl>
          <w:p w14:paraId="422965D9">
            <w:pPr>
              <w:pStyle w:val="223"/>
              <w:keepNext w:val="0"/>
              <w:keepLines w:val="0"/>
              <w:suppressLineNumbers w:val="0"/>
              <w:spacing w:before="0" w:beforeAutospacing="0" w:after="0" w:afterAutospacing="0"/>
              <w:ind w:left="0" w:right="0"/>
              <w:jc w:val="center"/>
              <w:rPr>
                <w:rFonts w:hint="default" w:eastAsia="黑体" w:cs="Times New Roman"/>
                <w:color w:val="auto"/>
                <w:szCs w:val="21"/>
              </w:rPr>
            </w:pPr>
            <w:r>
              <w:rPr>
                <w:rFonts w:hint="default" w:hAnsi="黑体" w:eastAsia="黑体" w:cs="Times New Roman"/>
                <w:color w:val="auto"/>
              </w:rPr>
              <w:t>表</w:t>
            </w:r>
            <w:r>
              <w:rPr>
                <w:rFonts w:hint="eastAsia" w:eastAsia="黑体" w:cs="Times New Roman"/>
                <w:color w:val="auto"/>
                <w:lang w:val="en-US" w:eastAsia="zh-CN"/>
              </w:rPr>
              <w:t xml:space="preserve">3-6 </w:t>
            </w:r>
            <w:r>
              <w:rPr>
                <w:rFonts w:hint="eastAsia" w:eastAsia="黑体" w:cs="Times New Roman"/>
                <w:color w:val="auto"/>
                <w:szCs w:val="20"/>
                <w:lang w:val="en-US" w:eastAsia="zh-CN"/>
              </w:rPr>
              <w:t>GB31572-2015</w:t>
            </w:r>
            <w:r>
              <w:rPr>
                <w:rFonts w:hint="default" w:hAnsi="黑体" w:eastAsia="黑体" w:cs="Times New Roman"/>
                <w:color w:val="auto"/>
              </w:rPr>
              <w:t>大气污染物</w:t>
            </w:r>
            <w:r>
              <w:rPr>
                <w:rFonts w:hint="eastAsia" w:hAnsi="黑体" w:eastAsia="黑体" w:cs="Times New Roman"/>
                <w:color w:val="auto"/>
                <w:lang w:val="en-US" w:eastAsia="zh-CN"/>
              </w:rPr>
              <w:t>特别</w:t>
            </w:r>
            <w:r>
              <w:rPr>
                <w:rFonts w:hint="default" w:hAnsi="黑体" w:eastAsia="黑体" w:cs="Times New Roman"/>
                <w:color w:val="auto"/>
              </w:rPr>
              <w:t>排放限值</w:t>
            </w:r>
          </w:p>
          <w:tbl>
            <w:tblPr>
              <w:tblStyle w:val="37"/>
              <w:tblW w:w="7858"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944"/>
              <w:gridCol w:w="1229"/>
              <w:gridCol w:w="1478"/>
              <w:gridCol w:w="1461"/>
              <w:gridCol w:w="2746"/>
            </w:tblGrid>
            <w:tr w14:paraId="2BC156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944" w:type="dxa"/>
                  <w:vAlign w:val="center"/>
                </w:tcPr>
                <w:p w14:paraId="43D7C36D">
                  <w:pPr>
                    <w:keepNext w:val="0"/>
                    <w:keepLines w:val="0"/>
                    <w:suppressLineNumbers w:val="0"/>
                    <w:spacing w:before="0" w:beforeAutospacing="0" w:after="0" w:afterAutospacing="0" w:line="276" w:lineRule="auto"/>
                    <w:ind w:left="0" w:right="0"/>
                    <w:jc w:val="center"/>
                    <w:rPr>
                      <w:rFonts w:hint="default"/>
                      <w:b/>
                      <w:color w:val="auto"/>
                      <w:szCs w:val="21"/>
                    </w:rPr>
                  </w:pPr>
                  <w:r>
                    <w:rPr>
                      <w:rFonts w:hint="eastAsia"/>
                      <w:b/>
                      <w:color w:val="auto"/>
                      <w:szCs w:val="21"/>
                    </w:rPr>
                    <w:t>指标</w:t>
                  </w:r>
                </w:p>
              </w:tc>
              <w:tc>
                <w:tcPr>
                  <w:tcW w:w="1229" w:type="dxa"/>
                  <w:vAlign w:val="center"/>
                </w:tcPr>
                <w:p w14:paraId="64674BC9">
                  <w:pPr>
                    <w:keepNext w:val="0"/>
                    <w:keepLines w:val="0"/>
                    <w:widowControl/>
                    <w:suppressLineNumbers w:val="0"/>
                    <w:spacing w:before="0" w:beforeAutospacing="0" w:after="0" w:afterAutospacing="0" w:line="276" w:lineRule="auto"/>
                    <w:ind w:left="0" w:right="0"/>
                    <w:jc w:val="center"/>
                    <w:rPr>
                      <w:rFonts w:hint="default"/>
                      <w:b/>
                      <w:color w:val="auto"/>
                      <w:kern w:val="0"/>
                      <w:szCs w:val="21"/>
                    </w:rPr>
                  </w:pPr>
                  <w:r>
                    <w:rPr>
                      <w:rFonts w:hint="eastAsia"/>
                      <w:b/>
                      <w:color w:val="auto"/>
                      <w:kern w:val="0"/>
                      <w:szCs w:val="21"/>
                      <w:lang w:val="en-US" w:eastAsia="zh-CN"/>
                    </w:rPr>
                    <w:t>排放限值</w:t>
                  </w:r>
                  <w:r>
                    <w:rPr>
                      <w:rFonts w:hint="eastAsia"/>
                      <w:b/>
                      <w:color w:val="auto"/>
                      <w:kern w:val="0"/>
                      <w:szCs w:val="21"/>
                    </w:rPr>
                    <w:t>（</w:t>
                  </w:r>
                  <w:r>
                    <w:rPr>
                      <w:rFonts w:hint="default"/>
                      <w:b/>
                      <w:color w:val="auto"/>
                      <w:kern w:val="0"/>
                      <w:szCs w:val="21"/>
                    </w:rPr>
                    <w:t>mg/m</w:t>
                  </w:r>
                  <w:r>
                    <w:rPr>
                      <w:rFonts w:hint="default"/>
                      <w:b/>
                      <w:color w:val="auto"/>
                      <w:kern w:val="0"/>
                      <w:szCs w:val="21"/>
                      <w:vertAlign w:val="superscript"/>
                    </w:rPr>
                    <w:t>3</w:t>
                  </w:r>
                  <w:r>
                    <w:rPr>
                      <w:rFonts w:hint="eastAsia"/>
                      <w:b/>
                      <w:color w:val="auto"/>
                      <w:kern w:val="0"/>
                      <w:szCs w:val="21"/>
                    </w:rPr>
                    <w:t>）</w:t>
                  </w:r>
                </w:p>
              </w:tc>
              <w:tc>
                <w:tcPr>
                  <w:tcW w:w="1478" w:type="dxa"/>
                  <w:vAlign w:val="center"/>
                </w:tcPr>
                <w:p w14:paraId="30721057">
                  <w:pPr>
                    <w:keepNext w:val="0"/>
                    <w:keepLines w:val="0"/>
                    <w:widowControl/>
                    <w:suppressLineNumbers w:val="0"/>
                    <w:spacing w:before="0" w:beforeAutospacing="0" w:after="0" w:afterAutospacing="0" w:line="276" w:lineRule="auto"/>
                    <w:ind w:left="0" w:right="0"/>
                    <w:jc w:val="center"/>
                    <w:rPr>
                      <w:rFonts w:hint="default" w:eastAsia="宋体"/>
                      <w:b/>
                      <w:color w:val="auto"/>
                      <w:kern w:val="0"/>
                      <w:szCs w:val="21"/>
                      <w:lang w:val="en-US" w:eastAsia="zh-CN"/>
                    </w:rPr>
                  </w:pPr>
                  <w:r>
                    <w:rPr>
                      <w:rFonts w:hint="eastAsia"/>
                      <w:b/>
                      <w:color w:val="auto"/>
                      <w:kern w:val="0"/>
                      <w:szCs w:val="21"/>
                      <w:lang w:val="en-US" w:eastAsia="zh-CN"/>
                    </w:rPr>
                    <w:t>适用的合成树脂类型</w:t>
                  </w:r>
                </w:p>
              </w:tc>
              <w:tc>
                <w:tcPr>
                  <w:tcW w:w="1461" w:type="dxa"/>
                  <w:vAlign w:val="center"/>
                </w:tcPr>
                <w:p w14:paraId="51846A8D">
                  <w:pPr>
                    <w:keepNext w:val="0"/>
                    <w:keepLines w:val="0"/>
                    <w:widowControl/>
                    <w:suppressLineNumbers w:val="0"/>
                    <w:spacing w:before="0" w:beforeAutospacing="0" w:after="0" w:afterAutospacing="0" w:line="276" w:lineRule="auto"/>
                    <w:ind w:left="0" w:right="0"/>
                    <w:jc w:val="center"/>
                    <w:rPr>
                      <w:rFonts w:hint="eastAsia"/>
                      <w:b/>
                      <w:color w:val="auto"/>
                      <w:kern w:val="0"/>
                      <w:szCs w:val="21"/>
                    </w:rPr>
                  </w:pPr>
                  <w:r>
                    <w:rPr>
                      <w:rFonts w:hint="eastAsia"/>
                      <w:b/>
                      <w:color w:val="auto"/>
                      <w:kern w:val="0"/>
                      <w:szCs w:val="21"/>
                    </w:rPr>
                    <w:t>污染物排放</w:t>
                  </w:r>
                </w:p>
                <w:p w14:paraId="6C7CAD82">
                  <w:pPr>
                    <w:keepNext w:val="0"/>
                    <w:keepLines w:val="0"/>
                    <w:widowControl/>
                    <w:suppressLineNumbers w:val="0"/>
                    <w:spacing w:before="0" w:beforeAutospacing="0" w:after="0" w:afterAutospacing="0" w:line="276" w:lineRule="auto"/>
                    <w:ind w:left="0" w:right="0"/>
                    <w:jc w:val="center"/>
                    <w:rPr>
                      <w:rFonts w:hint="default"/>
                      <w:b/>
                      <w:color w:val="auto"/>
                      <w:kern w:val="0"/>
                      <w:szCs w:val="21"/>
                    </w:rPr>
                  </w:pPr>
                  <w:r>
                    <w:rPr>
                      <w:rFonts w:hint="eastAsia"/>
                      <w:b/>
                      <w:color w:val="auto"/>
                      <w:kern w:val="0"/>
                      <w:szCs w:val="21"/>
                    </w:rPr>
                    <w:t>监控位置</w:t>
                  </w:r>
                </w:p>
              </w:tc>
              <w:tc>
                <w:tcPr>
                  <w:tcW w:w="2746" w:type="dxa"/>
                  <w:vAlign w:val="center"/>
                </w:tcPr>
                <w:p w14:paraId="759B872B">
                  <w:pPr>
                    <w:keepNext w:val="0"/>
                    <w:keepLines w:val="0"/>
                    <w:widowControl/>
                    <w:suppressLineNumbers w:val="0"/>
                    <w:spacing w:before="0" w:beforeAutospacing="0" w:after="0" w:afterAutospacing="0" w:line="276" w:lineRule="auto"/>
                    <w:ind w:left="0" w:right="0"/>
                    <w:jc w:val="center"/>
                    <w:rPr>
                      <w:rFonts w:hint="default"/>
                      <w:b/>
                      <w:color w:val="auto"/>
                      <w:kern w:val="0"/>
                      <w:szCs w:val="21"/>
                    </w:rPr>
                  </w:pPr>
                  <w:r>
                    <w:rPr>
                      <w:rFonts w:hint="eastAsia"/>
                      <w:b/>
                      <w:color w:val="auto"/>
                      <w:kern w:val="0"/>
                      <w:szCs w:val="21"/>
                    </w:rPr>
                    <w:t>标准来源</w:t>
                  </w:r>
                </w:p>
              </w:tc>
            </w:tr>
            <w:tr w14:paraId="158381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944" w:type="dxa"/>
                  <w:shd w:val="clear" w:color="auto" w:fill="auto"/>
                  <w:vAlign w:val="center"/>
                </w:tcPr>
                <w:p w14:paraId="3E25C94B">
                  <w:pPr>
                    <w:pStyle w:val="239"/>
                    <w:keepNext w:val="0"/>
                    <w:keepLines w:val="0"/>
                    <w:suppressLineNumbers w:val="0"/>
                    <w:adjustRightInd/>
                    <w:snapToGrid/>
                    <w:spacing w:before="0" w:beforeAutospacing="0" w:after="0" w:afterAutospacing="0" w:line="276" w:lineRule="auto"/>
                    <w:ind w:left="0" w:leftChars="0" w:right="0" w:rightChars="0"/>
                    <w:rPr>
                      <w:rFonts w:hint="default" w:ascii="Times New Roman" w:hAnsi="Times New Roman" w:eastAsia="宋体" w:cs="Times New Roman"/>
                      <w:color w:val="auto"/>
                      <w:spacing w:val="4"/>
                      <w:kern w:val="2"/>
                      <w:sz w:val="21"/>
                      <w:szCs w:val="21"/>
                      <w:lang w:val="en-US" w:eastAsia="zh-CN" w:bidi="ar-SA"/>
                    </w:rPr>
                  </w:pPr>
                  <w:r>
                    <w:rPr>
                      <w:rFonts w:hint="eastAsia" w:ascii="Times New Roman" w:hAnsi="Times New Roman" w:eastAsia="宋体"/>
                      <w:color w:val="auto"/>
                      <w:kern w:val="2"/>
                      <w:sz w:val="21"/>
                      <w:szCs w:val="21"/>
                      <w:lang w:val="en-US" w:eastAsia="zh-CN"/>
                    </w:rPr>
                    <w:t>苯乙烯</w:t>
                  </w:r>
                </w:p>
              </w:tc>
              <w:tc>
                <w:tcPr>
                  <w:tcW w:w="1229" w:type="dxa"/>
                  <w:shd w:val="clear" w:color="auto" w:fill="auto"/>
                  <w:vAlign w:val="center"/>
                </w:tcPr>
                <w:p w14:paraId="17541B80">
                  <w:pPr>
                    <w:pStyle w:val="239"/>
                    <w:keepNext w:val="0"/>
                    <w:keepLines w:val="0"/>
                    <w:suppressLineNumbers w:val="0"/>
                    <w:adjustRightInd/>
                    <w:snapToGrid/>
                    <w:spacing w:before="0" w:beforeAutospacing="0" w:after="0" w:afterAutospacing="0" w:line="276" w:lineRule="auto"/>
                    <w:ind w:left="0" w:leftChars="0" w:right="0" w:rightChars="0"/>
                    <w:rPr>
                      <w:rFonts w:hint="default" w:ascii="Times New Roman" w:hAnsi="Times New Roman" w:eastAsia="宋体" w:cs="Times New Roman"/>
                      <w:color w:val="auto"/>
                      <w:spacing w:val="4"/>
                      <w:kern w:val="2"/>
                      <w:sz w:val="21"/>
                      <w:szCs w:val="21"/>
                      <w:lang w:val="en-US" w:eastAsia="zh-CN" w:bidi="ar-SA"/>
                    </w:rPr>
                  </w:pPr>
                  <w:r>
                    <w:rPr>
                      <w:rFonts w:hint="eastAsia" w:ascii="Times New Roman" w:hAnsi="Times New Roman" w:eastAsia="宋体"/>
                      <w:color w:val="auto"/>
                      <w:kern w:val="2"/>
                      <w:sz w:val="21"/>
                      <w:szCs w:val="21"/>
                      <w:lang w:val="en-US" w:eastAsia="zh-CN"/>
                    </w:rPr>
                    <w:t>20</w:t>
                  </w:r>
                </w:p>
              </w:tc>
              <w:tc>
                <w:tcPr>
                  <w:tcW w:w="1478" w:type="dxa"/>
                  <w:shd w:val="clear" w:color="auto" w:fill="auto"/>
                  <w:vAlign w:val="center"/>
                </w:tcPr>
                <w:p w14:paraId="20E69FC6">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聚苯乙烯树脂、ABS树脂</w:t>
                  </w:r>
                </w:p>
              </w:tc>
              <w:tc>
                <w:tcPr>
                  <w:tcW w:w="1461" w:type="dxa"/>
                  <w:vMerge w:val="restart"/>
                  <w:vAlign w:val="center"/>
                </w:tcPr>
                <w:p w14:paraId="0295D1B5">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车间或生产设施排气筒</w:t>
                  </w:r>
                </w:p>
              </w:tc>
              <w:tc>
                <w:tcPr>
                  <w:tcW w:w="2746" w:type="dxa"/>
                  <w:vMerge w:val="restart"/>
                  <w:vAlign w:val="center"/>
                </w:tcPr>
                <w:p w14:paraId="5395C982">
                  <w:pPr>
                    <w:keepNext w:val="0"/>
                    <w:keepLines w:val="0"/>
                    <w:suppressLineNumbers w:val="0"/>
                    <w:spacing w:before="0" w:beforeAutospacing="0" w:after="0" w:afterAutospacing="0" w:line="276" w:lineRule="auto"/>
                    <w:ind w:left="0" w:right="0"/>
                    <w:jc w:val="center"/>
                    <w:rPr>
                      <w:rFonts w:hint="eastAsia"/>
                      <w:color w:val="auto"/>
                      <w:szCs w:val="21"/>
                    </w:rPr>
                  </w:pPr>
                  <w:r>
                    <w:rPr>
                      <w:rFonts w:hint="eastAsia"/>
                      <w:color w:val="auto"/>
                      <w:szCs w:val="21"/>
                    </w:rPr>
                    <w:t>《合成树脂工业污染物排放标准》（GB31572-2015</w:t>
                  </w:r>
                  <w:r>
                    <w:rPr>
                      <w:rFonts w:hint="eastAsia"/>
                      <w:color w:val="auto"/>
                      <w:szCs w:val="21"/>
                      <w:lang w:eastAsia="zh-CN"/>
                    </w:rPr>
                    <w:t>，含2024年修改单</w:t>
                  </w:r>
                  <w:r>
                    <w:rPr>
                      <w:rFonts w:hint="eastAsia"/>
                      <w:color w:val="auto"/>
                      <w:szCs w:val="21"/>
                    </w:rPr>
                    <w:t>）</w:t>
                  </w:r>
                </w:p>
              </w:tc>
            </w:tr>
            <w:tr w14:paraId="11D794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944" w:type="dxa"/>
                  <w:shd w:val="clear" w:color="auto" w:fill="auto"/>
                  <w:vAlign w:val="center"/>
                </w:tcPr>
                <w:p w14:paraId="648768F8">
                  <w:pPr>
                    <w:pStyle w:val="239"/>
                    <w:keepNext w:val="0"/>
                    <w:keepLines w:val="0"/>
                    <w:suppressLineNumbers w:val="0"/>
                    <w:adjustRightInd/>
                    <w:snapToGrid/>
                    <w:spacing w:before="0" w:beforeAutospacing="0" w:after="0" w:afterAutospacing="0" w:line="276" w:lineRule="auto"/>
                    <w:ind w:left="0" w:leftChars="0" w:right="0" w:rightChars="0"/>
                    <w:rPr>
                      <w:rFonts w:hint="eastAsia" w:ascii="Times New Roman" w:hAnsi="Times New Roman" w:eastAsia="宋体" w:cs="Times New Roman"/>
                      <w:color w:val="auto"/>
                      <w:spacing w:val="4"/>
                      <w:kern w:val="2"/>
                      <w:sz w:val="21"/>
                      <w:szCs w:val="21"/>
                      <w:lang w:val="en-US" w:eastAsia="zh-CN" w:bidi="ar-SA"/>
                    </w:rPr>
                  </w:pPr>
                  <w:r>
                    <w:rPr>
                      <w:rFonts w:hint="eastAsia" w:ascii="Times New Roman" w:hAnsi="Times New Roman" w:eastAsia="宋体"/>
                      <w:color w:val="auto"/>
                      <w:kern w:val="2"/>
                      <w:sz w:val="21"/>
                      <w:szCs w:val="21"/>
                      <w:lang w:val="en-US" w:eastAsia="zh-CN"/>
                    </w:rPr>
                    <w:t>甲苯</w:t>
                  </w:r>
                </w:p>
              </w:tc>
              <w:tc>
                <w:tcPr>
                  <w:tcW w:w="1229" w:type="dxa"/>
                  <w:shd w:val="clear" w:color="auto" w:fill="auto"/>
                  <w:vAlign w:val="center"/>
                </w:tcPr>
                <w:p w14:paraId="31EC3A7A">
                  <w:pPr>
                    <w:pStyle w:val="239"/>
                    <w:keepNext w:val="0"/>
                    <w:keepLines w:val="0"/>
                    <w:suppressLineNumbers w:val="0"/>
                    <w:adjustRightInd/>
                    <w:snapToGrid/>
                    <w:spacing w:before="0" w:beforeAutospacing="0" w:after="0" w:afterAutospacing="0" w:line="276" w:lineRule="auto"/>
                    <w:ind w:left="0" w:leftChars="0" w:right="0" w:rightChars="0"/>
                    <w:rPr>
                      <w:rFonts w:hint="default" w:ascii="Times New Roman" w:hAnsi="Times New Roman" w:eastAsia="宋体" w:cs="Times New Roman"/>
                      <w:color w:val="auto"/>
                      <w:spacing w:val="4"/>
                      <w:kern w:val="2"/>
                      <w:sz w:val="21"/>
                      <w:szCs w:val="21"/>
                      <w:lang w:val="en-US" w:eastAsia="zh-CN" w:bidi="ar-SA"/>
                    </w:rPr>
                  </w:pPr>
                  <w:r>
                    <w:rPr>
                      <w:rFonts w:hint="eastAsia" w:ascii="Times New Roman" w:hAnsi="Times New Roman" w:eastAsia="宋体"/>
                      <w:color w:val="auto"/>
                      <w:kern w:val="2"/>
                      <w:sz w:val="21"/>
                      <w:szCs w:val="21"/>
                      <w:lang w:val="en-US" w:eastAsia="zh-CN"/>
                    </w:rPr>
                    <w:t>8</w:t>
                  </w:r>
                </w:p>
              </w:tc>
              <w:tc>
                <w:tcPr>
                  <w:tcW w:w="1478" w:type="dxa"/>
                  <w:shd w:val="clear" w:color="auto" w:fill="auto"/>
                  <w:vAlign w:val="center"/>
                </w:tcPr>
                <w:p w14:paraId="17972190">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聚苯乙烯树脂、ABS树脂、环氧树脂</w:t>
                  </w:r>
                </w:p>
              </w:tc>
              <w:tc>
                <w:tcPr>
                  <w:tcW w:w="1461" w:type="dxa"/>
                  <w:vMerge w:val="continue"/>
                  <w:vAlign w:val="center"/>
                </w:tcPr>
                <w:p w14:paraId="7F105FAF">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p>
              </w:tc>
              <w:tc>
                <w:tcPr>
                  <w:tcW w:w="2746" w:type="dxa"/>
                  <w:vMerge w:val="continue"/>
                  <w:vAlign w:val="center"/>
                </w:tcPr>
                <w:p w14:paraId="28CBACB2">
                  <w:pPr>
                    <w:keepNext w:val="0"/>
                    <w:keepLines w:val="0"/>
                    <w:suppressLineNumbers w:val="0"/>
                    <w:spacing w:before="0" w:beforeAutospacing="0" w:after="0" w:afterAutospacing="0" w:line="276" w:lineRule="auto"/>
                    <w:ind w:left="0" w:right="0"/>
                    <w:jc w:val="center"/>
                    <w:rPr>
                      <w:rFonts w:hint="eastAsia"/>
                      <w:color w:val="auto"/>
                      <w:szCs w:val="21"/>
                    </w:rPr>
                  </w:pPr>
                </w:p>
              </w:tc>
            </w:tr>
            <w:tr w14:paraId="7FED33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944" w:type="dxa"/>
                  <w:shd w:val="clear" w:color="auto" w:fill="auto"/>
                  <w:vAlign w:val="center"/>
                </w:tcPr>
                <w:p w14:paraId="5316A55D">
                  <w:pPr>
                    <w:pStyle w:val="239"/>
                    <w:keepNext w:val="0"/>
                    <w:keepLines w:val="0"/>
                    <w:suppressLineNumbers w:val="0"/>
                    <w:adjustRightInd/>
                    <w:snapToGrid/>
                    <w:spacing w:before="0" w:beforeAutospacing="0" w:after="0" w:afterAutospacing="0" w:line="276" w:lineRule="auto"/>
                    <w:ind w:left="0" w:leftChars="0" w:right="0" w:rightChars="0"/>
                    <w:rPr>
                      <w:rFonts w:hint="default" w:ascii="Times New Roman" w:hAnsi="Times New Roman" w:eastAsia="宋体" w:cs="Times New Roman"/>
                      <w:color w:val="auto"/>
                      <w:spacing w:val="4"/>
                      <w:kern w:val="2"/>
                      <w:sz w:val="21"/>
                      <w:szCs w:val="21"/>
                      <w:lang w:val="en-US" w:eastAsia="zh-CN" w:bidi="ar-SA"/>
                    </w:rPr>
                  </w:pPr>
                  <w:r>
                    <w:rPr>
                      <w:rFonts w:hint="eastAsia" w:ascii="Times New Roman" w:hAnsi="Times New Roman" w:eastAsia="宋体"/>
                      <w:color w:val="auto"/>
                      <w:kern w:val="2"/>
                      <w:sz w:val="21"/>
                      <w:szCs w:val="21"/>
                      <w:lang w:val="en-US" w:eastAsia="zh-CN"/>
                    </w:rPr>
                    <w:t>苯</w:t>
                  </w:r>
                </w:p>
              </w:tc>
              <w:tc>
                <w:tcPr>
                  <w:tcW w:w="1229" w:type="dxa"/>
                  <w:shd w:val="clear" w:color="auto" w:fill="auto"/>
                  <w:vAlign w:val="center"/>
                </w:tcPr>
                <w:p w14:paraId="2871E5F0">
                  <w:pPr>
                    <w:pStyle w:val="239"/>
                    <w:keepNext w:val="0"/>
                    <w:keepLines w:val="0"/>
                    <w:suppressLineNumbers w:val="0"/>
                    <w:adjustRightInd/>
                    <w:snapToGrid/>
                    <w:spacing w:before="0" w:beforeAutospacing="0" w:after="0" w:afterAutospacing="0" w:line="276" w:lineRule="auto"/>
                    <w:ind w:left="0" w:leftChars="0" w:right="0" w:rightChars="0"/>
                    <w:rPr>
                      <w:rFonts w:hint="default" w:ascii="Times New Roman" w:hAnsi="Times New Roman" w:eastAsia="宋体" w:cs="Times New Roman"/>
                      <w:color w:val="auto"/>
                      <w:spacing w:val="4"/>
                      <w:kern w:val="2"/>
                      <w:sz w:val="21"/>
                      <w:szCs w:val="21"/>
                      <w:lang w:val="en-US" w:eastAsia="zh-CN" w:bidi="ar-SA"/>
                    </w:rPr>
                  </w:pPr>
                  <w:r>
                    <w:rPr>
                      <w:rFonts w:hint="eastAsia" w:ascii="Times New Roman" w:hAnsi="Times New Roman" w:eastAsia="宋体"/>
                      <w:color w:val="auto"/>
                      <w:kern w:val="2"/>
                      <w:sz w:val="21"/>
                      <w:szCs w:val="21"/>
                      <w:lang w:val="en-US" w:eastAsia="zh-CN"/>
                    </w:rPr>
                    <w:t>4</w:t>
                  </w:r>
                </w:p>
              </w:tc>
              <w:tc>
                <w:tcPr>
                  <w:tcW w:w="1478" w:type="dxa"/>
                  <w:shd w:val="clear" w:color="auto" w:fill="auto"/>
                  <w:vAlign w:val="center"/>
                </w:tcPr>
                <w:p w14:paraId="14EA1B61">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聚甲醛树脂</w:t>
                  </w:r>
                </w:p>
              </w:tc>
              <w:tc>
                <w:tcPr>
                  <w:tcW w:w="1461" w:type="dxa"/>
                  <w:vMerge w:val="continue"/>
                  <w:vAlign w:val="center"/>
                </w:tcPr>
                <w:p w14:paraId="4E847DCF">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p>
              </w:tc>
              <w:tc>
                <w:tcPr>
                  <w:tcW w:w="2746" w:type="dxa"/>
                  <w:vMerge w:val="continue"/>
                  <w:vAlign w:val="center"/>
                </w:tcPr>
                <w:p w14:paraId="0D6261A8">
                  <w:pPr>
                    <w:keepNext w:val="0"/>
                    <w:keepLines w:val="0"/>
                    <w:suppressLineNumbers w:val="0"/>
                    <w:spacing w:before="0" w:beforeAutospacing="0" w:after="0" w:afterAutospacing="0" w:line="276" w:lineRule="auto"/>
                    <w:ind w:left="0" w:right="0"/>
                    <w:jc w:val="center"/>
                    <w:rPr>
                      <w:rFonts w:hint="eastAsia"/>
                      <w:color w:val="auto"/>
                      <w:szCs w:val="21"/>
                    </w:rPr>
                  </w:pPr>
                </w:p>
              </w:tc>
            </w:tr>
            <w:tr w14:paraId="447E3C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944" w:type="dxa"/>
                  <w:shd w:val="clear" w:color="auto" w:fill="auto"/>
                  <w:vAlign w:val="center"/>
                </w:tcPr>
                <w:p w14:paraId="11A8A548">
                  <w:pPr>
                    <w:pStyle w:val="239"/>
                    <w:keepNext w:val="0"/>
                    <w:keepLines w:val="0"/>
                    <w:suppressLineNumbers w:val="0"/>
                    <w:adjustRightInd/>
                    <w:snapToGrid/>
                    <w:spacing w:before="0" w:beforeAutospacing="0" w:after="0" w:afterAutospacing="0" w:line="276" w:lineRule="auto"/>
                    <w:ind w:left="0" w:leftChars="0" w:right="0" w:rightChars="0"/>
                    <w:rPr>
                      <w:rFonts w:hint="eastAsia" w:ascii="Times New Roman" w:hAnsi="Times New Roman" w:eastAsia="宋体" w:cs="Times New Roman"/>
                      <w:color w:val="auto"/>
                      <w:spacing w:val="4"/>
                      <w:kern w:val="2"/>
                      <w:sz w:val="21"/>
                      <w:szCs w:val="21"/>
                      <w:lang w:val="en-US" w:eastAsia="zh-CN" w:bidi="ar-SA"/>
                    </w:rPr>
                  </w:pPr>
                  <w:r>
                    <w:rPr>
                      <w:rFonts w:hint="eastAsia" w:ascii="Times New Roman" w:hAnsi="Times New Roman" w:eastAsia="宋体"/>
                      <w:color w:val="auto"/>
                      <w:kern w:val="2"/>
                      <w:sz w:val="21"/>
                      <w:szCs w:val="21"/>
                      <w:lang w:val="en-US" w:eastAsia="zh-CN"/>
                    </w:rPr>
                    <w:t>乙苯</w:t>
                  </w:r>
                </w:p>
              </w:tc>
              <w:tc>
                <w:tcPr>
                  <w:tcW w:w="1229" w:type="dxa"/>
                  <w:shd w:val="clear" w:color="auto" w:fill="auto"/>
                  <w:vAlign w:val="center"/>
                </w:tcPr>
                <w:p w14:paraId="221DC85E">
                  <w:pPr>
                    <w:pStyle w:val="239"/>
                    <w:keepNext w:val="0"/>
                    <w:keepLines w:val="0"/>
                    <w:suppressLineNumbers w:val="0"/>
                    <w:adjustRightInd/>
                    <w:snapToGrid/>
                    <w:spacing w:before="0" w:beforeAutospacing="0" w:after="0" w:afterAutospacing="0" w:line="276" w:lineRule="auto"/>
                    <w:ind w:left="0" w:leftChars="0" w:right="0" w:rightChars="0"/>
                    <w:rPr>
                      <w:rFonts w:hint="eastAsia" w:ascii="Times New Roman" w:hAnsi="Times New Roman" w:eastAsia="宋体" w:cs="Times New Roman"/>
                      <w:color w:val="auto"/>
                      <w:spacing w:val="4"/>
                      <w:kern w:val="2"/>
                      <w:sz w:val="21"/>
                      <w:szCs w:val="21"/>
                      <w:lang w:val="en-US" w:eastAsia="zh-CN" w:bidi="ar-SA"/>
                    </w:rPr>
                  </w:pPr>
                  <w:r>
                    <w:rPr>
                      <w:rFonts w:hint="eastAsia" w:ascii="Times New Roman" w:hAnsi="Times New Roman" w:eastAsia="宋体"/>
                      <w:color w:val="auto"/>
                      <w:kern w:val="2"/>
                      <w:sz w:val="21"/>
                      <w:szCs w:val="21"/>
                      <w:lang w:val="en-US" w:eastAsia="zh-CN"/>
                    </w:rPr>
                    <w:t>100</w:t>
                  </w:r>
                </w:p>
              </w:tc>
              <w:tc>
                <w:tcPr>
                  <w:tcW w:w="1478" w:type="dxa"/>
                  <w:shd w:val="clear" w:color="auto" w:fill="auto"/>
                  <w:vAlign w:val="center"/>
                </w:tcPr>
                <w:p w14:paraId="28FB6607">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聚苯乙烯树脂、ABS树脂</w:t>
                  </w:r>
                </w:p>
              </w:tc>
              <w:tc>
                <w:tcPr>
                  <w:tcW w:w="1461" w:type="dxa"/>
                  <w:vMerge w:val="continue"/>
                  <w:vAlign w:val="center"/>
                </w:tcPr>
                <w:p w14:paraId="1F52F6BC">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p>
              </w:tc>
              <w:tc>
                <w:tcPr>
                  <w:tcW w:w="2746" w:type="dxa"/>
                  <w:vMerge w:val="continue"/>
                  <w:vAlign w:val="center"/>
                </w:tcPr>
                <w:p w14:paraId="7701C23B">
                  <w:pPr>
                    <w:keepNext w:val="0"/>
                    <w:keepLines w:val="0"/>
                    <w:suppressLineNumbers w:val="0"/>
                    <w:spacing w:before="0" w:beforeAutospacing="0" w:after="0" w:afterAutospacing="0" w:line="276" w:lineRule="auto"/>
                    <w:ind w:left="0" w:right="0"/>
                    <w:jc w:val="center"/>
                    <w:rPr>
                      <w:rFonts w:hint="eastAsia"/>
                      <w:color w:val="auto"/>
                      <w:szCs w:val="21"/>
                    </w:rPr>
                  </w:pPr>
                </w:p>
              </w:tc>
            </w:tr>
            <w:tr w14:paraId="5BDE6B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944" w:type="dxa"/>
                  <w:shd w:val="clear" w:color="auto" w:fill="auto"/>
                  <w:vAlign w:val="center"/>
                </w:tcPr>
                <w:p w14:paraId="2EC1B154">
                  <w:pPr>
                    <w:pStyle w:val="239"/>
                    <w:keepNext w:val="0"/>
                    <w:keepLines w:val="0"/>
                    <w:suppressLineNumbers w:val="0"/>
                    <w:adjustRightInd/>
                    <w:snapToGrid/>
                    <w:spacing w:before="0" w:beforeAutospacing="0" w:after="0" w:afterAutospacing="0" w:line="276" w:lineRule="auto"/>
                    <w:ind w:left="0" w:leftChars="0" w:right="0" w:rightChars="0"/>
                    <w:rPr>
                      <w:rFonts w:hint="default" w:ascii="Times New Roman" w:hAnsi="Times New Roman" w:eastAsia="宋体"/>
                      <w:color w:val="auto"/>
                      <w:kern w:val="2"/>
                      <w:sz w:val="21"/>
                      <w:szCs w:val="21"/>
                      <w:lang w:val="en-US" w:eastAsia="zh-CN"/>
                    </w:rPr>
                  </w:pPr>
                  <w:r>
                    <w:rPr>
                      <w:rFonts w:hint="eastAsia" w:ascii="Times New Roman" w:hAnsi="Times New Roman" w:eastAsia="宋体"/>
                      <w:color w:val="auto"/>
                      <w:kern w:val="2"/>
                      <w:sz w:val="21"/>
                      <w:szCs w:val="21"/>
                      <w:lang w:val="en-US" w:eastAsia="zh-CN"/>
                    </w:rPr>
                    <w:t>颗粒物</w:t>
                  </w:r>
                </w:p>
              </w:tc>
              <w:tc>
                <w:tcPr>
                  <w:tcW w:w="1229" w:type="dxa"/>
                  <w:shd w:val="clear" w:color="auto" w:fill="auto"/>
                  <w:vAlign w:val="center"/>
                </w:tcPr>
                <w:p w14:paraId="1E37F3C2">
                  <w:pPr>
                    <w:pStyle w:val="239"/>
                    <w:keepNext w:val="0"/>
                    <w:keepLines w:val="0"/>
                    <w:suppressLineNumbers w:val="0"/>
                    <w:adjustRightInd/>
                    <w:snapToGrid/>
                    <w:spacing w:before="0" w:beforeAutospacing="0" w:after="0" w:afterAutospacing="0" w:line="276" w:lineRule="auto"/>
                    <w:ind w:left="0" w:leftChars="0" w:right="0" w:rightChars="0"/>
                    <w:rPr>
                      <w:rFonts w:hint="default" w:ascii="Times New Roman" w:hAnsi="Times New Roman" w:eastAsia="宋体"/>
                      <w:color w:val="auto"/>
                      <w:kern w:val="2"/>
                      <w:sz w:val="21"/>
                      <w:szCs w:val="21"/>
                      <w:lang w:val="en-US" w:eastAsia="zh-CN"/>
                    </w:rPr>
                  </w:pPr>
                  <w:r>
                    <w:rPr>
                      <w:rFonts w:hint="eastAsia" w:ascii="Times New Roman" w:hAnsi="Times New Roman" w:eastAsia="宋体"/>
                      <w:color w:val="auto"/>
                      <w:kern w:val="2"/>
                      <w:sz w:val="21"/>
                      <w:szCs w:val="21"/>
                      <w:lang w:val="en-US" w:eastAsia="zh-CN"/>
                    </w:rPr>
                    <w:t>20</w:t>
                  </w:r>
                </w:p>
              </w:tc>
              <w:tc>
                <w:tcPr>
                  <w:tcW w:w="1478" w:type="dxa"/>
                  <w:shd w:val="clear" w:color="auto" w:fill="auto"/>
                  <w:vAlign w:val="center"/>
                </w:tcPr>
                <w:p w14:paraId="48AD42BA">
                  <w:pPr>
                    <w:keepNext w:val="0"/>
                    <w:keepLines w:val="0"/>
                    <w:suppressLineNumbers w:val="0"/>
                    <w:spacing w:before="0" w:beforeAutospacing="0" w:after="0" w:afterAutospacing="0" w:line="276" w:lineRule="auto"/>
                    <w:ind w:left="0" w:leftChars="0" w:right="0" w:rightChars="0"/>
                    <w:jc w:val="center"/>
                    <w:rPr>
                      <w:rFonts w:hint="default"/>
                      <w:color w:val="auto"/>
                      <w:szCs w:val="21"/>
                      <w:lang w:val="en-US" w:eastAsia="zh-CN"/>
                    </w:rPr>
                  </w:pPr>
                  <w:r>
                    <w:rPr>
                      <w:rFonts w:hint="eastAsia"/>
                      <w:color w:val="auto"/>
                      <w:szCs w:val="21"/>
                      <w:lang w:val="en-US" w:eastAsia="zh-CN"/>
                    </w:rPr>
                    <w:t>所有合成树脂</w:t>
                  </w:r>
                </w:p>
              </w:tc>
              <w:tc>
                <w:tcPr>
                  <w:tcW w:w="1461" w:type="dxa"/>
                  <w:vMerge w:val="continue"/>
                  <w:vAlign w:val="center"/>
                </w:tcPr>
                <w:p w14:paraId="2CB0A768">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p>
              </w:tc>
              <w:tc>
                <w:tcPr>
                  <w:tcW w:w="2746" w:type="dxa"/>
                  <w:vMerge w:val="continue"/>
                  <w:vAlign w:val="center"/>
                </w:tcPr>
                <w:p w14:paraId="5EA21D20">
                  <w:pPr>
                    <w:keepNext w:val="0"/>
                    <w:keepLines w:val="0"/>
                    <w:suppressLineNumbers w:val="0"/>
                    <w:spacing w:before="0" w:beforeAutospacing="0" w:after="0" w:afterAutospacing="0" w:line="276" w:lineRule="auto"/>
                    <w:ind w:left="0" w:right="0"/>
                    <w:jc w:val="center"/>
                    <w:rPr>
                      <w:rFonts w:hint="eastAsia"/>
                      <w:color w:val="auto"/>
                      <w:szCs w:val="21"/>
                    </w:rPr>
                  </w:pPr>
                </w:p>
              </w:tc>
            </w:tr>
          </w:tbl>
          <w:p w14:paraId="61C865E3">
            <w:pPr>
              <w:pStyle w:val="223"/>
              <w:keepNext w:val="0"/>
              <w:keepLines w:val="0"/>
              <w:suppressLineNumbers w:val="0"/>
              <w:spacing w:before="0" w:beforeAutospacing="0" w:after="0" w:afterAutospacing="0"/>
              <w:ind w:left="0" w:right="0"/>
              <w:jc w:val="center"/>
              <w:rPr>
                <w:rFonts w:hint="default" w:eastAsia="黑体" w:cs="Times New Roman"/>
                <w:bCs/>
                <w:color w:val="auto"/>
                <w:spacing w:val="-2"/>
                <w:kern w:val="0"/>
                <w:szCs w:val="21"/>
              </w:rPr>
            </w:pPr>
            <w:r>
              <w:rPr>
                <w:rFonts w:hint="default" w:hAnsi="黑体" w:eastAsia="黑体" w:cs="Times New Roman"/>
                <w:color w:val="auto"/>
              </w:rPr>
              <w:t>表</w:t>
            </w:r>
            <w:r>
              <w:rPr>
                <w:rFonts w:hint="eastAsia" w:eastAsia="黑体" w:cs="Times New Roman"/>
                <w:color w:val="auto"/>
                <w:lang w:val="en-US" w:eastAsia="zh-CN"/>
              </w:rPr>
              <w:t xml:space="preserve">3-7 </w:t>
            </w:r>
            <w:r>
              <w:rPr>
                <w:rFonts w:hint="eastAsia"/>
                <w:color w:val="auto"/>
                <w:szCs w:val="21"/>
              </w:rPr>
              <w:t>GB31572-2015</w:t>
            </w:r>
            <w:r>
              <w:rPr>
                <w:rFonts w:hint="default" w:hAnsi="黑体" w:eastAsia="黑体" w:cs="Times New Roman"/>
                <w:color w:val="auto"/>
              </w:rPr>
              <w:t>中</w:t>
            </w:r>
            <w:r>
              <w:rPr>
                <w:rFonts w:hint="eastAsia" w:hAnsi="黑体" w:eastAsia="黑体" w:cs="Times New Roman"/>
                <w:color w:val="auto"/>
                <w:lang w:val="en-US" w:eastAsia="zh-CN"/>
              </w:rPr>
              <w:t>企业边界</w:t>
            </w:r>
            <w:r>
              <w:rPr>
                <w:rFonts w:hint="default" w:hAnsi="黑体" w:eastAsia="黑体" w:cs="Times New Roman"/>
                <w:color w:val="auto"/>
              </w:rPr>
              <w:t>大气污染物</w:t>
            </w:r>
            <w:r>
              <w:rPr>
                <w:rFonts w:hint="eastAsia" w:hAnsi="黑体" w:eastAsia="黑体" w:cs="Times New Roman"/>
                <w:color w:val="auto"/>
                <w:lang w:val="en-US" w:eastAsia="zh-CN"/>
              </w:rPr>
              <w:t>浓度</w:t>
            </w:r>
            <w:r>
              <w:rPr>
                <w:rFonts w:hint="default" w:hAnsi="黑体" w:eastAsia="黑体" w:cs="Times New Roman"/>
                <w:color w:val="auto"/>
              </w:rPr>
              <w:t>限值</w:t>
            </w:r>
          </w:p>
          <w:tbl>
            <w:tblPr>
              <w:tblStyle w:val="37"/>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2008"/>
              <w:gridCol w:w="1219"/>
              <w:gridCol w:w="1465"/>
              <w:gridCol w:w="3166"/>
            </w:tblGrid>
            <w:tr w14:paraId="5430C0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281" w:type="pct"/>
                  <w:vAlign w:val="center"/>
                </w:tcPr>
                <w:p w14:paraId="7B2FDFE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color w:val="auto"/>
                      <w:szCs w:val="21"/>
                    </w:rPr>
                  </w:pPr>
                  <w:r>
                    <w:rPr>
                      <w:rFonts w:hint="eastAsia"/>
                      <w:b/>
                      <w:color w:val="auto"/>
                      <w:szCs w:val="21"/>
                    </w:rPr>
                    <w:t>指标</w:t>
                  </w:r>
                </w:p>
              </w:tc>
              <w:tc>
                <w:tcPr>
                  <w:tcW w:w="764" w:type="pct"/>
                  <w:vAlign w:val="center"/>
                </w:tcPr>
                <w:p w14:paraId="673CDE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color w:val="auto"/>
                      <w:kern w:val="0"/>
                      <w:szCs w:val="21"/>
                    </w:rPr>
                  </w:pPr>
                  <w:r>
                    <w:rPr>
                      <w:rFonts w:hint="eastAsia"/>
                      <w:b/>
                      <w:color w:val="auto"/>
                      <w:kern w:val="0"/>
                      <w:szCs w:val="21"/>
                      <w:lang w:val="en-US" w:eastAsia="zh-CN"/>
                    </w:rPr>
                    <w:t>浓度限值</w:t>
                  </w:r>
                  <w:r>
                    <w:rPr>
                      <w:rFonts w:hint="eastAsia"/>
                      <w:b/>
                      <w:color w:val="auto"/>
                      <w:kern w:val="0"/>
                      <w:szCs w:val="21"/>
                    </w:rPr>
                    <w:t>（</w:t>
                  </w:r>
                  <w:r>
                    <w:rPr>
                      <w:rFonts w:hint="default"/>
                      <w:b/>
                      <w:color w:val="auto"/>
                      <w:kern w:val="0"/>
                      <w:szCs w:val="21"/>
                    </w:rPr>
                    <w:t>mg/m</w:t>
                  </w:r>
                  <w:r>
                    <w:rPr>
                      <w:rFonts w:hint="default"/>
                      <w:b/>
                      <w:color w:val="auto"/>
                      <w:kern w:val="0"/>
                      <w:szCs w:val="21"/>
                      <w:vertAlign w:val="superscript"/>
                    </w:rPr>
                    <w:t>3</w:t>
                  </w:r>
                  <w:r>
                    <w:rPr>
                      <w:rFonts w:hint="eastAsia"/>
                      <w:b/>
                      <w:color w:val="auto"/>
                      <w:kern w:val="0"/>
                      <w:szCs w:val="21"/>
                    </w:rPr>
                    <w:t>）</w:t>
                  </w:r>
                </w:p>
              </w:tc>
              <w:tc>
                <w:tcPr>
                  <w:tcW w:w="936" w:type="pct"/>
                  <w:vAlign w:val="center"/>
                </w:tcPr>
                <w:p w14:paraId="02E889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b/>
                      <w:color w:val="auto"/>
                      <w:kern w:val="0"/>
                      <w:szCs w:val="21"/>
                    </w:rPr>
                  </w:pPr>
                  <w:r>
                    <w:rPr>
                      <w:rFonts w:hint="eastAsia"/>
                      <w:b/>
                      <w:color w:val="auto"/>
                      <w:kern w:val="0"/>
                      <w:szCs w:val="21"/>
                    </w:rPr>
                    <w:t>污染物排放</w:t>
                  </w:r>
                </w:p>
                <w:p w14:paraId="4E5183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color w:val="auto"/>
                      <w:kern w:val="0"/>
                      <w:szCs w:val="21"/>
                    </w:rPr>
                  </w:pPr>
                  <w:r>
                    <w:rPr>
                      <w:rFonts w:hint="eastAsia"/>
                      <w:b/>
                      <w:color w:val="auto"/>
                      <w:kern w:val="0"/>
                      <w:szCs w:val="21"/>
                    </w:rPr>
                    <w:t>监控位置</w:t>
                  </w:r>
                </w:p>
              </w:tc>
              <w:tc>
                <w:tcPr>
                  <w:tcW w:w="2018" w:type="pct"/>
                  <w:vAlign w:val="center"/>
                </w:tcPr>
                <w:p w14:paraId="1471A8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color w:val="auto"/>
                      <w:kern w:val="0"/>
                      <w:szCs w:val="21"/>
                    </w:rPr>
                  </w:pPr>
                  <w:r>
                    <w:rPr>
                      <w:rFonts w:hint="eastAsia"/>
                      <w:b/>
                      <w:color w:val="auto"/>
                      <w:kern w:val="0"/>
                      <w:szCs w:val="21"/>
                    </w:rPr>
                    <w:t>标准来源</w:t>
                  </w:r>
                </w:p>
              </w:tc>
            </w:tr>
            <w:tr w14:paraId="4E54198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281" w:type="pct"/>
                  <w:shd w:val="clear" w:color="auto" w:fill="auto"/>
                  <w:vAlign w:val="center"/>
                </w:tcPr>
                <w:p w14:paraId="41CEACFC">
                  <w:pPr>
                    <w:pStyle w:val="239"/>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textAlignment w:val="auto"/>
                    <w:rPr>
                      <w:rFonts w:hint="default" w:ascii="Times New Roman" w:hAnsi="Times New Roman" w:eastAsia="宋体"/>
                      <w:color w:val="auto"/>
                      <w:spacing w:val="0"/>
                      <w:kern w:val="2"/>
                      <w:sz w:val="21"/>
                      <w:szCs w:val="21"/>
                      <w:lang w:val="en-US" w:eastAsia="zh-CN"/>
                    </w:rPr>
                  </w:pPr>
                  <w:r>
                    <w:rPr>
                      <w:rFonts w:hint="eastAsia" w:ascii="Times New Roman" w:hAnsi="Times New Roman" w:eastAsia="宋体"/>
                      <w:color w:val="auto"/>
                      <w:spacing w:val="0"/>
                      <w:kern w:val="2"/>
                      <w:sz w:val="21"/>
                      <w:szCs w:val="21"/>
                      <w:lang w:val="en-US" w:eastAsia="zh-CN"/>
                    </w:rPr>
                    <w:t>颗粒物</w:t>
                  </w:r>
                </w:p>
              </w:tc>
              <w:tc>
                <w:tcPr>
                  <w:tcW w:w="764" w:type="pct"/>
                  <w:shd w:val="clear" w:color="auto" w:fill="auto"/>
                  <w:vAlign w:val="center"/>
                </w:tcPr>
                <w:p w14:paraId="519FA51F">
                  <w:pPr>
                    <w:pStyle w:val="239"/>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textAlignment w:val="auto"/>
                    <w:rPr>
                      <w:rFonts w:hint="default" w:ascii="Times New Roman" w:hAnsi="Times New Roman" w:eastAsia="宋体"/>
                      <w:color w:val="auto"/>
                      <w:kern w:val="2"/>
                      <w:sz w:val="21"/>
                      <w:szCs w:val="21"/>
                      <w:lang w:val="en-US" w:eastAsia="zh-CN"/>
                    </w:rPr>
                  </w:pPr>
                  <w:r>
                    <w:rPr>
                      <w:rFonts w:hint="eastAsia" w:ascii="Times New Roman" w:hAnsi="Times New Roman" w:eastAsia="宋体"/>
                      <w:color w:val="auto"/>
                      <w:kern w:val="2"/>
                      <w:sz w:val="21"/>
                      <w:szCs w:val="21"/>
                      <w:lang w:val="en-US" w:eastAsia="zh-CN"/>
                    </w:rPr>
                    <w:t>1.0</w:t>
                  </w:r>
                </w:p>
              </w:tc>
              <w:tc>
                <w:tcPr>
                  <w:tcW w:w="936" w:type="pct"/>
                  <w:vMerge w:val="restart"/>
                  <w:vAlign w:val="center"/>
                </w:tcPr>
                <w:p w14:paraId="1A600F22">
                  <w:pPr>
                    <w:pStyle w:val="239"/>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eastAsia" w:eastAsia="宋体"/>
                      <w:color w:val="auto"/>
                      <w:szCs w:val="21"/>
                      <w:lang w:val="en-US" w:eastAsia="zh-CN"/>
                    </w:rPr>
                  </w:pPr>
                  <w:r>
                    <w:rPr>
                      <w:rFonts w:hint="eastAsia" w:ascii="Times New Roman" w:hAnsi="Times New Roman" w:eastAsia="宋体"/>
                      <w:color w:val="auto"/>
                      <w:spacing w:val="0"/>
                      <w:kern w:val="2"/>
                      <w:sz w:val="21"/>
                      <w:szCs w:val="21"/>
                      <w:lang w:val="en-US" w:eastAsia="zh-CN"/>
                    </w:rPr>
                    <w:t>企业边界</w:t>
                  </w:r>
                </w:p>
              </w:tc>
              <w:tc>
                <w:tcPr>
                  <w:tcW w:w="2018" w:type="pct"/>
                  <w:vMerge w:val="restart"/>
                  <w:vAlign w:val="center"/>
                </w:tcPr>
                <w:p w14:paraId="6A5BDAD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Cs w:val="21"/>
                    </w:rPr>
                  </w:pPr>
                  <w:r>
                    <w:rPr>
                      <w:rFonts w:hint="eastAsia"/>
                      <w:color w:val="auto"/>
                      <w:szCs w:val="21"/>
                    </w:rPr>
                    <w:t>《合成树脂工业污染物排放标准》（GB31572-2015，含2024年修改单）</w:t>
                  </w:r>
                </w:p>
              </w:tc>
            </w:tr>
            <w:tr w14:paraId="272CD6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281" w:type="pct"/>
                  <w:shd w:val="clear" w:color="auto" w:fill="auto"/>
                  <w:vAlign w:val="center"/>
                </w:tcPr>
                <w:p w14:paraId="4E4EBBA7">
                  <w:pPr>
                    <w:pStyle w:val="239"/>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textAlignment w:val="auto"/>
                    <w:rPr>
                      <w:rFonts w:hint="eastAsia" w:ascii="Times New Roman" w:hAnsi="Times New Roman" w:eastAsia="宋体" w:cs="Times New Roman"/>
                      <w:color w:val="auto"/>
                      <w:spacing w:val="4"/>
                      <w:kern w:val="2"/>
                      <w:sz w:val="21"/>
                      <w:szCs w:val="21"/>
                      <w:lang w:val="en-US" w:eastAsia="zh-CN" w:bidi="ar-SA"/>
                    </w:rPr>
                  </w:pPr>
                  <w:r>
                    <w:rPr>
                      <w:rFonts w:hint="eastAsia" w:ascii="Times New Roman" w:hAnsi="Times New Roman" w:eastAsia="宋体"/>
                      <w:color w:val="auto"/>
                      <w:spacing w:val="0"/>
                      <w:kern w:val="2"/>
                      <w:sz w:val="21"/>
                      <w:szCs w:val="21"/>
                      <w:lang w:val="en-US" w:eastAsia="zh-CN"/>
                    </w:rPr>
                    <w:t>非甲烷总烃</w:t>
                  </w:r>
                </w:p>
              </w:tc>
              <w:tc>
                <w:tcPr>
                  <w:tcW w:w="764" w:type="pct"/>
                  <w:shd w:val="clear" w:color="auto" w:fill="auto"/>
                  <w:vAlign w:val="center"/>
                </w:tcPr>
                <w:p w14:paraId="3044EDE5">
                  <w:pPr>
                    <w:pStyle w:val="239"/>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textAlignment w:val="auto"/>
                    <w:rPr>
                      <w:rFonts w:hint="default" w:ascii="Times New Roman" w:hAnsi="Times New Roman" w:eastAsia="宋体" w:cs="Times New Roman"/>
                      <w:color w:val="auto"/>
                      <w:spacing w:val="4"/>
                      <w:kern w:val="2"/>
                      <w:sz w:val="21"/>
                      <w:szCs w:val="21"/>
                      <w:lang w:val="en-US" w:eastAsia="zh-CN" w:bidi="ar-SA"/>
                    </w:rPr>
                  </w:pPr>
                  <w:r>
                    <w:rPr>
                      <w:rFonts w:hint="eastAsia" w:ascii="Times New Roman" w:hAnsi="Times New Roman" w:eastAsia="宋体"/>
                      <w:color w:val="auto"/>
                      <w:kern w:val="2"/>
                      <w:sz w:val="21"/>
                      <w:szCs w:val="21"/>
                      <w:lang w:val="en-US" w:eastAsia="zh-CN"/>
                    </w:rPr>
                    <w:t>4.0</w:t>
                  </w:r>
                </w:p>
              </w:tc>
              <w:tc>
                <w:tcPr>
                  <w:tcW w:w="936" w:type="pct"/>
                  <w:vMerge w:val="continue"/>
                  <w:vAlign w:val="center"/>
                </w:tcPr>
                <w:p w14:paraId="31E1F3FD">
                  <w:pPr>
                    <w:pStyle w:val="239"/>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eastAsia" w:eastAsia="宋体"/>
                      <w:color w:val="auto"/>
                      <w:szCs w:val="21"/>
                      <w:lang w:val="en-US" w:eastAsia="zh-CN"/>
                    </w:rPr>
                  </w:pPr>
                </w:p>
              </w:tc>
              <w:tc>
                <w:tcPr>
                  <w:tcW w:w="2018" w:type="pct"/>
                  <w:vMerge w:val="continue"/>
                  <w:vAlign w:val="center"/>
                </w:tcPr>
                <w:p w14:paraId="2E99800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Cs w:val="21"/>
                    </w:rPr>
                  </w:pPr>
                </w:p>
              </w:tc>
            </w:tr>
            <w:tr w14:paraId="299364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281" w:type="pct"/>
                  <w:shd w:val="clear" w:color="auto" w:fill="auto"/>
                  <w:vAlign w:val="center"/>
                </w:tcPr>
                <w:p w14:paraId="2BEACB90">
                  <w:pPr>
                    <w:pStyle w:val="239"/>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textAlignment w:val="auto"/>
                    <w:rPr>
                      <w:rFonts w:hint="default" w:ascii="Times New Roman" w:hAnsi="Times New Roman" w:eastAsia="宋体" w:cs="Times New Roman"/>
                      <w:color w:val="auto"/>
                      <w:spacing w:val="0"/>
                      <w:kern w:val="2"/>
                      <w:sz w:val="21"/>
                      <w:szCs w:val="21"/>
                      <w:lang w:val="en-US" w:eastAsia="zh-CN" w:bidi="ar-SA"/>
                    </w:rPr>
                  </w:pPr>
                  <w:r>
                    <w:rPr>
                      <w:rFonts w:hint="eastAsia" w:ascii="Times New Roman" w:hAnsi="Times New Roman" w:eastAsia="宋体"/>
                      <w:color w:val="auto"/>
                      <w:spacing w:val="0"/>
                      <w:kern w:val="2"/>
                      <w:sz w:val="21"/>
                      <w:szCs w:val="21"/>
                      <w:lang w:val="en-US" w:eastAsia="zh-CN"/>
                    </w:rPr>
                    <w:t>甲苯</w:t>
                  </w:r>
                </w:p>
              </w:tc>
              <w:tc>
                <w:tcPr>
                  <w:tcW w:w="764" w:type="pct"/>
                  <w:shd w:val="clear" w:color="auto" w:fill="auto"/>
                  <w:vAlign w:val="center"/>
                </w:tcPr>
                <w:p w14:paraId="5D2C9BF7">
                  <w:pPr>
                    <w:pStyle w:val="239"/>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textAlignment w:val="auto"/>
                    <w:rPr>
                      <w:rFonts w:hint="default" w:ascii="Times New Roman" w:hAnsi="Times New Roman" w:eastAsia="宋体" w:cs="Times New Roman"/>
                      <w:color w:val="auto"/>
                      <w:spacing w:val="4"/>
                      <w:kern w:val="2"/>
                      <w:sz w:val="21"/>
                      <w:szCs w:val="21"/>
                      <w:lang w:val="en-US" w:eastAsia="zh-CN" w:bidi="ar-SA"/>
                    </w:rPr>
                  </w:pPr>
                  <w:r>
                    <w:rPr>
                      <w:rFonts w:hint="eastAsia" w:ascii="Times New Roman" w:hAnsi="Times New Roman" w:eastAsia="宋体"/>
                      <w:color w:val="auto"/>
                      <w:kern w:val="2"/>
                      <w:sz w:val="21"/>
                      <w:szCs w:val="21"/>
                      <w:lang w:val="en-US" w:eastAsia="zh-CN"/>
                    </w:rPr>
                    <w:t>0.8</w:t>
                  </w:r>
                </w:p>
              </w:tc>
              <w:tc>
                <w:tcPr>
                  <w:tcW w:w="936" w:type="pct"/>
                  <w:vMerge w:val="continue"/>
                  <w:vAlign w:val="center"/>
                </w:tcPr>
                <w:p w14:paraId="40E415B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Cs w:val="21"/>
                    </w:rPr>
                  </w:pPr>
                </w:p>
              </w:tc>
              <w:tc>
                <w:tcPr>
                  <w:tcW w:w="2018" w:type="pct"/>
                  <w:vMerge w:val="continue"/>
                  <w:vAlign w:val="center"/>
                </w:tcPr>
                <w:p w14:paraId="1A879F8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Cs w:val="21"/>
                    </w:rPr>
                  </w:pPr>
                </w:p>
              </w:tc>
            </w:tr>
          </w:tbl>
          <w:p w14:paraId="559D3AE3">
            <w:pPr>
              <w:pStyle w:val="223"/>
              <w:keepNext w:val="0"/>
              <w:keepLines w:val="0"/>
              <w:suppressLineNumbers w:val="0"/>
              <w:spacing w:before="0" w:beforeAutospacing="0" w:after="0" w:afterAutospacing="0"/>
              <w:ind w:left="0" w:right="0"/>
              <w:jc w:val="center"/>
              <w:rPr>
                <w:rFonts w:hint="default" w:eastAsia="黑体" w:cs="Times New Roman"/>
                <w:bCs/>
                <w:color w:val="auto"/>
                <w:spacing w:val="-2"/>
                <w:kern w:val="0"/>
                <w:szCs w:val="21"/>
              </w:rPr>
            </w:pPr>
            <w:r>
              <w:rPr>
                <w:rFonts w:hint="default" w:hAnsi="黑体" w:eastAsia="黑体" w:cs="Times New Roman"/>
                <w:color w:val="auto"/>
              </w:rPr>
              <w:t>表</w:t>
            </w:r>
            <w:r>
              <w:rPr>
                <w:rFonts w:hint="eastAsia" w:eastAsia="黑体" w:cs="Times New Roman"/>
                <w:color w:val="auto"/>
                <w:lang w:val="en-US" w:eastAsia="zh-CN"/>
              </w:rPr>
              <w:t xml:space="preserve">3-8 </w:t>
            </w:r>
            <w:r>
              <w:rPr>
                <w:rFonts w:hint="eastAsia"/>
                <w:color w:val="auto"/>
                <w:szCs w:val="21"/>
              </w:rPr>
              <w:t>DB34/4812.6-2024</w:t>
            </w:r>
            <w:r>
              <w:rPr>
                <w:rFonts w:hint="default" w:hAnsi="黑体" w:eastAsia="黑体" w:cs="Times New Roman"/>
                <w:color w:val="auto"/>
              </w:rPr>
              <w:t>中</w:t>
            </w:r>
            <w:r>
              <w:rPr>
                <w:rFonts w:hint="eastAsia" w:hAnsi="黑体" w:eastAsia="黑体" w:cs="Times New Roman"/>
                <w:color w:val="auto"/>
                <w:lang w:val="en-US" w:eastAsia="zh-CN"/>
              </w:rPr>
              <w:t>企业边界VOCs排放</w:t>
            </w:r>
            <w:r>
              <w:rPr>
                <w:rFonts w:hint="default" w:hAnsi="黑体" w:eastAsia="黑体" w:cs="Times New Roman"/>
                <w:color w:val="auto"/>
              </w:rPr>
              <w:t>限值</w:t>
            </w:r>
          </w:p>
          <w:tbl>
            <w:tblPr>
              <w:tblStyle w:val="37"/>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2008"/>
              <w:gridCol w:w="1219"/>
              <w:gridCol w:w="1465"/>
              <w:gridCol w:w="3166"/>
            </w:tblGrid>
            <w:tr w14:paraId="37BB62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281" w:type="pct"/>
                  <w:vAlign w:val="center"/>
                </w:tcPr>
                <w:p w14:paraId="46399E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color w:val="auto"/>
                      <w:szCs w:val="21"/>
                    </w:rPr>
                  </w:pPr>
                  <w:r>
                    <w:rPr>
                      <w:rFonts w:hint="eastAsia"/>
                      <w:b/>
                      <w:color w:val="auto"/>
                      <w:szCs w:val="21"/>
                    </w:rPr>
                    <w:t>指标</w:t>
                  </w:r>
                </w:p>
              </w:tc>
              <w:tc>
                <w:tcPr>
                  <w:tcW w:w="764" w:type="pct"/>
                  <w:vAlign w:val="center"/>
                </w:tcPr>
                <w:p w14:paraId="77F1A4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color w:val="auto"/>
                      <w:kern w:val="0"/>
                      <w:szCs w:val="21"/>
                    </w:rPr>
                  </w:pPr>
                  <w:r>
                    <w:rPr>
                      <w:rFonts w:hint="eastAsia"/>
                      <w:b/>
                      <w:color w:val="auto"/>
                      <w:kern w:val="0"/>
                      <w:szCs w:val="21"/>
                      <w:lang w:val="en-US" w:eastAsia="zh-CN"/>
                    </w:rPr>
                    <w:t>浓度限值</w:t>
                  </w:r>
                  <w:r>
                    <w:rPr>
                      <w:rFonts w:hint="eastAsia"/>
                      <w:b/>
                      <w:color w:val="auto"/>
                      <w:kern w:val="0"/>
                      <w:szCs w:val="21"/>
                    </w:rPr>
                    <w:t>（</w:t>
                  </w:r>
                  <w:r>
                    <w:rPr>
                      <w:rFonts w:hint="default"/>
                      <w:b/>
                      <w:color w:val="auto"/>
                      <w:kern w:val="0"/>
                      <w:szCs w:val="21"/>
                    </w:rPr>
                    <w:t>mg/m</w:t>
                  </w:r>
                  <w:r>
                    <w:rPr>
                      <w:rFonts w:hint="default"/>
                      <w:b/>
                      <w:color w:val="auto"/>
                      <w:kern w:val="0"/>
                      <w:szCs w:val="21"/>
                      <w:vertAlign w:val="superscript"/>
                    </w:rPr>
                    <w:t>3</w:t>
                  </w:r>
                  <w:r>
                    <w:rPr>
                      <w:rFonts w:hint="eastAsia"/>
                      <w:b/>
                      <w:color w:val="auto"/>
                      <w:kern w:val="0"/>
                      <w:szCs w:val="21"/>
                    </w:rPr>
                    <w:t>）</w:t>
                  </w:r>
                </w:p>
              </w:tc>
              <w:tc>
                <w:tcPr>
                  <w:tcW w:w="936" w:type="pct"/>
                  <w:vAlign w:val="center"/>
                </w:tcPr>
                <w:p w14:paraId="33823C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b/>
                      <w:color w:val="auto"/>
                      <w:kern w:val="0"/>
                      <w:szCs w:val="21"/>
                    </w:rPr>
                  </w:pPr>
                  <w:r>
                    <w:rPr>
                      <w:rFonts w:hint="eastAsia"/>
                      <w:b/>
                      <w:color w:val="auto"/>
                      <w:kern w:val="0"/>
                      <w:szCs w:val="21"/>
                    </w:rPr>
                    <w:t>污染物排放</w:t>
                  </w:r>
                </w:p>
                <w:p w14:paraId="0F187D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color w:val="auto"/>
                      <w:kern w:val="0"/>
                      <w:szCs w:val="21"/>
                    </w:rPr>
                  </w:pPr>
                  <w:r>
                    <w:rPr>
                      <w:rFonts w:hint="eastAsia"/>
                      <w:b/>
                      <w:color w:val="auto"/>
                      <w:kern w:val="0"/>
                      <w:szCs w:val="21"/>
                    </w:rPr>
                    <w:t>监控位置</w:t>
                  </w:r>
                </w:p>
              </w:tc>
              <w:tc>
                <w:tcPr>
                  <w:tcW w:w="2018" w:type="pct"/>
                  <w:vAlign w:val="center"/>
                </w:tcPr>
                <w:p w14:paraId="41AE39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color w:val="auto"/>
                      <w:kern w:val="0"/>
                      <w:szCs w:val="21"/>
                    </w:rPr>
                  </w:pPr>
                  <w:r>
                    <w:rPr>
                      <w:rFonts w:hint="eastAsia"/>
                      <w:b/>
                      <w:color w:val="auto"/>
                      <w:kern w:val="0"/>
                      <w:szCs w:val="21"/>
                    </w:rPr>
                    <w:t>标准来源</w:t>
                  </w:r>
                </w:p>
              </w:tc>
            </w:tr>
            <w:tr w14:paraId="4C316C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281" w:type="pct"/>
                  <w:shd w:val="clear" w:color="auto" w:fill="auto"/>
                  <w:vAlign w:val="center"/>
                </w:tcPr>
                <w:p w14:paraId="07872FFF">
                  <w:pPr>
                    <w:pStyle w:val="239"/>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textAlignment w:val="auto"/>
                    <w:rPr>
                      <w:rFonts w:hint="eastAsia" w:ascii="Times New Roman" w:hAnsi="Times New Roman" w:eastAsia="宋体" w:cs="Times New Roman"/>
                      <w:color w:val="auto"/>
                      <w:spacing w:val="0"/>
                      <w:kern w:val="2"/>
                      <w:sz w:val="21"/>
                      <w:szCs w:val="21"/>
                      <w:lang w:val="en-US" w:eastAsia="zh-CN" w:bidi="ar-SA"/>
                    </w:rPr>
                  </w:pPr>
                  <w:r>
                    <w:rPr>
                      <w:rFonts w:hint="eastAsia" w:ascii="Times New Roman" w:hAnsi="Times New Roman" w:eastAsia="宋体"/>
                      <w:color w:val="auto"/>
                      <w:spacing w:val="0"/>
                      <w:kern w:val="2"/>
                      <w:sz w:val="21"/>
                      <w:szCs w:val="21"/>
                      <w:lang w:val="en-US" w:eastAsia="zh-CN"/>
                    </w:rPr>
                    <w:t>乙苯（以苯计）</w:t>
                  </w:r>
                </w:p>
              </w:tc>
              <w:tc>
                <w:tcPr>
                  <w:tcW w:w="764" w:type="pct"/>
                  <w:shd w:val="clear" w:color="auto" w:fill="auto"/>
                  <w:vAlign w:val="center"/>
                </w:tcPr>
                <w:p w14:paraId="3C9BEA27">
                  <w:pPr>
                    <w:pStyle w:val="239"/>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textAlignment w:val="auto"/>
                    <w:rPr>
                      <w:rFonts w:hint="default" w:ascii="Times New Roman" w:hAnsi="Times New Roman" w:eastAsia="宋体" w:cs="Times New Roman"/>
                      <w:color w:val="auto"/>
                      <w:spacing w:val="4"/>
                      <w:kern w:val="2"/>
                      <w:sz w:val="21"/>
                      <w:szCs w:val="21"/>
                      <w:lang w:val="en-US" w:eastAsia="zh-CN" w:bidi="ar-SA"/>
                    </w:rPr>
                  </w:pPr>
                  <w:r>
                    <w:rPr>
                      <w:rFonts w:hint="eastAsia" w:ascii="Times New Roman" w:hAnsi="Times New Roman" w:eastAsia="宋体"/>
                      <w:color w:val="auto"/>
                      <w:kern w:val="2"/>
                      <w:sz w:val="21"/>
                      <w:szCs w:val="21"/>
                      <w:lang w:val="en-US" w:eastAsia="zh-CN"/>
                    </w:rPr>
                    <w:t>0.1</w:t>
                  </w:r>
                </w:p>
              </w:tc>
              <w:tc>
                <w:tcPr>
                  <w:tcW w:w="936" w:type="pct"/>
                  <w:vAlign w:val="center"/>
                </w:tcPr>
                <w:p w14:paraId="5AEA95F1">
                  <w:pPr>
                    <w:pStyle w:val="239"/>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eastAsia" w:eastAsia="宋体"/>
                      <w:color w:val="auto"/>
                      <w:szCs w:val="21"/>
                      <w:lang w:val="en-US" w:eastAsia="zh-CN"/>
                    </w:rPr>
                  </w:pPr>
                  <w:r>
                    <w:rPr>
                      <w:rFonts w:hint="eastAsia" w:ascii="Times New Roman" w:hAnsi="Times New Roman" w:eastAsia="宋体"/>
                      <w:color w:val="auto"/>
                      <w:spacing w:val="0"/>
                      <w:kern w:val="2"/>
                      <w:sz w:val="21"/>
                      <w:szCs w:val="21"/>
                      <w:lang w:val="en-US" w:eastAsia="zh-CN"/>
                    </w:rPr>
                    <w:t>企业边界</w:t>
                  </w:r>
                </w:p>
              </w:tc>
              <w:tc>
                <w:tcPr>
                  <w:tcW w:w="2018" w:type="pct"/>
                  <w:vAlign w:val="center"/>
                </w:tcPr>
                <w:p w14:paraId="63C782A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Cs w:val="21"/>
                    </w:rPr>
                  </w:pPr>
                  <w:r>
                    <w:rPr>
                      <w:rFonts w:hint="eastAsia"/>
                      <w:color w:val="auto"/>
                      <w:szCs w:val="21"/>
                    </w:rPr>
                    <w:t>安徽省《固定源挥发性有机物综合排放标准 第6部分：其他行业》（DB34/4812.6-2024）</w:t>
                  </w:r>
                </w:p>
              </w:tc>
            </w:tr>
          </w:tbl>
          <w:p w14:paraId="39F0EEDA">
            <w:pPr>
              <w:pStyle w:val="223"/>
              <w:keepNext w:val="0"/>
              <w:keepLines w:val="0"/>
              <w:suppressLineNumbers w:val="0"/>
              <w:spacing w:before="0" w:beforeAutospacing="0" w:after="0" w:afterAutospacing="0"/>
              <w:ind w:left="0" w:right="0"/>
              <w:jc w:val="center"/>
              <w:rPr>
                <w:rFonts w:hint="default" w:hAnsi="黑体" w:eastAsia="黑体" w:cs="Times New Roman"/>
                <w:color w:val="auto"/>
                <w:highlight w:val="none"/>
              </w:rPr>
            </w:pPr>
            <w:r>
              <w:rPr>
                <w:rFonts w:hint="default" w:hAnsi="黑体" w:eastAsia="黑体" w:cs="Times New Roman"/>
                <w:color w:val="auto"/>
                <w:highlight w:val="none"/>
              </w:rPr>
              <w:t>表</w:t>
            </w:r>
            <w:r>
              <w:rPr>
                <w:rFonts w:hint="eastAsia" w:eastAsia="黑体" w:cs="Times New Roman"/>
                <w:color w:val="auto"/>
                <w:highlight w:val="none"/>
                <w:lang w:val="en-US" w:eastAsia="zh-CN"/>
              </w:rPr>
              <w:t xml:space="preserve">3-9 </w:t>
            </w:r>
            <w:r>
              <w:rPr>
                <w:rFonts w:hint="default" w:eastAsia="黑体" w:cs="Times New Roman"/>
                <w:color w:val="auto"/>
                <w:highlight w:val="none"/>
              </w:rPr>
              <w:t>GB</w:t>
            </w:r>
            <w:r>
              <w:rPr>
                <w:rFonts w:hint="eastAsia" w:eastAsia="黑体" w:cs="Times New Roman"/>
                <w:color w:val="auto"/>
                <w:highlight w:val="none"/>
                <w:lang w:val="en-US" w:eastAsia="zh-CN"/>
              </w:rPr>
              <w:t>14554-93</w:t>
            </w:r>
            <w:r>
              <w:rPr>
                <w:rFonts w:hint="default" w:hAnsi="黑体" w:eastAsia="黑体" w:cs="Times New Roman"/>
                <w:color w:val="auto"/>
                <w:highlight w:val="none"/>
              </w:rPr>
              <w:t>中大气污染物排放限值</w:t>
            </w:r>
          </w:p>
          <w:tbl>
            <w:tblPr>
              <w:tblStyle w:val="37"/>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349"/>
              <w:gridCol w:w="1968"/>
              <w:gridCol w:w="1362"/>
              <w:gridCol w:w="1412"/>
              <w:gridCol w:w="1764"/>
            </w:tblGrid>
            <w:tr w14:paraId="6FD6A0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748" w:hRule="atLeast"/>
                <w:jc w:val="center"/>
              </w:trPr>
              <w:tc>
                <w:tcPr>
                  <w:tcW w:w="858" w:type="pct"/>
                  <w:vAlign w:val="center"/>
                </w:tcPr>
                <w:p w14:paraId="28818D44">
                  <w:pPr>
                    <w:keepNext w:val="0"/>
                    <w:keepLines w:val="0"/>
                    <w:suppressLineNumbers w:val="0"/>
                    <w:spacing w:before="0" w:beforeAutospacing="0" w:after="0" w:afterAutospacing="0" w:line="276" w:lineRule="auto"/>
                    <w:ind w:left="0" w:right="0"/>
                    <w:jc w:val="center"/>
                    <w:rPr>
                      <w:rFonts w:hint="default"/>
                      <w:b/>
                      <w:bCs/>
                      <w:color w:val="auto"/>
                      <w:spacing w:val="-2"/>
                      <w:kern w:val="0"/>
                      <w:szCs w:val="21"/>
                      <w:highlight w:val="none"/>
                    </w:rPr>
                  </w:pPr>
                  <w:r>
                    <w:rPr>
                      <w:rFonts w:hint="eastAsia"/>
                      <w:b/>
                      <w:bCs/>
                      <w:color w:val="auto"/>
                      <w:spacing w:val="-2"/>
                      <w:kern w:val="0"/>
                      <w:szCs w:val="21"/>
                      <w:highlight w:val="none"/>
                    </w:rPr>
                    <w:t>污染物项目</w:t>
                  </w:r>
                </w:p>
              </w:tc>
              <w:tc>
                <w:tcPr>
                  <w:tcW w:w="1252" w:type="pct"/>
                  <w:vAlign w:val="center"/>
                </w:tcPr>
                <w:p w14:paraId="0658D270">
                  <w:pPr>
                    <w:keepNext w:val="0"/>
                    <w:keepLines w:val="0"/>
                    <w:suppressLineNumbers w:val="0"/>
                    <w:spacing w:before="0" w:beforeAutospacing="0" w:after="0" w:afterAutospacing="0" w:line="276" w:lineRule="auto"/>
                    <w:ind w:left="0" w:right="0"/>
                    <w:jc w:val="center"/>
                    <w:rPr>
                      <w:rFonts w:hint="default"/>
                      <w:b/>
                      <w:bCs/>
                      <w:color w:val="auto"/>
                      <w:spacing w:val="-2"/>
                      <w:kern w:val="0"/>
                      <w:szCs w:val="21"/>
                      <w:highlight w:val="none"/>
                    </w:rPr>
                  </w:pPr>
                  <w:r>
                    <w:rPr>
                      <w:rFonts w:hint="eastAsia"/>
                      <w:b/>
                      <w:bCs/>
                      <w:color w:val="auto"/>
                      <w:spacing w:val="-2"/>
                      <w:kern w:val="0"/>
                      <w:szCs w:val="21"/>
                      <w:highlight w:val="none"/>
                    </w:rPr>
                    <w:t>最高允许排放浓度（mg/m</w:t>
                  </w:r>
                  <w:r>
                    <w:rPr>
                      <w:rFonts w:hint="eastAsia"/>
                      <w:b/>
                      <w:bCs/>
                      <w:color w:val="auto"/>
                      <w:spacing w:val="-2"/>
                      <w:kern w:val="0"/>
                      <w:szCs w:val="21"/>
                      <w:highlight w:val="none"/>
                      <w:vertAlign w:val="superscript"/>
                    </w:rPr>
                    <w:t>3</w:t>
                  </w:r>
                  <w:r>
                    <w:rPr>
                      <w:rFonts w:hint="eastAsia"/>
                      <w:b/>
                      <w:bCs/>
                      <w:color w:val="auto"/>
                      <w:spacing w:val="-2"/>
                      <w:kern w:val="0"/>
                      <w:szCs w:val="21"/>
                      <w:highlight w:val="none"/>
                    </w:rPr>
                    <w:t>）</w:t>
                  </w:r>
                </w:p>
              </w:tc>
              <w:tc>
                <w:tcPr>
                  <w:tcW w:w="866" w:type="pct"/>
                  <w:vAlign w:val="center"/>
                </w:tcPr>
                <w:p w14:paraId="56B9F999">
                  <w:pPr>
                    <w:keepNext w:val="0"/>
                    <w:keepLines w:val="0"/>
                    <w:suppressLineNumbers w:val="0"/>
                    <w:spacing w:before="0" w:beforeAutospacing="0" w:after="0" w:afterAutospacing="0" w:line="276" w:lineRule="auto"/>
                    <w:ind w:left="0" w:right="0"/>
                    <w:jc w:val="center"/>
                    <w:rPr>
                      <w:rFonts w:hint="default"/>
                      <w:b/>
                      <w:bCs/>
                      <w:color w:val="auto"/>
                      <w:spacing w:val="-2"/>
                      <w:kern w:val="0"/>
                      <w:szCs w:val="21"/>
                      <w:highlight w:val="none"/>
                    </w:rPr>
                  </w:pPr>
                  <w:r>
                    <w:rPr>
                      <w:rFonts w:hint="eastAsia"/>
                      <w:b/>
                      <w:bCs/>
                      <w:color w:val="auto"/>
                      <w:spacing w:val="-2"/>
                      <w:kern w:val="0"/>
                      <w:szCs w:val="21"/>
                      <w:highlight w:val="none"/>
                    </w:rPr>
                    <w:t>排气筒高度（m）</w:t>
                  </w:r>
                </w:p>
              </w:tc>
              <w:tc>
                <w:tcPr>
                  <w:tcW w:w="898" w:type="pct"/>
                  <w:vAlign w:val="center"/>
                </w:tcPr>
                <w:p w14:paraId="2D0F2182">
                  <w:pPr>
                    <w:keepNext w:val="0"/>
                    <w:keepLines w:val="0"/>
                    <w:suppressLineNumbers w:val="0"/>
                    <w:spacing w:before="0" w:beforeAutospacing="0" w:after="0" w:afterAutospacing="0" w:line="276" w:lineRule="auto"/>
                    <w:ind w:left="0" w:right="0"/>
                    <w:jc w:val="center"/>
                    <w:rPr>
                      <w:rFonts w:hint="default"/>
                      <w:b/>
                      <w:bCs/>
                      <w:color w:val="auto"/>
                      <w:spacing w:val="-2"/>
                      <w:kern w:val="0"/>
                      <w:szCs w:val="21"/>
                      <w:highlight w:val="none"/>
                    </w:rPr>
                  </w:pPr>
                  <w:r>
                    <w:rPr>
                      <w:rFonts w:hint="eastAsia"/>
                      <w:b/>
                      <w:bCs/>
                      <w:color w:val="auto"/>
                      <w:spacing w:val="-2"/>
                      <w:kern w:val="0"/>
                      <w:szCs w:val="21"/>
                      <w:highlight w:val="none"/>
                    </w:rPr>
                    <w:t>最高允许排放速率（kg/h）</w:t>
                  </w:r>
                </w:p>
              </w:tc>
              <w:tc>
                <w:tcPr>
                  <w:tcW w:w="1122" w:type="pct"/>
                  <w:vAlign w:val="center"/>
                </w:tcPr>
                <w:p w14:paraId="39634534">
                  <w:pPr>
                    <w:keepNext w:val="0"/>
                    <w:keepLines w:val="0"/>
                    <w:suppressLineNumbers w:val="0"/>
                    <w:spacing w:before="0" w:beforeAutospacing="0" w:after="0" w:afterAutospacing="0" w:line="276" w:lineRule="auto"/>
                    <w:ind w:left="0" w:right="0"/>
                    <w:jc w:val="center"/>
                    <w:rPr>
                      <w:rFonts w:hint="default" w:eastAsia="宋体"/>
                      <w:b/>
                      <w:bCs/>
                      <w:color w:val="auto"/>
                      <w:spacing w:val="-2"/>
                      <w:kern w:val="0"/>
                      <w:szCs w:val="21"/>
                      <w:highlight w:val="none"/>
                      <w:lang w:val="en-US" w:eastAsia="zh-CN"/>
                    </w:rPr>
                  </w:pPr>
                  <w:r>
                    <w:rPr>
                      <w:rFonts w:hint="eastAsia"/>
                      <w:b/>
                      <w:bCs/>
                      <w:color w:val="auto"/>
                      <w:spacing w:val="-2"/>
                      <w:kern w:val="0"/>
                      <w:szCs w:val="21"/>
                      <w:highlight w:val="none"/>
                      <w:lang w:val="en-US" w:eastAsia="zh-CN"/>
                    </w:rPr>
                    <w:t>周界外浓度最高点（</w:t>
                  </w:r>
                  <w:r>
                    <w:rPr>
                      <w:rFonts w:hint="eastAsia"/>
                      <w:b/>
                      <w:bCs/>
                      <w:color w:val="auto"/>
                      <w:spacing w:val="-2"/>
                      <w:kern w:val="0"/>
                      <w:szCs w:val="21"/>
                      <w:highlight w:val="none"/>
                    </w:rPr>
                    <w:t>mg/m</w:t>
                  </w:r>
                  <w:r>
                    <w:rPr>
                      <w:rFonts w:hint="eastAsia"/>
                      <w:b/>
                      <w:bCs/>
                      <w:color w:val="auto"/>
                      <w:spacing w:val="-2"/>
                      <w:kern w:val="0"/>
                      <w:szCs w:val="21"/>
                      <w:highlight w:val="none"/>
                      <w:vertAlign w:val="superscript"/>
                    </w:rPr>
                    <w:t>3</w:t>
                  </w:r>
                  <w:r>
                    <w:rPr>
                      <w:rFonts w:hint="eastAsia"/>
                      <w:b/>
                      <w:bCs/>
                      <w:color w:val="auto"/>
                      <w:spacing w:val="-2"/>
                      <w:kern w:val="0"/>
                      <w:szCs w:val="21"/>
                      <w:highlight w:val="none"/>
                      <w:lang w:val="en-US" w:eastAsia="zh-CN"/>
                    </w:rPr>
                    <w:t>）</w:t>
                  </w:r>
                </w:p>
              </w:tc>
            </w:tr>
            <w:tr w14:paraId="0A1170C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858" w:type="pct"/>
                  <w:shd w:val="clear" w:color="auto" w:fill="auto"/>
                  <w:vAlign w:val="center"/>
                </w:tcPr>
                <w:p w14:paraId="679B2F65">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bCs/>
                      <w:color w:val="auto"/>
                      <w:spacing w:val="-2"/>
                      <w:kern w:val="0"/>
                      <w:sz w:val="21"/>
                      <w:szCs w:val="21"/>
                      <w:highlight w:val="none"/>
                      <w:lang w:val="en-US" w:eastAsia="zh-CN" w:bidi="ar-SA"/>
                    </w:rPr>
                  </w:pPr>
                  <w:r>
                    <w:rPr>
                      <w:rFonts w:hint="eastAsia"/>
                      <w:bCs/>
                      <w:color w:val="auto"/>
                      <w:spacing w:val="-2"/>
                      <w:kern w:val="0"/>
                      <w:szCs w:val="21"/>
                      <w:highlight w:val="none"/>
                      <w:lang w:val="en-US" w:eastAsia="zh-CN"/>
                    </w:rPr>
                    <w:t>苯乙烯</w:t>
                  </w:r>
                </w:p>
              </w:tc>
              <w:tc>
                <w:tcPr>
                  <w:tcW w:w="1252" w:type="pct"/>
                  <w:shd w:val="clear" w:color="auto" w:fill="auto"/>
                  <w:vAlign w:val="center"/>
                </w:tcPr>
                <w:p w14:paraId="5256160F">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bCs/>
                      <w:color w:val="auto"/>
                      <w:spacing w:val="-2"/>
                      <w:kern w:val="0"/>
                      <w:sz w:val="21"/>
                      <w:szCs w:val="21"/>
                      <w:highlight w:val="none"/>
                      <w:lang w:val="en-US" w:eastAsia="zh-CN" w:bidi="ar-SA"/>
                    </w:rPr>
                  </w:pPr>
                  <w:r>
                    <w:rPr>
                      <w:rFonts w:hint="eastAsia"/>
                      <w:bCs/>
                      <w:color w:val="auto"/>
                      <w:spacing w:val="-2"/>
                      <w:kern w:val="0"/>
                      <w:szCs w:val="21"/>
                      <w:highlight w:val="none"/>
                      <w:lang w:val="en-US" w:eastAsia="zh-CN"/>
                    </w:rPr>
                    <w:t>/</w:t>
                  </w:r>
                </w:p>
              </w:tc>
              <w:tc>
                <w:tcPr>
                  <w:tcW w:w="866" w:type="pct"/>
                  <w:shd w:val="clear" w:color="auto" w:fill="auto"/>
                  <w:vAlign w:val="center"/>
                </w:tcPr>
                <w:p w14:paraId="59807DB3">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bCs/>
                      <w:color w:val="auto"/>
                      <w:spacing w:val="-2"/>
                      <w:kern w:val="0"/>
                      <w:sz w:val="21"/>
                      <w:szCs w:val="21"/>
                      <w:highlight w:val="none"/>
                      <w:lang w:val="en-US" w:eastAsia="zh-CN" w:bidi="ar-SA"/>
                    </w:rPr>
                  </w:pPr>
                  <w:r>
                    <w:rPr>
                      <w:rFonts w:hint="eastAsia"/>
                      <w:bCs/>
                      <w:color w:val="auto"/>
                      <w:spacing w:val="-2"/>
                      <w:kern w:val="0"/>
                      <w:szCs w:val="21"/>
                      <w:highlight w:val="none"/>
                      <w:lang w:val="en-US" w:eastAsia="zh-CN"/>
                    </w:rPr>
                    <w:t>/</w:t>
                  </w:r>
                </w:p>
              </w:tc>
              <w:tc>
                <w:tcPr>
                  <w:tcW w:w="898" w:type="pct"/>
                  <w:shd w:val="clear" w:color="auto" w:fill="auto"/>
                  <w:vAlign w:val="center"/>
                </w:tcPr>
                <w:p w14:paraId="2C7F9238">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bCs/>
                      <w:color w:val="auto"/>
                      <w:spacing w:val="-2"/>
                      <w:kern w:val="0"/>
                      <w:sz w:val="21"/>
                      <w:szCs w:val="21"/>
                      <w:highlight w:val="none"/>
                      <w:lang w:val="en-US" w:eastAsia="zh-CN" w:bidi="ar-SA"/>
                    </w:rPr>
                  </w:pPr>
                  <w:r>
                    <w:rPr>
                      <w:rFonts w:hint="eastAsia"/>
                      <w:bCs/>
                      <w:color w:val="auto"/>
                      <w:spacing w:val="-2"/>
                      <w:kern w:val="0"/>
                      <w:szCs w:val="21"/>
                      <w:highlight w:val="none"/>
                      <w:lang w:val="en-US" w:eastAsia="zh-CN"/>
                    </w:rPr>
                    <w:t>/</w:t>
                  </w:r>
                </w:p>
              </w:tc>
              <w:tc>
                <w:tcPr>
                  <w:tcW w:w="1122" w:type="pct"/>
                  <w:shd w:val="clear" w:color="auto" w:fill="auto"/>
                  <w:vAlign w:val="center"/>
                </w:tcPr>
                <w:p w14:paraId="6EAB18CF">
                  <w:pPr>
                    <w:keepNext w:val="0"/>
                    <w:keepLines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bCs/>
                      <w:color w:val="auto"/>
                      <w:spacing w:val="-2"/>
                      <w:kern w:val="0"/>
                      <w:sz w:val="21"/>
                      <w:szCs w:val="21"/>
                      <w:highlight w:val="none"/>
                      <w:lang w:val="en-US" w:eastAsia="zh-CN" w:bidi="ar-SA"/>
                    </w:rPr>
                  </w:pPr>
                  <w:r>
                    <w:rPr>
                      <w:rFonts w:hint="eastAsia"/>
                      <w:bCs/>
                      <w:color w:val="auto"/>
                      <w:spacing w:val="-2"/>
                      <w:kern w:val="0"/>
                      <w:szCs w:val="21"/>
                      <w:highlight w:val="none"/>
                      <w:lang w:val="en-US" w:eastAsia="zh-CN"/>
                    </w:rPr>
                    <w:t>5.0</w:t>
                  </w:r>
                </w:p>
              </w:tc>
            </w:tr>
            <w:tr w14:paraId="2E51C1F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858" w:type="pct"/>
                  <w:shd w:val="clear" w:color="auto" w:fill="auto"/>
                  <w:vAlign w:val="center"/>
                </w:tcPr>
                <w:p w14:paraId="6FAC1DFE">
                  <w:pPr>
                    <w:keepNext w:val="0"/>
                    <w:keepLines w:val="0"/>
                    <w:suppressLineNumbers w:val="0"/>
                    <w:spacing w:before="0" w:beforeAutospacing="0" w:after="0" w:afterAutospacing="0" w:line="276" w:lineRule="auto"/>
                    <w:ind w:left="0" w:leftChars="0" w:right="0" w:rightChars="0"/>
                    <w:jc w:val="center"/>
                    <w:rPr>
                      <w:rFonts w:hint="default"/>
                      <w:bCs/>
                      <w:color w:val="auto"/>
                      <w:spacing w:val="-2"/>
                      <w:kern w:val="0"/>
                      <w:szCs w:val="21"/>
                      <w:highlight w:val="none"/>
                      <w:lang w:val="en-US" w:eastAsia="zh-CN"/>
                    </w:rPr>
                  </w:pPr>
                  <w:r>
                    <w:rPr>
                      <w:rFonts w:hint="eastAsia"/>
                      <w:bCs/>
                      <w:color w:val="auto"/>
                      <w:spacing w:val="-2"/>
                      <w:kern w:val="0"/>
                      <w:szCs w:val="21"/>
                      <w:highlight w:val="none"/>
                      <w:lang w:val="en-US" w:eastAsia="zh-CN"/>
                    </w:rPr>
                    <w:t>臭气浓度</w:t>
                  </w:r>
                </w:p>
              </w:tc>
              <w:tc>
                <w:tcPr>
                  <w:tcW w:w="1252" w:type="pct"/>
                  <w:shd w:val="clear" w:color="auto" w:fill="auto"/>
                  <w:vAlign w:val="center"/>
                </w:tcPr>
                <w:p w14:paraId="516AEFBC">
                  <w:pPr>
                    <w:keepNext w:val="0"/>
                    <w:keepLines w:val="0"/>
                    <w:suppressLineNumbers w:val="0"/>
                    <w:spacing w:before="0" w:beforeAutospacing="0" w:after="0" w:afterAutospacing="0" w:line="276" w:lineRule="auto"/>
                    <w:ind w:left="0" w:leftChars="0" w:right="0" w:rightChars="0"/>
                    <w:jc w:val="center"/>
                    <w:rPr>
                      <w:rFonts w:hint="default"/>
                      <w:bCs/>
                      <w:color w:val="auto"/>
                      <w:spacing w:val="-2"/>
                      <w:kern w:val="0"/>
                      <w:szCs w:val="21"/>
                      <w:highlight w:val="none"/>
                      <w:lang w:val="en-US" w:eastAsia="zh-CN"/>
                    </w:rPr>
                  </w:pPr>
                  <w:r>
                    <w:rPr>
                      <w:rFonts w:hint="eastAsia"/>
                      <w:bCs/>
                      <w:color w:val="auto"/>
                      <w:spacing w:val="-2"/>
                      <w:kern w:val="0"/>
                      <w:szCs w:val="21"/>
                      <w:highlight w:val="none"/>
                      <w:lang w:val="en-US" w:eastAsia="zh-CN"/>
                    </w:rPr>
                    <w:t>/</w:t>
                  </w:r>
                </w:p>
              </w:tc>
              <w:tc>
                <w:tcPr>
                  <w:tcW w:w="866" w:type="pct"/>
                  <w:shd w:val="clear" w:color="auto" w:fill="auto"/>
                  <w:vAlign w:val="center"/>
                </w:tcPr>
                <w:p w14:paraId="23F8DCA4">
                  <w:pPr>
                    <w:keepNext w:val="0"/>
                    <w:keepLines w:val="0"/>
                    <w:suppressLineNumbers w:val="0"/>
                    <w:spacing w:before="0" w:beforeAutospacing="0" w:after="0" w:afterAutospacing="0" w:line="276" w:lineRule="auto"/>
                    <w:ind w:left="0" w:leftChars="0" w:right="0" w:rightChars="0"/>
                    <w:jc w:val="center"/>
                    <w:rPr>
                      <w:rFonts w:hint="default"/>
                      <w:bCs/>
                      <w:color w:val="auto"/>
                      <w:spacing w:val="-2"/>
                      <w:kern w:val="0"/>
                      <w:szCs w:val="21"/>
                      <w:highlight w:val="none"/>
                      <w:lang w:val="en-US" w:eastAsia="zh-CN"/>
                    </w:rPr>
                  </w:pPr>
                  <w:r>
                    <w:rPr>
                      <w:rFonts w:hint="eastAsia"/>
                      <w:bCs/>
                      <w:color w:val="auto"/>
                      <w:spacing w:val="-2"/>
                      <w:kern w:val="0"/>
                      <w:szCs w:val="21"/>
                      <w:highlight w:val="none"/>
                      <w:lang w:val="en-US" w:eastAsia="zh-CN"/>
                    </w:rPr>
                    <w:t>23</w:t>
                  </w:r>
                </w:p>
              </w:tc>
              <w:tc>
                <w:tcPr>
                  <w:tcW w:w="898" w:type="pct"/>
                  <w:shd w:val="clear" w:color="auto" w:fill="auto"/>
                  <w:vAlign w:val="center"/>
                </w:tcPr>
                <w:p w14:paraId="2A7E4BC4">
                  <w:pPr>
                    <w:keepNext w:val="0"/>
                    <w:keepLines w:val="0"/>
                    <w:suppressLineNumbers w:val="0"/>
                    <w:spacing w:before="0" w:beforeAutospacing="0" w:after="0" w:afterAutospacing="0" w:line="276" w:lineRule="auto"/>
                    <w:ind w:left="0" w:leftChars="0" w:right="0" w:rightChars="0"/>
                    <w:jc w:val="center"/>
                    <w:rPr>
                      <w:rFonts w:hint="eastAsia"/>
                      <w:bCs/>
                      <w:color w:val="auto"/>
                      <w:spacing w:val="-2"/>
                      <w:kern w:val="0"/>
                      <w:szCs w:val="21"/>
                      <w:highlight w:val="none"/>
                      <w:lang w:val="en-US" w:eastAsia="zh-CN"/>
                    </w:rPr>
                  </w:pPr>
                  <w:r>
                    <w:rPr>
                      <w:rFonts w:hint="eastAsia"/>
                      <w:bCs/>
                      <w:color w:val="auto"/>
                      <w:spacing w:val="-2"/>
                      <w:kern w:val="0"/>
                      <w:szCs w:val="21"/>
                      <w:highlight w:val="none"/>
                      <w:lang w:val="en-US" w:eastAsia="zh-CN"/>
                    </w:rPr>
                    <w:t>2000</w:t>
                  </w:r>
                </w:p>
                <w:p w14:paraId="0AE659B4">
                  <w:pPr>
                    <w:keepNext w:val="0"/>
                    <w:keepLines w:val="0"/>
                    <w:suppressLineNumbers w:val="0"/>
                    <w:spacing w:before="0" w:beforeAutospacing="0" w:after="0" w:afterAutospacing="0" w:line="276" w:lineRule="auto"/>
                    <w:ind w:left="0" w:leftChars="0" w:right="0" w:rightChars="0"/>
                    <w:jc w:val="center"/>
                    <w:rPr>
                      <w:rFonts w:hint="eastAsia"/>
                      <w:bCs/>
                      <w:color w:val="auto"/>
                      <w:spacing w:val="-2"/>
                      <w:kern w:val="0"/>
                      <w:szCs w:val="21"/>
                      <w:highlight w:val="none"/>
                      <w:lang w:val="en-US" w:eastAsia="zh-CN"/>
                    </w:rPr>
                  </w:pPr>
                  <w:r>
                    <w:rPr>
                      <w:rFonts w:hint="eastAsia"/>
                      <w:bCs/>
                      <w:color w:val="auto"/>
                      <w:spacing w:val="-2"/>
                      <w:kern w:val="0"/>
                      <w:szCs w:val="21"/>
                      <w:highlight w:val="none"/>
                      <w:lang w:val="en-US" w:eastAsia="zh-CN"/>
                    </w:rPr>
                    <w:t>（无量纲）</w:t>
                  </w:r>
                </w:p>
              </w:tc>
              <w:tc>
                <w:tcPr>
                  <w:tcW w:w="1122" w:type="pct"/>
                  <w:shd w:val="clear" w:color="auto" w:fill="auto"/>
                  <w:vAlign w:val="center"/>
                </w:tcPr>
                <w:p w14:paraId="567B4F40">
                  <w:pPr>
                    <w:keepNext w:val="0"/>
                    <w:keepLines w:val="0"/>
                    <w:suppressLineNumbers w:val="0"/>
                    <w:spacing w:before="0" w:beforeAutospacing="0" w:after="0" w:afterAutospacing="0" w:line="276" w:lineRule="auto"/>
                    <w:ind w:left="0" w:leftChars="0" w:right="0" w:rightChars="0"/>
                    <w:jc w:val="center"/>
                    <w:rPr>
                      <w:rFonts w:hint="default"/>
                      <w:bCs/>
                      <w:color w:val="auto"/>
                      <w:spacing w:val="-2"/>
                      <w:kern w:val="0"/>
                      <w:szCs w:val="21"/>
                      <w:highlight w:val="none"/>
                      <w:lang w:val="en-US" w:eastAsia="zh-CN"/>
                    </w:rPr>
                  </w:pPr>
                  <w:r>
                    <w:rPr>
                      <w:rFonts w:hint="eastAsia"/>
                      <w:bCs/>
                      <w:color w:val="auto"/>
                      <w:spacing w:val="-2"/>
                      <w:kern w:val="0"/>
                      <w:szCs w:val="21"/>
                      <w:highlight w:val="none"/>
                      <w:lang w:val="en-US" w:eastAsia="zh-CN"/>
                    </w:rPr>
                    <w:t>20（无量纲）</w:t>
                  </w:r>
                </w:p>
              </w:tc>
            </w:tr>
          </w:tbl>
          <w:p w14:paraId="6A8B5B7E">
            <w:pPr>
              <w:pStyle w:val="223"/>
              <w:keepNext w:val="0"/>
              <w:keepLines w:val="0"/>
              <w:suppressLineNumbers w:val="0"/>
              <w:spacing w:before="0" w:beforeAutospacing="0" w:after="0" w:afterAutospacing="0"/>
              <w:ind w:left="0" w:right="0"/>
              <w:jc w:val="center"/>
              <w:rPr>
                <w:rFonts w:hint="default" w:eastAsia="黑体" w:cs="Times New Roman"/>
                <w:bCs/>
                <w:color w:val="auto"/>
                <w:spacing w:val="-2"/>
                <w:kern w:val="0"/>
                <w:szCs w:val="21"/>
                <w:highlight w:val="none"/>
              </w:rPr>
            </w:pPr>
            <w:r>
              <w:rPr>
                <w:rFonts w:hint="default" w:hAnsi="黑体" w:eastAsia="黑体" w:cs="Times New Roman"/>
                <w:color w:val="auto"/>
                <w:highlight w:val="none"/>
              </w:rPr>
              <w:t>表</w:t>
            </w:r>
            <w:r>
              <w:rPr>
                <w:rFonts w:hint="eastAsia" w:eastAsia="黑体" w:cs="Times New Roman"/>
                <w:color w:val="auto"/>
                <w:highlight w:val="none"/>
                <w:lang w:val="en-US" w:eastAsia="zh-CN"/>
              </w:rPr>
              <w:t>3-10</w:t>
            </w:r>
            <w:r>
              <w:rPr>
                <w:rFonts w:hint="default" w:eastAsia="黑体" w:cs="Times New Roman"/>
                <w:color w:val="auto"/>
                <w:highlight w:val="none"/>
              </w:rPr>
              <w:t xml:space="preserve"> </w:t>
            </w:r>
            <w:r>
              <w:rPr>
                <w:rFonts w:hint="default" w:hAnsi="黑体" w:eastAsia="黑体" w:cs="Times New Roman"/>
                <w:color w:val="auto"/>
                <w:highlight w:val="none"/>
              </w:rPr>
              <w:t>厂区内</w:t>
            </w:r>
            <w:r>
              <w:rPr>
                <w:rFonts w:hint="default" w:eastAsia="黑体" w:cs="Times New Roman"/>
                <w:color w:val="auto"/>
                <w:highlight w:val="none"/>
              </w:rPr>
              <w:t>VOCs</w:t>
            </w:r>
            <w:r>
              <w:rPr>
                <w:rFonts w:hint="default" w:hAnsi="黑体" w:eastAsia="黑体" w:cs="Times New Roman"/>
                <w:color w:val="auto"/>
                <w:highlight w:val="none"/>
              </w:rPr>
              <w:t>无组织排放监控要求</w:t>
            </w:r>
          </w:p>
          <w:tbl>
            <w:tblPr>
              <w:tblStyle w:val="37"/>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1612"/>
              <w:gridCol w:w="2669"/>
              <w:gridCol w:w="2186"/>
            </w:tblGrid>
            <w:tr w14:paraId="5C418C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4" w:type="pct"/>
                  <w:tcBorders>
                    <w:top w:val="single" w:color="auto" w:sz="12" w:space="0"/>
                    <w:left w:val="nil"/>
                    <w:bottom w:val="single" w:color="auto" w:sz="4" w:space="0"/>
                    <w:right w:val="single" w:color="auto" w:sz="4" w:space="0"/>
                  </w:tcBorders>
                  <w:vAlign w:val="center"/>
                </w:tcPr>
                <w:p w14:paraId="4FAD65F0">
                  <w:pPr>
                    <w:keepNext w:val="0"/>
                    <w:keepLines w:val="0"/>
                    <w:suppressLineNumbers w:val="0"/>
                    <w:spacing w:before="0" w:beforeAutospacing="0" w:after="0" w:afterAutospacing="0" w:line="276" w:lineRule="auto"/>
                    <w:ind w:left="0" w:right="0"/>
                    <w:jc w:val="center"/>
                    <w:rPr>
                      <w:rFonts w:hint="default"/>
                      <w:b/>
                      <w:bCs/>
                      <w:color w:val="auto"/>
                      <w:spacing w:val="-2"/>
                      <w:kern w:val="0"/>
                      <w:szCs w:val="21"/>
                      <w:highlight w:val="none"/>
                    </w:rPr>
                  </w:pPr>
                  <w:r>
                    <w:rPr>
                      <w:rFonts w:hint="eastAsia"/>
                      <w:b/>
                      <w:bCs/>
                      <w:color w:val="auto"/>
                      <w:spacing w:val="-2"/>
                      <w:kern w:val="0"/>
                      <w:szCs w:val="21"/>
                      <w:highlight w:val="none"/>
                    </w:rPr>
                    <w:t>污染物项目</w:t>
                  </w:r>
                </w:p>
              </w:tc>
              <w:tc>
                <w:tcPr>
                  <w:tcW w:w="1026" w:type="pct"/>
                  <w:tcBorders>
                    <w:top w:val="single" w:color="auto" w:sz="12" w:space="0"/>
                    <w:left w:val="single" w:color="auto" w:sz="4" w:space="0"/>
                    <w:bottom w:val="single" w:color="auto" w:sz="4" w:space="0"/>
                    <w:right w:val="single" w:color="auto" w:sz="4" w:space="0"/>
                  </w:tcBorders>
                  <w:vAlign w:val="center"/>
                </w:tcPr>
                <w:p w14:paraId="4ED06BA1">
                  <w:pPr>
                    <w:keepNext w:val="0"/>
                    <w:keepLines w:val="0"/>
                    <w:suppressLineNumbers w:val="0"/>
                    <w:spacing w:before="0" w:beforeAutospacing="0" w:after="0" w:afterAutospacing="0" w:line="276" w:lineRule="auto"/>
                    <w:ind w:left="0" w:right="0"/>
                    <w:jc w:val="center"/>
                    <w:rPr>
                      <w:rFonts w:hint="default"/>
                      <w:b/>
                      <w:bCs/>
                      <w:color w:val="auto"/>
                      <w:spacing w:val="-2"/>
                      <w:kern w:val="0"/>
                      <w:szCs w:val="21"/>
                      <w:highlight w:val="none"/>
                    </w:rPr>
                  </w:pPr>
                  <w:r>
                    <w:rPr>
                      <w:rFonts w:hint="eastAsia"/>
                      <w:b/>
                      <w:bCs/>
                      <w:color w:val="auto"/>
                      <w:spacing w:val="-2"/>
                      <w:kern w:val="0"/>
                      <w:szCs w:val="21"/>
                      <w:highlight w:val="none"/>
                    </w:rPr>
                    <w:t>最高允许排放浓度（</w:t>
                  </w:r>
                  <w:r>
                    <w:rPr>
                      <w:rFonts w:hint="default"/>
                      <w:b/>
                      <w:color w:val="auto"/>
                      <w:kern w:val="0"/>
                      <w:szCs w:val="21"/>
                      <w:highlight w:val="none"/>
                    </w:rPr>
                    <w:t>mg/m</w:t>
                  </w:r>
                  <w:r>
                    <w:rPr>
                      <w:rFonts w:hint="default"/>
                      <w:b/>
                      <w:color w:val="auto"/>
                      <w:kern w:val="0"/>
                      <w:szCs w:val="21"/>
                      <w:highlight w:val="none"/>
                      <w:vertAlign w:val="superscript"/>
                    </w:rPr>
                    <w:t>3</w:t>
                  </w:r>
                  <w:r>
                    <w:rPr>
                      <w:rFonts w:hint="eastAsia"/>
                      <w:b/>
                      <w:bCs/>
                      <w:color w:val="auto"/>
                      <w:spacing w:val="-2"/>
                      <w:kern w:val="0"/>
                      <w:szCs w:val="21"/>
                      <w:highlight w:val="none"/>
                    </w:rPr>
                    <w:t>）</w:t>
                  </w:r>
                </w:p>
              </w:tc>
              <w:tc>
                <w:tcPr>
                  <w:tcW w:w="1698" w:type="pct"/>
                  <w:tcBorders>
                    <w:top w:val="single" w:color="auto" w:sz="12" w:space="0"/>
                    <w:left w:val="single" w:color="auto" w:sz="4" w:space="0"/>
                    <w:bottom w:val="single" w:color="auto" w:sz="4" w:space="0"/>
                    <w:right w:val="single" w:color="auto" w:sz="4" w:space="0"/>
                  </w:tcBorders>
                  <w:vAlign w:val="center"/>
                </w:tcPr>
                <w:p w14:paraId="43D1B905">
                  <w:pPr>
                    <w:keepNext w:val="0"/>
                    <w:keepLines w:val="0"/>
                    <w:suppressLineNumbers w:val="0"/>
                    <w:spacing w:before="0" w:beforeAutospacing="0" w:after="0" w:afterAutospacing="0" w:line="276" w:lineRule="auto"/>
                    <w:ind w:left="0" w:right="0"/>
                    <w:jc w:val="center"/>
                    <w:rPr>
                      <w:rFonts w:hint="default"/>
                      <w:b/>
                      <w:bCs/>
                      <w:color w:val="auto"/>
                      <w:spacing w:val="-2"/>
                      <w:kern w:val="0"/>
                      <w:szCs w:val="21"/>
                      <w:highlight w:val="none"/>
                    </w:rPr>
                  </w:pPr>
                  <w:r>
                    <w:rPr>
                      <w:rFonts w:hint="eastAsia"/>
                      <w:b/>
                      <w:bCs/>
                      <w:color w:val="auto"/>
                      <w:spacing w:val="-2"/>
                      <w:kern w:val="0"/>
                      <w:szCs w:val="21"/>
                      <w:highlight w:val="none"/>
                    </w:rPr>
                    <w:t>排放限值含义</w:t>
                  </w:r>
                </w:p>
              </w:tc>
              <w:tc>
                <w:tcPr>
                  <w:tcW w:w="1391" w:type="pct"/>
                  <w:tcBorders>
                    <w:top w:val="single" w:color="auto" w:sz="12" w:space="0"/>
                    <w:left w:val="single" w:color="auto" w:sz="4" w:space="0"/>
                    <w:bottom w:val="single" w:color="auto" w:sz="4" w:space="0"/>
                    <w:right w:val="nil"/>
                  </w:tcBorders>
                  <w:vAlign w:val="center"/>
                </w:tcPr>
                <w:p w14:paraId="24D95A99">
                  <w:pPr>
                    <w:keepNext w:val="0"/>
                    <w:keepLines w:val="0"/>
                    <w:suppressLineNumbers w:val="0"/>
                    <w:spacing w:before="0" w:beforeAutospacing="0" w:after="0" w:afterAutospacing="0" w:line="276" w:lineRule="auto"/>
                    <w:ind w:left="0" w:right="0"/>
                    <w:jc w:val="center"/>
                    <w:rPr>
                      <w:rFonts w:hint="default"/>
                      <w:b/>
                      <w:bCs/>
                      <w:color w:val="auto"/>
                      <w:spacing w:val="-2"/>
                      <w:kern w:val="0"/>
                      <w:szCs w:val="21"/>
                      <w:highlight w:val="none"/>
                    </w:rPr>
                  </w:pPr>
                  <w:r>
                    <w:rPr>
                      <w:rFonts w:hint="eastAsia"/>
                      <w:b/>
                      <w:bCs/>
                      <w:color w:val="auto"/>
                      <w:spacing w:val="-2"/>
                      <w:kern w:val="0"/>
                      <w:szCs w:val="21"/>
                      <w:highlight w:val="none"/>
                    </w:rPr>
                    <w:t>无组织排放监控位置</w:t>
                  </w:r>
                </w:p>
              </w:tc>
            </w:tr>
            <w:tr w14:paraId="559F59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884" w:type="pct"/>
                  <w:vMerge w:val="restart"/>
                  <w:tcBorders>
                    <w:top w:val="single" w:color="auto" w:sz="4" w:space="0"/>
                    <w:left w:val="nil"/>
                    <w:bottom w:val="single" w:color="auto" w:sz="12" w:space="0"/>
                    <w:right w:val="single" w:color="auto" w:sz="4" w:space="0"/>
                  </w:tcBorders>
                  <w:vAlign w:val="center"/>
                </w:tcPr>
                <w:p w14:paraId="283CC579">
                  <w:pPr>
                    <w:keepNext w:val="0"/>
                    <w:keepLines w:val="0"/>
                    <w:suppressLineNumbers w:val="0"/>
                    <w:spacing w:before="0" w:beforeAutospacing="0" w:after="0" w:afterAutospacing="0" w:line="276" w:lineRule="auto"/>
                    <w:ind w:left="0" w:right="0"/>
                    <w:jc w:val="center"/>
                    <w:rPr>
                      <w:rFonts w:hint="default"/>
                      <w:bCs/>
                      <w:color w:val="auto"/>
                      <w:spacing w:val="-2"/>
                      <w:kern w:val="0"/>
                      <w:szCs w:val="21"/>
                    </w:rPr>
                  </w:pPr>
                  <w:r>
                    <w:rPr>
                      <w:rFonts w:hint="default"/>
                      <w:bCs/>
                      <w:color w:val="auto"/>
                      <w:spacing w:val="-2"/>
                      <w:kern w:val="0"/>
                      <w:szCs w:val="21"/>
                    </w:rPr>
                    <w:t>NMHC</w:t>
                  </w:r>
                </w:p>
              </w:tc>
              <w:tc>
                <w:tcPr>
                  <w:tcW w:w="1026" w:type="pct"/>
                  <w:tcBorders>
                    <w:top w:val="single" w:color="auto" w:sz="4" w:space="0"/>
                    <w:left w:val="single" w:color="auto" w:sz="4" w:space="0"/>
                    <w:bottom w:val="single" w:color="auto" w:sz="4" w:space="0"/>
                    <w:right w:val="single" w:color="auto" w:sz="4" w:space="0"/>
                  </w:tcBorders>
                  <w:vAlign w:val="center"/>
                </w:tcPr>
                <w:p w14:paraId="6FB2CFA7">
                  <w:pPr>
                    <w:keepNext w:val="0"/>
                    <w:keepLines w:val="0"/>
                    <w:suppressLineNumbers w:val="0"/>
                    <w:spacing w:before="0" w:beforeAutospacing="0" w:after="0" w:afterAutospacing="0" w:line="276" w:lineRule="auto"/>
                    <w:ind w:left="0" w:right="0"/>
                    <w:jc w:val="center"/>
                    <w:rPr>
                      <w:rFonts w:hint="default"/>
                      <w:bCs/>
                      <w:color w:val="auto"/>
                      <w:spacing w:val="-2"/>
                      <w:kern w:val="0"/>
                      <w:szCs w:val="21"/>
                    </w:rPr>
                  </w:pPr>
                  <w:r>
                    <w:rPr>
                      <w:rFonts w:hint="default"/>
                      <w:bCs/>
                      <w:color w:val="auto"/>
                      <w:spacing w:val="-2"/>
                      <w:kern w:val="0"/>
                      <w:szCs w:val="21"/>
                    </w:rPr>
                    <w:t>6</w:t>
                  </w:r>
                </w:p>
              </w:tc>
              <w:tc>
                <w:tcPr>
                  <w:tcW w:w="1698" w:type="pct"/>
                  <w:tcBorders>
                    <w:top w:val="single" w:color="auto" w:sz="4" w:space="0"/>
                    <w:left w:val="single" w:color="auto" w:sz="4" w:space="0"/>
                    <w:bottom w:val="single" w:color="auto" w:sz="4" w:space="0"/>
                    <w:right w:val="single" w:color="auto" w:sz="4" w:space="0"/>
                  </w:tcBorders>
                  <w:vAlign w:val="center"/>
                </w:tcPr>
                <w:p w14:paraId="0EBE954A">
                  <w:pPr>
                    <w:keepNext w:val="0"/>
                    <w:keepLines w:val="0"/>
                    <w:suppressLineNumbers w:val="0"/>
                    <w:spacing w:before="0" w:beforeAutospacing="0" w:after="0" w:afterAutospacing="0" w:line="276" w:lineRule="auto"/>
                    <w:ind w:left="0" w:right="0"/>
                    <w:jc w:val="center"/>
                    <w:rPr>
                      <w:rFonts w:hint="default"/>
                      <w:bCs/>
                      <w:color w:val="auto"/>
                      <w:spacing w:val="-2"/>
                      <w:kern w:val="0"/>
                      <w:szCs w:val="21"/>
                    </w:rPr>
                  </w:pPr>
                  <w:r>
                    <w:rPr>
                      <w:rFonts w:hint="eastAsia"/>
                      <w:bCs/>
                      <w:color w:val="auto"/>
                      <w:spacing w:val="-2"/>
                      <w:kern w:val="0"/>
                      <w:szCs w:val="21"/>
                    </w:rPr>
                    <w:t>监控点处</w:t>
                  </w:r>
                  <w:r>
                    <w:rPr>
                      <w:rFonts w:hint="default"/>
                      <w:bCs/>
                      <w:color w:val="auto"/>
                      <w:spacing w:val="-2"/>
                      <w:kern w:val="0"/>
                      <w:szCs w:val="21"/>
                    </w:rPr>
                    <w:t>1h</w:t>
                  </w:r>
                  <w:r>
                    <w:rPr>
                      <w:rFonts w:hint="eastAsia"/>
                      <w:bCs/>
                      <w:color w:val="auto"/>
                      <w:spacing w:val="-2"/>
                      <w:kern w:val="0"/>
                      <w:szCs w:val="21"/>
                    </w:rPr>
                    <w:t>平均浓度值</w:t>
                  </w:r>
                </w:p>
              </w:tc>
              <w:tc>
                <w:tcPr>
                  <w:tcW w:w="1391" w:type="pct"/>
                  <w:vMerge w:val="restart"/>
                  <w:tcBorders>
                    <w:top w:val="single" w:color="auto" w:sz="4" w:space="0"/>
                    <w:left w:val="single" w:color="auto" w:sz="4" w:space="0"/>
                    <w:bottom w:val="single" w:color="auto" w:sz="12" w:space="0"/>
                    <w:right w:val="nil"/>
                  </w:tcBorders>
                  <w:vAlign w:val="center"/>
                </w:tcPr>
                <w:p w14:paraId="0CED3313">
                  <w:pPr>
                    <w:keepNext w:val="0"/>
                    <w:keepLines w:val="0"/>
                    <w:suppressLineNumbers w:val="0"/>
                    <w:spacing w:before="0" w:beforeAutospacing="0" w:after="0" w:afterAutospacing="0" w:line="276" w:lineRule="auto"/>
                    <w:ind w:left="0" w:right="0"/>
                    <w:jc w:val="center"/>
                    <w:rPr>
                      <w:rFonts w:hint="default"/>
                      <w:bCs/>
                      <w:color w:val="auto"/>
                      <w:spacing w:val="-2"/>
                      <w:kern w:val="0"/>
                      <w:szCs w:val="21"/>
                    </w:rPr>
                  </w:pPr>
                  <w:r>
                    <w:rPr>
                      <w:rFonts w:hint="eastAsia"/>
                      <w:bCs/>
                      <w:color w:val="auto"/>
                      <w:spacing w:val="-2"/>
                      <w:kern w:val="0"/>
                      <w:szCs w:val="21"/>
                    </w:rPr>
                    <w:t>在厂房外设置监控点</w:t>
                  </w:r>
                </w:p>
              </w:tc>
            </w:tr>
            <w:tr w14:paraId="2CEA96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4" w:type="pct"/>
                  <w:vMerge w:val="continue"/>
                  <w:tcBorders>
                    <w:top w:val="single" w:color="auto" w:sz="4" w:space="0"/>
                    <w:left w:val="nil"/>
                    <w:bottom w:val="single" w:color="auto" w:sz="12" w:space="0"/>
                    <w:right w:val="single" w:color="auto" w:sz="4" w:space="0"/>
                  </w:tcBorders>
                  <w:vAlign w:val="center"/>
                </w:tcPr>
                <w:p w14:paraId="73073D50">
                  <w:pPr>
                    <w:keepNext w:val="0"/>
                    <w:keepLines w:val="0"/>
                    <w:widowControl/>
                    <w:suppressLineNumbers w:val="0"/>
                    <w:spacing w:before="0" w:beforeAutospacing="0" w:after="0" w:afterAutospacing="0" w:line="276" w:lineRule="auto"/>
                    <w:ind w:left="0" w:right="0"/>
                    <w:jc w:val="left"/>
                    <w:rPr>
                      <w:rFonts w:hint="default"/>
                      <w:bCs/>
                      <w:color w:val="auto"/>
                      <w:spacing w:val="-2"/>
                      <w:kern w:val="0"/>
                      <w:szCs w:val="21"/>
                    </w:rPr>
                  </w:pPr>
                </w:p>
              </w:tc>
              <w:tc>
                <w:tcPr>
                  <w:tcW w:w="1026" w:type="pct"/>
                  <w:tcBorders>
                    <w:top w:val="single" w:color="auto" w:sz="4" w:space="0"/>
                    <w:left w:val="single" w:color="auto" w:sz="4" w:space="0"/>
                    <w:bottom w:val="single" w:color="auto" w:sz="12" w:space="0"/>
                    <w:right w:val="single" w:color="auto" w:sz="4" w:space="0"/>
                  </w:tcBorders>
                  <w:vAlign w:val="center"/>
                </w:tcPr>
                <w:p w14:paraId="0B44E27B">
                  <w:pPr>
                    <w:keepNext w:val="0"/>
                    <w:keepLines w:val="0"/>
                    <w:suppressLineNumbers w:val="0"/>
                    <w:spacing w:before="0" w:beforeAutospacing="0" w:after="0" w:afterAutospacing="0" w:line="276" w:lineRule="auto"/>
                    <w:ind w:left="0" w:right="0"/>
                    <w:jc w:val="center"/>
                    <w:rPr>
                      <w:rFonts w:hint="default"/>
                      <w:bCs/>
                      <w:color w:val="auto"/>
                      <w:spacing w:val="-2"/>
                      <w:kern w:val="0"/>
                      <w:szCs w:val="21"/>
                    </w:rPr>
                  </w:pPr>
                  <w:r>
                    <w:rPr>
                      <w:rFonts w:hint="default"/>
                      <w:bCs/>
                      <w:color w:val="auto"/>
                      <w:spacing w:val="-2"/>
                      <w:kern w:val="0"/>
                      <w:szCs w:val="21"/>
                    </w:rPr>
                    <w:t>20</w:t>
                  </w:r>
                </w:p>
              </w:tc>
              <w:tc>
                <w:tcPr>
                  <w:tcW w:w="1698" w:type="pct"/>
                  <w:tcBorders>
                    <w:top w:val="single" w:color="auto" w:sz="4" w:space="0"/>
                    <w:left w:val="single" w:color="auto" w:sz="4" w:space="0"/>
                    <w:bottom w:val="single" w:color="auto" w:sz="12" w:space="0"/>
                    <w:right w:val="single" w:color="auto" w:sz="4" w:space="0"/>
                  </w:tcBorders>
                  <w:vAlign w:val="center"/>
                </w:tcPr>
                <w:p w14:paraId="7C706FE8">
                  <w:pPr>
                    <w:keepNext w:val="0"/>
                    <w:keepLines w:val="0"/>
                    <w:suppressLineNumbers w:val="0"/>
                    <w:spacing w:before="0" w:beforeAutospacing="0" w:after="0" w:afterAutospacing="0" w:line="276" w:lineRule="auto"/>
                    <w:ind w:left="0" w:right="0"/>
                    <w:jc w:val="center"/>
                    <w:rPr>
                      <w:rFonts w:hint="default"/>
                      <w:bCs/>
                      <w:color w:val="auto"/>
                      <w:spacing w:val="-2"/>
                      <w:kern w:val="0"/>
                      <w:szCs w:val="21"/>
                    </w:rPr>
                  </w:pPr>
                  <w:r>
                    <w:rPr>
                      <w:rFonts w:hint="eastAsia"/>
                      <w:bCs/>
                      <w:color w:val="auto"/>
                      <w:spacing w:val="-2"/>
                      <w:kern w:val="0"/>
                      <w:szCs w:val="21"/>
                    </w:rPr>
                    <w:t>监控点处任意一次浓度值</w:t>
                  </w:r>
                </w:p>
              </w:tc>
              <w:tc>
                <w:tcPr>
                  <w:tcW w:w="1391" w:type="pct"/>
                  <w:vMerge w:val="continue"/>
                  <w:tcBorders>
                    <w:top w:val="single" w:color="auto" w:sz="4" w:space="0"/>
                    <w:left w:val="single" w:color="auto" w:sz="4" w:space="0"/>
                    <w:bottom w:val="single" w:color="auto" w:sz="12" w:space="0"/>
                    <w:right w:val="nil"/>
                  </w:tcBorders>
                  <w:vAlign w:val="center"/>
                </w:tcPr>
                <w:p w14:paraId="2211E6C2">
                  <w:pPr>
                    <w:keepNext w:val="0"/>
                    <w:keepLines w:val="0"/>
                    <w:widowControl/>
                    <w:suppressLineNumbers w:val="0"/>
                    <w:spacing w:before="0" w:beforeAutospacing="0" w:after="0" w:afterAutospacing="0" w:line="276" w:lineRule="auto"/>
                    <w:ind w:left="0" w:right="0"/>
                    <w:jc w:val="left"/>
                    <w:rPr>
                      <w:rFonts w:hint="default"/>
                      <w:bCs/>
                      <w:color w:val="auto"/>
                      <w:spacing w:val="-2"/>
                      <w:kern w:val="0"/>
                      <w:szCs w:val="21"/>
                    </w:rPr>
                  </w:pPr>
                </w:p>
              </w:tc>
            </w:tr>
          </w:tbl>
          <w:p w14:paraId="241A8C99">
            <w:pPr>
              <w:keepNext w:val="0"/>
              <w:keepLines w:val="0"/>
              <w:suppressLineNumbers w:val="0"/>
              <w:spacing w:before="0" w:beforeAutospacing="0" w:after="0" w:afterAutospacing="0" w:line="360" w:lineRule="auto"/>
              <w:ind w:left="0" w:right="0" w:firstLine="482" w:firstLineChars="200"/>
              <w:rPr>
                <w:rFonts w:hint="default"/>
                <w:b/>
                <w:color w:val="auto"/>
                <w:sz w:val="24"/>
                <w:szCs w:val="24"/>
              </w:rPr>
            </w:pPr>
            <w:r>
              <w:rPr>
                <w:rFonts w:hint="eastAsia"/>
                <w:b/>
                <w:color w:val="auto"/>
                <w:sz w:val="24"/>
                <w:szCs w:val="24"/>
              </w:rPr>
              <w:t>2</w:t>
            </w:r>
            <w:r>
              <w:rPr>
                <w:rFonts w:hint="eastAsia"/>
                <w:b/>
                <w:color w:val="auto"/>
                <w:sz w:val="24"/>
                <w:szCs w:val="24"/>
                <w:lang w:val="en-US" w:eastAsia="zh-CN"/>
              </w:rPr>
              <w:t>.</w:t>
            </w:r>
            <w:r>
              <w:rPr>
                <w:rFonts w:hint="eastAsia"/>
                <w:b/>
                <w:color w:val="auto"/>
                <w:sz w:val="24"/>
                <w:szCs w:val="24"/>
              </w:rPr>
              <w:t>水污染物</w:t>
            </w:r>
          </w:p>
          <w:p w14:paraId="38A10858">
            <w:pPr>
              <w:pStyle w:val="147"/>
              <w:keepNext w:val="0"/>
              <w:keepLines w:val="0"/>
              <w:widowControl/>
              <w:suppressLineNumbers w:val="0"/>
              <w:spacing w:before="0" w:beforeAutospacing="0" w:after="0" w:afterAutospacing="0" w:line="360" w:lineRule="auto"/>
              <w:ind w:left="0" w:right="0" w:firstLine="480"/>
              <w:rPr>
                <w:rFonts w:hint="eastAsia"/>
                <w:color w:val="auto"/>
                <w:sz w:val="24"/>
                <w:szCs w:val="24"/>
              </w:rPr>
            </w:pPr>
            <w:r>
              <w:rPr>
                <w:rFonts w:hint="eastAsia"/>
                <w:color w:val="auto"/>
                <w:sz w:val="24"/>
                <w:szCs w:val="24"/>
              </w:rPr>
              <w:t>本</w:t>
            </w:r>
            <w:r>
              <w:rPr>
                <w:rFonts w:hint="eastAsia"/>
                <w:color w:val="auto"/>
                <w:sz w:val="24"/>
                <w:szCs w:val="24"/>
                <w:lang w:val="en-US" w:eastAsia="zh-CN"/>
              </w:rPr>
              <w:t>项目废水主要为循环冷却系统排水及生活污水</w:t>
            </w:r>
            <w:r>
              <w:rPr>
                <w:rFonts w:hint="eastAsia"/>
                <w:color w:val="auto"/>
                <w:sz w:val="24"/>
                <w:szCs w:val="24"/>
              </w:rPr>
              <w:t>。</w:t>
            </w:r>
            <w:r>
              <w:rPr>
                <w:rFonts w:hint="eastAsia"/>
                <w:color w:val="auto"/>
                <w:sz w:val="24"/>
                <w:szCs w:val="24"/>
                <w:lang w:val="en-US" w:eastAsia="zh-CN"/>
              </w:rPr>
              <w:t>生活污水经化粪池预处理后与循环冷却系统排水一并由厂区废水总排口接管至凤台县污水处理厂深度处理。</w:t>
            </w:r>
          </w:p>
          <w:p w14:paraId="29F628A1">
            <w:pPr>
              <w:pStyle w:val="147"/>
              <w:keepNext w:val="0"/>
              <w:keepLines w:val="0"/>
              <w:widowControl/>
              <w:suppressLineNumbers w:val="0"/>
              <w:spacing w:before="0" w:beforeAutospacing="0" w:after="0" w:afterAutospacing="0" w:line="360" w:lineRule="auto"/>
              <w:ind w:left="0" w:right="0" w:firstLine="480"/>
              <w:rPr>
                <w:rFonts w:hint="eastAsia"/>
                <w:color w:val="auto"/>
                <w:sz w:val="24"/>
                <w:szCs w:val="24"/>
                <w:lang w:val="en-US" w:eastAsia="zh-CN"/>
              </w:rPr>
            </w:pPr>
            <w:r>
              <w:rPr>
                <w:rFonts w:hint="eastAsia"/>
                <w:color w:val="auto"/>
                <w:sz w:val="24"/>
                <w:szCs w:val="24"/>
                <w:lang w:val="en-US" w:eastAsia="zh-CN"/>
              </w:rPr>
              <w:t>废水污染物排放执行凤台县污水处理厂接管限值、《污水综合排放标准》（GB8978-1996）三级标准及《污水排入城镇下水道水质标准》（GB/T31962-2015）B级相关标准。</w:t>
            </w:r>
            <w:r>
              <w:rPr>
                <w:rFonts w:hint="default" w:ascii="Times New Roman" w:hAnsi="Times New Roman" w:cs="Times New Roman"/>
                <w:color w:val="auto"/>
                <w:sz w:val="24"/>
                <w:szCs w:val="24"/>
                <w:lang w:val="en-US" w:eastAsia="zh-CN"/>
              </w:rPr>
              <w:t>废水排放执行标准如下表</w:t>
            </w:r>
            <w:r>
              <w:rPr>
                <w:rFonts w:hint="eastAsia"/>
                <w:color w:val="auto"/>
                <w:sz w:val="24"/>
                <w:szCs w:val="24"/>
                <w:lang w:val="en-US" w:eastAsia="zh-CN"/>
              </w:rPr>
              <w:t>。</w:t>
            </w:r>
          </w:p>
          <w:p w14:paraId="0AF6B5D3">
            <w:pPr>
              <w:pStyle w:val="223"/>
              <w:keepNext w:val="0"/>
              <w:keepLines w:val="0"/>
              <w:suppressLineNumbers w:val="0"/>
              <w:spacing w:before="0" w:beforeAutospacing="0" w:after="0" w:afterAutospacing="0"/>
              <w:ind w:left="0" w:right="0"/>
              <w:jc w:val="center"/>
              <w:rPr>
                <w:rFonts w:hint="default" w:eastAsia="黑体" w:cs="Times New Roman"/>
                <w:bCs/>
                <w:color w:val="auto"/>
                <w:spacing w:val="-2"/>
                <w:kern w:val="0"/>
                <w:szCs w:val="21"/>
                <w:lang w:val="en-US" w:eastAsia="zh-CN"/>
              </w:rPr>
            </w:pPr>
            <w:r>
              <w:rPr>
                <w:rFonts w:hint="default" w:hAnsi="黑体" w:eastAsia="黑体" w:cs="Times New Roman"/>
                <w:color w:val="auto"/>
              </w:rPr>
              <w:t>表</w:t>
            </w:r>
            <w:r>
              <w:rPr>
                <w:rFonts w:hint="eastAsia" w:eastAsia="黑体" w:cs="Times New Roman"/>
                <w:color w:val="auto"/>
                <w:lang w:val="en-US" w:eastAsia="zh-CN"/>
              </w:rPr>
              <w:t>3-11 废水排放执行标准限值要求 单位：mg/L（pH值无量纲）</w:t>
            </w:r>
          </w:p>
          <w:tbl>
            <w:tblPr>
              <w:tblStyle w:val="38"/>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977"/>
              <w:gridCol w:w="1113"/>
              <w:gridCol w:w="1430"/>
              <w:gridCol w:w="1733"/>
              <w:gridCol w:w="971"/>
              <w:gridCol w:w="1202"/>
            </w:tblGrid>
            <w:tr w14:paraId="4A68DA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325" w:type="pct"/>
                  <w:tcBorders>
                    <w:tl2br w:val="nil"/>
                    <w:tr2bl w:val="nil"/>
                  </w:tcBorders>
                  <w:vAlign w:val="center"/>
                </w:tcPr>
                <w:p w14:paraId="726B4A99">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eastAsia" w:eastAsia="宋体"/>
                      <w:b/>
                      <w:bCs/>
                      <w:color w:val="auto"/>
                      <w:sz w:val="21"/>
                      <w:szCs w:val="21"/>
                      <w:vertAlign w:val="baseline"/>
                      <w:lang w:val="en-US" w:eastAsia="zh-CN"/>
                    </w:rPr>
                  </w:pPr>
                  <w:r>
                    <w:rPr>
                      <w:rFonts w:hint="eastAsia"/>
                      <w:b/>
                      <w:bCs/>
                      <w:color w:val="auto"/>
                      <w:sz w:val="21"/>
                      <w:szCs w:val="21"/>
                      <w:vertAlign w:val="baseline"/>
                      <w:lang w:val="en-US" w:eastAsia="zh-CN"/>
                    </w:rPr>
                    <w:t>序号</w:t>
                  </w:r>
                </w:p>
              </w:tc>
              <w:tc>
                <w:tcPr>
                  <w:tcW w:w="702" w:type="pct"/>
                  <w:tcBorders>
                    <w:tl2br w:val="nil"/>
                    <w:tr2bl w:val="nil"/>
                  </w:tcBorders>
                  <w:vAlign w:val="center"/>
                </w:tcPr>
                <w:p w14:paraId="00545E6D">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eastAsia"/>
                      <w:b/>
                      <w:bCs/>
                      <w:color w:val="auto"/>
                      <w:sz w:val="21"/>
                      <w:szCs w:val="21"/>
                      <w:vertAlign w:val="baseline"/>
                      <w:lang w:val="en-US" w:eastAsia="zh-CN"/>
                    </w:rPr>
                  </w:pPr>
                  <w:r>
                    <w:rPr>
                      <w:rFonts w:hint="eastAsia"/>
                      <w:b/>
                      <w:bCs/>
                      <w:color w:val="auto"/>
                      <w:sz w:val="21"/>
                      <w:szCs w:val="21"/>
                      <w:vertAlign w:val="baseline"/>
                      <w:lang w:val="en-US" w:eastAsia="zh-CN"/>
                    </w:rPr>
                    <w:t>污染物</w:t>
                  </w:r>
                </w:p>
                <w:p w14:paraId="7DD251E1">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b/>
                      <w:bCs/>
                      <w:color w:val="auto"/>
                      <w:sz w:val="21"/>
                      <w:szCs w:val="21"/>
                      <w:vertAlign w:val="baseline"/>
                      <w:lang w:val="en-US" w:eastAsia="zh-CN"/>
                    </w:rPr>
                  </w:pPr>
                  <w:r>
                    <w:rPr>
                      <w:rFonts w:hint="eastAsia"/>
                      <w:b/>
                      <w:bCs/>
                      <w:color w:val="auto"/>
                      <w:sz w:val="21"/>
                      <w:szCs w:val="21"/>
                      <w:vertAlign w:val="baseline"/>
                      <w:lang w:val="en-US" w:eastAsia="zh-CN"/>
                    </w:rPr>
                    <w:t>项目</w:t>
                  </w:r>
                </w:p>
              </w:tc>
              <w:tc>
                <w:tcPr>
                  <w:tcW w:w="775" w:type="pct"/>
                  <w:tcBorders>
                    <w:tl2br w:val="nil"/>
                    <w:tr2bl w:val="nil"/>
                  </w:tcBorders>
                  <w:vAlign w:val="center"/>
                </w:tcPr>
                <w:p w14:paraId="759ED3EF">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b/>
                      <w:bCs/>
                      <w:color w:val="auto"/>
                      <w:sz w:val="21"/>
                      <w:szCs w:val="21"/>
                      <w:vertAlign w:val="baseline"/>
                      <w:lang w:val="en-US" w:eastAsia="zh-CN"/>
                    </w:rPr>
                  </w:pPr>
                  <w:r>
                    <w:rPr>
                      <w:rFonts w:hint="eastAsia"/>
                      <w:b/>
                      <w:bCs/>
                      <w:color w:val="auto"/>
                      <w:sz w:val="21"/>
                      <w:szCs w:val="21"/>
                      <w:vertAlign w:val="baseline"/>
                      <w:lang w:val="en-US" w:eastAsia="zh-CN"/>
                    </w:rPr>
                    <w:t>凤台县污水处理厂接管限值</w:t>
                  </w:r>
                </w:p>
              </w:tc>
              <w:tc>
                <w:tcPr>
                  <w:tcW w:w="891" w:type="pct"/>
                  <w:tcBorders>
                    <w:tl2br w:val="nil"/>
                    <w:tr2bl w:val="nil"/>
                  </w:tcBorders>
                  <w:vAlign w:val="center"/>
                </w:tcPr>
                <w:p w14:paraId="73AB3E48">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b/>
                      <w:bCs/>
                      <w:color w:val="auto"/>
                      <w:sz w:val="21"/>
                      <w:szCs w:val="21"/>
                      <w:vertAlign w:val="baseline"/>
                      <w:lang w:val="en-US" w:eastAsia="zh-CN"/>
                    </w:rPr>
                  </w:pPr>
                  <w:r>
                    <w:rPr>
                      <w:rFonts w:hint="eastAsia"/>
                      <w:b/>
                      <w:bCs/>
                      <w:color w:val="auto"/>
                      <w:sz w:val="21"/>
                      <w:szCs w:val="21"/>
                      <w:vertAlign w:val="baseline"/>
                      <w:lang w:val="en-US" w:eastAsia="zh-CN"/>
                    </w:rPr>
                    <w:t>GB8978-1996中三级标准</w:t>
                  </w:r>
                </w:p>
              </w:tc>
              <w:tc>
                <w:tcPr>
                  <w:tcW w:w="788" w:type="pct"/>
                  <w:tcBorders>
                    <w:tl2br w:val="nil"/>
                    <w:tr2bl w:val="nil"/>
                  </w:tcBorders>
                  <w:vAlign w:val="center"/>
                </w:tcPr>
                <w:p w14:paraId="2B4501B4">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b/>
                      <w:bCs/>
                      <w:color w:val="auto"/>
                      <w:sz w:val="21"/>
                      <w:szCs w:val="21"/>
                      <w:vertAlign w:val="baseline"/>
                      <w:lang w:val="en-US" w:eastAsia="zh-CN"/>
                    </w:rPr>
                  </w:pPr>
                  <w:r>
                    <w:rPr>
                      <w:rFonts w:hint="default"/>
                      <w:b/>
                      <w:bCs/>
                      <w:color w:val="auto"/>
                      <w:sz w:val="21"/>
                      <w:szCs w:val="21"/>
                      <w:vertAlign w:val="baseline"/>
                      <w:lang w:val="en-US"/>
                    </w:rPr>
                    <w:t>GB/T31962-2015</w:t>
                  </w:r>
                  <w:r>
                    <w:rPr>
                      <w:rFonts w:hint="eastAsia"/>
                      <w:b/>
                      <w:bCs/>
                      <w:color w:val="auto"/>
                      <w:sz w:val="21"/>
                      <w:szCs w:val="21"/>
                      <w:vertAlign w:val="baseline"/>
                      <w:lang w:val="en-US" w:eastAsia="zh-CN"/>
                    </w:rPr>
                    <w:t>中B级标准</w:t>
                  </w:r>
                </w:p>
              </w:tc>
              <w:tc>
                <w:tcPr>
                  <w:tcW w:w="684" w:type="pct"/>
                  <w:tcBorders>
                    <w:tl2br w:val="nil"/>
                    <w:tr2bl w:val="nil"/>
                  </w:tcBorders>
                  <w:shd w:val="clear" w:color="auto" w:fill="auto"/>
                  <w:vAlign w:val="center"/>
                </w:tcPr>
                <w:p w14:paraId="0164EB54">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eastAsia" w:ascii="Times New Roman" w:hAnsi="Times New Roman" w:eastAsia="宋体" w:cs="Times New Roman"/>
                      <w:b/>
                      <w:bCs/>
                      <w:color w:val="auto"/>
                      <w:kern w:val="2"/>
                      <w:sz w:val="21"/>
                      <w:szCs w:val="21"/>
                      <w:vertAlign w:val="baseline"/>
                      <w:lang w:val="en-US" w:eastAsia="zh-CN" w:bidi="ar-SA"/>
                    </w:rPr>
                  </w:pPr>
                  <w:r>
                    <w:rPr>
                      <w:rFonts w:hint="eastAsia"/>
                      <w:b/>
                      <w:bCs/>
                      <w:color w:val="auto"/>
                      <w:sz w:val="21"/>
                      <w:szCs w:val="21"/>
                      <w:vertAlign w:val="baseline"/>
                      <w:lang w:val="en-US" w:eastAsia="zh-CN"/>
                    </w:rPr>
                    <w:t>本项目从严执行标准限值</w:t>
                  </w:r>
                </w:p>
              </w:tc>
              <w:tc>
                <w:tcPr>
                  <w:tcW w:w="831" w:type="pct"/>
                  <w:tcBorders>
                    <w:tl2br w:val="nil"/>
                    <w:tr2bl w:val="nil"/>
                  </w:tcBorders>
                  <w:vAlign w:val="center"/>
                </w:tcPr>
                <w:p w14:paraId="04D809DB">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eastAsia"/>
                      <w:b/>
                      <w:bCs/>
                      <w:color w:val="auto"/>
                      <w:sz w:val="21"/>
                      <w:szCs w:val="21"/>
                      <w:lang w:val="en-US" w:eastAsia="zh-CN"/>
                    </w:rPr>
                  </w:pPr>
                  <w:r>
                    <w:rPr>
                      <w:rFonts w:hint="eastAsia"/>
                      <w:b/>
                      <w:bCs/>
                      <w:color w:val="auto"/>
                      <w:sz w:val="21"/>
                      <w:szCs w:val="21"/>
                      <w:vertAlign w:val="baseline"/>
                      <w:lang w:val="en-US" w:eastAsia="zh-CN"/>
                    </w:rPr>
                    <w:t>凤台县污水处理厂尾水排放执行限值</w:t>
                  </w:r>
                </w:p>
              </w:tc>
            </w:tr>
            <w:tr w14:paraId="5F30D3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325" w:type="pct"/>
                  <w:tcBorders>
                    <w:tl2br w:val="nil"/>
                    <w:tr2bl w:val="nil"/>
                  </w:tcBorders>
                  <w:vAlign w:val="center"/>
                </w:tcPr>
                <w:p w14:paraId="4B87C538">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1</w:t>
                  </w:r>
                </w:p>
              </w:tc>
              <w:tc>
                <w:tcPr>
                  <w:tcW w:w="702" w:type="pct"/>
                  <w:tcBorders>
                    <w:tl2br w:val="nil"/>
                    <w:tr2bl w:val="nil"/>
                  </w:tcBorders>
                  <w:vAlign w:val="center"/>
                </w:tcPr>
                <w:p w14:paraId="77F9D947">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pH</w:t>
                  </w:r>
                </w:p>
              </w:tc>
              <w:tc>
                <w:tcPr>
                  <w:tcW w:w="775" w:type="pct"/>
                  <w:tcBorders>
                    <w:tl2br w:val="nil"/>
                    <w:tr2bl w:val="nil"/>
                  </w:tcBorders>
                  <w:vAlign w:val="center"/>
                </w:tcPr>
                <w:p w14:paraId="126B2534">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6-9</w:t>
                  </w:r>
                </w:p>
              </w:tc>
              <w:tc>
                <w:tcPr>
                  <w:tcW w:w="891" w:type="pct"/>
                  <w:tcBorders>
                    <w:tl2br w:val="nil"/>
                    <w:tr2bl w:val="nil"/>
                  </w:tcBorders>
                  <w:vAlign w:val="center"/>
                </w:tcPr>
                <w:p w14:paraId="56FEA80B">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6-9</w:t>
                  </w:r>
                </w:p>
              </w:tc>
              <w:tc>
                <w:tcPr>
                  <w:tcW w:w="788" w:type="pct"/>
                  <w:tcBorders>
                    <w:tl2br w:val="nil"/>
                    <w:tr2bl w:val="nil"/>
                  </w:tcBorders>
                  <w:vAlign w:val="center"/>
                </w:tcPr>
                <w:p w14:paraId="440D1874">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6.5-9.5</w:t>
                  </w:r>
                </w:p>
              </w:tc>
              <w:tc>
                <w:tcPr>
                  <w:tcW w:w="684" w:type="pct"/>
                  <w:tcBorders>
                    <w:tl2br w:val="nil"/>
                    <w:tr2bl w:val="nil"/>
                  </w:tcBorders>
                  <w:shd w:val="clear" w:color="auto" w:fill="auto"/>
                  <w:vAlign w:val="center"/>
                </w:tcPr>
                <w:p w14:paraId="22A90814">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6-9</w:t>
                  </w:r>
                </w:p>
              </w:tc>
              <w:tc>
                <w:tcPr>
                  <w:tcW w:w="831" w:type="pct"/>
                  <w:tcBorders>
                    <w:tl2br w:val="nil"/>
                    <w:tr2bl w:val="nil"/>
                  </w:tcBorders>
                  <w:vAlign w:val="center"/>
                </w:tcPr>
                <w:p w14:paraId="18E142DF">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6-9</w:t>
                  </w:r>
                </w:p>
              </w:tc>
            </w:tr>
            <w:tr w14:paraId="559556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325" w:type="pct"/>
                  <w:tcBorders>
                    <w:tl2br w:val="nil"/>
                    <w:tr2bl w:val="nil"/>
                  </w:tcBorders>
                  <w:vAlign w:val="center"/>
                </w:tcPr>
                <w:p w14:paraId="412FC1E1">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2</w:t>
                  </w:r>
                </w:p>
              </w:tc>
              <w:tc>
                <w:tcPr>
                  <w:tcW w:w="702" w:type="pct"/>
                  <w:tcBorders>
                    <w:tl2br w:val="nil"/>
                    <w:tr2bl w:val="nil"/>
                  </w:tcBorders>
                  <w:vAlign w:val="center"/>
                </w:tcPr>
                <w:p w14:paraId="6DB85FBD">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COD</w:t>
                  </w:r>
                  <w:r>
                    <w:rPr>
                      <w:rFonts w:hint="eastAsia"/>
                      <w:color w:val="auto"/>
                      <w:sz w:val="21"/>
                      <w:szCs w:val="21"/>
                      <w:vertAlign w:val="subscript"/>
                      <w:lang w:val="en-US" w:eastAsia="zh-CN"/>
                    </w:rPr>
                    <w:t>Cr</w:t>
                  </w:r>
                </w:p>
              </w:tc>
              <w:tc>
                <w:tcPr>
                  <w:tcW w:w="775" w:type="pct"/>
                  <w:tcBorders>
                    <w:tl2br w:val="nil"/>
                    <w:tr2bl w:val="nil"/>
                  </w:tcBorders>
                  <w:vAlign w:val="center"/>
                </w:tcPr>
                <w:p w14:paraId="20C9355B">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500</w:t>
                  </w:r>
                </w:p>
              </w:tc>
              <w:tc>
                <w:tcPr>
                  <w:tcW w:w="891" w:type="pct"/>
                  <w:tcBorders>
                    <w:tl2br w:val="nil"/>
                    <w:tr2bl w:val="nil"/>
                  </w:tcBorders>
                  <w:vAlign w:val="center"/>
                </w:tcPr>
                <w:p w14:paraId="3F939221">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500</w:t>
                  </w:r>
                </w:p>
              </w:tc>
              <w:tc>
                <w:tcPr>
                  <w:tcW w:w="788" w:type="pct"/>
                  <w:tcBorders>
                    <w:tl2br w:val="nil"/>
                    <w:tr2bl w:val="nil"/>
                  </w:tcBorders>
                  <w:vAlign w:val="center"/>
                </w:tcPr>
                <w:p w14:paraId="6266BA41">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500</w:t>
                  </w:r>
                </w:p>
              </w:tc>
              <w:tc>
                <w:tcPr>
                  <w:tcW w:w="684" w:type="pct"/>
                  <w:tcBorders>
                    <w:tl2br w:val="nil"/>
                    <w:tr2bl w:val="nil"/>
                  </w:tcBorders>
                  <w:shd w:val="clear" w:color="auto" w:fill="auto"/>
                  <w:vAlign w:val="center"/>
                </w:tcPr>
                <w:p w14:paraId="50547F8A">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500</w:t>
                  </w:r>
                </w:p>
              </w:tc>
              <w:tc>
                <w:tcPr>
                  <w:tcW w:w="831" w:type="pct"/>
                  <w:tcBorders>
                    <w:tl2br w:val="nil"/>
                    <w:tr2bl w:val="nil"/>
                  </w:tcBorders>
                  <w:shd w:val="clear" w:color="auto" w:fill="auto"/>
                  <w:vAlign w:val="center"/>
                </w:tcPr>
                <w:p w14:paraId="37822CA5">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50</w:t>
                  </w:r>
                </w:p>
              </w:tc>
            </w:tr>
            <w:tr w14:paraId="139778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325" w:type="pct"/>
                  <w:tcBorders>
                    <w:tl2br w:val="nil"/>
                    <w:tr2bl w:val="nil"/>
                  </w:tcBorders>
                  <w:vAlign w:val="center"/>
                </w:tcPr>
                <w:p w14:paraId="178A0894">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3</w:t>
                  </w:r>
                </w:p>
              </w:tc>
              <w:tc>
                <w:tcPr>
                  <w:tcW w:w="702" w:type="pct"/>
                  <w:tcBorders>
                    <w:tl2br w:val="nil"/>
                    <w:tr2bl w:val="nil"/>
                  </w:tcBorders>
                  <w:vAlign w:val="center"/>
                </w:tcPr>
                <w:p w14:paraId="4E6C0800">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BOD</w:t>
                  </w:r>
                  <w:r>
                    <w:rPr>
                      <w:rFonts w:hint="eastAsia"/>
                      <w:color w:val="auto"/>
                      <w:sz w:val="21"/>
                      <w:szCs w:val="21"/>
                      <w:vertAlign w:val="subscript"/>
                      <w:lang w:val="en-US" w:eastAsia="zh-CN"/>
                    </w:rPr>
                    <w:t>5</w:t>
                  </w:r>
                </w:p>
              </w:tc>
              <w:tc>
                <w:tcPr>
                  <w:tcW w:w="775" w:type="pct"/>
                  <w:tcBorders>
                    <w:tl2br w:val="nil"/>
                    <w:tr2bl w:val="nil"/>
                  </w:tcBorders>
                  <w:vAlign w:val="center"/>
                </w:tcPr>
                <w:p w14:paraId="6877B4F9">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350</w:t>
                  </w:r>
                </w:p>
              </w:tc>
              <w:tc>
                <w:tcPr>
                  <w:tcW w:w="891" w:type="pct"/>
                  <w:tcBorders>
                    <w:tl2br w:val="nil"/>
                    <w:tr2bl w:val="nil"/>
                  </w:tcBorders>
                  <w:vAlign w:val="center"/>
                </w:tcPr>
                <w:p w14:paraId="6AA33A66">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300</w:t>
                  </w:r>
                </w:p>
              </w:tc>
              <w:tc>
                <w:tcPr>
                  <w:tcW w:w="788" w:type="pct"/>
                  <w:tcBorders>
                    <w:tl2br w:val="nil"/>
                    <w:tr2bl w:val="nil"/>
                  </w:tcBorders>
                  <w:vAlign w:val="center"/>
                </w:tcPr>
                <w:p w14:paraId="3240CBFF">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350</w:t>
                  </w:r>
                </w:p>
              </w:tc>
              <w:tc>
                <w:tcPr>
                  <w:tcW w:w="684" w:type="pct"/>
                  <w:tcBorders>
                    <w:tl2br w:val="nil"/>
                    <w:tr2bl w:val="nil"/>
                  </w:tcBorders>
                  <w:shd w:val="clear" w:color="auto" w:fill="auto"/>
                  <w:vAlign w:val="center"/>
                </w:tcPr>
                <w:p w14:paraId="5F27F833">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300</w:t>
                  </w:r>
                </w:p>
              </w:tc>
              <w:tc>
                <w:tcPr>
                  <w:tcW w:w="831" w:type="pct"/>
                  <w:tcBorders>
                    <w:tl2br w:val="nil"/>
                    <w:tr2bl w:val="nil"/>
                  </w:tcBorders>
                  <w:shd w:val="clear" w:color="auto" w:fill="auto"/>
                  <w:vAlign w:val="center"/>
                </w:tcPr>
                <w:p w14:paraId="58ADA3B9">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10</w:t>
                  </w:r>
                </w:p>
              </w:tc>
            </w:tr>
            <w:tr w14:paraId="331D2D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325" w:type="pct"/>
                  <w:tcBorders>
                    <w:tl2br w:val="nil"/>
                    <w:tr2bl w:val="nil"/>
                  </w:tcBorders>
                  <w:vAlign w:val="center"/>
                </w:tcPr>
                <w:p w14:paraId="12164D61">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4</w:t>
                  </w:r>
                </w:p>
              </w:tc>
              <w:tc>
                <w:tcPr>
                  <w:tcW w:w="702" w:type="pct"/>
                  <w:tcBorders>
                    <w:tl2br w:val="nil"/>
                    <w:tr2bl w:val="nil"/>
                  </w:tcBorders>
                  <w:vAlign w:val="center"/>
                </w:tcPr>
                <w:p w14:paraId="43CFBCE8">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eastAsia"/>
                      <w:color w:val="auto"/>
                      <w:sz w:val="21"/>
                      <w:szCs w:val="21"/>
                      <w:vertAlign w:val="baseline"/>
                    </w:rPr>
                  </w:pPr>
                  <w:r>
                    <w:rPr>
                      <w:rFonts w:hint="eastAsia"/>
                      <w:color w:val="auto"/>
                      <w:sz w:val="21"/>
                      <w:szCs w:val="21"/>
                      <w:vertAlign w:val="baseline"/>
                      <w:lang w:val="en-US" w:eastAsia="zh-CN"/>
                    </w:rPr>
                    <w:t>SS</w:t>
                  </w:r>
                </w:p>
              </w:tc>
              <w:tc>
                <w:tcPr>
                  <w:tcW w:w="775" w:type="pct"/>
                  <w:tcBorders>
                    <w:tl2br w:val="nil"/>
                    <w:tr2bl w:val="nil"/>
                  </w:tcBorders>
                  <w:vAlign w:val="center"/>
                </w:tcPr>
                <w:p w14:paraId="2F9B10FB">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400</w:t>
                  </w:r>
                </w:p>
              </w:tc>
              <w:tc>
                <w:tcPr>
                  <w:tcW w:w="891" w:type="pct"/>
                  <w:tcBorders>
                    <w:tl2br w:val="nil"/>
                    <w:tr2bl w:val="nil"/>
                  </w:tcBorders>
                  <w:vAlign w:val="center"/>
                </w:tcPr>
                <w:p w14:paraId="5358C8D2">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400</w:t>
                  </w:r>
                </w:p>
              </w:tc>
              <w:tc>
                <w:tcPr>
                  <w:tcW w:w="788" w:type="pct"/>
                  <w:tcBorders>
                    <w:tl2br w:val="nil"/>
                    <w:tr2bl w:val="nil"/>
                  </w:tcBorders>
                  <w:vAlign w:val="center"/>
                </w:tcPr>
                <w:p w14:paraId="1D0A42E9">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400</w:t>
                  </w:r>
                </w:p>
              </w:tc>
              <w:tc>
                <w:tcPr>
                  <w:tcW w:w="684" w:type="pct"/>
                  <w:tcBorders>
                    <w:tl2br w:val="nil"/>
                    <w:tr2bl w:val="nil"/>
                  </w:tcBorders>
                  <w:shd w:val="clear" w:color="auto" w:fill="auto"/>
                  <w:vAlign w:val="center"/>
                </w:tcPr>
                <w:p w14:paraId="6F5A4A67">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400</w:t>
                  </w:r>
                </w:p>
              </w:tc>
              <w:tc>
                <w:tcPr>
                  <w:tcW w:w="831" w:type="pct"/>
                  <w:tcBorders>
                    <w:tl2br w:val="nil"/>
                    <w:tr2bl w:val="nil"/>
                  </w:tcBorders>
                  <w:shd w:val="clear" w:color="auto" w:fill="auto"/>
                  <w:vAlign w:val="center"/>
                </w:tcPr>
                <w:p w14:paraId="7E86AD24">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10</w:t>
                  </w:r>
                </w:p>
              </w:tc>
            </w:tr>
            <w:tr w14:paraId="65685B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325" w:type="pct"/>
                  <w:tcBorders>
                    <w:tl2br w:val="nil"/>
                    <w:tr2bl w:val="nil"/>
                  </w:tcBorders>
                  <w:vAlign w:val="center"/>
                </w:tcPr>
                <w:p w14:paraId="0125B935">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5</w:t>
                  </w:r>
                </w:p>
              </w:tc>
              <w:tc>
                <w:tcPr>
                  <w:tcW w:w="702" w:type="pct"/>
                  <w:tcBorders>
                    <w:tl2br w:val="nil"/>
                    <w:tr2bl w:val="nil"/>
                  </w:tcBorders>
                  <w:vAlign w:val="center"/>
                </w:tcPr>
                <w:p w14:paraId="0DDBB868">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NH</w:t>
                  </w:r>
                  <w:r>
                    <w:rPr>
                      <w:rFonts w:hint="eastAsia"/>
                      <w:color w:val="auto"/>
                      <w:sz w:val="21"/>
                      <w:szCs w:val="21"/>
                      <w:vertAlign w:val="subscript"/>
                      <w:lang w:val="en-US" w:eastAsia="zh-CN"/>
                    </w:rPr>
                    <w:t>3</w:t>
                  </w:r>
                  <w:r>
                    <w:rPr>
                      <w:rFonts w:hint="eastAsia"/>
                      <w:color w:val="auto"/>
                      <w:sz w:val="21"/>
                      <w:szCs w:val="21"/>
                      <w:vertAlign w:val="baseline"/>
                      <w:lang w:val="en-US" w:eastAsia="zh-CN"/>
                    </w:rPr>
                    <w:t>-N</w:t>
                  </w:r>
                </w:p>
              </w:tc>
              <w:tc>
                <w:tcPr>
                  <w:tcW w:w="775" w:type="pct"/>
                  <w:tcBorders>
                    <w:tl2br w:val="nil"/>
                    <w:tr2bl w:val="nil"/>
                  </w:tcBorders>
                  <w:vAlign w:val="center"/>
                </w:tcPr>
                <w:p w14:paraId="4AE98626">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45</w:t>
                  </w:r>
                </w:p>
              </w:tc>
              <w:tc>
                <w:tcPr>
                  <w:tcW w:w="891" w:type="pct"/>
                  <w:tcBorders>
                    <w:tl2br w:val="nil"/>
                    <w:tr2bl w:val="nil"/>
                  </w:tcBorders>
                  <w:vAlign w:val="center"/>
                </w:tcPr>
                <w:p w14:paraId="48BD22F0">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w:t>
                  </w:r>
                </w:p>
              </w:tc>
              <w:tc>
                <w:tcPr>
                  <w:tcW w:w="788" w:type="pct"/>
                  <w:tcBorders>
                    <w:tl2br w:val="nil"/>
                    <w:tr2bl w:val="nil"/>
                  </w:tcBorders>
                  <w:vAlign w:val="center"/>
                </w:tcPr>
                <w:p w14:paraId="2E439497">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45</w:t>
                  </w:r>
                </w:p>
              </w:tc>
              <w:tc>
                <w:tcPr>
                  <w:tcW w:w="684" w:type="pct"/>
                  <w:tcBorders>
                    <w:tl2br w:val="nil"/>
                    <w:tr2bl w:val="nil"/>
                  </w:tcBorders>
                  <w:shd w:val="clear" w:color="auto" w:fill="auto"/>
                  <w:vAlign w:val="center"/>
                </w:tcPr>
                <w:p w14:paraId="45B94A48">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45</w:t>
                  </w:r>
                </w:p>
              </w:tc>
              <w:tc>
                <w:tcPr>
                  <w:tcW w:w="831" w:type="pct"/>
                  <w:tcBorders>
                    <w:tl2br w:val="nil"/>
                    <w:tr2bl w:val="nil"/>
                  </w:tcBorders>
                  <w:shd w:val="clear" w:color="auto" w:fill="auto"/>
                  <w:vAlign w:val="center"/>
                </w:tcPr>
                <w:p w14:paraId="7E3D9FD1">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5（8）</w:t>
                  </w:r>
                </w:p>
              </w:tc>
            </w:tr>
            <w:tr w14:paraId="2983FD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325" w:type="pct"/>
                  <w:tcBorders>
                    <w:tl2br w:val="nil"/>
                    <w:tr2bl w:val="nil"/>
                  </w:tcBorders>
                  <w:vAlign w:val="center"/>
                </w:tcPr>
                <w:p w14:paraId="74C0A4AD">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6</w:t>
                  </w:r>
                </w:p>
              </w:tc>
              <w:tc>
                <w:tcPr>
                  <w:tcW w:w="702" w:type="pct"/>
                  <w:tcBorders>
                    <w:tl2br w:val="nil"/>
                    <w:tr2bl w:val="nil"/>
                  </w:tcBorders>
                  <w:vAlign w:val="center"/>
                </w:tcPr>
                <w:p w14:paraId="644575E4">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总磷</w:t>
                  </w:r>
                </w:p>
              </w:tc>
              <w:tc>
                <w:tcPr>
                  <w:tcW w:w="775" w:type="pct"/>
                  <w:tcBorders>
                    <w:tl2br w:val="nil"/>
                    <w:tr2bl w:val="nil"/>
                  </w:tcBorders>
                  <w:vAlign w:val="center"/>
                </w:tcPr>
                <w:p w14:paraId="19CD7CDC">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4</w:t>
                  </w:r>
                </w:p>
              </w:tc>
              <w:tc>
                <w:tcPr>
                  <w:tcW w:w="891" w:type="pct"/>
                  <w:tcBorders>
                    <w:tl2br w:val="nil"/>
                    <w:tr2bl w:val="nil"/>
                  </w:tcBorders>
                  <w:vAlign w:val="center"/>
                </w:tcPr>
                <w:p w14:paraId="339BE1D0">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w:t>
                  </w:r>
                </w:p>
              </w:tc>
              <w:tc>
                <w:tcPr>
                  <w:tcW w:w="788" w:type="pct"/>
                  <w:tcBorders>
                    <w:tl2br w:val="nil"/>
                    <w:tr2bl w:val="nil"/>
                  </w:tcBorders>
                  <w:vAlign w:val="center"/>
                </w:tcPr>
                <w:p w14:paraId="4AF8EE97">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8</w:t>
                  </w:r>
                </w:p>
              </w:tc>
              <w:tc>
                <w:tcPr>
                  <w:tcW w:w="684" w:type="pct"/>
                  <w:tcBorders>
                    <w:tl2br w:val="nil"/>
                    <w:tr2bl w:val="nil"/>
                  </w:tcBorders>
                  <w:shd w:val="clear" w:color="auto" w:fill="auto"/>
                  <w:vAlign w:val="center"/>
                </w:tcPr>
                <w:p w14:paraId="402B9551">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4</w:t>
                  </w:r>
                </w:p>
              </w:tc>
              <w:tc>
                <w:tcPr>
                  <w:tcW w:w="831" w:type="pct"/>
                  <w:tcBorders>
                    <w:tl2br w:val="nil"/>
                    <w:tr2bl w:val="nil"/>
                  </w:tcBorders>
                  <w:shd w:val="clear" w:color="auto" w:fill="auto"/>
                  <w:vAlign w:val="center"/>
                </w:tcPr>
                <w:p w14:paraId="6746C36C">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0.5</w:t>
                  </w:r>
                </w:p>
              </w:tc>
            </w:tr>
            <w:tr w14:paraId="3A6F1F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325" w:type="pct"/>
                  <w:tcBorders>
                    <w:tl2br w:val="nil"/>
                    <w:tr2bl w:val="nil"/>
                  </w:tcBorders>
                  <w:vAlign w:val="center"/>
                </w:tcPr>
                <w:p w14:paraId="154810FA">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7</w:t>
                  </w:r>
                </w:p>
              </w:tc>
              <w:tc>
                <w:tcPr>
                  <w:tcW w:w="702" w:type="pct"/>
                  <w:tcBorders>
                    <w:tl2br w:val="nil"/>
                    <w:tr2bl w:val="nil"/>
                  </w:tcBorders>
                  <w:vAlign w:val="center"/>
                </w:tcPr>
                <w:p w14:paraId="7F9FAF0A">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总氮</w:t>
                  </w:r>
                </w:p>
              </w:tc>
              <w:tc>
                <w:tcPr>
                  <w:tcW w:w="775" w:type="pct"/>
                  <w:tcBorders>
                    <w:tl2br w:val="nil"/>
                    <w:tr2bl w:val="nil"/>
                  </w:tcBorders>
                  <w:vAlign w:val="center"/>
                </w:tcPr>
                <w:p w14:paraId="6554EA35">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w:t>
                  </w:r>
                </w:p>
              </w:tc>
              <w:tc>
                <w:tcPr>
                  <w:tcW w:w="891" w:type="pct"/>
                  <w:tcBorders>
                    <w:tl2br w:val="nil"/>
                    <w:tr2bl w:val="nil"/>
                  </w:tcBorders>
                  <w:vAlign w:val="center"/>
                </w:tcPr>
                <w:p w14:paraId="5DA313C3">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w:t>
                  </w:r>
                </w:p>
              </w:tc>
              <w:tc>
                <w:tcPr>
                  <w:tcW w:w="788" w:type="pct"/>
                  <w:tcBorders>
                    <w:tl2br w:val="nil"/>
                    <w:tr2bl w:val="nil"/>
                  </w:tcBorders>
                  <w:vAlign w:val="center"/>
                </w:tcPr>
                <w:p w14:paraId="08798688">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70</w:t>
                  </w:r>
                </w:p>
              </w:tc>
              <w:tc>
                <w:tcPr>
                  <w:tcW w:w="684" w:type="pct"/>
                  <w:tcBorders>
                    <w:tl2br w:val="nil"/>
                    <w:tr2bl w:val="nil"/>
                  </w:tcBorders>
                  <w:shd w:val="clear" w:color="auto" w:fill="auto"/>
                  <w:vAlign w:val="center"/>
                </w:tcPr>
                <w:p w14:paraId="5D231F31">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70</w:t>
                  </w:r>
                </w:p>
              </w:tc>
              <w:tc>
                <w:tcPr>
                  <w:tcW w:w="831" w:type="pct"/>
                  <w:tcBorders>
                    <w:tl2br w:val="nil"/>
                    <w:tr2bl w:val="nil"/>
                  </w:tcBorders>
                  <w:shd w:val="clear" w:color="auto" w:fill="auto"/>
                  <w:vAlign w:val="center"/>
                </w:tcPr>
                <w:p w14:paraId="691F5F0A">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15</w:t>
                  </w:r>
                </w:p>
              </w:tc>
            </w:tr>
          </w:tbl>
          <w:p w14:paraId="552B894D">
            <w:pPr>
              <w:pStyle w:val="147"/>
              <w:keepNext w:val="0"/>
              <w:keepLines w:val="0"/>
              <w:widowControl/>
              <w:suppressLineNumbers w:val="0"/>
              <w:spacing w:before="0" w:beforeAutospacing="0" w:after="0" w:afterAutospacing="0" w:line="360" w:lineRule="auto"/>
              <w:ind w:left="0" w:right="0" w:firstLine="482"/>
              <w:rPr>
                <w:rFonts w:hint="default"/>
                <w:b/>
                <w:color w:val="auto"/>
                <w:sz w:val="24"/>
                <w:szCs w:val="24"/>
              </w:rPr>
            </w:pPr>
            <w:r>
              <w:rPr>
                <w:rFonts w:hint="eastAsia"/>
                <w:b/>
                <w:color w:val="auto"/>
                <w:sz w:val="24"/>
                <w:szCs w:val="24"/>
              </w:rPr>
              <w:t>3</w:t>
            </w:r>
            <w:r>
              <w:rPr>
                <w:rFonts w:hint="eastAsia"/>
                <w:b/>
                <w:color w:val="auto"/>
                <w:sz w:val="24"/>
                <w:szCs w:val="24"/>
                <w:lang w:val="en-US" w:eastAsia="zh-CN"/>
              </w:rPr>
              <w:t>.</w:t>
            </w:r>
            <w:r>
              <w:rPr>
                <w:rFonts w:hint="eastAsia"/>
                <w:b/>
                <w:color w:val="auto"/>
                <w:sz w:val="24"/>
                <w:szCs w:val="24"/>
              </w:rPr>
              <w:t>噪声</w:t>
            </w:r>
          </w:p>
          <w:p w14:paraId="405DB87D">
            <w:pPr>
              <w:pStyle w:val="194"/>
              <w:keepNext w:val="0"/>
              <w:keepLines w:val="0"/>
              <w:suppressLineNumbers w:val="0"/>
              <w:spacing w:before="0" w:beforeAutospacing="0" w:after="0" w:afterAutospacing="0" w:line="360" w:lineRule="auto"/>
              <w:ind w:left="0" w:right="0" w:firstLine="480" w:firstLineChars="200"/>
              <w:jc w:val="both"/>
              <w:rPr>
                <w:rFonts w:hint="default" w:ascii="Times New Roman" w:hAnsi="宋体" w:eastAsia="宋体" w:cs="Times New Roman"/>
                <w:color w:val="auto"/>
                <w:sz w:val="24"/>
                <w:szCs w:val="24"/>
                <w:lang w:eastAsia="zh-CN"/>
              </w:rPr>
            </w:pPr>
            <w:r>
              <w:rPr>
                <w:rFonts w:hint="default" w:ascii="Times New Roman" w:hAnsi="宋体" w:eastAsia="宋体" w:cs="Times New Roman"/>
                <w:color w:val="auto"/>
                <w:sz w:val="24"/>
                <w:lang w:eastAsia="zh-CN"/>
              </w:rPr>
              <w:t>根据《声环境质量标准》（GB3096-2008）、《声环境功能区划分技术规范》（GB/T15190-2014）</w:t>
            </w:r>
            <w:r>
              <w:rPr>
                <w:rFonts w:hint="eastAsia" w:ascii="Times New Roman" w:hAnsi="宋体" w:eastAsia="宋体" w:cs="Times New Roman"/>
                <w:color w:val="auto"/>
                <w:sz w:val="24"/>
                <w:lang w:val="en-US" w:eastAsia="zh-CN"/>
              </w:rPr>
              <w:t>及《凤台县城市声环境功能区划图》</w:t>
            </w:r>
            <w:r>
              <w:rPr>
                <w:rFonts w:hint="default" w:ascii="Times New Roman" w:hAnsi="宋体" w:eastAsia="宋体" w:cs="Times New Roman"/>
                <w:color w:val="auto"/>
                <w:sz w:val="24"/>
                <w:lang w:eastAsia="zh-CN"/>
              </w:rPr>
              <w:t>判断，本项目所在区域为3类声环境功能区，因此项目运营期厂界执行《工业企业厂界环境噪声排放标准》（GB12348-2008）中3类标准。</w:t>
            </w:r>
            <w:r>
              <w:rPr>
                <w:rFonts w:hint="default" w:ascii="Times New Roman" w:hAnsi="宋体" w:eastAsia="宋体" w:cs="Times New Roman"/>
                <w:color w:val="auto"/>
                <w:sz w:val="24"/>
                <w:szCs w:val="24"/>
                <w:lang w:eastAsia="zh-CN"/>
              </w:rPr>
              <w:t>具体详见下表。</w:t>
            </w:r>
          </w:p>
          <w:p w14:paraId="7A1F7D57">
            <w:pPr>
              <w:keepNext w:val="0"/>
              <w:keepLines w:val="0"/>
              <w:suppressLineNumbers w:val="0"/>
              <w:spacing w:before="0" w:beforeAutospacing="0" w:after="0" w:afterAutospacing="0" w:line="360" w:lineRule="auto"/>
              <w:ind w:left="0" w:right="0"/>
              <w:jc w:val="center"/>
              <w:rPr>
                <w:rFonts w:hint="default" w:eastAsia="黑体"/>
                <w:color w:val="auto"/>
                <w:sz w:val="24"/>
                <w:szCs w:val="24"/>
              </w:rPr>
            </w:pPr>
            <w:r>
              <w:rPr>
                <w:rFonts w:hint="default" w:hAnsi="黑体" w:eastAsia="黑体"/>
                <w:color w:val="auto"/>
                <w:sz w:val="24"/>
                <w:szCs w:val="24"/>
              </w:rPr>
              <w:t>表</w:t>
            </w:r>
            <w:r>
              <w:rPr>
                <w:rFonts w:hint="eastAsia" w:hAnsi="黑体" w:eastAsia="黑体"/>
                <w:color w:val="auto"/>
                <w:sz w:val="24"/>
                <w:szCs w:val="24"/>
                <w:lang w:val="en-US" w:eastAsia="zh-CN"/>
              </w:rPr>
              <w:t xml:space="preserve">3-12 </w:t>
            </w:r>
            <w:r>
              <w:rPr>
                <w:rFonts w:hint="default" w:hAnsi="黑体" w:eastAsia="黑体"/>
                <w:color w:val="auto"/>
                <w:sz w:val="24"/>
                <w:szCs w:val="24"/>
              </w:rPr>
              <w:t>工业企业厂界环境噪声排放标准 单位：dB(A</w:t>
            </w:r>
            <w:r>
              <w:rPr>
                <w:rFonts w:hint="default" w:eastAsia="黑体"/>
                <w:color w:val="auto"/>
                <w:sz w:val="24"/>
                <w:szCs w:val="24"/>
              </w:rPr>
              <w:t>)</w:t>
            </w:r>
          </w:p>
          <w:tbl>
            <w:tblPr>
              <w:tblStyle w:val="37"/>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721"/>
              <w:gridCol w:w="1594"/>
              <w:gridCol w:w="1540"/>
            </w:tblGrid>
            <w:tr w14:paraId="614E1B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3004" w:type="pct"/>
                  <w:vAlign w:val="center"/>
                </w:tcPr>
                <w:p w14:paraId="25F43691">
                  <w:pPr>
                    <w:keepNext w:val="0"/>
                    <w:keepLines w:val="0"/>
                    <w:widowControl/>
                    <w:suppressLineNumbers w:val="0"/>
                    <w:spacing w:before="0" w:beforeAutospacing="0" w:after="0" w:afterAutospacing="0" w:line="276" w:lineRule="auto"/>
                    <w:ind w:left="0" w:right="0"/>
                    <w:jc w:val="center"/>
                    <w:rPr>
                      <w:rFonts w:hint="default"/>
                      <w:b/>
                      <w:color w:val="auto"/>
                      <w:kern w:val="0"/>
                      <w:szCs w:val="21"/>
                    </w:rPr>
                  </w:pPr>
                  <w:r>
                    <w:rPr>
                      <w:rFonts w:hint="default"/>
                      <w:b/>
                      <w:color w:val="auto"/>
                      <w:kern w:val="0"/>
                      <w:szCs w:val="21"/>
                    </w:rPr>
                    <w:t>标准</w:t>
                  </w:r>
                </w:p>
              </w:tc>
              <w:tc>
                <w:tcPr>
                  <w:tcW w:w="1014" w:type="pct"/>
                  <w:vAlign w:val="center"/>
                </w:tcPr>
                <w:p w14:paraId="6926D18E">
                  <w:pPr>
                    <w:keepNext w:val="0"/>
                    <w:keepLines w:val="0"/>
                    <w:widowControl/>
                    <w:suppressLineNumbers w:val="0"/>
                    <w:spacing w:before="0" w:beforeAutospacing="0" w:after="0" w:afterAutospacing="0" w:line="276" w:lineRule="auto"/>
                    <w:ind w:left="0" w:right="0"/>
                    <w:jc w:val="center"/>
                    <w:rPr>
                      <w:rFonts w:hint="default"/>
                      <w:b/>
                      <w:color w:val="auto"/>
                      <w:kern w:val="0"/>
                      <w:szCs w:val="21"/>
                    </w:rPr>
                  </w:pPr>
                  <w:r>
                    <w:rPr>
                      <w:rFonts w:hint="default"/>
                      <w:b/>
                      <w:color w:val="auto"/>
                      <w:kern w:val="0"/>
                      <w:szCs w:val="21"/>
                    </w:rPr>
                    <w:t>昼间</w:t>
                  </w:r>
                </w:p>
              </w:tc>
              <w:tc>
                <w:tcPr>
                  <w:tcW w:w="980" w:type="pct"/>
                  <w:vAlign w:val="center"/>
                </w:tcPr>
                <w:p w14:paraId="72821A96">
                  <w:pPr>
                    <w:keepNext w:val="0"/>
                    <w:keepLines w:val="0"/>
                    <w:widowControl/>
                    <w:suppressLineNumbers w:val="0"/>
                    <w:spacing w:before="0" w:beforeAutospacing="0" w:after="0" w:afterAutospacing="0" w:line="276" w:lineRule="auto"/>
                    <w:ind w:left="0" w:right="0"/>
                    <w:jc w:val="center"/>
                    <w:rPr>
                      <w:rFonts w:hint="default"/>
                      <w:b/>
                      <w:color w:val="auto"/>
                      <w:kern w:val="0"/>
                      <w:szCs w:val="21"/>
                    </w:rPr>
                  </w:pPr>
                  <w:r>
                    <w:rPr>
                      <w:rFonts w:hint="default"/>
                      <w:b/>
                      <w:color w:val="auto"/>
                      <w:kern w:val="0"/>
                      <w:szCs w:val="21"/>
                    </w:rPr>
                    <w:t>夜间</w:t>
                  </w:r>
                </w:p>
              </w:tc>
            </w:tr>
            <w:tr w14:paraId="226AEE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3004" w:type="pct"/>
                  <w:vAlign w:val="center"/>
                </w:tcPr>
                <w:p w14:paraId="6E1F0C8A">
                  <w:pPr>
                    <w:keepNext w:val="0"/>
                    <w:keepLines w:val="0"/>
                    <w:widowControl/>
                    <w:suppressLineNumbers w:val="0"/>
                    <w:spacing w:before="0" w:beforeAutospacing="0" w:after="0" w:afterAutospacing="0" w:line="276" w:lineRule="auto"/>
                    <w:ind w:left="0" w:right="0"/>
                    <w:jc w:val="center"/>
                    <w:rPr>
                      <w:rFonts w:hint="default"/>
                      <w:color w:val="auto"/>
                      <w:kern w:val="0"/>
                      <w:szCs w:val="21"/>
                    </w:rPr>
                  </w:pPr>
                  <w:r>
                    <w:rPr>
                      <w:rFonts w:hint="default" w:hAnsi="宋体"/>
                      <w:color w:val="auto"/>
                      <w:szCs w:val="21"/>
                    </w:rPr>
                    <w:t>（</w:t>
                  </w:r>
                  <w:r>
                    <w:rPr>
                      <w:rFonts w:hint="default"/>
                      <w:color w:val="auto"/>
                      <w:szCs w:val="21"/>
                    </w:rPr>
                    <w:t>GB12348-2008）中</w:t>
                  </w:r>
                  <w:r>
                    <w:rPr>
                      <w:rFonts w:hint="eastAsia"/>
                      <w:color w:val="auto"/>
                      <w:kern w:val="0"/>
                      <w:szCs w:val="21"/>
                      <w:lang w:val="en-US" w:eastAsia="zh-CN"/>
                    </w:rPr>
                    <w:t>3</w:t>
                  </w:r>
                  <w:r>
                    <w:rPr>
                      <w:rFonts w:hint="default"/>
                      <w:color w:val="auto"/>
                      <w:kern w:val="0"/>
                      <w:szCs w:val="21"/>
                    </w:rPr>
                    <w:t>类标准</w:t>
                  </w:r>
                </w:p>
              </w:tc>
              <w:tc>
                <w:tcPr>
                  <w:tcW w:w="1014" w:type="pct"/>
                  <w:vAlign w:val="center"/>
                </w:tcPr>
                <w:p w14:paraId="068015AD">
                  <w:pPr>
                    <w:keepNext w:val="0"/>
                    <w:keepLines w:val="0"/>
                    <w:widowControl/>
                    <w:suppressLineNumbers w:val="0"/>
                    <w:spacing w:before="0" w:beforeAutospacing="0" w:after="0" w:afterAutospacing="0" w:line="276" w:lineRule="auto"/>
                    <w:ind w:left="0" w:right="0"/>
                    <w:jc w:val="center"/>
                    <w:rPr>
                      <w:rFonts w:hint="default" w:eastAsia="宋体"/>
                      <w:color w:val="auto"/>
                      <w:kern w:val="0"/>
                      <w:szCs w:val="21"/>
                      <w:lang w:val="en-US" w:eastAsia="zh-CN"/>
                    </w:rPr>
                  </w:pPr>
                  <w:r>
                    <w:rPr>
                      <w:rFonts w:hint="eastAsia"/>
                      <w:color w:val="auto"/>
                      <w:kern w:val="0"/>
                      <w:szCs w:val="21"/>
                      <w:lang w:val="en-US" w:eastAsia="zh-CN"/>
                    </w:rPr>
                    <w:t>65</w:t>
                  </w:r>
                </w:p>
              </w:tc>
              <w:tc>
                <w:tcPr>
                  <w:tcW w:w="980" w:type="pct"/>
                  <w:vAlign w:val="center"/>
                </w:tcPr>
                <w:p w14:paraId="3C9FC27C">
                  <w:pPr>
                    <w:keepNext w:val="0"/>
                    <w:keepLines w:val="0"/>
                    <w:widowControl/>
                    <w:suppressLineNumbers w:val="0"/>
                    <w:spacing w:before="0" w:beforeAutospacing="0" w:after="0" w:afterAutospacing="0" w:line="276" w:lineRule="auto"/>
                    <w:ind w:left="0" w:right="0"/>
                    <w:jc w:val="center"/>
                    <w:rPr>
                      <w:rFonts w:hint="default" w:eastAsia="宋体"/>
                      <w:color w:val="auto"/>
                      <w:kern w:val="0"/>
                      <w:szCs w:val="21"/>
                      <w:lang w:val="en-US" w:eastAsia="zh-CN"/>
                    </w:rPr>
                  </w:pPr>
                  <w:r>
                    <w:rPr>
                      <w:rFonts w:hint="eastAsia"/>
                      <w:color w:val="auto"/>
                      <w:kern w:val="0"/>
                      <w:szCs w:val="21"/>
                      <w:lang w:val="en-US" w:eastAsia="zh-CN"/>
                    </w:rPr>
                    <w:t>55</w:t>
                  </w:r>
                </w:p>
              </w:tc>
            </w:tr>
          </w:tbl>
          <w:p w14:paraId="4614C2F6">
            <w:pPr>
              <w:keepNext w:val="0"/>
              <w:keepLines w:val="0"/>
              <w:widowControl/>
              <w:suppressLineNumbers w:val="0"/>
              <w:spacing w:before="0" w:beforeAutospacing="0" w:after="0" w:afterAutospacing="0" w:line="360" w:lineRule="auto"/>
              <w:ind w:left="0" w:right="0" w:firstLine="482" w:firstLineChars="200"/>
              <w:rPr>
                <w:rFonts w:hint="default"/>
                <w:b/>
                <w:bCs/>
                <w:color w:val="auto"/>
                <w:kern w:val="0"/>
                <w:sz w:val="24"/>
                <w:szCs w:val="24"/>
              </w:rPr>
            </w:pPr>
            <w:r>
              <w:rPr>
                <w:rFonts w:hint="eastAsia"/>
                <w:b/>
                <w:bCs/>
                <w:color w:val="auto"/>
                <w:kern w:val="0"/>
                <w:sz w:val="24"/>
                <w:szCs w:val="24"/>
              </w:rPr>
              <w:t>4</w:t>
            </w:r>
            <w:r>
              <w:rPr>
                <w:rFonts w:hint="eastAsia"/>
                <w:b/>
                <w:bCs/>
                <w:color w:val="auto"/>
                <w:kern w:val="0"/>
                <w:sz w:val="24"/>
                <w:szCs w:val="24"/>
                <w:lang w:val="en-US" w:eastAsia="zh-CN"/>
              </w:rPr>
              <w:t>.</w:t>
            </w:r>
            <w:r>
              <w:rPr>
                <w:rFonts w:hint="default"/>
                <w:b/>
                <w:bCs/>
                <w:color w:val="auto"/>
                <w:kern w:val="0"/>
                <w:sz w:val="24"/>
                <w:szCs w:val="24"/>
              </w:rPr>
              <w:t>固体废物</w:t>
            </w:r>
          </w:p>
          <w:p w14:paraId="40B3E141">
            <w:pPr>
              <w:keepNext w:val="0"/>
              <w:keepLines w:val="0"/>
              <w:suppressLineNumbers w:val="0"/>
              <w:spacing w:before="0" w:beforeAutospacing="0" w:after="0" w:afterAutospacing="0" w:line="360" w:lineRule="auto"/>
              <w:ind w:left="0" w:right="0" w:firstLine="480" w:firstLineChars="200"/>
              <w:rPr>
                <w:rFonts w:hint="eastAsia"/>
                <w:snapToGrid w:val="0"/>
                <w:color w:val="auto"/>
                <w:kern w:val="0"/>
                <w:sz w:val="24"/>
              </w:rPr>
            </w:pPr>
            <w:r>
              <w:rPr>
                <w:rFonts w:hint="eastAsia"/>
                <w:snapToGrid w:val="0"/>
                <w:color w:val="auto"/>
                <w:kern w:val="0"/>
                <w:sz w:val="24"/>
              </w:rPr>
              <w:t>按照《中华人民共和国</w:t>
            </w:r>
            <w:r>
              <w:rPr>
                <w:rFonts w:hint="eastAsia"/>
                <w:snapToGrid w:val="0"/>
                <w:color w:val="auto"/>
                <w:kern w:val="0"/>
                <w:sz w:val="24"/>
                <w:lang w:val="en-US" w:eastAsia="zh-CN"/>
              </w:rPr>
              <w:t>生态环境法典</w:t>
            </w:r>
            <w:r>
              <w:rPr>
                <w:rFonts w:hint="eastAsia"/>
                <w:snapToGrid w:val="0"/>
                <w:color w:val="auto"/>
                <w:kern w:val="0"/>
                <w:sz w:val="24"/>
              </w:rPr>
              <w:t>》的要求，固体废物须妥善处置，不得形成二次污染。一般工业固体废物贮存、处置参照《一般工业固体废物贮存和填埋污染控制标准》（</w:t>
            </w:r>
            <w:r>
              <w:rPr>
                <w:rFonts w:hint="default"/>
                <w:snapToGrid w:val="0"/>
                <w:color w:val="auto"/>
                <w:kern w:val="0"/>
                <w:sz w:val="24"/>
              </w:rPr>
              <w:t>GB18599-2020</w:t>
            </w:r>
            <w:r>
              <w:rPr>
                <w:rFonts w:hint="eastAsia"/>
                <w:snapToGrid w:val="0"/>
                <w:color w:val="auto"/>
                <w:kern w:val="0"/>
                <w:sz w:val="24"/>
              </w:rPr>
              <w:t>）；危险废物贮存执行《危险废物贮存污染控制标准》（</w:t>
            </w:r>
            <w:r>
              <w:rPr>
                <w:rFonts w:hint="default"/>
                <w:snapToGrid w:val="0"/>
                <w:color w:val="auto"/>
                <w:kern w:val="0"/>
                <w:sz w:val="24"/>
              </w:rPr>
              <w:t>GB18597-20</w:t>
            </w:r>
            <w:r>
              <w:rPr>
                <w:rFonts w:hint="eastAsia"/>
                <w:snapToGrid w:val="0"/>
                <w:color w:val="auto"/>
                <w:kern w:val="0"/>
                <w:sz w:val="24"/>
              </w:rPr>
              <w:t>23）中有关规定。</w:t>
            </w:r>
          </w:p>
          <w:p w14:paraId="70F22429">
            <w:pPr>
              <w:keepNext w:val="0"/>
              <w:keepLines w:val="0"/>
              <w:suppressLineNumbers w:val="0"/>
              <w:spacing w:before="0" w:beforeAutospacing="0" w:after="0" w:afterAutospacing="0"/>
              <w:ind w:left="0" w:right="0"/>
              <w:rPr>
                <w:rFonts w:hint="eastAsia"/>
              </w:rPr>
            </w:pPr>
          </w:p>
          <w:p w14:paraId="668D1FF9">
            <w:pPr>
              <w:keepNext w:val="0"/>
              <w:keepLines w:val="0"/>
              <w:suppressLineNumbers w:val="0"/>
              <w:spacing w:before="0" w:beforeAutospacing="0" w:after="0" w:afterAutospacing="0"/>
              <w:ind w:left="0" w:right="0"/>
              <w:rPr>
                <w:rFonts w:hint="eastAsia"/>
              </w:rPr>
            </w:pPr>
          </w:p>
          <w:p w14:paraId="4B658064">
            <w:pPr>
              <w:keepNext w:val="0"/>
              <w:keepLines w:val="0"/>
              <w:suppressLineNumbers w:val="0"/>
              <w:spacing w:before="0" w:beforeAutospacing="0" w:after="0" w:afterAutospacing="0"/>
              <w:ind w:left="0" w:right="0"/>
              <w:rPr>
                <w:rFonts w:hint="eastAsia"/>
              </w:rPr>
            </w:pPr>
          </w:p>
          <w:p w14:paraId="52915D3F">
            <w:pPr>
              <w:keepNext w:val="0"/>
              <w:keepLines w:val="0"/>
              <w:suppressLineNumbers w:val="0"/>
              <w:spacing w:before="0" w:beforeAutospacing="0" w:after="0" w:afterAutospacing="0"/>
              <w:ind w:left="0" w:right="0"/>
              <w:rPr>
                <w:rFonts w:hint="eastAsia"/>
              </w:rPr>
            </w:pPr>
          </w:p>
          <w:p w14:paraId="4954936E">
            <w:pPr>
              <w:keepNext w:val="0"/>
              <w:keepLines w:val="0"/>
              <w:suppressLineNumbers w:val="0"/>
              <w:spacing w:before="0" w:beforeAutospacing="0" w:after="0" w:afterAutospacing="0"/>
              <w:ind w:left="0" w:right="0"/>
              <w:rPr>
                <w:rFonts w:hint="eastAsia"/>
              </w:rPr>
            </w:pPr>
          </w:p>
        </w:tc>
      </w:tr>
      <w:tr w14:paraId="58CAB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72" w:type="dxa"/>
            <w:vAlign w:val="center"/>
          </w:tcPr>
          <w:p w14:paraId="14897CB4">
            <w:pPr>
              <w:pStyle w:val="147"/>
              <w:keepNext w:val="0"/>
              <w:keepLines w:val="0"/>
              <w:widowControl/>
              <w:suppressLineNumbers w:val="0"/>
              <w:spacing w:before="0" w:beforeAutospacing="0" w:after="0" w:afterAutospacing="0" w:line="360" w:lineRule="auto"/>
              <w:ind w:left="0" w:leftChars="0" w:right="0" w:firstLine="0" w:firstLineChars="0"/>
              <w:jc w:val="center"/>
              <w:rPr>
                <w:rFonts w:hint="default" w:hAnsi="宋体"/>
                <w:color w:val="auto"/>
                <w:kern w:val="0"/>
                <w:sz w:val="24"/>
              </w:rPr>
            </w:pPr>
            <w:r>
              <w:rPr>
                <w:rFonts w:hint="eastAsia" w:hAnsi="宋体"/>
                <w:color w:val="auto"/>
                <w:kern w:val="0"/>
                <w:sz w:val="24"/>
              </w:rPr>
              <w:t>总量控制指标</w:t>
            </w:r>
          </w:p>
        </w:tc>
        <w:tc>
          <w:tcPr>
            <w:tcW w:w="8002" w:type="dxa"/>
          </w:tcPr>
          <w:p w14:paraId="0C2CFCA0">
            <w:pPr>
              <w:keepNext w:val="0"/>
              <w:keepLines w:val="0"/>
              <w:suppressLineNumbers w:val="0"/>
              <w:spacing w:before="0" w:beforeAutospacing="0" w:after="0" w:afterAutospacing="0" w:line="360" w:lineRule="auto"/>
              <w:ind w:left="0" w:right="0" w:firstLine="480" w:firstLineChars="200"/>
              <w:jc w:val="left"/>
              <w:rPr>
                <w:rFonts w:hint="default" w:hAnsi="宋体"/>
                <w:color w:val="auto"/>
                <w:sz w:val="24"/>
              </w:rPr>
            </w:pPr>
            <w:r>
              <w:rPr>
                <w:rFonts w:hint="eastAsia" w:hAnsi="宋体"/>
                <w:color w:val="auto"/>
                <w:sz w:val="24"/>
              </w:rPr>
              <w:t>根据</w:t>
            </w:r>
            <w:r>
              <w:rPr>
                <w:rFonts w:hint="eastAsia" w:hAnsi="宋体"/>
                <w:color w:val="auto"/>
                <w:sz w:val="24"/>
                <w:lang w:eastAsia="zh-CN"/>
              </w:rPr>
              <w:t>《</w:t>
            </w:r>
            <w:r>
              <w:rPr>
                <w:rFonts w:hint="eastAsia" w:hAnsi="宋体"/>
                <w:color w:val="auto"/>
                <w:sz w:val="24"/>
              </w:rPr>
              <w:t>长三角地区大气污染防治提质增效行动方案（2026</w:t>
            </w:r>
            <w:r>
              <w:rPr>
                <w:rFonts w:hint="eastAsia" w:hAnsi="宋体"/>
                <w:color w:val="auto"/>
                <w:sz w:val="24"/>
                <w:lang w:val="en-US" w:eastAsia="zh-CN"/>
              </w:rPr>
              <w:t>-</w:t>
            </w:r>
            <w:r>
              <w:rPr>
                <w:rFonts w:hint="eastAsia" w:hAnsi="宋体"/>
                <w:color w:val="auto"/>
                <w:sz w:val="24"/>
              </w:rPr>
              <w:t>2028年）</w:t>
            </w:r>
            <w:r>
              <w:rPr>
                <w:rFonts w:hint="eastAsia" w:hAnsi="宋体"/>
                <w:color w:val="auto"/>
                <w:sz w:val="24"/>
                <w:lang w:eastAsia="zh-CN"/>
              </w:rPr>
              <w:t>》</w:t>
            </w:r>
            <w:r>
              <w:rPr>
                <w:rFonts w:hint="eastAsia" w:hAnsi="宋体"/>
                <w:color w:val="auto"/>
                <w:sz w:val="24"/>
              </w:rPr>
              <w:t>中有关规定，大气主要污染物总量指标</w:t>
            </w:r>
            <w:r>
              <w:rPr>
                <w:rFonts w:hint="eastAsia" w:hAnsi="宋体"/>
                <w:color w:val="auto"/>
                <w:sz w:val="24"/>
                <w:lang w:val="en-US" w:eastAsia="zh-CN"/>
              </w:rPr>
              <w:t>为</w:t>
            </w:r>
            <w:r>
              <w:rPr>
                <w:rFonts w:hint="eastAsia" w:hAnsi="宋体"/>
                <w:color w:val="auto"/>
                <w:sz w:val="24"/>
              </w:rPr>
              <w:t>SO</w:t>
            </w:r>
            <w:r>
              <w:rPr>
                <w:rFonts w:hint="eastAsia" w:hAnsi="宋体"/>
                <w:color w:val="auto"/>
                <w:sz w:val="24"/>
                <w:vertAlign w:val="subscript"/>
              </w:rPr>
              <w:t>2</w:t>
            </w:r>
            <w:r>
              <w:rPr>
                <w:rFonts w:hint="eastAsia" w:hAnsi="宋体"/>
                <w:color w:val="auto"/>
                <w:sz w:val="24"/>
              </w:rPr>
              <w:t>、NOx</w:t>
            </w:r>
            <w:r>
              <w:rPr>
                <w:rFonts w:hint="eastAsia" w:hAnsi="宋体"/>
                <w:color w:val="auto"/>
                <w:sz w:val="24"/>
                <w:lang w:eastAsia="zh-CN"/>
              </w:rPr>
              <w:t>、</w:t>
            </w:r>
            <w:r>
              <w:rPr>
                <w:rFonts w:hint="eastAsia" w:hAnsi="宋体"/>
                <w:color w:val="auto"/>
                <w:sz w:val="24"/>
              </w:rPr>
              <w:t>烟（粉）尘、挥发性有机物（VOCs）</w:t>
            </w:r>
            <w:r>
              <w:rPr>
                <w:rFonts w:hint="eastAsia" w:hAnsi="宋体"/>
                <w:color w:val="auto"/>
                <w:sz w:val="24"/>
                <w:lang w:val="en-US" w:eastAsia="zh-CN"/>
              </w:rPr>
              <w:t>四</w:t>
            </w:r>
            <w:r>
              <w:rPr>
                <w:rFonts w:hint="eastAsia" w:hAnsi="宋体"/>
                <w:color w:val="auto"/>
                <w:sz w:val="24"/>
              </w:rPr>
              <w:t>项。</w:t>
            </w:r>
          </w:p>
          <w:p w14:paraId="1A4D5AE0">
            <w:pPr>
              <w:keepNext w:val="0"/>
              <w:keepLines w:val="0"/>
              <w:suppressLineNumbers w:val="0"/>
              <w:spacing w:before="0" w:beforeAutospacing="0" w:after="0" w:afterAutospacing="0" w:line="360" w:lineRule="auto"/>
              <w:ind w:left="0" w:right="0" w:firstLine="480" w:firstLineChars="200"/>
              <w:rPr>
                <w:rFonts w:hint="eastAsia" w:eastAsia="宋体"/>
                <w:color w:val="auto"/>
                <w:kern w:val="0"/>
                <w:sz w:val="24"/>
                <w:highlight w:val="yellow"/>
                <w:lang w:eastAsia="zh-CN"/>
              </w:rPr>
            </w:pPr>
            <w:r>
              <w:rPr>
                <w:rFonts w:hint="eastAsia"/>
                <w:color w:val="auto"/>
                <w:kern w:val="0"/>
                <w:sz w:val="24"/>
                <w:highlight w:val="none"/>
              </w:rPr>
              <w:t>本项目大气污染物主要为VOCs、颗粒物</w:t>
            </w:r>
            <w:r>
              <w:rPr>
                <w:rFonts w:hint="eastAsia"/>
                <w:color w:val="auto"/>
                <w:kern w:val="0"/>
                <w:sz w:val="24"/>
                <w:highlight w:val="none"/>
                <w:lang w:eastAsia="zh-CN"/>
              </w:rPr>
              <w:t>、</w:t>
            </w:r>
            <w:r>
              <w:rPr>
                <w:rFonts w:hint="eastAsia"/>
                <w:color w:val="auto"/>
                <w:kern w:val="0"/>
                <w:sz w:val="24"/>
                <w:highlight w:val="none"/>
                <w:lang w:val="en-US" w:eastAsia="zh-CN"/>
              </w:rPr>
              <w:t>二氧化硫、氮氧化物。</w:t>
            </w:r>
            <w:r>
              <w:rPr>
                <w:rFonts w:hint="eastAsia"/>
                <w:color w:val="auto"/>
                <w:sz w:val="24"/>
                <w:highlight w:val="none"/>
              </w:rPr>
              <w:t>VOCs排放量为</w:t>
            </w:r>
            <w:r>
              <w:rPr>
                <w:rFonts w:hint="eastAsia"/>
                <w:color w:val="auto"/>
                <w:sz w:val="24"/>
                <w:highlight w:val="none"/>
                <w:lang w:val="en-US" w:eastAsia="zh-CN"/>
              </w:rPr>
              <w:t>0.123</w:t>
            </w:r>
            <w:r>
              <w:rPr>
                <w:rFonts w:hint="eastAsia"/>
                <w:color w:val="auto"/>
                <w:sz w:val="24"/>
                <w:highlight w:val="none"/>
              </w:rPr>
              <w:t>t/a，颗粒物排放量为</w:t>
            </w:r>
            <w:r>
              <w:rPr>
                <w:rFonts w:hint="eastAsia"/>
                <w:color w:val="auto"/>
                <w:sz w:val="24"/>
                <w:highlight w:val="none"/>
                <w:lang w:val="en-US" w:eastAsia="zh-CN"/>
              </w:rPr>
              <w:t>0.030</w:t>
            </w:r>
            <w:r>
              <w:rPr>
                <w:rFonts w:hint="eastAsia"/>
                <w:color w:val="auto"/>
                <w:sz w:val="24"/>
                <w:highlight w:val="none"/>
              </w:rPr>
              <w:t>t/a</w:t>
            </w:r>
            <w:r>
              <w:rPr>
                <w:rFonts w:hint="eastAsia"/>
                <w:color w:val="auto"/>
                <w:sz w:val="24"/>
                <w:highlight w:val="none"/>
                <w:lang w:eastAsia="zh-CN"/>
              </w:rPr>
              <w:t>。</w:t>
            </w:r>
          </w:p>
          <w:p w14:paraId="712EA56C">
            <w:pPr>
              <w:keepNext w:val="0"/>
              <w:keepLines w:val="0"/>
              <w:suppressLineNumbers w:val="0"/>
              <w:spacing w:before="0" w:beforeAutospacing="0" w:after="0" w:afterAutospacing="0" w:line="360" w:lineRule="auto"/>
              <w:ind w:left="0" w:right="0" w:firstLine="480" w:firstLineChars="200"/>
              <w:rPr>
                <w:rFonts w:hint="eastAsia"/>
                <w:color w:val="auto"/>
                <w:kern w:val="0"/>
                <w:sz w:val="24"/>
                <w:highlight w:val="none"/>
                <w:lang w:val="en-US" w:eastAsia="zh-CN"/>
              </w:rPr>
            </w:pPr>
            <w:r>
              <w:rPr>
                <w:rFonts w:hint="eastAsia"/>
                <w:color w:val="auto"/>
                <w:kern w:val="0"/>
                <w:sz w:val="24"/>
                <w:highlight w:val="none"/>
                <w:lang w:val="en-US" w:eastAsia="zh-CN"/>
              </w:rPr>
              <w:t>根据安徽省生态环境厅《关于印发&lt;安徽省排污权有偿使用和交易管理办法&gt;的通知》（2026年2月14日）、《关于印发&lt;安徽省排污许可管理规程&gt;的通知》（皖环发[2025]27号）等文件有关规定，化学需氧量、氨氮、总磷、总氮纳入总量指标管理。</w:t>
            </w:r>
          </w:p>
          <w:p w14:paraId="1FAC0F95">
            <w:pPr>
              <w:keepNext w:val="0"/>
              <w:keepLines w:val="0"/>
              <w:suppressLineNumbers w:val="0"/>
              <w:spacing w:before="0" w:beforeAutospacing="0" w:after="0" w:afterAutospacing="0" w:line="360" w:lineRule="auto"/>
              <w:ind w:left="0" w:right="0" w:firstLine="480" w:firstLineChars="200"/>
              <w:rPr>
                <w:rFonts w:hint="default" w:eastAsia="宋体"/>
                <w:color w:val="auto"/>
                <w:lang w:val="en-US" w:eastAsia="zh-CN"/>
              </w:rPr>
            </w:pPr>
            <w:r>
              <w:rPr>
                <w:rFonts w:hint="eastAsia"/>
                <w:color w:val="auto"/>
                <w:kern w:val="0"/>
                <w:sz w:val="24"/>
                <w:highlight w:val="none"/>
                <w:lang w:val="en-US" w:eastAsia="zh-CN"/>
              </w:rPr>
              <w:t>项目废水主要为循环冷却系统排水及生活污水。生活污水由厂区化粪池预处理达标后与循环冷却系统排水一并由厂区废水总排口接管至凤台县污水处理厂深度处理，尾水排入架河，最终进入淮河。新增水污染物COD</w:t>
            </w:r>
            <w:r>
              <w:rPr>
                <w:rFonts w:hint="eastAsia"/>
                <w:color w:val="auto"/>
                <w:kern w:val="0"/>
                <w:sz w:val="24"/>
                <w:highlight w:val="none"/>
                <w:vertAlign w:val="subscript"/>
                <w:lang w:val="en-US" w:eastAsia="zh-CN"/>
              </w:rPr>
              <w:t>Cr</w:t>
            </w:r>
            <w:r>
              <w:rPr>
                <w:rFonts w:hint="eastAsia"/>
                <w:color w:val="auto"/>
                <w:kern w:val="0"/>
                <w:sz w:val="24"/>
                <w:highlight w:val="none"/>
                <w:lang w:val="en-US" w:eastAsia="zh-CN"/>
              </w:rPr>
              <w:t>0.185t/a、NH</w:t>
            </w:r>
            <w:r>
              <w:rPr>
                <w:rFonts w:hint="eastAsia"/>
                <w:color w:val="auto"/>
                <w:kern w:val="0"/>
                <w:sz w:val="24"/>
                <w:highlight w:val="none"/>
                <w:vertAlign w:val="subscript"/>
                <w:lang w:val="en-US" w:eastAsia="zh-CN"/>
              </w:rPr>
              <w:t>3</w:t>
            </w:r>
            <w:r>
              <w:rPr>
                <w:rFonts w:hint="eastAsia"/>
                <w:color w:val="auto"/>
                <w:kern w:val="0"/>
                <w:sz w:val="24"/>
                <w:highlight w:val="none"/>
                <w:lang w:val="en-US" w:eastAsia="zh-CN"/>
              </w:rPr>
              <w:t>-N0.0205t/a、TP0.002t/a、TN0.022t/a，全部纳入凤台县污水处理厂管理。</w:t>
            </w:r>
          </w:p>
          <w:p w14:paraId="60F0A805">
            <w:pPr>
              <w:keepNext w:val="0"/>
              <w:keepLines w:val="0"/>
              <w:suppressLineNumbers w:val="0"/>
              <w:spacing w:before="0" w:beforeAutospacing="0" w:after="0" w:afterAutospacing="0" w:line="360" w:lineRule="auto"/>
              <w:ind w:left="0" w:right="0" w:firstLine="480" w:firstLineChars="200"/>
              <w:rPr>
                <w:rFonts w:hint="default"/>
                <w:color w:val="auto"/>
                <w:kern w:val="0"/>
                <w:sz w:val="24"/>
                <w:highlight w:val="none"/>
                <w:lang w:val="en-US" w:eastAsia="zh-CN"/>
              </w:rPr>
            </w:pPr>
          </w:p>
          <w:p w14:paraId="3998CB57">
            <w:pPr>
              <w:keepNext w:val="0"/>
              <w:keepLines w:val="0"/>
              <w:suppressLineNumbers w:val="0"/>
              <w:spacing w:before="0" w:beforeAutospacing="0" w:after="0" w:afterAutospacing="0" w:line="360" w:lineRule="auto"/>
              <w:ind w:left="0" w:right="0" w:firstLine="480" w:firstLineChars="200"/>
              <w:rPr>
                <w:rFonts w:hint="default"/>
                <w:color w:val="auto"/>
                <w:kern w:val="0"/>
                <w:sz w:val="24"/>
                <w:highlight w:val="none"/>
                <w:lang w:val="en-US" w:eastAsia="zh-CN"/>
              </w:rPr>
            </w:pPr>
          </w:p>
          <w:p w14:paraId="276703AE">
            <w:pPr>
              <w:keepNext w:val="0"/>
              <w:keepLines w:val="0"/>
              <w:suppressLineNumbers w:val="0"/>
              <w:spacing w:before="0" w:beforeAutospacing="0" w:after="0" w:afterAutospacing="0" w:line="360" w:lineRule="auto"/>
              <w:ind w:left="0" w:right="0" w:firstLine="480" w:firstLineChars="200"/>
              <w:rPr>
                <w:rFonts w:hint="default"/>
                <w:color w:val="auto"/>
                <w:kern w:val="0"/>
                <w:sz w:val="24"/>
                <w:highlight w:val="none"/>
                <w:lang w:val="en-US" w:eastAsia="zh-CN"/>
              </w:rPr>
            </w:pPr>
          </w:p>
          <w:p w14:paraId="6DB06D48">
            <w:pPr>
              <w:keepNext w:val="0"/>
              <w:keepLines w:val="0"/>
              <w:suppressLineNumbers w:val="0"/>
              <w:spacing w:before="0" w:beforeAutospacing="0" w:after="0" w:afterAutospacing="0" w:line="360" w:lineRule="auto"/>
              <w:ind w:left="0" w:right="0" w:firstLine="480" w:firstLineChars="200"/>
              <w:rPr>
                <w:rFonts w:hint="default"/>
                <w:color w:val="auto"/>
                <w:kern w:val="0"/>
                <w:sz w:val="24"/>
                <w:highlight w:val="none"/>
                <w:lang w:val="en-US" w:eastAsia="zh-CN"/>
              </w:rPr>
            </w:pPr>
          </w:p>
          <w:p w14:paraId="585684F9">
            <w:pPr>
              <w:keepNext w:val="0"/>
              <w:keepLines w:val="0"/>
              <w:suppressLineNumbers w:val="0"/>
              <w:spacing w:before="0" w:beforeAutospacing="0" w:after="0" w:afterAutospacing="0" w:line="360" w:lineRule="auto"/>
              <w:ind w:left="0" w:right="0" w:firstLine="480" w:firstLineChars="200"/>
              <w:rPr>
                <w:rFonts w:hint="default"/>
                <w:color w:val="auto"/>
                <w:kern w:val="0"/>
                <w:sz w:val="24"/>
                <w:highlight w:val="none"/>
                <w:lang w:val="en-US" w:eastAsia="zh-CN"/>
              </w:rPr>
            </w:pPr>
          </w:p>
          <w:p w14:paraId="0375CEAE">
            <w:pPr>
              <w:keepNext w:val="0"/>
              <w:keepLines w:val="0"/>
              <w:suppressLineNumbers w:val="0"/>
              <w:spacing w:before="0" w:beforeAutospacing="0" w:after="0" w:afterAutospacing="0" w:line="360" w:lineRule="auto"/>
              <w:ind w:left="0" w:right="0" w:firstLine="480" w:firstLineChars="200"/>
              <w:rPr>
                <w:rFonts w:hint="default"/>
                <w:color w:val="auto"/>
                <w:kern w:val="0"/>
                <w:sz w:val="24"/>
                <w:highlight w:val="none"/>
                <w:lang w:val="en-US" w:eastAsia="zh-CN"/>
              </w:rPr>
            </w:pPr>
          </w:p>
          <w:p w14:paraId="66C8EA3E">
            <w:pPr>
              <w:keepNext w:val="0"/>
              <w:keepLines w:val="0"/>
              <w:suppressLineNumbers w:val="0"/>
              <w:spacing w:before="0" w:beforeAutospacing="0" w:after="0" w:afterAutospacing="0" w:line="360" w:lineRule="auto"/>
              <w:ind w:left="0" w:right="0" w:firstLine="480" w:firstLineChars="200"/>
              <w:rPr>
                <w:rFonts w:hint="default"/>
                <w:color w:val="auto"/>
                <w:kern w:val="0"/>
                <w:sz w:val="24"/>
                <w:highlight w:val="none"/>
                <w:lang w:val="en-US" w:eastAsia="zh-CN"/>
              </w:rPr>
            </w:pPr>
          </w:p>
          <w:p w14:paraId="341FCC85">
            <w:pPr>
              <w:keepNext w:val="0"/>
              <w:keepLines w:val="0"/>
              <w:suppressLineNumbers w:val="0"/>
              <w:spacing w:before="0" w:beforeAutospacing="0" w:after="0" w:afterAutospacing="0" w:line="360" w:lineRule="auto"/>
              <w:ind w:left="0" w:right="0" w:firstLine="480" w:firstLineChars="200"/>
              <w:rPr>
                <w:rFonts w:hint="default"/>
                <w:color w:val="auto"/>
                <w:kern w:val="0"/>
                <w:sz w:val="24"/>
                <w:highlight w:val="none"/>
                <w:lang w:val="en-US" w:eastAsia="zh-CN"/>
              </w:rPr>
            </w:pPr>
          </w:p>
          <w:p w14:paraId="232B5B66">
            <w:pPr>
              <w:keepNext w:val="0"/>
              <w:keepLines w:val="0"/>
              <w:suppressLineNumbers w:val="0"/>
              <w:spacing w:before="0" w:beforeAutospacing="0" w:after="0" w:afterAutospacing="0" w:line="360" w:lineRule="auto"/>
              <w:ind w:left="0" w:right="0" w:firstLine="480" w:firstLineChars="200"/>
              <w:rPr>
                <w:rFonts w:hint="default"/>
                <w:color w:val="auto"/>
                <w:kern w:val="0"/>
                <w:sz w:val="24"/>
                <w:highlight w:val="none"/>
                <w:lang w:val="en-US" w:eastAsia="zh-CN"/>
              </w:rPr>
            </w:pPr>
          </w:p>
          <w:p w14:paraId="71D5DF7D">
            <w:pPr>
              <w:keepNext w:val="0"/>
              <w:keepLines w:val="0"/>
              <w:suppressLineNumbers w:val="0"/>
              <w:spacing w:before="0" w:beforeAutospacing="0" w:after="0" w:afterAutospacing="0" w:line="360" w:lineRule="auto"/>
              <w:ind w:left="0" w:right="0" w:firstLine="480" w:firstLineChars="200"/>
              <w:rPr>
                <w:rFonts w:hint="default"/>
                <w:color w:val="auto"/>
                <w:kern w:val="0"/>
                <w:sz w:val="24"/>
                <w:highlight w:val="none"/>
                <w:lang w:val="en-US" w:eastAsia="zh-CN"/>
              </w:rPr>
            </w:pPr>
          </w:p>
          <w:p w14:paraId="060DCD41">
            <w:pPr>
              <w:keepNext w:val="0"/>
              <w:keepLines w:val="0"/>
              <w:suppressLineNumbers w:val="0"/>
              <w:spacing w:before="0" w:beforeAutospacing="0" w:after="0" w:afterAutospacing="0" w:line="360" w:lineRule="auto"/>
              <w:ind w:left="0" w:right="0" w:firstLine="480" w:firstLineChars="200"/>
              <w:rPr>
                <w:rFonts w:hint="default"/>
                <w:color w:val="auto"/>
                <w:kern w:val="0"/>
                <w:sz w:val="24"/>
                <w:highlight w:val="none"/>
                <w:lang w:val="en-US" w:eastAsia="zh-CN"/>
              </w:rPr>
            </w:pPr>
          </w:p>
          <w:p w14:paraId="3BF3BB10">
            <w:pPr>
              <w:keepNext w:val="0"/>
              <w:keepLines w:val="0"/>
              <w:suppressLineNumbers w:val="0"/>
              <w:spacing w:before="0" w:beforeAutospacing="0" w:after="0" w:afterAutospacing="0" w:line="360" w:lineRule="auto"/>
              <w:ind w:left="0" w:right="0" w:firstLine="480" w:firstLineChars="200"/>
              <w:rPr>
                <w:rFonts w:hint="default"/>
                <w:color w:val="auto"/>
                <w:kern w:val="0"/>
                <w:sz w:val="24"/>
                <w:highlight w:val="none"/>
                <w:lang w:val="en-US" w:eastAsia="zh-CN"/>
              </w:rPr>
            </w:pPr>
          </w:p>
          <w:p w14:paraId="29864B07">
            <w:pPr>
              <w:keepNext w:val="0"/>
              <w:keepLines w:val="0"/>
              <w:suppressLineNumbers w:val="0"/>
              <w:spacing w:before="0" w:beforeAutospacing="0" w:after="0" w:afterAutospacing="0" w:line="360" w:lineRule="auto"/>
              <w:ind w:left="0" w:right="0" w:firstLine="480" w:firstLineChars="200"/>
              <w:rPr>
                <w:rFonts w:hint="default"/>
                <w:color w:val="auto"/>
                <w:kern w:val="0"/>
                <w:sz w:val="24"/>
                <w:highlight w:val="none"/>
                <w:lang w:val="en-US" w:eastAsia="zh-CN"/>
              </w:rPr>
            </w:pPr>
          </w:p>
          <w:p w14:paraId="5182A3CF">
            <w:pPr>
              <w:keepNext w:val="0"/>
              <w:keepLines w:val="0"/>
              <w:widowControl/>
              <w:suppressLineNumbers w:val="0"/>
              <w:spacing w:before="0" w:beforeAutospacing="0" w:after="0" w:afterAutospacing="0" w:line="360" w:lineRule="auto"/>
              <w:ind w:left="0" w:right="0"/>
              <w:rPr>
                <w:rFonts w:hint="default"/>
                <w:b/>
                <w:color w:val="auto"/>
                <w:sz w:val="24"/>
                <w:szCs w:val="24"/>
              </w:rPr>
            </w:pPr>
          </w:p>
          <w:p w14:paraId="69045606">
            <w:pPr>
              <w:pStyle w:val="19"/>
              <w:keepNext w:val="0"/>
              <w:keepLines w:val="0"/>
              <w:suppressLineNumbers w:val="0"/>
              <w:spacing w:before="0" w:beforeAutospacing="0" w:afterAutospacing="0"/>
              <w:ind w:left="0" w:leftChars="0" w:right="0" w:firstLine="0" w:firstLineChars="0"/>
              <w:rPr>
                <w:rFonts w:hint="default"/>
              </w:rPr>
            </w:pPr>
          </w:p>
        </w:tc>
      </w:tr>
    </w:tbl>
    <w:p w14:paraId="696CDFBA">
      <w:pPr>
        <w:widowControl/>
        <w:outlineLvl w:val="0"/>
        <w:rPr>
          <w:rFonts w:ascii="宋体" w:hAnsi="宋体"/>
          <w:b/>
          <w:bCs/>
          <w:color w:val="auto"/>
          <w:kern w:val="0"/>
          <w:sz w:val="30"/>
          <w:szCs w:val="30"/>
        </w:rPr>
        <w:sectPr>
          <w:pgSz w:w="11906" w:h="16838"/>
          <w:pgMar w:top="1440" w:right="1508" w:bottom="1440" w:left="1797" w:header="851" w:footer="992" w:gutter="0"/>
          <w:pgBorders>
            <w:top w:val="none" w:sz="0" w:space="0"/>
            <w:left w:val="none" w:sz="0" w:space="0"/>
            <w:bottom w:val="none" w:sz="0" w:space="0"/>
            <w:right w:val="none" w:sz="0" w:space="0"/>
          </w:pgBorders>
          <w:cols w:space="720" w:num="1"/>
          <w:docGrid w:type="lines" w:linePitch="312" w:charSpace="0"/>
        </w:sectPr>
      </w:pPr>
    </w:p>
    <w:p w14:paraId="23CFE17E">
      <w:pPr>
        <w:widowControl/>
        <w:jc w:val="center"/>
        <w:outlineLvl w:val="0"/>
        <w:rPr>
          <w:b/>
          <w:bCs/>
          <w:color w:val="auto"/>
          <w:kern w:val="0"/>
          <w:sz w:val="30"/>
          <w:szCs w:val="30"/>
        </w:rPr>
      </w:pPr>
      <w:r>
        <w:rPr>
          <w:b/>
          <w:bCs/>
          <w:color w:val="auto"/>
          <w:kern w:val="0"/>
          <w:sz w:val="30"/>
          <w:szCs w:val="30"/>
        </w:rPr>
        <w:t>四、</w:t>
      </w:r>
      <w:bookmarkEnd w:id="12"/>
      <w:r>
        <w:rPr>
          <w:b/>
          <w:bCs/>
          <w:color w:val="auto"/>
          <w:kern w:val="0"/>
          <w:sz w:val="30"/>
          <w:szCs w:val="30"/>
        </w:rPr>
        <w:t>主要环境影响和保护措施</w:t>
      </w:r>
    </w:p>
    <w:tbl>
      <w:tblPr>
        <w:tblStyle w:val="37"/>
        <w:tblpPr w:leftFromText="180" w:rightFromText="180" w:vertAnchor="text" w:tblpXSpec="right" w:tblpY="1"/>
        <w:tblOverlap w:val="never"/>
        <w:tblW w:w="0" w:type="auto"/>
        <w:tblInd w:w="5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71"/>
        <w:gridCol w:w="8104"/>
      </w:tblGrid>
      <w:tr w14:paraId="6817D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trPr>
        <w:tc>
          <w:tcPr>
            <w:tcW w:w="571" w:type="dxa"/>
            <w:vAlign w:val="center"/>
          </w:tcPr>
          <w:p w14:paraId="2AD13DD4">
            <w:pPr>
              <w:keepNext w:val="0"/>
              <w:keepLines w:val="0"/>
              <w:widowControl/>
              <w:suppressLineNumbers w:val="0"/>
              <w:spacing w:before="0" w:beforeAutospacing="0" w:after="0" w:afterAutospacing="0" w:line="360" w:lineRule="auto"/>
              <w:ind w:left="0" w:right="0"/>
              <w:jc w:val="center"/>
              <w:rPr>
                <w:rFonts w:hint="default"/>
                <w:b/>
                <w:bCs/>
                <w:color w:val="auto"/>
                <w:kern w:val="0"/>
                <w:sz w:val="25"/>
                <w:szCs w:val="25"/>
              </w:rPr>
            </w:pPr>
            <w:r>
              <w:rPr>
                <w:rFonts w:hint="eastAsia" w:hAnsi="宋体"/>
                <w:color w:val="auto"/>
                <w:kern w:val="0"/>
                <w:sz w:val="24"/>
              </w:rPr>
              <w:t>施工期环境保护措施</w:t>
            </w:r>
          </w:p>
        </w:tc>
        <w:tc>
          <w:tcPr>
            <w:tcW w:w="8104" w:type="dxa"/>
          </w:tcPr>
          <w:p w14:paraId="4450536E">
            <w:pPr>
              <w:keepNext w:val="0"/>
              <w:keepLines w:val="0"/>
              <w:suppressLineNumbers w:val="0"/>
              <w:spacing w:before="0" w:beforeAutospacing="0" w:after="0" w:afterAutospacing="0" w:line="360" w:lineRule="auto"/>
              <w:ind w:left="0" w:right="0" w:firstLine="480" w:firstLineChars="200"/>
              <w:rPr>
                <w:rFonts w:hint="default" w:eastAsia="宋体"/>
                <w:color w:val="auto"/>
                <w:sz w:val="24"/>
                <w:szCs w:val="24"/>
                <w:lang w:val="en-US" w:eastAsia="zh-CN"/>
              </w:rPr>
            </w:pPr>
            <w:r>
              <w:rPr>
                <w:rFonts w:hint="eastAsia"/>
                <w:color w:val="auto"/>
                <w:sz w:val="24"/>
                <w:szCs w:val="24"/>
                <w:lang w:val="en-US" w:eastAsia="zh-CN"/>
              </w:rPr>
              <w:t>本项目租赁安徽省淮南市凤台县凤台经济开发区电子智能制造产业园52#标准化厂房一层、二层、三层、四层进行建设，仅在空置厂房内进行设备安装调试，不涉及土建工程，产生的污染物较少，因此，本次评价仅对其进行简要定性分析和评价。</w:t>
            </w:r>
          </w:p>
          <w:p w14:paraId="78A738ED">
            <w:pPr>
              <w:keepNext w:val="0"/>
              <w:keepLines w:val="0"/>
              <w:suppressLineNumbers w:val="0"/>
              <w:spacing w:before="0" w:beforeAutospacing="0" w:after="0" w:afterAutospacing="0" w:line="360" w:lineRule="auto"/>
              <w:ind w:left="0" w:right="0" w:firstLine="480" w:firstLineChars="200"/>
              <w:rPr>
                <w:rFonts w:hint="default" w:eastAsia="宋体"/>
                <w:color w:val="auto"/>
                <w:sz w:val="24"/>
                <w:szCs w:val="24"/>
                <w:lang w:val="en-US" w:eastAsia="zh-CN"/>
              </w:rPr>
            </w:pPr>
            <w:r>
              <w:rPr>
                <w:rFonts w:hint="eastAsia"/>
                <w:color w:val="auto"/>
                <w:sz w:val="24"/>
                <w:szCs w:val="24"/>
                <w:lang w:val="en-US" w:eastAsia="zh-CN"/>
              </w:rPr>
              <w:t>施工期保护措施如下：</w:t>
            </w:r>
          </w:p>
          <w:p w14:paraId="3F140411">
            <w:pPr>
              <w:keepNext w:val="0"/>
              <w:keepLines w:val="0"/>
              <w:suppressLineNumbers w:val="0"/>
              <w:spacing w:before="0" w:beforeAutospacing="0" w:after="0" w:afterAutospacing="0" w:line="360" w:lineRule="auto"/>
              <w:ind w:left="0" w:right="0" w:firstLine="480" w:firstLineChars="200"/>
              <w:rPr>
                <w:rFonts w:hint="default" w:eastAsia="宋体"/>
                <w:color w:val="auto"/>
                <w:sz w:val="24"/>
                <w:szCs w:val="24"/>
                <w:lang w:val="en-US" w:eastAsia="zh-CN"/>
              </w:rPr>
            </w:pPr>
            <w:r>
              <w:rPr>
                <w:rFonts w:hint="eastAsia"/>
                <w:color w:val="auto"/>
                <w:sz w:val="24"/>
                <w:szCs w:val="24"/>
                <w:lang w:val="en-US" w:eastAsia="zh-CN"/>
              </w:rPr>
              <w:t>1、施工人员生活污水经园区内化粪池预处理达标后排入市政污水管网，接管至凤台县污水处理厂处理；</w:t>
            </w:r>
          </w:p>
          <w:p w14:paraId="0575B324">
            <w:pPr>
              <w:keepNext w:val="0"/>
              <w:keepLines w:val="0"/>
              <w:suppressLineNumbers w:val="0"/>
              <w:spacing w:before="0" w:beforeAutospacing="0" w:after="0" w:afterAutospacing="0" w:line="360" w:lineRule="auto"/>
              <w:ind w:left="0" w:right="0" w:firstLine="480" w:firstLineChars="200"/>
              <w:rPr>
                <w:rFonts w:hint="default" w:eastAsia="宋体"/>
                <w:color w:val="auto"/>
                <w:sz w:val="24"/>
                <w:szCs w:val="24"/>
                <w:lang w:val="en-US" w:eastAsia="zh-CN"/>
              </w:rPr>
            </w:pPr>
            <w:r>
              <w:rPr>
                <w:rFonts w:hint="eastAsia"/>
                <w:color w:val="auto"/>
                <w:sz w:val="24"/>
                <w:szCs w:val="24"/>
                <w:lang w:val="en-US" w:eastAsia="zh-CN"/>
              </w:rPr>
              <w:t>2、施工人员生活垃圾由垃圾桶统一收集后委托环卫部门清运处理；</w:t>
            </w:r>
          </w:p>
          <w:p w14:paraId="39FB6301">
            <w:pPr>
              <w:keepNext w:val="0"/>
              <w:keepLines w:val="0"/>
              <w:suppressLineNumbers w:val="0"/>
              <w:spacing w:before="0" w:beforeAutospacing="0" w:after="0" w:afterAutospacing="0" w:line="360" w:lineRule="auto"/>
              <w:ind w:left="0" w:right="0" w:firstLine="480" w:firstLineChars="200"/>
              <w:rPr>
                <w:rFonts w:hint="default" w:eastAsia="宋体"/>
                <w:color w:val="auto"/>
                <w:sz w:val="24"/>
                <w:szCs w:val="24"/>
                <w:lang w:val="en-US" w:eastAsia="zh-CN"/>
              </w:rPr>
            </w:pPr>
            <w:r>
              <w:rPr>
                <w:rFonts w:hint="eastAsia"/>
                <w:color w:val="auto"/>
                <w:sz w:val="24"/>
                <w:szCs w:val="24"/>
                <w:lang w:val="en-US" w:eastAsia="zh-CN"/>
              </w:rPr>
              <w:t>3、通过关闭厂房门窗等降低施工粉尘及施工噪声对周围环境影响。</w:t>
            </w:r>
          </w:p>
          <w:p w14:paraId="14B14F1D">
            <w:pPr>
              <w:keepNext w:val="0"/>
              <w:keepLines w:val="0"/>
              <w:suppressLineNumbers w:val="0"/>
              <w:spacing w:before="0" w:beforeAutospacing="0" w:after="0" w:afterAutospacing="0" w:line="360" w:lineRule="auto"/>
              <w:ind w:left="0" w:right="0" w:firstLine="480" w:firstLineChars="200"/>
              <w:rPr>
                <w:rFonts w:hint="eastAsia"/>
                <w:color w:val="auto"/>
                <w:sz w:val="24"/>
                <w:szCs w:val="24"/>
              </w:rPr>
            </w:pPr>
            <w:r>
              <w:rPr>
                <w:rFonts w:hint="eastAsia"/>
                <w:color w:val="auto"/>
                <w:sz w:val="24"/>
                <w:szCs w:val="24"/>
              </w:rPr>
              <w:t>施工期的环境影响是阶段性和暂时性的，并且这种影响可以通过采取一定的防治措施得到缓解。</w:t>
            </w:r>
          </w:p>
          <w:p w14:paraId="3CB6B1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rPr>
            </w:pPr>
          </w:p>
          <w:p w14:paraId="078821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rPr>
            </w:pPr>
          </w:p>
          <w:p w14:paraId="17BF16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rPr>
            </w:pPr>
          </w:p>
          <w:p w14:paraId="42003D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rPr>
            </w:pPr>
          </w:p>
          <w:p w14:paraId="3018BC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rPr>
            </w:pPr>
          </w:p>
          <w:p w14:paraId="2DF407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rPr>
            </w:pPr>
          </w:p>
          <w:p w14:paraId="6E4C1E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rPr>
            </w:pPr>
          </w:p>
          <w:p w14:paraId="190573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rPr>
            </w:pPr>
          </w:p>
          <w:p w14:paraId="1A544F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rPr>
            </w:pPr>
          </w:p>
          <w:p w14:paraId="3156BA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rPr>
            </w:pPr>
          </w:p>
          <w:p w14:paraId="5CD5C2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rPr>
            </w:pPr>
          </w:p>
          <w:p w14:paraId="617F7E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rPr>
            </w:pPr>
          </w:p>
          <w:p w14:paraId="26B70B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rPr>
            </w:pPr>
          </w:p>
          <w:p w14:paraId="4D4E28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rPr>
            </w:pPr>
          </w:p>
          <w:p w14:paraId="194CD3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rPr>
            </w:pPr>
          </w:p>
          <w:p w14:paraId="0906FB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sz w:val="24"/>
                <w:szCs w:val="24"/>
              </w:rPr>
            </w:pPr>
          </w:p>
          <w:p w14:paraId="661394D7">
            <w:pPr>
              <w:keepNext w:val="0"/>
              <w:keepLines w:val="0"/>
              <w:suppressLineNumbers w:val="0"/>
              <w:spacing w:before="0" w:beforeAutospacing="0" w:after="0" w:afterAutospacing="0" w:line="360" w:lineRule="auto"/>
              <w:ind w:left="0" w:right="0"/>
              <w:rPr>
                <w:rFonts w:hint="default"/>
                <w:color w:val="auto"/>
                <w:sz w:val="24"/>
                <w:szCs w:val="24"/>
              </w:rPr>
            </w:pPr>
          </w:p>
        </w:tc>
      </w:tr>
      <w:tr w14:paraId="6E85B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65" w:hRule="atLeast"/>
        </w:trPr>
        <w:tc>
          <w:tcPr>
            <w:tcW w:w="571" w:type="dxa"/>
            <w:vAlign w:val="center"/>
          </w:tcPr>
          <w:p w14:paraId="64BB1A12">
            <w:pPr>
              <w:keepNext w:val="0"/>
              <w:keepLines w:val="0"/>
              <w:widowControl/>
              <w:suppressLineNumbers w:val="0"/>
              <w:spacing w:before="0" w:beforeAutospacing="0" w:after="0" w:afterAutospacing="0" w:line="360" w:lineRule="auto"/>
              <w:ind w:left="0" w:right="0"/>
              <w:jc w:val="center"/>
              <w:rPr>
                <w:rFonts w:hint="default"/>
                <w:bCs/>
                <w:color w:val="auto"/>
                <w:kern w:val="0"/>
                <w:sz w:val="24"/>
                <w:szCs w:val="24"/>
              </w:rPr>
            </w:pPr>
            <w:r>
              <w:rPr>
                <w:rFonts w:hint="eastAsia" w:hAnsi="宋体"/>
                <w:color w:val="auto"/>
                <w:kern w:val="0"/>
                <w:sz w:val="24"/>
              </w:rPr>
              <w:t>运营期环境影响和保护措施</w:t>
            </w:r>
          </w:p>
        </w:tc>
        <w:tc>
          <w:tcPr>
            <w:tcW w:w="8104" w:type="dxa"/>
            <w:vAlign w:val="center"/>
          </w:tcPr>
          <w:p w14:paraId="181B8357">
            <w:pPr>
              <w:keepNext w:val="0"/>
              <w:keepLines w:val="0"/>
              <w:suppressLineNumbers w:val="0"/>
              <w:spacing w:before="0" w:beforeAutospacing="0" w:after="0" w:afterAutospacing="0" w:line="360" w:lineRule="auto"/>
              <w:ind w:left="0" w:right="0" w:firstLine="482" w:firstLineChars="200"/>
              <w:rPr>
                <w:rFonts w:hint="default"/>
                <w:b/>
                <w:bCs/>
                <w:color w:val="auto"/>
                <w:sz w:val="24"/>
                <w:szCs w:val="28"/>
              </w:rPr>
            </w:pPr>
            <w:r>
              <w:rPr>
                <w:rFonts w:hint="eastAsia"/>
                <w:b/>
                <w:bCs/>
                <w:color w:val="auto"/>
                <w:sz w:val="24"/>
                <w:szCs w:val="28"/>
              </w:rPr>
              <w:t>一、大气污染源强及环境影响和保护措施</w:t>
            </w:r>
          </w:p>
          <w:p w14:paraId="7A4BAD38">
            <w:pPr>
              <w:keepNext w:val="0"/>
              <w:keepLines w:val="0"/>
              <w:suppressLineNumbers w:val="0"/>
              <w:spacing w:before="0" w:beforeAutospacing="0" w:after="0" w:afterAutospacing="0" w:line="360" w:lineRule="auto"/>
              <w:ind w:left="0" w:right="0" w:firstLine="482" w:firstLineChars="200"/>
              <w:rPr>
                <w:rFonts w:hint="default"/>
                <w:b/>
                <w:bCs/>
                <w:color w:val="auto"/>
                <w:sz w:val="24"/>
                <w:szCs w:val="28"/>
              </w:rPr>
            </w:pPr>
            <w:r>
              <w:rPr>
                <w:rFonts w:hint="eastAsia"/>
                <w:b/>
                <w:bCs/>
                <w:color w:val="auto"/>
                <w:sz w:val="24"/>
                <w:szCs w:val="28"/>
              </w:rPr>
              <w:t>1</w:t>
            </w:r>
            <w:r>
              <w:rPr>
                <w:rFonts w:hint="eastAsia"/>
                <w:b/>
                <w:bCs/>
                <w:color w:val="auto"/>
                <w:sz w:val="24"/>
                <w:szCs w:val="28"/>
                <w:lang w:val="en-US" w:eastAsia="zh-CN"/>
              </w:rPr>
              <w:t>.</w:t>
            </w:r>
            <w:r>
              <w:rPr>
                <w:rFonts w:hint="eastAsia"/>
                <w:b/>
                <w:bCs/>
                <w:color w:val="auto"/>
                <w:sz w:val="24"/>
                <w:szCs w:val="28"/>
              </w:rPr>
              <w:t>废气源强分析</w:t>
            </w:r>
          </w:p>
          <w:p w14:paraId="1EB19B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b w:val="0"/>
                <w:bCs/>
                <w:color w:val="auto"/>
                <w:sz w:val="24"/>
                <w:szCs w:val="24"/>
                <w:lang w:val="en-US" w:eastAsia="zh-CN"/>
              </w:rPr>
            </w:pPr>
            <w:r>
              <w:rPr>
                <w:rFonts w:hint="eastAsia"/>
                <w:b w:val="0"/>
                <w:bCs/>
                <w:color w:val="auto"/>
                <w:sz w:val="24"/>
                <w:lang w:val="en-US" w:eastAsia="zh-CN"/>
              </w:rPr>
              <w:t>根据工程分析可知，本项目运营期工艺废气主要为投料粉尘（G</w:t>
            </w:r>
            <w:r>
              <w:rPr>
                <w:rFonts w:hint="eastAsia"/>
                <w:b w:val="0"/>
                <w:bCs/>
                <w:color w:val="auto"/>
                <w:sz w:val="24"/>
                <w:vertAlign w:val="subscript"/>
                <w:lang w:val="en-US" w:eastAsia="zh-CN"/>
              </w:rPr>
              <w:t>1</w:t>
            </w:r>
            <w:r>
              <w:rPr>
                <w:rFonts w:hint="eastAsia"/>
                <w:b w:val="0"/>
                <w:bCs/>
                <w:color w:val="auto"/>
                <w:sz w:val="24"/>
                <w:lang w:val="en-US" w:eastAsia="zh-CN"/>
              </w:rPr>
              <w:t>）、注塑废气（G</w:t>
            </w:r>
            <w:r>
              <w:rPr>
                <w:rFonts w:hint="eastAsia"/>
                <w:b w:val="0"/>
                <w:bCs/>
                <w:color w:val="auto"/>
                <w:sz w:val="24"/>
                <w:vertAlign w:val="subscript"/>
                <w:lang w:val="en-US" w:eastAsia="zh-CN"/>
              </w:rPr>
              <w:t>2</w:t>
            </w:r>
            <w:r>
              <w:rPr>
                <w:rFonts w:hint="eastAsia"/>
                <w:b w:val="0"/>
                <w:bCs/>
                <w:color w:val="auto"/>
                <w:sz w:val="24"/>
                <w:lang w:val="en-US" w:eastAsia="zh-CN"/>
              </w:rPr>
              <w:t>）及</w:t>
            </w:r>
            <w:r>
              <w:rPr>
                <w:rFonts w:hint="eastAsia"/>
                <w:color w:val="auto"/>
                <w:sz w:val="24"/>
                <w:szCs w:val="24"/>
                <w:highlight w:val="none"/>
                <w:lang w:val="en-US" w:eastAsia="zh-CN"/>
              </w:rPr>
              <w:t>粉碎粉尘（G</w:t>
            </w:r>
            <w:r>
              <w:rPr>
                <w:rFonts w:hint="eastAsia"/>
                <w:color w:val="auto"/>
                <w:sz w:val="24"/>
                <w:szCs w:val="24"/>
                <w:highlight w:val="none"/>
                <w:vertAlign w:val="subscript"/>
                <w:lang w:val="en-US" w:eastAsia="zh-CN"/>
              </w:rPr>
              <w:t>3</w:t>
            </w:r>
            <w:r>
              <w:rPr>
                <w:rFonts w:hint="eastAsia"/>
                <w:color w:val="auto"/>
                <w:sz w:val="24"/>
                <w:szCs w:val="24"/>
                <w:highlight w:val="none"/>
                <w:lang w:val="en-US" w:eastAsia="zh-CN"/>
              </w:rPr>
              <w:t>）。</w:t>
            </w:r>
          </w:p>
          <w:p w14:paraId="1D32BD8A">
            <w:pPr>
              <w:keepNext w:val="0"/>
              <w:keepLines w:val="0"/>
              <w:suppressLineNumbers w:val="0"/>
              <w:spacing w:before="0" w:beforeAutospacing="0" w:after="0" w:afterAutospacing="0" w:line="360" w:lineRule="auto"/>
              <w:ind w:left="0" w:right="0" w:firstLine="482" w:firstLineChars="200"/>
              <w:jc w:val="left"/>
              <w:rPr>
                <w:rFonts w:hint="eastAsia"/>
                <w:b/>
                <w:bCs/>
                <w:color w:val="auto"/>
                <w:sz w:val="24"/>
                <w:szCs w:val="24"/>
                <w:lang w:eastAsia="zh-CN"/>
              </w:rPr>
            </w:pPr>
            <w:r>
              <w:rPr>
                <w:rFonts w:hint="eastAsia"/>
                <w:b/>
                <w:bCs/>
                <w:color w:val="auto"/>
                <w:sz w:val="24"/>
                <w:szCs w:val="24"/>
                <w:lang w:eastAsia="zh-CN"/>
              </w:rPr>
              <w:t>（</w:t>
            </w:r>
            <w:r>
              <w:rPr>
                <w:rFonts w:hint="eastAsia"/>
                <w:b/>
                <w:bCs/>
                <w:color w:val="auto"/>
                <w:sz w:val="24"/>
                <w:szCs w:val="24"/>
                <w:lang w:val="en-US" w:eastAsia="zh-CN"/>
              </w:rPr>
              <w:t>1</w:t>
            </w:r>
            <w:r>
              <w:rPr>
                <w:rFonts w:hint="eastAsia"/>
                <w:b/>
                <w:bCs/>
                <w:color w:val="auto"/>
                <w:sz w:val="24"/>
                <w:szCs w:val="24"/>
                <w:lang w:eastAsia="zh-CN"/>
              </w:rPr>
              <w:t>）</w:t>
            </w:r>
            <w:r>
              <w:rPr>
                <w:rFonts w:hint="eastAsia"/>
                <w:b/>
                <w:bCs/>
                <w:color w:val="auto"/>
                <w:sz w:val="24"/>
                <w:lang w:val="en-US" w:eastAsia="zh-CN"/>
              </w:rPr>
              <w:t>投料粉尘（G</w:t>
            </w:r>
            <w:r>
              <w:rPr>
                <w:rFonts w:hint="eastAsia"/>
                <w:b/>
                <w:bCs/>
                <w:color w:val="auto"/>
                <w:sz w:val="24"/>
                <w:vertAlign w:val="subscript"/>
                <w:lang w:val="en-US" w:eastAsia="zh-CN"/>
              </w:rPr>
              <w:t>1</w:t>
            </w:r>
            <w:r>
              <w:rPr>
                <w:rFonts w:hint="eastAsia"/>
                <w:b/>
                <w:bCs/>
                <w:color w:val="auto"/>
                <w:sz w:val="24"/>
                <w:lang w:val="en-US" w:eastAsia="zh-CN"/>
              </w:rPr>
              <w:t>）</w:t>
            </w:r>
          </w:p>
          <w:p w14:paraId="3F84D245">
            <w:pPr>
              <w:keepNext w:val="0"/>
              <w:keepLines w:val="0"/>
              <w:suppressLineNumbers w:val="0"/>
              <w:spacing w:before="0" w:beforeAutospacing="0" w:after="0" w:afterAutospacing="0" w:line="360" w:lineRule="auto"/>
              <w:ind w:left="0" w:right="0" w:firstLine="480" w:firstLineChars="200"/>
              <w:jc w:val="left"/>
              <w:rPr>
                <w:rFonts w:hint="default"/>
                <w:b w:val="0"/>
                <w:bCs w:val="0"/>
                <w:color w:val="auto"/>
                <w:sz w:val="24"/>
                <w:szCs w:val="24"/>
                <w:lang w:val="en-US" w:eastAsia="zh-CN"/>
              </w:rPr>
            </w:pPr>
            <w:r>
              <w:rPr>
                <w:rFonts w:hint="eastAsia"/>
                <w:b w:val="0"/>
                <w:bCs w:val="0"/>
                <w:color w:val="auto"/>
                <w:sz w:val="24"/>
                <w:szCs w:val="24"/>
                <w:lang w:val="en-US" w:eastAsia="zh-CN"/>
              </w:rPr>
              <w:t>拟建项目塑料制品注塑前，外购塑料粒子（PP、PS、PE等）含极少量粒径于</w:t>
            </w:r>
            <w:r>
              <w:rPr>
                <w:rFonts w:hint="default" w:ascii="Times New Roman" w:hAnsi="Times New Roman" w:cs="Times New Roman"/>
                <w:b w:val="0"/>
                <w:bCs w:val="0"/>
                <w:color w:val="auto"/>
                <w:sz w:val="24"/>
                <w:szCs w:val="24"/>
                <w:lang w:val="en-US" w:eastAsia="zh-CN"/>
              </w:rPr>
              <w:t>＜100μm</w:t>
            </w:r>
            <w:r>
              <w:rPr>
                <w:rFonts w:hint="eastAsia"/>
                <w:b w:val="0"/>
                <w:bCs w:val="0"/>
                <w:color w:val="auto"/>
                <w:sz w:val="24"/>
                <w:szCs w:val="24"/>
                <w:lang w:val="en-US" w:eastAsia="zh-CN"/>
              </w:rPr>
              <w:t>的塑料微粒，于拌料机密闭投料系统内进行自动拆包、投料，投料环节产生的粉尘（颗粒物）量极少，且经配套布袋除尘器收集处理后回用，本评价不做定量分析。</w:t>
            </w:r>
          </w:p>
          <w:p w14:paraId="01D7EAD9">
            <w:pPr>
              <w:keepNext w:val="0"/>
              <w:keepLines w:val="0"/>
              <w:suppressLineNumbers w:val="0"/>
              <w:spacing w:before="0" w:beforeAutospacing="0" w:after="0" w:afterAutospacing="0" w:line="360" w:lineRule="auto"/>
              <w:ind w:left="0" w:right="0" w:firstLine="482" w:firstLineChars="200"/>
              <w:jc w:val="left"/>
              <w:rPr>
                <w:rFonts w:hint="eastAsia" w:eastAsia="宋体"/>
                <w:b/>
                <w:bCs/>
                <w:color w:val="auto"/>
                <w:sz w:val="24"/>
                <w:szCs w:val="24"/>
                <w:lang w:eastAsia="zh-CN"/>
              </w:rPr>
            </w:pPr>
            <w:r>
              <w:rPr>
                <w:rFonts w:hint="eastAsia"/>
                <w:b/>
                <w:bCs/>
                <w:color w:val="auto"/>
                <w:sz w:val="24"/>
                <w:szCs w:val="24"/>
                <w:lang w:eastAsia="zh-CN"/>
              </w:rPr>
              <w:t>（</w:t>
            </w:r>
            <w:r>
              <w:rPr>
                <w:rFonts w:hint="eastAsia"/>
                <w:b/>
                <w:bCs/>
                <w:color w:val="auto"/>
                <w:sz w:val="24"/>
                <w:szCs w:val="24"/>
                <w:lang w:val="en-US" w:eastAsia="zh-CN"/>
              </w:rPr>
              <w:t>2</w:t>
            </w:r>
            <w:r>
              <w:rPr>
                <w:rFonts w:hint="eastAsia"/>
                <w:b/>
                <w:bCs/>
                <w:color w:val="auto"/>
                <w:sz w:val="24"/>
                <w:szCs w:val="24"/>
                <w:lang w:eastAsia="zh-CN"/>
              </w:rPr>
              <w:t>）</w:t>
            </w:r>
            <w:r>
              <w:rPr>
                <w:rFonts w:hint="eastAsia" w:hAnsi="宋体"/>
                <w:b/>
                <w:bCs/>
                <w:color w:val="auto"/>
                <w:sz w:val="24"/>
                <w:szCs w:val="24"/>
                <w:lang w:val="en-US" w:eastAsia="zh-CN"/>
              </w:rPr>
              <w:t>注塑废气（</w:t>
            </w:r>
            <w:r>
              <w:rPr>
                <w:rFonts w:hint="eastAsia"/>
                <w:b w:val="0"/>
                <w:bCs/>
                <w:color w:val="auto"/>
                <w:sz w:val="24"/>
                <w:lang w:val="en-US" w:eastAsia="zh-CN"/>
              </w:rPr>
              <w:t>G</w:t>
            </w:r>
            <w:r>
              <w:rPr>
                <w:rFonts w:hint="eastAsia"/>
                <w:b w:val="0"/>
                <w:bCs/>
                <w:color w:val="auto"/>
                <w:sz w:val="24"/>
                <w:vertAlign w:val="subscript"/>
                <w:lang w:val="en-US" w:eastAsia="zh-CN"/>
              </w:rPr>
              <w:t>2</w:t>
            </w:r>
            <w:r>
              <w:rPr>
                <w:rFonts w:hint="eastAsia" w:hAnsi="宋体"/>
                <w:b/>
                <w:bCs/>
                <w:color w:val="auto"/>
                <w:sz w:val="24"/>
                <w:szCs w:val="24"/>
                <w:lang w:val="en-US" w:eastAsia="zh-CN"/>
              </w:rPr>
              <w:t>）</w:t>
            </w:r>
          </w:p>
          <w:p w14:paraId="21AE41D6">
            <w:pPr>
              <w:keepNext w:val="0"/>
              <w:keepLines w:val="0"/>
              <w:suppressLineNumbers w:val="0"/>
              <w:spacing w:before="0" w:beforeAutospacing="0" w:after="0" w:afterAutospacing="0" w:line="360" w:lineRule="auto"/>
              <w:ind w:left="0" w:right="0" w:firstLine="480" w:firstLineChars="200"/>
              <w:jc w:val="left"/>
              <w:rPr>
                <w:rFonts w:hint="eastAsia" w:eastAsia="宋体"/>
                <w:color w:val="auto"/>
                <w:sz w:val="24"/>
                <w:lang w:val="en-US" w:eastAsia="zh-CN"/>
              </w:rPr>
            </w:pPr>
            <w:r>
              <w:rPr>
                <w:rFonts w:hint="eastAsia"/>
                <w:color w:val="auto"/>
                <w:sz w:val="24"/>
                <w:lang w:val="en-US" w:eastAsia="zh-CN"/>
              </w:rPr>
              <w:t>拟建项目注塑工序注塑机加热温度设置在</w:t>
            </w:r>
            <w:r>
              <w:rPr>
                <w:rFonts w:hint="default" w:ascii="Times New Roman" w:hAnsi="Times New Roman" w:cs="Times New Roman"/>
                <w:color w:val="auto"/>
                <w:sz w:val="24"/>
                <w:lang w:val="en-US" w:eastAsia="zh-CN"/>
              </w:rPr>
              <w:t>150℃~200℃</w:t>
            </w:r>
            <w:r>
              <w:rPr>
                <w:rFonts w:hint="eastAsia"/>
                <w:color w:val="auto"/>
                <w:sz w:val="24"/>
                <w:lang w:val="en-US" w:eastAsia="zh-CN"/>
              </w:rPr>
              <w:t>，此温度稍高于物料熔点而低于分解温度，塑料粒子加热熔融时，原料内残存的</w:t>
            </w:r>
            <w:r>
              <w:rPr>
                <w:rFonts w:hint="default" w:ascii="Times New Roman" w:hAnsi="Times New Roman" w:cs="Times New Roman"/>
                <w:color w:val="auto"/>
                <w:sz w:val="24"/>
                <w:szCs w:val="28"/>
              </w:rPr>
              <w:t>未聚合的反应单体间歇性</w:t>
            </w:r>
            <w:r>
              <w:rPr>
                <w:rFonts w:hint="eastAsia" w:ascii="Times New Roman" w:hAnsi="Times New Roman" w:cs="Times New Roman"/>
                <w:color w:val="auto"/>
                <w:sz w:val="24"/>
                <w:szCs w:val="28"/>
                <w:lang w:eastAsia="zh-CN"/>
              </w:rPr>
              <w:t>挥发</w:t>
            </w:r>
            <w:r>
              <w:rPr>
                <w:rFonts w:hint="eastAsia" w:cs="Times New Roman"/>
                <w:color w:val="auto"/>
                <w:sz w:val="24"/>
                <w:szCs w:val="28"/>
                <w:lang w:val="en-US" w:eastAsia="zh-CN"/>
              </w:rPr>
              <w:t>至空气中</w:t>
            </w:r>
            <w:r>
              <w:rPr>
                <w:rFonts w:hint="default" w:ascii="Times New Roman" w:hAnsi="Times New Roman" w:cs="Times New Roman"/>
                <w:color w:val="auto"/>
                <w:sz w:val="24"/>
                <w:szCs w:val="28"/>
              </w:rPr>
              <w:t>，从而产生注塑废气，</w:t>
            </w:r>
            <w:r>
              <w:rPr>
                <w:rFonts w:hint="eastAsia"/>
                <w:color w:val="auto"/>
                <w:sz w:val="24"/>
                <w:szCs w:val="24"/>
                <w:lang w:val="en-US" w:eastAsia="zh-CN"/>
              </w:rPr>
              <w:t>注塑时伴随极少量臭气，可忽略不计，本次仅做定性分析。</w:t>
            </w:r>
            <w:r>
              <w:rPr>
                <w:rFonts w:hint="eastAsia" w:ascii="Times New Roman" w:hAnsi="Times New Roman"/>
                <w:color w:val="auto"/>
                <w:kern w:val="0"/>
                <w:sz w:val="24"/>
                <w:szCs w:val="24"/>
                <w:lang w:val="en-US" w:eastAsia="zh-CN"/>
              </w:rPr>
              <w:t>注塑废气</w:t>
            </w:r>
            <w:r>
              <w:rPr>
                <w:rFonts w:hint="eastAsia"/>
                <w:color w:val="auto"/>
                <w:kern w:val="0"/>
                <w:sz w:val="24"/>
                <w:szCs w:val="24"/>
                <w:lang w:val="en-US" w:eastAsia="zh-CN"/>
              </w:rPr>
              <w:t>成分</w:t>
            </w:r>
            <w:r>
              <w:rPr>
                <w:rFonts w:hint="eastAsia" w:ascii="Times New Roman" w:hAnsi="Times New Roman"/>
                <w:color w:val="auto"/>
                <w:kern w:val="0"/>
                <w:sz w:val="24"/>
                <w:szCs w:val="24"/>
                <w:lang w:val="en-US" w:eastAsia="zh-CN"/>
              </w:rPr>
              <w:t>主要为非甲烷总烃、</w:t>
            </w:r>
            <w:r>
              <w:rPr>
                <w:rFonts w:hint="eastAsia" w:ascii="Times New Roman" w:hAnsi="Times New Roman"/>
                <w:color w:val="auto"/>
                <w:kern w:val="0"/>
                <w:sz w:val="24"/>
                <w:szCs w:val="24"/>
              </w:rPr>
              <w:t>甲苯、</w:t>
            </w:r>
            <w:r>
              <w:rPr>
                <w:rFonts w:hint="eastAsia"/>
                <w:color w:val="auto"/>
                <w:kern w:val="0"/>
                <w:sz w:val="24"/>
                <w:szCs w:val="24"/>
                <w:lang w:val="en-US" w:eastAsia="zh-CN"/>
              </w:rPr>
              <w:t>二甲苯、苯、乙苯、</w:t>
            </w:r>
            <w:r>
              <w:rPr>
                <w:rFonts w:hint="eastAsia" w:ascii="Times New Roman" w:hAnsi="Times New Roman"/>
                <w:color w:val="auto"/>
                <w:kern w:val="0"/>
                <w:sz w:val="24"/>
                <w:szCs w:val="24"/>
              </w:rPr>
              <w:t>苯乙烯</w:t>
            </w:r>
            <w:r>
              <w:rPr>
                <w:rFonts w:hint="default" w:ascii="Times New Roman" w:hAnsi="Times New Roman" w:cs="Times New Roman"/>
                <w:color w:val="auto"/>
                <w:sz w:val="24"/>
                <w:szCs w:val="28"/>
              </w:rPr>
              <w:t>。</w:t>
            </w:r>
          </w:p>
          <w:p w14:paraId="5DA8C5F9">
            <w:pPr>
              <w:keepNext w:val="0"/>
              <w:keepLines w:val="0"/>
              <w:suppressLineNumbers w:val="0"/>
              <w:spacing w:before="0" w:beforeAutospacing="0" w:after="0" w:afterAutospacing="0" w:line="360" w:lineRule="auto"/>
              <w:ind w:left="0" w:right="0" w:firstLine="480" w:firstLineChars="200"/>
              <w:rPr>
                <w:rFonts w:hint="default" w:cs="Times New Roman"/>
                <w:color w:val="auto"/>
                <w:sz w:val="24"/>
                <w:szCs w:val="28"/>
                <w:lang w:val="en-US" w:eastAsia="zh-CN"/>
              </w:rPr>
            </w:pPr>
            <w:r>
              <w:rPr>
                <w:rFonts w:hint="eastAsia" w:cs="Times New Roman"/>
                <w:color w:val="auto"/>
                <w:sz w:val="24"/>
                <w:szCs w:val="28"/>
                <w:lang w:val="en-US" w:eastAsia="zh-CN"/>
              </w:rPr>
              <w:t>根据产品方案及建设单位提供信息：1500万件PS衣架除去五金配件重量，产品总重量约270t（以平均值计算）；500万件日常收纳用品总重量为200t（以平均值计算）；500万件服装辅料配件产品总重量为37.5t（以平均值计算）。塑料制品总计年产507.5t。</w:t>
            </w:r>
          </w:p>
          <w:p w14:paraId="004834CF">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auto"/>
                <w:sz w:val="24"/>
                <w:szCs w:val="28"/>
                <w:lang w:val="en-US" w:eastAsia="zh-CN"/>
              </w:rPr>
            </w:pPr>
            <w:r>
              <w:rPr>
                <w:rFonts w:hint="eastAsia" w:cs="Times New Roman"/>
                <w:color w:val="auto"/>
                <w:sz w:val="24"/>
                <w:szCs w:val="28"/>
                <w:lang w:val="en-US" w:eastAsia="zh-CN"/>
              </w:rPr>
              <w:t>1）</w:t>
            </w:r>
            <w:r>
              <w:rPr>
                <w:rFonts w:hint="eastAsia" w:ascii="Times New Roman" w:hAnsi="Times New Roman" w:cs="Times New Roman"/>
                <w:color w:val="auto"/>
                <w:sz w:val="24"/>
                <w:szCs w:val="28"/>
                <w:lang w:val="en-US" w:eastAsia="zh-CN"/>
              </w:rPr>
              <w:t>非甲烷总烃</w:t>
            </w:r>
          </w:p>
          <w:p w14:paraId="0A8A3067">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8"/>
                <w:lang w:val="en-US" w:eastAsia="zh-CN"/>
              </w:rPr>
            </w:pPr>
            <w:r>
              <w:rPr>
                <w:rFonts w:hint="eastAsia"/>
                <w:b w:val="0"/>
                <w:bCs w:val="0"/>
                <w:color w:val="auto"/>
                <w:sz w:val="24"/>
                <w:szCs w:val="24"/>
                <w:lang w:val="en-US" w:eastAsia="zh-CN"/>
              </w:rPr>
              <w:t>外购PP、PS、PE等塑料粒子注塑时均涉及含非甲烷总烃废气。</w:t>
            </w:r>
            <w:r>
              <w:rPr>
                <w:rFonts w:hint="eastAsia" w:ascii="Times New Roman" w:hAnsi="Times New Roman" w:cs="Times New Roman"/>
                <w:color w:val="auto"/>
                <w:sz w:val="24"/>
                <w:szCs w:val="28"/>
                <w:lang w:val="en-US" w:eastAsia="zh-CN"/>
              </w:rPr>
              <w:t>参照</w:t>
            </w:r>
            <w:r>
              <w:rPr>
                <w:rFonts w:hint="default" w:ascii="Times New Roman" w:hAnsi="Times New Roman" w:eastAsia="宋体" w:cs="Times New Roman"/>
                <w:color w:val="auto"/>
                <w:sz w:val="24"/>
              </w:rPr>
              <w:t>《排放源统计调查产排污核算方法和系数手册</w:t>
            </w:r>
            <w:r>
              <w:rPr>
                <w:rFonts w:hint="eastAsia" w:cs="Times New Roman"/>
                <w:color w:val="auto"/>
                <w:sz w:val="24"/>
                <w:lang w:eastAsia="zh-CN"/>
              </w:rPr>
              <w:t>—</w:t>
            </w:r>
            <w:r>
              <w:rPr>
                <w:rFonts w:hint="eastAsia" w:ascii="Times New Roman" w:hAnsi="Times New Roman" w:eastAsia="宋体" w:cs="Times New Roman"/>
                <w:color w:val="auto"/>
                <w:sz w:val="24"/>
                <w:lang w:val="en-US" w:eastAsia="zh-CN"/>
              </w:rPr>
              <w:t>292塑料制品行业系数手册</w:t>
            </w:r>
            <w:r>
              <w:rPr>
                <w:rFonts w:hint="default" w:ascii="Times New Roman" w:hAnsi="Times New Roman" w:eastAsia="宋体" w:cs="Times New Roman"/>
                <w:color w:val="auto"/>
                <w:sz w:val="24"/>
              </w:rPr>
              <w:t>》</w:t>
            </w:r>
            <w:r>
              <w:rPr>
                <w:rFonts w:hint="eastAsia" w:cs="Times New Roman"/>
                <w:color w:val="auto"/>
                <w:sz w:val="24"/>
                <w:lang w:eastAsia="zh-CN"/>
              </w:rPr>
              <w:t>“</w:t>
            </w:r>
            <w:r>
              <w:rPr>
                <w:rFonts w:hint="eastAsia" w:ascii="Times New Roman" w:hAnsi="Times New Roman" w:eastAsia="宋体" w:cs="Times New Roman"/>
                <w:color w:val="auto"/>
                <w:sz w:val="24"/>
                <w:lang w:val="en-US" w:eastAsia="zh-CN"/>
              </w:rPr>
              <w:t>29</w:t>
            </w:r>
            <w:r>
              <w:rPr>
                <w:rFonts w:hint="eastAsia" w:cs="Times New Roman"/>
                <w:color w:val="auto"/>
                <w:sz w:val="24"/>
                <w:lang w:val="en-US" w:eastAsia="zh-CN"/>
              </w:rPr>
              <w:t>27日用塑料制品制造</w:t>
            </w:r>
            <w:r>
              <w:rPr>
                <w:rFonts w:hint="eastAsia" w:ascii="Times New Roman" w:hAnsi="Times New Roman" w:eastAsia="宋体" w:cs="Times New Roman"/>
                <w:color w:val="auto"/>
                <w:sz w:val="24"/>
                <w:lang w:val="en-US" w:eastAsia="zh-CN"/>
              </w:rPr>
              <w:t>行业系数表</w:t>
            </w:r>
            <w:r>
              <w:rPr>
                <w:rFonts w:hint="eastAsia" w:cs="Times New Roman"/>
                <w:color w:val="auto"/>
                <w:sz w:val="24"/>
                <w:lang w:eastAsia="zh-CN"/>
              </w:rPr>
              <w:t>”</w:t>
            </w:r>
            <w:r>
              <w:rPr>
                <w:rFonts w:hint="eastAsia" w:ascii="Times New Roman" w:hAnsi="Times New Roman" w:eastAsia="宋体" w:cs="Times New Roman"/>
                <w:color w:val="auto"/>
                <w:sz w:val="24"/>
                <w:lang w:val="en-US" w:eastAsia="zh-CN"/>
              </w:rPr>
              <w:t>中</w:t>
            </w:r>
            <w:r>
              <w:rPr>
                <w:rFonts w:hint="default" w:ascii="Times New Roman" w:hAnsi="Times New Roman" w:eastAsia="宋体" w:cs="Times New Roman"/>
                <w:color w:val="auto"/>
                <w:sz w:val="24"/>
              </w:rPr>
              <w:t>产污系数：</w:t>
            </w:r>
            <w:r>
              <w:rPr>
                <w:rFonts w:hint="eastAsia" w:ascii="Times New Roman" w:hAnsi="Times New Roman" w:eastAsia="宋体" w:cs="Times New Roman"/>
                <w:color w:val="auto"/>
                <w:sz w:val="24"/>
                <w:lang w:val="en-US" w:eastAsia="zh-CN"/>
              </w:rPr>
              <w:t>挥发性有机物2.7</w:t>
            </w:r>
            <w:r>
              <w:rPr>
                <w:rFonts w:hint="default" w:ascii="Times New Roman" w:hAnsi="Times New Roman" w:eastAsia="宋体" w:cs="Times New Roman"/>
                <w:color w:val="auto"/>
                <w:sz w:val="24"/>
              </w:rPr>
              <w:t>千克/</w:t>
            </w:r>
            <w:r>
              <w:rPr>
                <w:rFonts w:hint="eastAsia" w:ascii="Times New Roman" w:hAnsi="Times New Roman" w:eastAsia="宋体" w:cs="Times New Roman"/>
                <w:color w:val="auto"/>
                <w:sz w:val="24"/>
                <w:lang w:val="en-US" w:eastAsia="zh-CN"/>
              </w:rPr>
              <w:t>吨</w:t>
            </w:r>
            <w:r>
              <w:rPr>
                <w:rFonts w:hint="default" w:ascii="Times New Roman" w:hAnsi="Times New Roman" w:eastAsia="宋体" w:cs="Times New Roman"/>
                <w:color w:val="auto"/>
                <w:sz w:val="24"/>
              </w:rPr>
              <w:t>-产品，</w:t>
            </w:r>
            <w:r>
              <w:rPr>
                <w:rFonts w:hint="eastAsia" w:cs="Times New Roman"/>
                <w:color w:val="auto"/>
                <w:sz w:val="24"/>
                <w:lang w:val="en-US" w:eastAsia="zh-CN"/>
              </w:rPr>
              <w:t>塑料</w:t>
            </w:r>
            <w:r>
              <w:rPr>
                <w:rFonts w:hint="eastAsia" w:ascii="Times New Roman" w:hAnsi="Times New Roman" w:eastAsia="宋体" w:cs="Times New Roman"/>
                <w:color w:val="auto"/>
                <w:sz w:val="24"/>
                <w:lang w:val="en-US" w:eastAsia="zh-CN"/>
              </w:rPr>
              <w:t>产品</w:t>
            </w:r>
            <w:r>
              <w:rPr>
                <w:rFonts w:hint="eastAsia" w:cs="Times New Roman"/>
                <w:color w:val="auto"/>
                <w:sz w:val="24"/>
                <w:lang w:val="en-US" w:eastAsia="zh-CN"/>
              </w:rPr>
              <w:t>产量约507.5t/a</w:t>
            </w:r>
            <w:r>
              <w:rPr>
                <w:rFonts w:hint="eastAsia" w:ascii="Times New Roman" w:hAnsi="Times New Roman" w:eastAsia="宋体" w:cs="Times New Roman"/>
                <w:color w:val="auto"/>
                <w:sz w:val="24"/>
                <w:lang w:val="en-US" w:eastAsia="zh-CN"/>
              </w:rPr>
              <w:t>，故</w:t>
            </w:r>
            <w:r>
              <w:rPr>
                <w:rFonts w:hint="eastAsia" w:cs="Times New Roman"/>
                <w:color w:val="auto"/>
                <w:sz w:val="24"/>
                <w:szCs w:val="28"/>
                <w:lang w:val="en-US" w:eastAsia="zh-CN"/>
              </w:rPr>
              <w:t>挥发性有机物（以非甲烷总烃计）</w:t>
            </w:r>
            <w:r>
              <w:rPr>
                <w:rFonts w:hint="default" w:ascii="Times New Roman" w:hAnsi="Times New Roman" w:cs="Times New Roman"/>
                <w:color w:val="auto"/>
                <w:sz w:val="24"/>
                <w:szCs w:val="28"/>
                <w:lang w:val="en-US" w:eastAsia="zh-CN"/>
              </w:rPr>
              <w:t>产生量</w:t>
            </w:r>
            <w:r>
              <w:rPr>
                <w:rFonts w:hint="eastAsia" w:cs="Times New Roman"/>
                <w:color w:val="auto"/>
                <w:sz w:val="24"/>
                <w:szCs w:val="28"/>
                <w:lang w:val="en-US" w:eastAsia="zh-CN"/>
              </w:rPr>
              <w:t>约1.37</w:t>
            </w:r>
            <w:r>
              <w:rPr>
                <w:rFonts w:hint="default" w:ascii="Times New Roman" w:hAnsi="Times New Roman" w:cs="Times New Roman"/>
                <w:color w:val="auto"/>
                <w:sz w:val="24"/>
                <w:szCs w:val="28"/>
                <w:lang w:val="en-US" w:eastAsia="zh-CN"/>
              </w:rPr>
              <w:t>t</w:t>
            </w:r>
            <w:r>
              <w:rPr>
                <w:rFonts w:hint="eastAsia" w:ascii="Times New Roman" w:hAnsi="Times New Roman" w:cs="Times New Roman"/>
                <w:color w:val="auto"/>
                <w:sz w:val="24"/>
                <w:szCs w:val="28"/>
                <w:lang w:val="en-US" w:eastAsia="zh-CN"/>
              </w:rPr>
              <w:t>/</w:t>
            </w:r>
            <w:r>
              <w:rPr>
                <w:rFonts w:hint="default" w:ascii="Times New Roman" w:hAnsi="Times New Roman" w:cs="Times New Roman"/>
                <w:color w:val="auto"/>
                <w:sz w:val="24"/>
                <w:szCs w:val="28"/>
                <w:lang w:val="en-US" w:eastAsia="zh-CN"/>
              </w:rPr>
              <w:t>a。</w:t>
            </w:r>
          </w:p>
          <w:p w14:paraId="5FA79069">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8"/>
                <w:lang w:val="en-US" w:eastAsia="zh-CN"/>
              </w:rPr>
            </w:pPr>
            <w:r>
              <w:rPr>
                <w:rFonts w:hint="eastAsia" w:cs="Times New Roman"/>
                <w:color w:val="auto"/>
                <w:sz w:val="24"/>
                <w:szCs w:val="28"/>
                <w:lang w:val="en-US" w:eastAsia="zh-CN"/>
              </w:rPr>
              <w:t>2）</w:t>
            </w:r>
            <w:r>
              <w:rPr>
                <w:rFonts w:hint="eastAsia" w:ascii="Times New Roman" w:hAnsi="Times New Roman" w:cs="Times New Roman"/>
                <w:color w:val="auto"/>
                <w:sz w:val="24"/>
                <w:szCs w:val="28"/>
              </w:rPr>
              <w:t>苯乙烯、</w:t>
            </w:r>
            <w:r>
              <w:rPr>
                <w:rFonts w:hint="eastAsia" w:cs="Times New Roman"/>
                <w:color w:val="auto"/>
                <w:sz w:val="24"/>
                <w:szCs w:val="28"/>
                <w:lang w:val="en-US" w:eastAsia="zh-CN"/>
              </w:rPr>
              <w:t>苯</w:t>
            </w:r>
            <w:r>
              <w:rPr>
                <w:rFonts w:hint="eastAsia" w:ascii="Times New Roman" w:hAnsi="Times New Roman" w:cs="Times New Roman"/>
                <w:color w:val="auto"/>
                <w:sz w:val="24"/>
                <w:szCs w:val="28"/>
              </w:rPr>
              <w:t>、甲苯、乙苯</w:t>
            </w:r>
            <w:r>
              <w:rPr>
                <w:rFonts w:hint="eastAsia" w:cs="Times New Roman"/>
                <w:color w:val="auto"/>
                <w:sz w:val="24"/>
                <w:szCs w:val="28"/>
                <w:lang w:eastAsia="zh-CN"/>
              </w:rPr>
              <w:t>、</w:t>
            </w:r>
            <w:r>
              <w:rPr>
                <w:rFonts w:hint="eastAsia" w:cs="Times New Roman"/>
                <w:color w:val="auto"/>
                <w:sz w:val="24"/>
                <w:szCs w:val="28"/>
                <w:lang w:val="en-US" w:eastAsia="zh-CN"/>
              </w:rPr>
              <w:t>二甲苯</w:t>
            </w:r>
          </w:p>
          <w:p w14:paraId="075D081A">
            <w:pPr>
              <w:keepNext w:val="0"/>
              <w:keepLines w:val="0"/>
              <w:suppressLineNumbers w:val="0"/>
              <w:spacing w:before="0" w:beforeAutospacing="0" w:after="0" w:afterAutospacing="0" w:line="360" w:lineRule="auto"/>
              <w:ind w:left="0" w:right="0" w:firstLine="480" w:firstLineChars="200"/>
              <w:rPr>
                <w:rFonts w:hint="default" w:cs="Times New Roman"/>
                <w:color w:val="auto"/>
                <w:sz w:val="24"/>
                <w:szCs w:val="28"/>
                <w:lang w:val="en-US" w:eastAsia="zh-CN"/>
              </w:rPr>
            </w:pPr>
            <w:r>
              <w:rPr>
                <w:rFonts w:hint="eastAsia" w:cs="Times New Roman"/>
                <w:color w:val="auto"/>
                <w:sz w:val="24"/>
                <w:szCs w:val="28"/>
                <w:lang w:val="en-US" w:eastAsia="zh-CN"/>
              </w:rPr>
              <w:t>①PS类</w:t>
            </w:r>
          </w:p>
          <w:p w14:paraId="23C63A03">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szCs w:val="28"/>
                <w:lang w:val="en-US" w:eastAsia="zh-CN"/>
              </w:rPr>
            </w:pPr>
            <w:r>
              <w:rPr>
                <w:rFonts w:hint="eastAsia" w:ascii="Times New Roman" w:hAnsi="Times New Roman" w:cs="Times New Roman"/>
                <w:color w:val="auto"/>
                <w:sz w:val="24"/>
                <w:szCs w:val="28"/>
              </w:rPr>
              <w:t>项目使用</w:t>
            </w:r>
            <w:r>
              <w:rPr>
                <w:rFonts w:hint="eastAsia" w:cs="Times New Roman"/>
                <w:color w:val="auto"/>
                <w:sz w:val="24"/>
                <w:szCs w:val="28"/>
                <w:lang w:val="en-US" w:eastAsia="zh-CN"/>
              </w:rPr>
              <w:t>的P</w:t>
            </w:r>
            <w:r>
              <w:rPr>
                <w:rFonts w:hint="eastAsia" w:ascii="Times New Roman" w:hAnsi="Times New Roman" w:cs="Times New Roman"/>
                <w:color w:val="auto"/>
                <w:sz w:val="24"/>
                <w:szCs w:val="28"/>
              </w:rPr>
              <w:t>S塑料</w:t>
            </w:r>
            <w:r>
              <w:rPr>
                <w:rFonts w:hint="eastAsia" w:cs="Times New Roman"/>
                <w:color w:val="auto"/>
                <w:sz w:val="24"/>
                <w:szCs w:val="28"/>
                <w:lang w:val="en-US" w:eastAsia="zh-CN"/>
              </w:rPr>
              <w:t>粒子</w:t>
            </w:r>
            <w:r>
              <w:rPr>
                <w:rFonts w:hint="eastAsia" w:ascii="Times New Roman" w:hAnsi="Times New Roman" w:cs="Times New Roman"/>
                <w:color w:val="auto"/>
                <w:sz w:val="24"/>
                <w:szCs w:val="28"/>
              </w:rPr>
              <w:t>，在注塑过程中可能存在少量苯乙烯、</w:t>
            </w:r>
            <w:r>
              <w:rPr>
                <w:rFonts w:hint="eastAsia" w:cs="Times New Roman"/>
                <w:color w:val="auto"/>
                <w:sz w:val="24"/>
                <w:szCs w:val="28"/>
                <w:lang w:val="en-US" w:eastAsia="zh-CN"/>
              </w:rPr>
              <w:t>苯</w:t>
            </w:r>
            <w:r>
              <w:rPr>
                <w:rFonts w:hint="eastAsia" w:ascii="Times New Roman" w:hAnsi="Times New Roman" w:cs="Times New Roman"/>
                <w:color w:val="auto"/>
                <w:sz w:val="24"/>
                <w:szCs w:val="28"/>
              </w:rPr>
              <w:t>、甲苯、乙苯</w:t>
            </w:r>
            <w:r>
              <w:rPr>
                <w:rFonts w:hint="eastAsia" w:cs="Times New Roman"/>
                <w:color w:val="auto"/>
                <w:sz w:val="24"/>
                <w:szCs w:val="28"/>
                <w:lang w:eastAsia="zh-CN"/>
              </w:rPr>
              <w:t>、</w:t>
            </w:r>
            <w:r>
              <w:rPr>
                <w:rFonts w:hint="eastAsia" w:cs="Times New Roman"/>
                <w:color w:val="auto"/>
                <w:sz w:val="24"/>
                <w:szCs w:val="28"/>
                <w:lang w:val="en-US" w:eastAsia="zh-CN"/>
              </w:rPr>
              <w:t>二甲苯</w:t>
            </w:r>
            <w:r>
              <w:rPr>
                <w:rFonts w:hint="eastAsia" w:ascii="Times New Roman" w:hAnsi="Times New Roman" w:cs="Times New Roman"/>
                <w:color w:val="auto"/>
                <w:sz w:val="24"/>
                <w:szCs w:val="28"/>
              </w:rPr>
              <w:t>挥发出来。</w:t>
            </w:r>
          </w:p>
          <w:p w14:paraId="4A4C60BE">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szCs w:val="28"/>
                <w:lang w:val="en-US" w:eastAsia="zh-CN"/>
              </w:rPr>
            </w:pPr>
            <w:r>
              <w:rPr>
                <w:rFonts w:hint="eastAsia" w:ascii="Times New Roman" w:hAnsi="Times New Roman" w:cs="Times New Roman"/>
                <w:color w:val="auto"/>
                <w:sz w:val="24"/>
                <w:szCs w:val="28"/>
              </w:rPr>
              <w:t>苯乙烯</w:t>
            </w:r>
            <w:r>
              <w:rPr>
                <w:rFonts w:hint="eastAsia" w:cs="Times New Roman"/>
                <w:color w:val="auto"/>
                <w:sz w:val="24"/>
                <w:szCs w:val="28"/>
                <w:lang w:eastAsia="zh-CN"/>
              </w:rPr>
              <w:t>、</w:t>
            </w:r>
            <w:r>
              <w:rPr>
                <w:rFonts w:hint="eastAsia" w:cs="Times New Roman"/>
                <w:color w:val="auto"/>
                <w:sz w:val="24"/>
                <w:szCs w:val="28"/>
                <w:lang w:val="en-US" w:eastAsia="zh-CN"/>
              </w:rPr>
              <w:t>苯、甲苯、乙苯、二甲苯等</w:t>
            </w:r>
            <w:r>
              <w:rPr>
                <w:rFonts w:hint="eastAsia" w:ascii="Times New Roman" w:hAnsi="Times New Roman" w:cs="Times New Roman"/>
                <w:color w:val="auto"/>
                <w:sz w:val="24"/>
                <w:szCs w:val="28"/>
              </w:rPr>
              <w:t>产生系数参考《</w:t>
            </w:r>
            <w:r>
              <w:rPr>
                <w:rFonts w:hint="eastAsia" w:cs="Times New Roman"/>
                <w:color w:val="auto"/>
                <w:sz w:val="24"/>
                <w:szCs w:val="28"/>
                <w:lang w:val="en-US" w:eastAsia="zh-CN"/>
              </w:rPr>
              <w:t>气相色谱-质谱法分析聚苯乙烯加热分解产物</w:t>
            </w:r>
            <w:r>
              <w:rPr>
                <w:rFonts w:hint="eastAsia" w:ascii="Times New Roman" w:hAnsi="Times New Roman" w:cs="Times New Roman"/>
                <w:color w:val="auto"/>
                <w:sz w:val="24"/>
                <w:szCs w:val="28"/>
              </w:rPr>
              <w:t>》</w:t>
            </w:r>
            <w:r>
              <w:rPr>
                <w:rFonts w:hint="eastAsia" w:cs="Times New Roman"/>
                <w:color w:val="auto"/>
                <w:sz w:val="24"/>
                <w:szCs w:val="28"/>
                <w:lang w:eastAsia="zh-CN"/>
              </w:rPr>
              <w:t>（</w:t>
            </w:r>
            <w:r>
              <w:rPr>
                <w:rFonts w:hint="eastAsia" w:cs="Times New Roman"/>
                <w:color w:val="auto"/>
                <w:sz w:val="24"/>
                <w:szCs w:val="28"/>
                <w:lang w:val="en-US" w:eastAsia="zh-CN"/>
              </w:rPr>
              <w:t>林华影等，中国卫生检验杂志，2008</w:t>
            </w:r>
            <w:r>
              <w:rPr>
                <w:rFonts w:hint="eastAsia" w:cs="Times New Roman"/>
                <w:color w:val="auto"/>
                <w:sz w:val="24"/>
                <w:szCs w:val="28"/>
                <w:lang w:eastAsia="zh-CN"/>
              </w:rPr>
              <w:t>）</w:t>
            </w:r>
            <w:r>
              <w:rPr>
                <w:rFonts w:hint="eastAsia" w:ascii="Times New Roman" w:hAnsi="Times New Roman" w:cs="Times New Roman"/>
                <w:color w:val="auto"/>
                <w:sz w:val="24"/>
                <w:szCs w:val="28"/>
              </w:rPr>
              <w:t>中实验结果</w:t>
            </w:r>
            <w:r>
              <w:rPr>
                <w:rFonts w:hint="eastAsia" w:ascii="Times New Roman" w:hAnsi="Times New Roman" w:cs="Times New Roman"/>
                <w:color w:val="auto"/>
                <w:sz w:val="24"/>
                <w:szCs w:val="28"/>
                <w:lang w:eastAsia="zh-CN"/>
              </w:rPr>
              <w:t>，</w:t>
            </w:r>
            <w:r>
              <w:rPr>
                <w:rFonts w:hint="eastAsia" w:ascii="Times New Roman" w:hAnsi="Times New Roman" w:cs="Times New Roman"/>
                <w:color w:val="auto"/>
                <w:sz w:val="24"/>
                <w:szCs w:val="28"/>
              </w:rPr>
              <w:t>苯乙烯、</w:t>
            </w:r>
            <w:r>
              <w:rPr>
                <w:rFonts w:hint="eastAsia" w:cs="Times New Roman"/>
                <w:color w:val="auto"/>
                <w:sz w:val="24"/>
                <w:szCs w:val="28"/>
                <w:lang w:val="en-US" w:eastAsia="zh-CN"/>
              </w:rPr>
              <w:t>苯</w:t>
            </w:r>
            <w:r>
              <w:rPr>
                <w:rFonts w:hint="eastAsia" w:ascii="Times New Roman" w:hAnsi="Times New Roman" w:cs="Times New Roman"/>
                <w:color w:val="auto"/>
                <w:sz w:val="24"/>
                <w:szCs w:val="28"/>
              </w:rPr>
              <w:t>、甲苯、乙苯</w:t>
            </w:r>
            <w:r>
              <w:rPr>
                <w:rFonts w:hint="eastAsia" w:cs="Times New Roman"/>
                <w:color w:val="auto"/>
                <w:sz w:val="24"/>
                <w:szCs w:val="28"/>
                <w:lang w:eastAsia="zh-CN"/>
              </w:rPr>
              <w:t>、</w:t>
            </w:r>
            <w:r>
              <w:rPr>
                <w:rFonts w:hint="eastAsia" w:cs="Times New Roman"/>
                <w:color w:val="auto"/>
                <w:sz w:val="24"/>
                <w:szCs w:val="28"/>
                <w:lang w:val="en-US" w:eastAsia="zh-CN"/>
              </w:rPr>
              <w:t>二甲苯产污系数分别为0.0064g/t原料、0.0412g/t原料、0.0228g/t原料、0.0106g/t原料、0.1574g/t原料。</w:t>
            </w:r>
            <w:r>
              <w:rPr>
                <w:rFonts w:hint="default" w:ascii="Times New Roman" w:hAnsi="Times New Roman" w:cs="Times New Roman"/>
                <w:color w:val="auto"/>
                <w:sz w:val="24"/>
                <w:szCs w:val="28"/>
                <w:lang w:val="en-US" w:eastAsia="zh-CN"/>
              </w:rPr>
              <w:t>本项目</w:t>
            </w:r>
            <w:r>
              <w:rPr>
                <w:rFonts w:hint="eastAsia" w:cs="Times New Roman"/>
                <w:color w:val="auto"/>
                <w:sz w:val="24"/>
                <w:szCs w:val="28"/>
                <w:lang w:val="en-US" w:eastAsia="zh-CN"/>
              </w:rPr>
              <w:t>PS</w:t>
            </w:r>
            <w:r>
              <w:rPr>
                <w:rFonts w:hint="eastAsia" w:ascii="Times New Roman" w:hAnsi="Times New Roman" w:cs="Times New Roman"/>
                <w:color w:val="auto"/>
                <w:sz w:val="24"/>
                <w:szCs w:val="28"/>
                <w:lang w:val="en-US" w:eastAsia="zh-CN"/>
              </w:rPr>
              <w:t>塑料粒子</w:t>
            </w:r>
            <w:r>
              <w:rPr>
                <w:rFonts w:hint="eastAsia" w:cs="Times New Roman"/>
                <w:color w:val="auto"/>
                <w:sz w:val="24"/>
                <w:szCs w:val="28"/>
                <w:lang w:val="en-US" w:eastAsia="zh-CN"/>
              </w:rPr>
              <w:t>使用量约300t/a</w:t>
            </w:r>
            <w:r>
              <w:rPr>
                <w:rFonts w:hint="eastAsia" w:ascii="Times New Roman" w:hAnsi="Times New Roman" w:cs="Times New Roman"/>
                <w:color w:val="auto"/>
                <w:sz w:val="24"/>
                <w:szCs w:val="28"/>
                <w:lang w:val="en-US" w:eastAsia="zh-CN"/>
              </w:rPr>
              <w:t>，则</w:t>
            </w:r>
            <w:r>
              <w:rPr>
                <w:rFonts w:hint="eastAsia" w:ascii="Times New Roman" w:hAnsi="Times New Roman" w:cs="Times New Roman"/>
                <w:color w:val="auto"/>
                <w:sz w:val="24"/>
                <w:szCs w:val="28"/>
              </w:rPr>
              <w:t>苯乙烯、</w:t>
            </w:r>
            <w:r>
              <w:rPr>
                <w:rFonts w:hint="eastAsia" w:cs="Times New Roman"/>
                <w:color w:val="auto"/>
                <w:sz w:val="24"/>
                <w:szCs w:val="28"/>
                <w:lang w:val="en-US" w:eastAsia="zh-CN"/>
              </w:rPr>
              <w:t>苯</w:t>
            </w:r>
            <w:r>
              <w:rPr>
                <w:rFonts w:hint="eastAsia" w:ascii="Times New Roman" w:hAnsi="Times New Roman" w:cs="Times New Roman"/>
                <w:color w:val="auto"/>
                <w:sz w:val="24"/>
                <w:szCs w:val="28"/>
              </w:rPr>
              <w:t>、甲苯、乙苯</w:t>
            </w:r>
            <w:r>
              <w:rPr>
                <w:rFonts w:hint="eastAsia" w:cs="Times New Roman"/>
                <w:color w:val="auto"/>
                <w:sz w:val="24"/>
                <w:szCs w:val="28"/>
                <w:lang w:eastAsia="zh-CN"/>
              </w:rPr>
              <w:t>、</w:t>
            </w:r>
            <w:r>
              <w:rPr>
                <w:rFonts w:hint="eastAsia" w:cs="Times New Roman"/>
                <w:color w:val="auto"/>
                <w:sz w:val="24"/>
                <w:szCs w:val="28"/>
                <w:lang w:val="en-US" w:eastAsia="zh-CN"/>
              </w:rPr>
              <w:t>二甲苯</w:t>
            </w:r>
            <w:r>
              <w:rPr>
                <w:rFonts w:hint="default" w:ascii="Times New Roman" w:hAnsi="Times New Roman" w:cs="Times New Roman"/>
                <w:color w:val="auto"/>
                <w:sz w:val="24"/>
                <w:szCs w:val="28"/>
                <w:lang w:val="en-US" w:eastAsia="zh-CN"/>
              </w:rPr>
              <w:t>产生量</w:t>
            </w:r>
            <w:r>
              <w:rPr>
                <w:rFonts w:hint="eastAsia" w:ascii="Times New Roman" w:hAnsi="Times New Roman" w:cs="Times New Roman"/>
                <w:color w:val="auto"/>
                <w:sz w:val="24"/>
                <w:szCs w:val="28"/>
                <w:lang w:val="en-US" w:eastAsia="zh-CN"/>
              </w:rPr>
              <w:t>分别</w:t>
            </w:r>
            <w:r>
              <w:rPr>
                <w:rFonts w:hint="default" w:ascii="Times New Roman" w:hAnsi="Times New Roman" w:cs="Times New Roman"/>
                <w:color w:val="auto"/>
                <w:sz w:val="24"/>
                <w:szCs w:val="28"/>
                <w:lang w:val="en-US" w:eastAsia="zh-CN"/>
              </w:rPr>
              <w:t>为</w:t>
            </w:r>
            <w:r>
              <w:rPr>
                <w:rFonts w:hint="eastAsia" w:cs="Times New Roman"/>
                <w:color w:val="auto"/>
                <w:sz w:val="24"/>
                <w:szCs w:val="28"/>
                <w:lang w:val="en-US" w:eastAsia="zh-CN"/>
              </w:rPr>
              <w:t>1.92×10</w:t>
            </w:r>
            <w:r>
              <w:rPr>
                <w:rFonts w:hint="eastAsia" w:cs="Times New Roman"/>
                <w:color w:val="auto"/>
                <w:sz w:val="24"/>
                <w:szCs w:val="28"/>
                <w:vertAlign w:val="superscript"/>
                <w:lang w:val="en-US" w:eastAsia="zh-CN"/>
              </w:rPr>
              <w:t>-6</w:t>
            </w:r>
            <w:r>
              <w:rPr>
                <w:rFonts w:hint="default" w:ascii="Times New Roman" w:hAnsi="Times New Roman" w:cs="Times New Roman"/>
                <w:color w:val="auto"/>
                <w:sz w:val="24"/>
                <w:szCs w:val="28"/>
                <w:lang w:val="en-US" w:eastAsia="zh-CN"/>
              </w:rPr>
              <w:t>t</w:t>
            </w:r>
            <w:r>
              <w:rPr>
                <w:rFonts w:hint="eastAsia" w:ascii="Times New Roman" w:hAnsi="Times New Roman" w:cs="Times New Roman"/>
                <w:color w:val="auto"/>
                <w:sz w:val="24"/>
                <w:szCs w:val="28"/>
                <w:lang w:val="en-US" w:eastAsia="zh-CN"/>
              </w:rPr>
              <w:t>/</w:t>
            </w:r>
            <w:r>
              <w:rPr>
                <w:rFonts w:hint="default" w:ascii="Times New Roman" w:hAnsi="Times New Roman" w:cs="Times New Roman"/>
                <w:color w:val="auto"/>
                <w:sz w:val="24"/>
                <w:szCs w:val="28"/>
                <w:lang w:val="en-US" w:eastAsia="zh-CN"/>
              </w:rPr>
              <w:t>a</w:t>
            </w:r>
            <w:r>
              <w:rPr>
                <w:rFonts w:hint="eastAsia" w:ascii="Times New Roman" w:hAnsi="Times New Roman" w:cs="Times New Roman"/>
                <w:color w:val="auto"/>
                <w:sz w:val="24"/>
                <w:szCs w:val="28"/>
                <w:lang w:val="en-US" w:eastAsia="zh-CN"/>
              </w:rPr>
              <w:t>、</w:t>
            </w:r>
            <w:r>
              <w:rPr>
                <w:rFonts w:hint="eastAsia" w:cs="Times New Roman"/>
                <w:color w:val="auto"/>
                <w:sz w:val="24"/>
                <w:szCs w:val="28"/>
                <w:lang w:val="en-US" w:eastAsia="zh-CN"/>
              </w:rPr>
              <w:t>1.24×10</w:t>
            </w:r>
            <w:r>
              <w:rPr>
                <w:rFonts w:hint="eastAsia" w:cs="Times New Roman"/>
                <w:color w:val="auto"/>
                <w:sz w:val="24"/>
                <w:szCs w:val="28"/>
                <w:vertAlign w:val="superscript"/>
                <w:lang w:val="en-US" w:eastAsia="zh-CN"/>
              </w:rPr>
              <w:t>-5</w:t>
            </w:r>
            <w:r>
              <w:rPr>
                <w:rFonts w:hint="default" w:ascii="Times New Roman" w:hAnsi="Times New Roman" w:cs="Times New Roman"/>
                <w:color w:val="auto"/>
                <w:sz w:val="24"/>
                <w:szCs w:val="28"/>
                <w:lang w:val="en-US" w:eastAsia="zh-CN"/>
              </w:rPr>
              <w:t>t</w:t>
            </w:r>
            <w:r>
              <w:rPr>
                <w:rFonts w:hint="eastAsia" w:ascii="Times New Roman" w:hAnsi="Times New Roman" w:cs="Times New Roman"/>
                <w:color w:val="auto"/>
                <w:sz w:val="24"/>
                <w:szCs w:val="28"/>
                <w:lang w:val="en-US" w:eastAsia="zh-CN"/>
              </w:rPr>
              <w:t>/</w:t>
            </w:r>
            <w:r>
              <w:rPr>
                <w:rFonts w:hint="default" w:ascii="Times New Roman" w:hAnsi="Times New Roman" w:cs="Times New Roman"/>
                <w:color w:val="auto"/>
                <w:sz w:val="24"/>
                <w:szCs w:val="28"/>
                <w:lang w:val="en-US" w:eastAsia="zh-CN"/>
              </w:rPr>
              <w:t>a</w:t>
            </w:r>
            <w:r>
              <w:rPr>
                <w:rFonts w:hint="eastAsia" w:ascii="Times New Roman" w:hAnsi="Times New Roman" w:cs="Times New Roman"/>
                <w:color w:val="auto"/>
                <w:sz w:val="24"/>
                <w:szCs w:val="28"/>
                <w:lang w:val="en-US" w:eastAsia="zh-CN"/>
              </w:rPr>
              <w:t>、</w:t>
            </w:r>
            <w:r>
              <w:rPr>
                <w:rFonts w:hint="eastAsia" w:cs="Times New Roman"/>
                <w:color w:val="auto"/>
                <w:sz w:val="24"/>
                <w:szCs w:val="28"/>
                <w:lang w:val="en-US" w:eastAsia="zh-CN"/>
              </w:rPr>
              <w:t>6.84×10</w:t>
            </w:r>
            <w:r>
              <w:rPr>
                <w:rFonts w:hint="eastAsia" w:cs="Times New Roman"/>
                <w:color w:val="auto"/>
                <w:sz w:val="24"/>
                <w:szCs w:val="28"/>
                <w:vertAlign w:val="superscript"/>
                <w:lang w:val="en-US" w:eastAsia="zh-CN"/>
              </w:rPr>
              <w:t>-6</w:t>
            </w:r>
            <w:r>
              <w:rPr>
                <w:rFonts w:hint="default" w:ascii="Times New Roman" w:hAnsi="Times New Roman" w:cs="Times New Roman"/>
                <w:color w:val="auto"/>
                <w:sz w:val="24"/>
                <w:szCs w:val="28"/>
                <w:lang w:val="en-US" w:eastAsia="zh-CN"/>
              </w:rPr>
              <w:t>t</w:t>
            </w:r>
            <w:r>
              <w:rPr>
                <w:rFonts w:hint="eastAsia" w:ascii="Times New Roman" w:hAnsi="Times New Roman" w:cs="Times New Roman"/>
                <w:color w:val="auto"/>
                <w:sz w:val="24"/>
                <w:szCs w:val="28"/>
                <w:lang w:val="en-US" w:eastAsia="zh-CN"/>
              </w:rPr>
              <w:t>/</w:t>
            </w:r>
            <w:r>
              <w:rPr>
                <w:rFonts w:hint="default" w:ascii="Times New Roman" w:hAnsi="Times New Roman" w:cs="Times New Roman"/>
                <w:color w:val="auto"/>
                <w:sz w:val="24"/>
                <w:szCs w:val="28"/>
                <w:lang w:val="en-US" w:eastAsia="zh-CN"/>
              </w:rPr>
              <w:t>a</w:t>
            </w:r>
            <w:r>
              <w:rPr>
                <w:rFonts w:hint="eastAsia" w:ascii="Times New Roman" w:hAnsi="Times New Roman" w:cs="Times New Roman"/>
                <w:color w:val="auto"/>
                <w:sz w:val="24"/>
                <w:szCs w:val="28"/>
                <w:lang w:val="en-US" w:eastAsia="zh-CN"/>
              </w:rPr>
              <w:t>、</w:t>
            </w:r>
            <w:r>
              <w:rPr>
                <w:rFonts w:hint="eastAsia" w:cs="Times New Roman"/>
                <w:color w:val="auto"/>
                <w:sz w:val="24"/>
                <w:szCs w:val="28"/>
                <w:lang w:val="en-US" w:eastAsia="zh-CN"/>
              </w:rPr>
              <w:t>3.18×10</w:t>
            </w:r>
            <w:r>
              <w:rPr>
                <w:rFonts w:hint="eastAsia" w:cs="Times New Roman"/>
                <w:color w:val="auto"/>
                <w:sz w:val="24"/>
                <w:szCs w:val="28"/>
                <w:vertAlign w:val="superscript"/>
                <w:lang w:val="en-US" w:eastAsia="zh-CN"/>
              </w:rPr>
              <w:t>-6</w:t>
            </w:r>
            <w:r>
              <w:rPr>
                <w:rFonts w:hint="default" w:ascii="Times New Roman" w:hAnsi="Times New Roman" w:cs="Times New Roman"/>
                <w:color w:val="auto"/>
                <w:sz w:val="24"/>
                <w:szCs w:val="28"/>
                <w:lang w:val="en-US" w:eastAsia="zh-CN"/>
              </w:rPr>
              <w:t>t</w:t>
            </w:r>
            <w:r>
              <w:rPr>
                <w:rFonts w:hint="eastAsia" w:ascii="Times New Roman" w:hAnsi="Times New Roman" w:cs="Times New Roman"/>
                <w:color w:val="auto"/>
                <w:sz w:val="24"/>
                <w:szCs w:val="28"/>
                <w:lang w:val="en-US" w:eastAsia="zh-CN"/>
              </w:rPr>
              <w:t>/</w:t>
            </w:r>
            <w:r>
              <w:rPr>
                <w:rFonts w:hint="default" w:ascii="Times New Roman" w:hAnsi="Times New Roman" w:cs="Times New Roman"/>
                <w:color w:val="auto"/>
                <w:sz w:val="24"/>
                <w:szCs w:val="28"/>
                <w:lang w:val="en-US" w:eastAsia="zh-CN"/>
              </w:rPr>
              <w:t>a</w:t>
            </w:r>
            <w:r>
              <w:rPr>
                <w:rFonts w:hint="eastAsia" w:ascii="Times New Roman" w:hAnsi="Times New Roman" w:cs="Times New Roman"/>
                <w:color w:val="auto"/>
                <w:sz w:val="24"/>
                <w:szCs w:val="28"/>
                <w:lang w:val="en-US" w:eastAsia="zh-CN"/>
              </w:rPr>
              <w:t>、</w:t>
            </w:r>
            <w:r>
              <w:rPr>
                <w:rFonts w:hint="eastAsia" w:cs="Times New Roman"/>
                <w:color w:val="auto"/>
                <w:sz w:val="24"/>
                <w:szCs w:val="28"/>
                <w:lang w:val="en-US" w:eastAsia="zh-CN"/>
              </w:rPr>
              <w:t>4.72×10</w:t>
            </w:r>
            <w:r>
              <w:rPr>
                <w:rFonts w:hint="eastAsia" w:cs="Times New Roman"/>
                <w:color w:val="auto"/>
                <w:sz w:val="24"/>
                <w:szCs w:val="28"/>
                <w:vertAlign w:val="superscript"/>
                <w:lang w:val="en-US" w:eastAsia="zh-CN"/>
              </w:rPr>
              <w:t>-5</w:t>
            </w:r>
            <w:r>
              <w:rPr>
                <w:rFonts w:hint="default" w:ascii="Times New Roman" w:hAnsi="Times New Roman" w:cs="Times New Roman"/>
                <w:color w:val="auto"/>
                <w:sz w:val="24"/>
                <w:szCs w:val="28"/>
                <w:lang w:val="en-US" w:eastAsia="zh-CN"/>
              </w:rPr>
              <w:t>t</w:t>
            </w:r>
            <w:r>
              <w:rPr>
                <w:rFonts w:hint="eastAsia" w:ascii="Times New Roman" w:hAnsi="Times New Roman" w:cs="Times New Roman"/>
                <w:color w:val="auto"/>
                <w:sz w:val="24"/>
                <w:szCs w:val="28"/>
                <w:lang w:val="en-US" w:eastAsia="zh-CN"/>
              </w:rPr>
              <w:t>/</w:t>
            </w:r>
            <w:r>
              <w:rPr>
                <w:rFonts w:hint="default" w:ascii="Times New Roman" w:hAnsi="Times New Roman" w:cs="Times New Roman"/>
                <w:color w:val="auto"/>
                <w:sz w:val="24"/>
                <w:szCs w:val="28"/>
                <w:lang w:val="en-US" w:eastAsia="zh-CN"/>
              </w:rPr>
              <w:t>a</w:t>
            </w:r>
            <w:r>
              <w:rPr>
                <w:rFonts w:hint="eastAsia" w:cs="Times New Roman"/>
                <w:color w:val="auto"/>
                <w:sz w:val="24"/>
                <w:szCs w:val="28"/>
                <w:lang w:val="en-US" w:eastAsia="zh-CN"/>
              </w:rPr>
              <w:t>。</w:t>
            </w:r>
          </w:p>
          <w:p w14:paraId="145A114A">
            <w:pPr>
              <w:keepNext w:val="0"/>
              <w:keepLines w:val="0"/>
              <w:suppressLineNumbers w:val="0"/>
              <w:spacing w:before="0" w:beforeAutospacing="0" w:after="0" w:afterAutospacing="0" w:line="360" w:lineRule="auto"/>
              <w:ind w:left="0" w:right="0" w:firstLine="480" w:firstLineChars="200"/>
              <w:jc w:val="left"/>
              <w:rPr>
                <w:rFonts w:hint="eastAsia"/>
                <w:color w:val="auto"/>
                <w:sz w:val="24"/>
                <w:lang w:val="en-US" w:eastAsia="zh-CN"/>
              </w:rPr>
            </w:pPr>
            <w:r>
              <w:rPr>
                <w:rFonts w:hint="default" w:ascii="Times New Roman" w:hAnsi="Times New Roman" w:cs="Times New Roman"/>
                <w:color w:val="auto"/>
                <w:sz w:val="24"/>
                <w:szCs w:val="28"/>
              </w:rPr>
              <w:t>本项目对注塑废气</w:t>
            </w:r>
            <w:r>
              <w:rPr>
                <w:rFonts w:hint="eastAsia" w:ascii="Times New Roman" w:hAnsi="Times New Roman" w:cs="Times New Roman"/>
                <w:color w:val="auto"/>
                <w:sz w:val="24"/>
                <w:szCs w:val="28"/>
              </w:rPr>
              <w:t>采用集气罩</w:t>
            </w:r>
            <w:r>
              <w:rPr>
                <w:rFonts w:hint="default" w:ascii="Times New Roman" w:hAnsi="Times New Roman" w:cs="Times New Roman"/>
                <w:color w:val="auto"/>
                <w:sz w:val="24"/>
                <w:szCs w:val="28"/>
              </w:rPr>
              <w:t>收集（收集效率</w:t>
            </w:r>
            <w:r>
              <w:rPr>
                <w:rFonts w:hint="eastAsia" w:ascii="Times New Roman" w:hAnsi="Times New Roman" w:cs="Times New Roman"/>
                <w:color w:val="auto"/>
                <w:sz w:val="24"/>
                <w:szCs w:val="28"/>
              </w:rPr>
              <w:t>90</w:t>
            </w:r>
            <w:r>
              <w:rPr>
                <w:rFonts w:hint="default" w:ascii="Times New Roman" w:hAnsi="Times New Roman" w:cs="Times New Roman"/>
                <w:color w:val="auto"/>
                <w:sz w:val="24"/>
                <w:szCs w:val="28"/>
              </w:rPr>
              <w:t>%），</w:t>
            </w:r>
            <w:r>
              <w:rPr>
                <w:rFonts w:hint="eastAsia" w:cs="Times New Roman"/>
                <w:color w:val="auto"/>
                <w:sz w:val="24"/>
                <w:szCs w:val="28"/>
                <w:lang w:val="en-US" w:eastAsia="zh-CN"/>
              </w:rPr>
              <w:t>收集后</w:t>
            </w:r>
            <w:r>
              <w:rPr>
                <w:rFonts w:hint="default" w:ascii="Times New Roman" w:hAnsi="Times New Roman" w:cs="Times New Roman"/>
                <w:color w:val="auto"/>
                <w:sz w:val="24"/>
                <w:szCs w:val="28"/>
              </w:rPr>
              <w:t>输送至</w:t>
            </w:r>
            <w:r>
              <w:rPr>
                <w:rFonts w:hint="eastAsia" w:cs="Times New Roman"/>
                <w:color w:val="auto"/>
                <w:sz w:val="24"/>
                <w:szCs w:val="28"/>
                <w:lang w:val="en-US" w:eastAsia="zh-CN"/>
              </w:rPr>
              <w:t>二</w:t>
            </w:r>
            <w:r>
              <w:rPr>
                <w:rFonts w:hint="default" w:ascii="Times New Roman" w:hAnsi="Times New Roman" w:cs="Times New Roman"/>
                <w:color w:val="auto"/>
                <w:sz w:val="24"/>
                <w:szCs w:val="28"/>
              </w:rPr>
              <w:t>级活性炭吸附装置（</w:t>
            </w:r>
            <w:r>
              <w:rPr>
                <w:rFonts w:hint="default" w:ascii="Times New Roman" w:hAnsi="Times New Roman" w:cs="Times New Roman"/>
                <w:color w:val="auto"/>
                <w:sz w:val="24"/>
                <w:szCs w:val="24"/>
              </w:rPr>
              <w:t>吸附效率为90%</w:t>
            </w:r>
            <w:r>
              <w:rPr>
                <w:rFonts w:hint="default" w:ascii="Times New Roman" w:hAnsi="Times New Roman" w:cs="Times New Roman"/>
                <w:color w:val="auto"/>
                <w:sz w:val="24"/>
                <w:szCs w:val="28"/>
              </w:rPr>
              <w:t>）处理，</w:t>
            </w:r>
            <w:r>
              <w:rPr>
                <w:rFonts w:hint="eastAsia" w:cs="Times New Roman"/>
                <w:color w:val="auto"/>
                <w:sz w:val="24"/>
                <w:szCs w:val="28"/>
                <w:lang w:val="en-US" w:eastAsia="zh-CN"/>
              </w:rPr>
              <w:t>最终</w:t>
            </w:r>
            <w:r>
              <w:rPr>
                <w:rFonts w:hint="default" w:ascii="Times New Roman" w:hAnsi="Times New Roman" w:cs="Times New Roman"/>
                <w:color w:val="auto"/>
                <w:sz w:val="24"/>
                <w:szCs w:val="28"/>
              </w:rPr>
              <w:t>由</w:t>
            </w:r>
            <w:r>
              <w:rPr>
                <w:rFonts w:hint="eastAsia" w:cs="Times New Roman"/>
                <w:color w:val="auto"/>
                <w:sz w:val="24"/>
                <w:szCs w:val="28"/>
                <w:lang w:val="en-US" w:eastAsia="zh-CN"/>
              </w:rPr>
              <w:t>23</w:t>
            </w:r>
            <w:r>
              <w:rPr>
                <w:rFonts w:hint="default" w:ascii="Times New Roman" w:hAnsi="Times New Roman" w:cs="Times New Roman"/>
                <w:color w:val="auto"/>
                <w:sz w:val="24"/>
                <w:szCs w:val="28"/>
              </w:rPr>
              <w:t>m高排气筒DA001排放</w:t>
            </w:r>
            <w:r>
              <w:rPr>
                <w:rFonts w:hint="default" w:ascii="Times New Roman" w:hAnsi="Times New Roman" w:eastAsia="宋体" w:cs="Times New Roman"/>
                <w:bCs/>
                <w:color w:val="auto"/>
                <w:sz w:val="24"/>
                <w:szCs w:val="24"/>
              </w:rPr>
              <w:t>，</w:t>
            </w:r>
            <w:r>
              <w:rPr>
                <w:rFonts w:hint="default" w:ascii="Times New Roman" w:hAnsi="Times New Roman" w:cs="Times New Roman"/>
                <w:color w:val="auto"/>
                <w:sz w:val="24"/>
                <w:szCs w:val="28"/>
              </w:rPr>
              <w:t>年注塑时间约</w:t>
            </w:r>
            <w:r>
              <w:rPr>
                <w:rFonts w:hint="eastAsia" w:cs="Times New Roman"/>
                <w:color w:val="auto"/>
                <w:sz w:val="24"/>
                <w:szCs w:val="28"/>
                <w:lang w:val="en-US" w:eastAsia="zh-CN"/>
              </w:rPr>
              <w:t>30</w:t>
            </w:r>
            <w:r>
              <w:rPr>
                <w:rFonts w:hint="default" w:ascii="Times New Roman" w:hAnsi="Times New Roman" w:cs="Times New Roman"/>
                <w:color w:val="auto"/>
                <w:sz w:val="24"/>
                <w:szCs w:val="28"/>
              </w:rPr>
              <w:t>00</w:t>
            </w:r>
            <w:r>
              <w:rPr>
                <w:rFonts w:hint="eastAsia" w:cs="Times New Roman"/>
                <w:color w:val="auto"/>
                <w:sz w:val="24"/>
                <w:szCs w:val="28"/>
                <w:lang w:val="en-US" w:eastAsia="zh-CN"/>
              </w:rPr>
              <w:t>h</w:t>
            </w:r>
            <w:r>
              <w:rPr>
                <w:rFonts w:hint="default" w:ascii="Times New Roman" w:hAnsi="Times New Roman" w:cs="Times New Roman"/>
                <w:color w:val="auto"/>
                <w:sz w:val="24"/>
                <w:szCs w:val="28"/>
              </w:rPr>
              <w:t>。</w:t>
            </w:r>
          </w:p>
          <w:p w14:paraId="7A4BDC2F">
            <w:pPr>
              <w:keepNext w:val="0"/>
              <w:keepLines w:val="0"/>
              <w:suppressLineNumbers w:val="0"/>
              <w:spacing w:before="0" w:beforeAutospacing="0" w:after="0" w:afterAutospacing="0" w:line="360" w:lineRule="auto"/>
              <w:ind w:left="0" w:right="0" w:firstLine="482" w:firstLineChars="200"/>
              <w:jc w:val="left"/>
              <w:rPr>
                <w:rFonts w:hint="default"/>
                <w:b/>
                <w:bCs/>
                <w:color w:val="auto"/>
                <w:sz w:val="24"/>
                <w:lang w:val="en-US" w:eastAsia="zh-CN"/>
              </w:rPr>
            </w:pPr>
            <w:r>
              <w:rPr>
                <w:rFonts w:hint="eastAsia"/>
                <w:b/>
                <w:bCs/>
                <w:color w:val="auto"/>
                <w:sz w:val="24"/>
                <w:lang w:val="en-US" w:eastAsia="zh-CN"/>
              </w:rPr>
              <w:t>风量计算：</w:t>
            </w:r>
          </w:p>
          <w:p w14:paraId="364A45C1">
            <w:pPr>
              <w:keepNext w:val="0"/>
              <w:keepLines w:val="0"/>
              <w:suppressLineNumbers w:val="0"/>
              <w:spacing w:before="0" w:beforeAutospacing="0" w:after="0" w:afterAutospacing="0" w:line="358" w:lineRule="auto"/>
              <w:ind w:left="0" w:right="0" w:firstLine="480" w:firstLineChars="200"/>
              <w:rPr>
                <w:rFonts w:hint="default" w:ascii="Times New Roman" w:hAnsi="Times New Roman" w:cs="Times New Roman"/>
                <w:color w:val="auto"/>
                <w:sz w:val="24"/>
                <w:szCs w:val="28"/>
              </w:rPr>
            </w:pPr>
            <w:r>
              <w:rPr>
                <w:rFonts w:hint="default" w:ascii="Times New Roman" w:hAnsi="Times New Roman" w:cs="Times New Roman"/>
                <w:color w:val="auto"/>
                <w:sz w:val="24"/>
                <w:szCs w:val="28"/>
              </w:rPr>
              <w:t>根据《简明通风设计手册》，单个集气罩集气风量计算公式：</w:t>
            </w:r>
          </w:p>
          <w:p w14:paraId="39F52592">
            <w:pPr>
              <w:keepNext w:val="0"/>
              <w:keepLines w:val="0"/>
              <w:suppressLineNumbers w:val="0"/>
              <w:spacing w:before="0" w:beforeAutospacing="0" w:after="0" w:afterAutospacing="0" w:line="360" w:lineRule="auto"/>
              <w:ind w:left="0" w:right="0"/>
              <w:jc w:val="center"/>
              <w:rPr>
                <w:rFonts w:hint="default" w:ascii="Times New Roman" w:hAnsi="Times New Roman"/>
                <w:color w:val="auto"/>
                <w:sz w:val="24"/>
              </w:rPr>
            </w:pPr>
            <w:r>
              <w:rPr>
                <w:rFonts w:hint="default" w:ascii="Times New Roman" w:hAnsi="Times New Roman"/>
                <w:color w:val="auto"/>
                <w:sz w:val="24"/>
              </w:rPr>
              <w:t>Q=K</w:t>
            </w:r>
            <w:r>
              <w:rPr>
                <w:rFonts w:hint="default" w:ascii="Times New Roman"/>
                <w:color w:val="auto"/>
                <w:sz w:val="24"/>
              </w:rPr>
              <w:t>（</w:t>
            </w:r>
            <w:r>
              <w:rPr>
                <w:rFonts w:hint="default" w:ascii="Times New Roman" w:hAnsi="Times New Roman"/>
                <w:color w:val="auto"/>
                <w:sz w:val="24"/>
              </w:rPr>
              <w:t>a+b</w:t>
            </w:r>
            <w:r>
              <w:rPr>
                <w:rFonts w:hint="default" w:ascii="Times New Roman"/>
                <w:color w:val="auto"/>
                <w:sz w:val="24"/>
              </w:rPr>
              <w:t>）</w:t>
            </w:r>
            <w:r>
              <w:rPr>
                <w:rFonts w:hint="default" w:ascii="Times New Roman" w:hAnsi="Times New Roman"/>
                <w:color w:val="auto"/>
                <w:sz w:val="24"/>
              </w:rPr>
              <w:t>×h×V</w:t>
            </w:r>
            <w:r>
              <w:rPr>
                <w:rFonts w:hint="default" w:ascii="Times New Roman" w:hAnsi="Times New Roman"/>
                <w:color w:val="auto"/>
                <w:sz w:val="24"/>
                <w:vertAlign w:val="subscript"/>
              </w:rPr>
              <w:t>0</w:t>
            </w:r>
            <w:r>
              <w:rPr>
                <w:rFonts w:hint="default" w:ascii="Times New Roman" w:hAnsi="Times New Roman"/>
                <w:color w:val="auto"/>
                <w:sz w:val="24"/>
              </w:rPr>
              <w:t>×3600</w:t>
            </w:r>
          </w:p>
          <w:p w14:paraId="79D761FA">
            <w:pPr>
              <w:keepNext w:val="0"/>
              <w:keepLines w:val="0"/>
              <w:suppressLineNumbers w:val="0"/>
              <w:spacing w:before="0" w:beforeAutospacing="0" w:after="0" w:afterAutospacing="0" w:line="360" w:lineRule="auto"/>
              <w:ind w:left="0" w:right="0" w:firstLine="480" w:firstLineChars="200"/>
              <w:rPr>
                <w:rFonts w:hint="default" w:ascii="Times New Roman"/>
                <w:color w:val="auto"/>
                <w:sz w:val="24"/>
              </w:rPr>
            </w:pPr>
            <w:r>
              <w:rPr>
                <w:rFonts w:hint="default" w:ascii="Times New Roman"/>
                <w:color w:val="auto"/>
                <w:sz w:val="24"/>
              </w:rPr>
              <w:t>式中：</w:t>
            </w:r>
          </w:p>
          <w:p w14:paraId="6EB85B7A">
            <w:pPr>
              <w:keepNext w:val="0"/>
              <w:keepLines w:val="0"/>
              <w:suppressLineNumbers w:val="0"/>
              <w:spacing w:before="0" w:beforeAutospacing="0" w:after="0" w:afterAutospacing="0" w:line="360" w:lineRule="auto"/>
              <w:ind w:left="0" w:right="0" w:firstLine="480" w:firstLineChars="200"/>
              <w:rPr>
                <w:rFonts w:hint="default" w:ascii="Times New Roman" w:hAnsi="Times New Roman"/>
                <w:color w:val="auto"/>
                <w:sz w:val="24"/>
              </w:rPr>
            </w:pPr>
            <w:r>
              <w:rPr>
                <w:rFonts w:hint="default" w:ascii="Times New Roman" w:hAnsi="Times New Roman"/>
                <w:color w:val="auto"/>
                <w:sz w:val="24"/>
              </w:rPr>
              <w:t>Q</w:t>
            </w:r>
            <w:r>
              <w:rPr>
                <w:rFonts w:hint="default" w:ascii="Times New Roman"/>
                <w:color w:val="auto"/>
                <w:sz w:val="24"/>
              </w:rPr>
              <w:t>：集气罩集气风量，单位为</w:t>
            </w:r>
            <w:r>
              <w:rPr>
                <w:rFonts w:hint="default" w:ascii="Times New Roman" w:hAnsi="Times New Roman"/>
                <w:color w:val="auto"/>
                <w:sz w:val="24"/>
              </w:rPr>
              <w:t>m</w:t>
            </w:r>
            <w:r>
              <w:rPr>
                <w:rFonts w:hint="default" w:ascii="Times New Roman" w:hAnsi="Times New Roman"/>
                <w:color w:val="auto"/>
                <w:sz w:val="24"/>
                <w:vertAlign w:val="superscript"/>
              </w:rPr>
              <w:t>3</w:t>
            </w:r>
            <w:r>
              <w:rPr>
                <w:rFonts w:hint="default" w:ascii="Times New Roman" w:hAnsi="Times New Roman"/>
                <w:color w:val="auto"/>
                <w:sz w:val="24"/>
              </w:rPr>
              <w:t>/h</w:t>
            </w:r>
            <w:r>
              <w:rPr>
                <w:rFonts w:hint="default" w:ascii="Times New Roman"/>
                <w:color w:val="auto"/>
                <w:sz w:val="24"/>
              </w:rPr>
              <w:t>；</w:t>
            </w:r>
          </w:p>
          <w:p w14:paraId="584C7FFC">
            <w:pPr>
              <w:keepNext w:val="0"/>
              <w:keepLines w:val="0"/>
              <w:suppressLineNumbers w:val="0"/>
              <w:spacing w:before="0" w:beforeAutospacing="0" w:after="0" w:afterAutospacing="0" w:line="360" w:lineRule="auto"/>
              <w:ind w:left="0" w:right="0" w:firstLine="480" w:firstLineChars="200"/>
              <w:rPr>
                <w:rFonts w:hint="default" w:ascii="Times New Roman"/>
                <w:color w:val="auto"/>
                <w:sz w:val="24"/>
              </w:rPr>
            </w:pPr>
            <w:r>
              <w:rPr>
                <w:rFonts w:hint="default" w:ascii="Times New Roman" w:hAnsi="Times New Roman"/>
                <w:color w:val="auto"/>
                <w:sz w:val="24"/>
              </w:rPr>
              <w:t>K：</w:t>
            </w:r>
            <w:r>
              <w:rPr>
                <w:rFonts w:hint="default" w:ascii="Times New Roman"/>
                <w:color w:val="auto"/>
                <w:sz w:val="24"/>
              </w:rPr>
              <w:t>安全系数</w:t>
            </w:r>
            <w:r>
              <w:rPr>
                <w:rFonts w:hint="default" w:ascii="Times New Roman" w:hAnsi="Times New Roman"/>
                <w:color w:val="auto"/>
                <w:sz w:val="24"/>
              </w:rPr>
              <w:t>1.0</w:t>
            </w:r>
            <w:r>
              <w:rPr>
                <w:rFonts w:hint="default" w:ascii="Times New Roman"/>
                <w:color w:val="auto"/>
                <w:sz w:val="24"/>
              </w:rPr>
              <w:t>；</w:t>
            </w:r>
          </w:p>
          <w:p w14:paraId="40AEE395">
            <w:pPr>
              <w:keepNext w:val="0"/>
              <w:keepLines w:val="0"/>
              <w:suppressLineNumbers w:val="0"/>
              <w:spacing w:before="0" w:beforeAutospacing="0" w:after="0" w:afterAutospacing="0" w:line="360" w:lineRule="auto"/>
              <w:ind w:left="0" w:right="0" w:firstLine="480" w:firstLineChars="200"/>
              <w:rPr>
                <w:rFonts w:hint="default" w:ascii="Times New Roman" w:hAnsi="Times New Roman"/>
                <w:color w:val="auto"/>
                <w:sz w:val="24"/>
              </w:rPr>
            </w:pPr>
            <w:r>
              <w:rPr>
                <w:rFonts w:hint="default" w:ascii="Times New Roman"/>
                <w:color w:val="auto"/>
                <w:sz w:val="24"/>
              </w:rPr>
              <w:t>（</w:t>
            </w:r>
            <w:r>
              <w:rPr>
                <w:rFonts w:hint="default" w:ascii="Times New Roman" w:hAnsi="Times New Roman"/>
                <w:color w:val="auto"/>
                <w:sz w:val="24"/>
              </w:rPr>
              <w:t>a+b</w:t>
            </w:r>
            <w:r>
              <w:rPr>
                <w:rFonts w:hint="default" w:ascii="Times New Roman"/>
                <w:color w:val="auto"/>
                <w:sz w:val="24"/>
              </w:rPr>
              <w:t>）：集气罩周长，单位为</w:t>
            </w:r>
            <w:r>
              <w:rPr>
                <w:rFonts w:hint="default" w:ascii="Times New Roman" w:hAnsi="Times New Roman"/>
                <w:color w:val="auto"/>
                <w:sz w:val="24"/>
              </w:rPr>
              <w:t>m</w:t>
            </w:r>
            <w:r>
              <w:rPr>
                <w:rFonts w:hint="eastAsia" w:ascii="Times New Roman" w:hAnsi="Times New Roman"/>
                <w:color w:val="auto"/>
                <w:sz w:val="24"/>
              </w:rPr>
              <w:t>。</w:t>
            </w:r>
            <w:r>
              <w:rPr>
                <w:rFonts w:hint="eastAsia" w:ascii="Times New Roman" w:hAnsi="Times New Roman"/>
                <w:color w:val="auto"/>
                <w:sz w:val="24"/>
                <w:lang w:val="en-US" w:eastAsia="zh-CN"/>
              </w:rPr>
              <w:t>根据建设单位提供设计资料，</w:t>
            </w:r>
            <w:r>
              <w:rPr>
                <w:rFonts w:hint="eastAsia"/>
                <w:color w:val="auto"/>
                <w:sz w:val="24"/>
                <w:lang w:val="en-US" w:eastAsia="zh-CN"/>
              </w:rPr>
              <w:t>注塑机上方泄气口均设置</w:t>
            </w:r>
            <w:r>
              <w:rPr>
                <w:rFonts w:hint="eastAsia" w:ascii="Times New Roman" w:hAnsi="Times New Roman"/>
                <w:color w:val="auto"/>
                <w:sz w:val="24"/>
                <w:lang w:val="en-US" w:eastAsia="zh-CN"/>
              </w:rPr>
              <w:t>集气罩</w:t>
            </w:r>
            <w:r>
              <w:rPr>
                <w:rFonts w:hint="eastAsia"/>
                <w:color w:val="auto"/>
                <w:sz w:val="24"/>
                <w:lang w:val="en-US" w:eastAsia="zh-CN"/>
              </w:rPr>
              <w:t>，本项目共设置16台注塑机</w:t>
            </w:r>
            <w:r>
              <w:rPr>
                <w:rFonts w:hint="eastAsia"/>
                <w:color w:val="auto"/>
                <w:sz w:val="24"/>
                <w:szCs w:val="24"/>
                <w:lang w:val="en-US" w:eastAsia="zh-CN"/>
              </w:rPr>
              <w:t>，结合泄气口位置及尺寸，设计外部顶吸式集气罩，</w:t>
            </w:r>
            <w:r>
              <w:rPr>
                <w:rFonts w:hint="eastAsia" w:ascii="Times New Roman" w:hAnsi="Times New Roman"/>
                <w:color w:val="auto"/>
                <w:sz w:val="24"/>
                <w:szCs w:val="24"/>
                <w:lang w:val="en-US" w:eastAsia="zh-CN"/>
              </w:rPr>
              <w:t>尺寸</w:t>
            </w:r>
            <w:r>
              <w:rPr>
                <w:rFonts w:hint="eastAsia"/>
                <w:color w:val="auto"/>
                <w:sz w:val="24"/>
                <w:szCs w:val="24"/>
                <w:lang w:val="en-US" w:eastAsia="zh-CN"/>
              </w:rPr>
              <w:t>均</w:t>
            </w:r>
            <w:r>
              <w:rPr>
                <w:rFonts w:hint="eastAsia" w:ascii="Times New Roman" w:hAnsi="Times New Roman"/>
                <w:color w:val="auto"/>
                <w:sz w:val="24"/>
                <w:szCs w:val="24"/>
                <w:lang w:val="en-US" w:eastAsia="zh-CN"/>
              </w:rPr>
              <w:t>为</w:t>
            </w:r>
            <w:r>
              <w:rPr>
                <w:rFonts w:hint="eastAsia"/>
                <w:color w:val="auto"/>
                <w:sz w:val="24"/>
                <w:szCs w:val="24"/>
                <w:lang w:val="en-US" w:eastAsia="zh-CN"/>
              </w:rPr>
              <w:t>0.5</w:t>
            </w:r>
            <w:r>
              <w:rPr>
                <w:rFonts w:hint="eastAsia" w:ascii="Times New Roman" w:hAnsi="Times New Roman"/>
                <w:color w:val="auto"/>
                <w:sz w:val="24"/>
                <w:szCs w:val="24"/>
                <w:lang w:val="en-US" w:eastAsia="zh-CN"/>
              </w:rPr>
              <w:t>m×</w:t>
            </w:r>
            <w:r>
              <w:rPr>
                <w:rFonts w:hint="eastAsia"/>
                <w:color w:val="auto"/>
                <w:sz w:val="24"/>
                <w:szCs w:val="24"/>
                <w:lang w:val="en-US" w:eastAsia="zh-CN"/>
              </w:rPr>
              <w:t>0.5</w:t>
            </w:r>
            <w:r>
              <w:rPr>
                <w:rFonts w:hint="eastAsia" w:ascii="Times New Roman" w:hAnsi="Times New Roman"/>
                <w:color w:val="auto"/>
                <w:sz w:val="24"/>
                <w:szCs w:val="24"/>
                <w:lang w:val="en-US" w:eastAsia="zh-CN"/>
              </w:rPr>
              <w:t>m，单个集气罩</w:t>
            </w:r>
            <w:r>
              <w:rPr>
                <w:rFonts w:hint="eastAsia" w:ascii="Times New Roman" w:hAnsi="Times New Roman"/>
                <w:color w:val="auto"/>
                <w:sz w:val="24"/>
                <w:lang w:val="en-US" w:eastAsia="zh-CN"/>
              </w:rPr>
              <w:t>周长为</w:t>
            </w:r>
            <w:r>
              <w:rPr>
                <w:rFonts w:hint="eastAsia"/>
                <w:color w:val="auto"/>
                <w:sz w:val="24"/>
                <w:lang w:val="en-US" w:eastAsia="zh-CN"/>
              </w:rPr>
              <w:t>2.0</w:t>
            </w:r>
            <w:r>
              <w:rPr>
                <w:rFonts w:hint="eastAsia" w:ascii="Times New Roman" w:hAnsi="Times New Roman"/>
                <w:color w:val="auto"/>
                <w:sz w:val="24"/>
                <w:lang w:val="en-US" w:eastAsia="zh-CN"/>
              </w:rPr>
              <w:t>m</w:t>
            </w:r>
            <w:r>
              <w:rPr>
                <w:rFonts w:hint="default" w:ascii="Times New Roman" w:hAnsi="Times New Roman"/>
                <w:color w:val="auto"/>
                <w:sz w:val="24"/>
              </w:rPr>
              <w:t>；</w:t>
            </w:r>
          </w:p>
          <w:p w14:paraId="0BB36A44">
            <w:pPr>
              <w:keepNext w:val="0"/>
              <w:keepLines w:val="0"/>
              <w:suppressLineNumbers w:val="0"/>
              <w:spacing w:before="0" w:beforeAutospacing="0" w:after="0" w:afterAutospacing="0" w:line="360" w:lineRule="auto"/>
              <w:ind w:left="0" w:right="0" w:firstLine="480" w:firstLineChars="200"/>
              <w:rPr>
                <w:rFonts w:hint="default" w:ascii="Times New Roman" w:hAnsi="Times New Roman"/>
                <w:color w:val="auto"/>
                <w:sz w:val="24"/>
              </w:rPr>
            </w:pPr>
            <w:r>
              <w:rPr>
                <w:rFonts w:hint="default" w:ascii="Times New Roman" w:hAnsi="Times New Roman"/>
                <w:color w:val="auto"/>
                <w:sz w:val="24"/>
              </w:rPr>
              <w:t>h</w:t>
            </w:r>
            <w:r>
              <w:rPr>
                <w:rFonts w:hint="default" w:ascii="Times New Roman"/>
                <w:color w:val="auto"/>
                <w:sz w:val="24"/>
              </w:rPr>
              <w:t>：罩口至污染源的距离，单位为</w:t>
            </w:r>
            <w:r>
              <w:rPr>
                <w:rFonts w:hint="default" w:ascii="Times New Roman" w:hAnsi="Times New Roman"/>
                <w:color w:val="auto"/>
                <w:sz w:val="24"/>
              </w:rPr>
              <w:t>m</w:t>
            </w:r>
            <w:r>
              <w:rPr>
                <w:rFonts w:hint="default" w:ascii="Times New Roman"/>
                <w:color w:val="auto"/>
                <w:sz w:val="24"/>
              </w:rPr>
              <w:t>，</w:t>
            </w:r>
            <w:r>
              <w:rPr>
                <w:rFonts w:hint="eastAsia" w:ascii="Times New Roman" w:hAnsi="Times New Roman"/>
                <w:color w:val="auto"/>
                <w:sz w:val="24"/>
                <w:lang w:val="en-US" w:eastAsia="zh-CN"/>
              </w:rPr>
              <w:t>集气罩</w:t>
            </w:r>
            <w:r>
              <w:rPr>
                <w:rFonts w:hint="eastAsia"/>
                <w:color w:val="auto"/>
                <w:sz w:val="24"/>
                <w:lang w:val="en-US" w:eastAsia="zh-CN"/>
              </w:rPr>
              <w:t>至污染源的距离</w:t>
            </w:r>
            <w:r>
              <w:rPr>
                <w:rFonts w:hint="default" w:ascii="Times New Roman"/>
                <w:color w:val="auto"/>
                <w:sz w:val="24"/>
              </w:rPr>
              <w:t>取</w:t>
            </w:r>
            <w:r>
              <w:rPr>
                <w:rFonts w:hint="eastAsia" w:ascii="Times New Roman" w:hAnsi="Times New Roman"/>
                <w:color w:val="auto"/>
                <w:sz w:val="24"/>
                <w:lang w:val="en-US" w:eastAsia="zh-CN"/>
              </w:rPr>
              <w:t>0.2</w:t>
            </w:r>
            <w:r>
              <w:rPr>
                <w:rFonts w:hint="default" w:ascii="Times New Roman" w:hAnsi="Times New Roman"/>
                <w:color w:val="auto"/>
                <w:sz w:val="24"/>
              </w:rPr>
              <w:t>m</w:t>
            </w:r>
            <w:r>
              <w:rPr>
                <w:rFonts w:hint="default" w:ascii="Times New Roman"/>
                <w:color w:val="auto"/>
                <w:sz w:val="24"/>
              </w:rPr>
              <w:t>；</w:t>
            </w:r>
          </w:p>
          <w:p w14:paraId="37B8FE66">
            <w:pPr>
              <w:keepNext w:val="0"/>
              <w:keepLines w:val="0"/>
              <w:suppressLineNumbers w:val="0"/>
              <w:spacing w:before="0" w:beforeAutospacing="0" w:after="0" w:afterAutospacing="0" w:line="358" w:lineRule="auto"/>
              <w:ind w:left="0" w:right="0" w:firstLine="480" w:firstLineChars="200"/>
              <w:rPr>
                <w:rFonts w:hint="default" w:ascii="Times New Roman" w:hAnsi="Times New Roman"/>
                <w:color w:val="auto"/>
                <w:sz w:val="24"/>
              </w:rPr>
            </w:pPr>
            <w:r>
              <w:rPr>
                <w:rFonts w:hint="default" w:ascii="Times New Roman" w:hAnsi="Times New Roman"/>
                <w:color w:val="auto"/>
                <w:sz w:val="24"/>
              </w:rPr>
              <w:t>V</w:t>
            </w:r>
            <w:r>
              <w:rPr>
                <w:rFonts w:hint="default" w:ascii="Times New Roman" w:hAnsi="Times New Roman"/>
                <w:color w:val="auto"/>
                <w:sz w:val="24"/>
                <w:vertAlign w:val="subscript"/>
              </w:rPr>
              <w:t>0</w:t>
            </w:r>
            <w:r>
              <w:rPr>
                <w:rFonts w:hint="eastAsia" w:ascii="Times New Roman"/>
                <w:color w:val="auto"/>
                <w:sz w:val="24"/>
              </w:rPr>
              <w:t>：</w:t>
            </w:r>
            <w:r>
              <w:rPr>
                <w:rFonts w:hint="default" w:ascii="Times New Roman"/>
                <w:color w:val="auto"/>
                <w:sz w:val="24"/>
              </w:rPr>
              <w:t>污染源气体流速，一般在</w:t>
            </w:r>
            <w:r>
              <w:rPr>
                <w:rFonts w:hint="default" w:ascii="Times New Roman" w:hAnsi="Times New Roman"/>
                <w:color w:val="auto"/>
                <w:sz w:val="24"/>
              </w:rPr>
              <w:t>0.5m/s</w:t>
            </w:r>
            <w:r>
              <w:rPr>
                <w:rFonts w:hint="default" w:ascii="Times New Roman"/>
                <w:color w:val="auto"/>
                <w:sz w:val="24"/>
              </w:rPr>
              <w:t>～</w:t>
            </w:r>
            <w:r>
              <w:rPr>
                <w:rFonts w:hint="default" w:ascii="Times New Roman" w:hAnsi="Times New Roman"/>
                <w:color w:val="auto"/>
                <w:sz w:val="24"/>
              </w:rPr>
              <w:t>1.5m/s</w:t>
            </w:r>
            <w:r>
              <w:rPr>
                <w:rFonts w:hint="default" w:ascii="Times New Roman"/>
                <w:color w:val="auto"/>
                <w:sz w:val="24"/>
              </w:rPr>
              <w:t>，本次评价取值</w:t>
            </w:r>
            <w:r>
              <w:rPr>
                <w:rFonts w:hint="eastAsia"/>
                <w:color w:val="auto"/>
                <w:sz w:val="24"/>
                <w:lang w:val="en-US" w:eastAsia="zh-CN"/>
              </w:rPr>
              <w:t>1.0</w:t>
            </w:r>
            <w:r>
              <w:rPr>
                <w:rFonts w:hint="default" w:ascii="Times New Roman" w:hAnsi="Times New Roman"/>
                <w:color w:val="auto"/>
                <w:sz w:val="24"/>
              </w:rPr>
              <w:t>m/s。</w:t>
            </w:r>
          </w:p>
          <w:p w14:paraId="66A9D934">
            <w:pPr>
              <w:keepNext w:val="0"/>
              <w:keepLines w:val="0"/>
              <w:suppressLineNumbers w:val="0"/>
              <w:spacing w:before="0" w:beforeAutospacing="0" w:after="0" w:afterAutospacing="0" w:line="358" w:lineRule="auto"/>
              <w:ind w:left="0" w:right="0" w:firstLine="480" w:firstLineChars="200"/>
              <w:rPr>
                <w:rFonts w:hint="default" w:ascii="Times New Roman" w:hAnsi="Times New Roman" w:eastAsia="宋体"/>
                <w:color w:val="auto"/>
                <w:sz w:val="24"/>
                <w:lang w:val="en-US" w:eastAsia="zh-CN"/>
              </w:rPr>
            </w:pPr>
            <w:r>
              <w:rPr>
                <w:rFonts w:hint="eastAsia" w:ascii="Times New Roman" w:hAnsi="Times New Roman"/>
                <w:color w:val="auto"/>
                <w:sz w:val="24"/>
                <w:lang w:val="en-US" w:eastAsia="zh-CN"/>
              </w:rPr>
              <w:t>风机风量核算如下：</w:t>
            </w:r>
          </w:p>
          <w:p w14:paraId="7313EE38">
            <w:pPr>
              <w:keepNext w:val="0"/>
              <w:keepLines w:val="0"/>
              <w:widowControl w:val="0"/>
              <w:suppressLineNumbers w:val="0"/>
              <w:spacing w:before="0" w:beforeAutospacing="0" w:after="0" w:afterAutospacing="0" w:line="360" w:lineRule="auto"/>
              <w:ind w:left="0" w:right="0"/>
              <w:jc w:val="center"/>
              <w:rPr>
                <w:rFonts w:hint="default" w:eastAsia="黑体"/>
                <w:color w:val="auto"/>
                <w:sz w:val="24"/>
                <w:szCs w:val="24"/>
                <w:lang w:val="en-US"/>
              </w:rPr>
            </w:pPr>
            <w:r>
              <w:rPr>
                <w:rFonts w:hint="eastAsia" w:ascii="Times New Roman" w:hAnsi="宋体" w:eastAsia="黑体" w:cs="黑体"/>
                <w:color w:val="auto"/>
                <w:kern w:val="2"/>
                <w:sz w:val="24"/>
                <w:szCs w:val="24"/>
                <w:lang w:val="en-US" w:eastAsia="zh-CN" w:bidi="ar"/>
              </w:rPr>
              <w:t>表</w:t>
            </w:r>
            <w:r>
              <w:rPr>
                <w:rFonts w:hint="eastAsia" w:hAnsi="宋体" w:eastAsia="黑体" w:cs="Times New Roman"/>
                <w:color w:val="auto"/>
                <w:kern w:val="2"/>
                <w:sz w:val="24"/>
                <w:szCs w:val="24"/>
                <w:lang w:val="en-US" w:eastAsia="zh-CN" w:bidi="ar"/>
              </w:rPr>
              <w:t>4-1</w:t>
            </w:r>
            <w:r>
              <w:rPr>
                <w:rFonts w:hint="default" w:ascii="Times New Roman" w:hAnsi="宋体" w:eastAsia="黑体" w:cs="Times New Roman"/>
                <w:color w:val="auto"/>
                <w:kern w:val="2"/>
                <w:sz w:val="24"/>
                <w:szCs w:val="24"/>
                <w:lang w:val="en-US" w:eastAsia="zh-CN" w:bidi="ar"/>
              </w:rPr>
              <w:t xml:space="preserve"> </w:t>
            </w:r>
            <w:r>
              <w:rPr>
                <w:rFonts w:hint="eastAsia" w:hAnsi="宋体" w:eastAsia="黑体" w:cs="Times New Roman"/>
                <w:color w:val="auto"/>
                <w:kern w:val="2"/>
                <w:sz w:val="24"/>
                <w:szCs w:val="24"/>
                <w:lang w:val="en-US" w:eastAsia="zh-CN" w:bidi="ar"/>
              </w:rPr>
              <w:t>注塑</w:t>
            </w:r>
            <w:r>
              <w:rPr>
                <w:rFonts w:hint="eastAsia" w:ascii="Times New Roman" w:hAnsi="宋体" w:eastAsia="黑体" w:cs="黑体"/>
                <w:color w:val="auto"/>
                <w:kern w:val="2"/>
                <w:sz w:val="24"/>
                <w:szCs w:val="24"/>
                <w:lang w:val="en-US" w:eastAsia="zh-CN" w:bidi="ar"/>
              </w:rPr>
              <w:t>废气污染防治设施设计参数一览表</w:t>
            </w:r>
          </w:p>
          <w:tbl>
            <w:tblPr>
              <w:tblStyle w:val="253"/>
              <w:tblW w:w="7936"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47"/>
              <w:gridCol w:w="823"/>
              <w:gridCol w:w="1126"/>
              <w:gridCol w:w="854"/>
              <w:gridCol w:w="1455"/>
              <w:gridCol w:w="1155"/>
              <w:gridCol w:w="975"/>
              <w:gridCol w:w="801"/>
            </w:tblGrid>
            <w:tr w14:paraId="0D5610D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453" w:hRule="atLeast"/>
                <w:jc w:val="center"/>
              </w:trPr>
              <w:tc>
                <w:tcPr>
                  <w:tcW w:w="470" w:type="pct"/>
                  <w:tcBorders>
                    <w:tl2br w:val="nil"/>
                    <w:tr2bl w:val="nil"/>
                  </w:tcBorders>
                  <w:shd w:val="clear" w:color="auto" w:fill="auto"/>
                  <w:vAlign w:val="center"/>
                </w:tcPr>
                <w:p w14:paraId="5A2C75B0">
                  <w:pPr>
                    <w:keepNext w:val="0"/>
                    <w:keepLines w:val="0"/>
                    <w:widowControl w:val="0"/>
                    <w:suppressLineNumbers w:val="0"/>
                    <w:spacing w:before="0" w:beforeAutospacing="0" w:after="0" w:afterAutospacing="0" w:line="276" w:lineRule="auto"/>
                    <w:ind w:left="0" w:right="0"/>
                    <w:jc w:val="center"/>
                    <w:rPr>
                      <w:rFonts w:hint="default"/>
                      <w:b/>
                      <w:bCs/>
                      <w:color w:val="auto"/>
                      <w:szCs w:val="21"/>
                      <w:lang w:val="en-US"/>
                    </w:rPr>
                  </w:pPr>
                  <w:r>
                    <w:rPr>
                      <w:rFonts w:hint="eastAsia" w:ascii="Times New Roman" w:hAnsi="Times New Roman" w:eastAsia="宋体" w:cs="宋体"/>
                      <w:b/>
                      <w:bCs/>
                      <w:color w:val="auto"/>
                      <w:kern w:val="2"/>
                      <w:sz w:val="21"/>
                      <w:szCs w:val="21"/>
                      <w:lang w:val="en-US" w:eastAsia="zh-CN" w:bidi="ar"/>
                    </w:rPr>
                    <w:t>生产工序</w:t>
                  </w:r>
                </w:p>
              </w:tc>
              <w:tc>
                <w:tcPr>
                  <w:tcW w:w="518" w:type="pct"/>
                  <w:tcBorders>
                    <w:tl2br w:val="nil"/>
                    <w:tr2bl w:val="nil"/>
                  </w:tcBorders>
                  <w:shd w:val="clear" w:color="auto" w:fill="auto"/>
                  <w:vAlign w:val="center"/>
                </w:tcPr>
                <w:p w14:paraId="294D0826">
                  <w:pPr>
                    <w:keepNext w:val="0"/>
                    <w:keepLines w:val="0"/>
                    <w:widowControl w:val="0"/>
                    <w:suppressLineNumbers w:val="0"/>
                    <w:spacing w:before="0" w:beforeAutospacing="0" w:after="0" w:afterAutospacing="0" w:line="276" w:lineRule="auto"/>
                    <w:ind w:left="0" w:right="0"/>
                    <w:jc w:val="center"/>
                    <w:rPr>
                      <w:rFonts w:hint="eastAsia" w:ascii="Times New Roman" w:hAnsi="Times New Roman" w:eastAsia="宋体" w:cs="宋体"/>
                      <w:b/>
                      <w:bCs/>
                      <w:color w:val="auto"/>
                      <w:kern w:val="2"/>
                      <w:sz w:val="21"/>
                      <w:szCs w:val="21"/>
                      <w:lang w:val="en-US" w:eastAsia="zh-CN" w:bidi="ar"/>
                    </w:rPr>
                  </w:pPr>
                  <w:r>
                    <w:rPr>
                      <w:rFonts w:hint="eastAsia" w:ascii="Times New Roman" w:hAnsi="Times New Roman" w:eastAsia="宋体" w:cs="宋体"/>
                      <w:b/>
                      <w:bCs/>
                      <w:color w:val="auto"/>
                      <w:kern w:val="2"/>
                      <w:sz w:val="21"/>
                      <w:szCs w:val="21"/>
                      <w:lang w:val="en-US" w:eastAsia="zh-CN" w:bidi="ar"/>
                    </w:rPr>
                    <w:t>设备</w:t>
                  </w:r>
                </w:p>
                <w:p w14:paraId="397BBCCD">
                  <w:pPr>
                    <w:keepNext w:val="0"/>
                    <w:keepLines w:val="0"/>
                    <w:widowControl w:val="0"/>
                    <w:suppressLineNumbers w:val="0"/>
                    <w:spacing w:before="0" w:beforeAutospacing="0" w:after="0" w:afterAutospacing="0" w:line="276" w:lineRule="auto"/>
                    <w:ind w:left="0" w:right="0"/>
                    <w:jc w:val="center"/>
                    <w:rPr>
                      <w:rFonts w:hint="default" w:ascii="Times New Roman" w:hAnsi="Times New Roman" w:eastAsia="宋体" w:cs="宋体"/>
                      <w:b/>
                      <w:bCs/>
                      <w:color w:val="auto"/>
                      <w:kern w:val="2"/>
                      <w:sz w:val="21"/>
                      <w:szCs w:val="21"/>
                      <w:lang w:val="en-US" w:eastAsia="zh-CN" w:bidi="ar"/>
                    </w:rPr>
                  </w:pPr>
                  <w:r>
                    <w:rPr>
                      <w:rFonts w:hint="eastAsia" w:ascii="Times New Roman" w:hAnsi="Times New Roman" w:eastAsia="宋体" w:cs="宋体"/>
                      <w:b/>
                      <w:bCs/>
                      <w:color w:val="auto"/>
                      <w:kern w:val="2"/>
                      <w:sz w:val="21"/>
                      <w:szCs w:val="21"/>
                      <w:lang w:val="en-US" w:eastAsia="zh-CN" w:bidi="ar"/>
                    </w:rPr>
                    <w:t>名称</w:t>
                  </w:r>
                </w:p>
              </w:tc>
              <w:tc>
                <w:tcPr>
                  <w:tcW w:w="709" w:type="pct"/>
                  <w:tcBorders>
                    <w:tl2br w:val="nil"/>
                    <w:tr2bl w:val="nil"/>
                  </w:tcBorders>
                  <w:shd w:val="clear" w:color="auto" w:fill="auto"/>
                  <w:vAlign w:val="center"/>
                </w:tcPr>
                <w:p w14:paraId="1365344D">
                  <w:pPr>
                    <w:keepNext w:val="0"/>
                    <w:keepLines w:val="0"/>
                    <w:widowControl w:val="0"/>
                    <w:suppressLineNumbers w:val="0"/>
                    <w:spacing w:before="0" w:beforeAutospacing="0" w:after="0" w:afterAutospacing="0" w:line="276" w:lineRule="auto"/>
                    <w:ind w:left="0" w:right="0"/>
                    <w:jc w:val="center"/>
                    <w:rPr>
                      <w:rFonts w:hint="eastAsia" w:ascii="Times New Roman" w:hAnsi="Times New Roman" w:eastAsia="宋体" w:cs="宋体"/>
                      <w:b/>
                      <w:bCs/>
                      <w:color w:val="auto"/>
                      <w:kern w:val="2"/>
                      <w:sz w:val="21"/>
                      <w:szCs w:val="21"/>
                      <w:lang w:val="en-US" w:eastAsia="zh-CN" w:bidi="ar"/>
                    </w:rPr>
                  </w:pPr>
                  <w:r>
                    <w:rPr>
                      <w:rFonts w:hint="eastAsia" w:ascii="Times New Roman" w:hAnsi="Times New Roman" w:eastAsia="宋体" w:cs="宋体"/>
                      <w:b/>
                      <w:bCs/>
                      <w:color w:val="auto"/>
                      <w:kern w:val="2"/>
                      <w:sz w:val="21"/>
                      <w:szCs w:val="21"/>
                      <w:lang w:val="en-US" w:eastAsia="zh-CN" w:bidi="ar"/>
                    </w:rPr>
                    <w:t>集气罩</w:t>
                  </w:r>
                </w:p>
                <w:p w14:paraId="304D0CBD">
                  <w:pPr>
                    <w:keepNext w:val="0"/>
                    <w:keepLines w:val="0"/>
                    <w:widowControl w:val="0"/>
                    <w:suppressLineNumbers w:val="0"/>
                    <w:spacing w:before="0" w:beforeAutospacing="0" w:after="0" w:afterAutospacing="0" w:line="276" w:lineRule="auto"/>
                    <w:ind w:left="0" w:right="0"/>
                    <w:jc w:val="center"/>
                    <w:rPr>
                      <w:rFonts w:hint="default"/>
                      <w:b/>
                      <w:bCs/>
                      <w:color w:val="auto"/>
                      <w:szCs w:val="21"/>
                      <w:lang w:val="en-US"/>
                    </w:rPr>
                  </w:pPr>
                  <w:r>
                    <w:rPr>
                      <w:rFonts w:hint="eastAsia" w:ascii="Times New Roman" w:hAnsi="Times New Roman" w:eastAsia="宋体" w:cs="宋体"/>
                      <w:b/>
                      <w:bCs/>
                      <w:color w:val="auto"/>
                      <w:kern w:val="2"/>
                      <w:sz w:val="21"/>
                      <w:szCs w:val="21"/>
                      <w:lang w:val="en-US" w:eastAsia="zh-CN" w:bidi="ar"/>
                    </w:rPr>
                    <w:t>设置情况</w:t>
                  </w:r>
                </w:p>
              </w:tc>
              <w:tc>
                <w:tcPr>
                  <w:tcW w:w="538" w:type="pct"/>
                  <w:tcBorders>
                    <w:tl2br w:val="nil"/>
                    <w:tr2bl w:val="nil"/>
                  </w:tcBorders>
                  <w:shd w:val="clear" w:color="auto" w:fill="auto"/>
                  <w:vAlign w:val="center"/>
                </w:tcPr>
                <w:p w14:paraId="28D5EC3E">
                  <w:pPr>
                    <w:keepNext w:val="0"/>
                    <w:keepLines w:val="0"/>
                    <w:widowControl w:val="0"/>
                    <w:suppressLineNumbers w:val="0"/>
                    <w:spacing w:before="0" w:beforeAutospacing="0" w:after="0" w:afterAutospacing="0" w:line="276" w:lineRule="auto"/>
                    <w:ind w:left="0" w:right="0"/>
                    <w:jc w:val="center"/>
                    <w:rPr>
                      <w:rFonts w:hint="eastAsia" w:ascii="Times New Roman" w:hAnsi="Times New Roman" w:eastAsia="宋体" w:cs="宋体"/>
                      <w:b/>
                      <w:bCs/>
                      <w:color w:val="auto"/>
                      <w:kern w:val="2"/>
                      <w:sz w:val="21"/>
                      <w:szCs w:val="21"/>
                      <w:lang w:val="en-US" w:eastAsia="zh-CN" w:bidi="ar"/>
                    </w:rPr>
                  </w:pPr>
                  <w:r>
                    <w:rPr>
                      <w:rFonts w:hint="eastAsia" w:ascii="Times New Roman" w:hAnsi="Times New Roman" w:eastAsia="宋体" w:cs="宋体"/>
                      <w:b/>
                      <w:bCs/>
                      <w:color w:val="auto"/>
                      <w:kern w:val="2"/>
                      <w:sz w:val="21"/>
                      <w:szCs w:val="21"/>
                      <w:lang w:val="en-US" w:eastAsia="zh-CN" w:bidi="ar"/>
                    </w:rPr>
                    <w:t>集气罩</w:t>
                  </w:r>
                </w:p>
                <w:p w14:paraId="71FB89D2">
                  <w:pPr>
                    <w:keepNext w:val="0"/>
                    <w:keepLines w:val="0"/>
                    <w:widowControl w:val="0"/>
                    <w:suppressLineNumbers w:val="0"/>
                    <w:spacing w:before="0" w:beforeAutospacing="0" w:after="0" w:afterAutospacing="0" w:line="276" w:lineRule="auto"/>
                    <w:ind w:left="0" w:right="0"/>
                    <w:jc w:val="center"/>
                    <w:rPr>
                      <w:rFonts w:hint="default"/>
                      <w:b/>
                      <w:bCs/>
                      <w:color w:val="auto"/>
                      <w:szCs w:val="21"/>
                      <w:lang w:val="en-US"/>
                    </w:rPr>
                  </w:pPr>
                  <w:r>
                    <w:rPr>
                      <w:rFonts w:hint="eastAsia" w:ascii="Times New Roman" w:hAnsi="Times New Roman" w:eastAsia="宋体" w:cs="宋体"/>
                      <w:b/>
                      <w:bCs/>
                      <w:color w:val="auto"/>
                      <w:kern w:val="2"/>
                      <w:sz w:val="21"/>
                      <w:szCs w:val="21"/>
                      <w:lang w:val="en-US" w:eastAsia="zh-CN" w:bidi="ar"/>
                    </w:rPr>
                    <w:t>数量/个</w:t>
                  </w:r>
                </w:p>
              </w:tc>
              <w:tc>
                <w:tcPr>
                  <w:tcW w:w="916" w:type="pct"/>
                  <w:tcBorders>
                    <w:tl2br w:val="nil"/>
                    <w:tr2bl w:val="nil"/>
                  </w:tcBorders>
                  <w:shd w:val="clear" w:color="auto" w:fill="auto"/>
                  <w:vAlign w:val="center"/>
                </w:tcPr>
                <w:p w14:paraId="0639E46D">
                  <w:pPr>
                    <w:keepNext w:val="0"/>
                    <w:keepLines w:val="0"/>
                    <w:widowControl w:val="0"/>
                    <w:suppressLineNumbers w:val="0"/>
                    <w:spacing w:before="0" w:beforeAutospacing="0" w:after="0" w:afterAutospacing="0" w:line="276" w:lineRule="auto"/>
                    <w:ind w:left="0" w:right="0"/>
                    <w:jc w:val="center"/>
                    <w:rPr>
                      <w:rFonts w:hint="eastAsia" w:ascii="Times New Roman" w:hAnsi="Times New Roman" w:eastAsia="宋体" w:cs="宋体"/>
                      <w:b/>
                      <w:bCs/>
                      <w:color w:val="auto"/>
                      <w:kern w:val="2"/>
                      <w:sz w:val="21"/>
                      <w:szCs w:val="21"/>
                      <w:lang w:val="en-US" w:eastAsia="zh-CN" w:bidi="ar"/>
                    </w:rPr>
                  </w:pPr>
                  <w:r>
                    <w:rPr>
                      <w:rFonts w:hint="eastAsia" w:ascii="Times New Roman" w:hAnsi="Times New Roman" w:eastAsia="宋体" w:cs="宋体"/>
                      <w:b/>
                      <w:bCs/>
                      <w:color w:val="auto"/>
                      <w:kern w:val="2"/>
                      <w:sz w:val="21"/>
                      <w:szCs w:val="21"/>
                      <w:lang w:val="en-US" w:eastAsia="zh-CN" w:bidi="ar"/>
                    </w:rPr>
                    <w:t>集气罩尺寸</w:t>
                  </w:r>
                </w:p>
                <w:p w14:paraId="2266F440">
                  <w:pPr>
                    <w:keepNext w:val="0"/>
                    <w:keepLines w:val="0"/>
                    <w:widowControl w:val="0"/>
                    <w:suppressLineNumbers w:val="0"/>
                    <w:spacing w:before="0" w:beforeAutospacing="0" w:after="0" w:afterAutospacing="0" w:line="276" w:lineRule="auto"/>
                    <w:ind w:left="0" w:leftChars="0" w:right="0" w:rightChars="0"/>
                    <w:jc w:val="center"/>
                    <w:rPr>
                      <w:rFonts w:hint="default"/>
                      <w:b/>
                      <w:bCs/>
                      <w:color w:val="auto"/>
                      <w:szCs w:val="21"/>
                      <w:lang w:val="en-US"/>
                    </w:rPr>
                  </w:pPr>
                  <w:r>
                    <w:rPr>
                      <w:rFonts w:hint="eastAsia" w:ascii="Times New Roman" w:hAnsi="Times New Roman" w:eastAsia="宋体" w:cs="宋体"/>
                      <w:b/>
                      <w:bCs/>
                      <w:color w:val="auto"/>
                      <w:kern w:val="2"/>
                      <w:sz w:val="21"/>
                      <w:szCs w:val="21"/>
                      <w:lang w:val="en-US" w:eastAsia="zh-CN" w:bidi="ar"/>
                    </w:rPr>
                    <w:t>（长</w:t>
                  </w:r>
                  <w:r>
                    <w:rPr>
                      <w:rFonts w:hint="eastAsia" w:cs="宋体"/>
                      <w:b/>
                      <w:bCs/>
                      <w:color w:val="auto"/>
                      <w:kern w:val="2"/>
                      <w:sz w:val="21"/>
                      <w:szCs w:val="21"/>
                      <w:lang w:val="en-US" w:eastAsia="zh-CN" w:bidi="ar"/>
                    </w:rPr>
                    <w:t>m</w:t>
                  </w:r>
                  <w:r>
                    <w:rPr>
                      <w:rFonts w:hint="eastAsia" w:ascii="Times New Roman" w:hAnsi="Times New Roman" w:eastAsia="宋体" w:cs="宋体"/>
                      <w:b/>
                      <w:bCs/>
                      <w:color w:val="auto"/>
                      <w:kern w:val="2"/>
                      <w:sz w:val="21"/>
                      <w:szCs w:val="21"/>
                      <w:lang w:val="en-US" w:eastAsia="zh-CN" w:bidi="ar"/>
                    </w:rPr>
                    <w:t>×宽</w:t>
                  </w:r>
                  <w:r>
                    <w:rPr>
                      <w:rFonts w:hint="eastAsia" w:cs="宋体"/>
                      <w:b/>
                      <w:bCs/>
                      <w:color w:val="auto"/>
                      <w:kern w:val="2"/>
                      <w:sz w:val="21"/>
                      <w:szCs w:val="21"/>
                      <w:lang w:val="en-US" w:eastAsia="zh-CN" w:bidi="ar"/>
                    </w:rPr>
                    <w:t>m</w:t>
                  </w:r>
                  <w:r>
                    <w:rPr>
                      <w:rFonts w:hint="eastAsia" w:ascii="Times New Roman" w:hAnsi="Times New Roman" w:eastAsia="宋体" w:cs="宋体"/>
                      <w:b/>
                      <w:bCs/>
                      <w:color w:val="auto"/>
                      <w:kern w:val="2"/>
                      <w:sz w:val="21"/>
                      <w:szCs w:val="21"/>
                      <w:lang w:val="en-US" w:eastAsia="zh-CN" w:bidi="ar"/>
                    </w:rPr>
                    <w:t>）</w:t>
                  </w:r>
                </w:p>
              </w:tc>
              <w:tc>
                <w:tcPr>
                  <w:tcW w:w="727" w:type="pct"/>
                  <w:tcBorders>
                    <w:tl2br w:val="nil"/>
                    <w:tr2bl w:val="nil"/>
                  </w:tcBorders>
                  <w:shd w:val="clear" w:color="auto" w:fill="auto"/>
                  <w:vAlign w:val="center"/>
                </w:tcPr>
                <w:p w14:paraId="319017BC">
                  <w:pPr>
                    <w:keepNext w:val="0"/>
                    <w:keepLines w:val="0"/>
                    <w:widowControl w:val="0"/>
                    <w:suppressLineNumbers w:val="0"/>
                    <w:spacing w:before="0" w:beforeAutospacing="0" w:after="0" w:afterAutospacing="0" w:line="276" w:lineRule="auto"/>
                    <w:ind w:left="0" w:leftChars="0" w:right="0" w:rightChars="0"/>
                    <w:jc w:val="center"/>
                    <w:rPr>
                      <w:rFonts w:hint="eastAsia" w:cs="宋体"/>
                      <w:b/>
                      <w:bCs/>
                      <w:color w:val="auto"/>
                      <w:kern w:val="2"/>
                      <w:sz w:val="21"/>
                      <w:szCs w:val="21"/>
                      <w:lang w:val="en-US" w:eastAsia="zh-CN" w:bidi="ar"/>
                    </w:rPr>
                  </w:pPr>
                  <w:r>
                    <w:rPr>
                      <w:rFonts w:hint="eastAsia" w:cs="宋体"/>
                      <w:b/>
                      <w:bCs/>
                      <w:color w:val="auto"/>
                      <w:kern w:val="2"/>
                      <w:sz w:val="21"/>
                      <w:szCs w:val="21"/>
                      <w:lang w:val="en-US" w:eastAsia="zh-CN" w:bidi="ar"/>
                    </w:rPr>
                    <w:t>罩口至污染源距离</w:t>
                  </w:r>
                </w:p>
                <w:p w14:paraId="72AB6953">
                  <w:pPr>
                    <w:keepNext w:val="0"/>
                    <w:keepLines w:val="0"/>
                    <w:widowControl w:val="0"/>
                    <w:suppressLineNumbers w:val="0"/>
                    <w:spacing w:before="0" w:beforeAutospacing="0" w:after="0" w:afterAutospacing="0" w:line="276" w:lineRule="auto"/>
                    <w:ind w:left="0" w:leftChars="0" w:right="0" w:rightChars="0"/>
                    <w:jc w:val="center"/>
                    <w:rPr>
                      <w:rFonts w:hint="eastAsia" w:ascii="Times New Roman" w:hAnsi="Times New Roman" w:eastAsia="宋体" w:cs="宋体"/>
                      <w:b/>
                      <w:bCs/>
                      <w:color w:val="auto"/>
                      <w:kern w:val="2"/>
                      <w:sz w:val="21"/>
                      <w:szCs w:val="21"/>
                      <w:lang w:val="en-US" w:eastAsia="zh-CN" w:bidi="ar"/>
                    </w:rPr>
                  </w:pPr>
                  <w:r>
                    <w:rPr>
                      <w:rFonts w:hint="eastAsia" w:cs="宋体"/>
                      <w:b/>
                      <w:bCs/>
                      <w:color w:val="auto"/>
                      <w:kern w:val="2"/>
                      <w:sz w:val="21"/>
                      <w:szCs w:val="21"/>
                      <w:lang w:val="en-US" w:eastAsia="zh-CN" w:bidi="ar"/>
                    </w:rPr>
                    <w:t>/m</w:t>
                  </w:r>
                </w:p>
              </w:tc>
              <w:tc>
                <w:tcPr>
                  <w:tcW w:w="614" w:type="pct"/>
                  <w:tcBorders>
                    <w:tl2br w:val="nil"/>
                    <w:tr2bl w:val="nil"/>
                  </w:tcBorders>
                  <w:shd w:val="clear" w:color="auto" w:fill="auto"/>
                  <w:vAlign w:val="center"/>
                </w:tcPr>
                <w:p w14:paraId="6C5173CD">
                  <w:pPr>
                    <w:keepNext w:val="0"/>
                    <w:keepLines w:val="0"/>
                    <w:widowControl w:val="0"/>
                    <w:suppressLineNumbers w:val="0"/>
                    <w:spacing w:before="0" w:beforeAutospacing="0" w:after="0" w:afterAutospacing="0" w:line="276" w:lineRule="auto"/>
                    <w:ind w:left="0" w:leftChars="0" w:right="0" w:rightChars="0"/>
                    <w:jc w:val="center"/>
                    <w:rPr>
                      <w:rFonts w:hint="eastAsia" w:ascii="Times New Roman" w:hAnsi="Times New Roman" w:eastAsia="宋体" w:cs="宋体"/>
                      <w:b/>
                      <w:bCs/>
                      <w:color w:val="auto"/>
                      <w:kern w:val="2"/>
                      <w:sz w:val="21"/>
                      <w:szCs w:val="21"/>
                      <w:lang w:val="en-US" w:eastAsia="zh-CN" w:bidi="ar"/>
                    </w:rPr>
                  </w:pPr>
                  <w:r>
                    <w:rPr>
                      <w:rFonts w:hint="eastAsia" w:ascii="Times New Roman" w:hAnsi="Times New Roman" w:eastAsia="宋体" w:cs="宋体"/>
                      <w:b/>
                      <w:bCs/>
                      <w:color w:val="auto"/>
                      <w:kern w:val="2"/>
                      <w:sz w:val="21"/>
                      <w:szCs w:val="21"/>
                      <w:lang w:val="en-US" w:eastAsia="zh-CN" w:bidi="ar"/>
                    </w:rPr>
                    <w:t>计算</w:t>
                  </w:r>
                </w:p>
                <w:p w14:paraId="24691374">
                  <w:pPr>
                    <w:keepNext w:val="0"/>
                    <w:keepLines w:val="0"/>
                    <w:widowControl w:val="0"/>
                    <w:suppressLineNumbers w:val="0"/>
                    <w:spacing w:before="0" w:beforeAutospacing="0" w:after="0" w:afterAutospacing="0" w:line="276" w:lineRule="auto"/>
                    <w:ind w:left="0" w:leftChars="0" w:right="0" w:rightChars="0"/>
                    <w:jc w:val="center"/>
                    <w:rPr>
                      <w:rFonts w:hint="eastAsia" w:ascii="Times New Roman" w:hAnsi="Times New Roman" w:eastAsia="宋体" w:cs="宋体"/>
                      <w:b/>
                      <w:bCs/>
                      <w:color w:val="auto"/>
                      <w:kern w:val="2"/>
                      <w:sz w:val="21"/>
                      <w:szCs w:val="21"/>
                      <w:lang w:val="en-US" w:eastAsia="zh-CN" w:bidi="ar"/>
                    </w:rPr>
                  </w:pPr>
                  <w:r>
                    <w:rPr>
                      <w:rFonts w:hint="eastAsia" w:ascii="Times New Roman" w:hAnsi="Times New Roman" w:eastAsia="宋体" w:cs="宋体"/>
                      <w:b/>
                      <w:bCs/>
                      <w:color w:val="auto"/>
                      <w:kern w:val="2"/>
                      <w:sz w:val="21"/>
                      <w:szCs w:val="21"/>
                      <w:lang w:val="en-US" w:eastAsia="zh-CN" w:bidi="ar"/>
                    </w:rPr>
                    <w:t>风量</w:t>
                  </w:r>
                </w:p>
                <w:p w14:paraId="407BEE35">
                  <w:pPr>
                    <w:keepNext w:val="0"/>
                    <w:keepLines w:val="0"/>
                    <w:widowControl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
                    </w:rPr>
                    <w:t>m</w:t>
                  </w:r>
                  <w:r>
                    <w:rPr>
                      <w:rFonts w:hint="default" w:ascii="Times New Roman" w:hAnsi="Times New Roman" w:eastAsia="宋体" w:cs="Times New Roman"/>
                      <w:b/>
                      <w:bCs/>
                      <w:color w:val="auto"/>
                      <w:kern w:val="2"/>
                      <w:sz w:val="21"/>
                      <w:szCs w:val="21"/>
                      <w:vertAlign w:val="superscript"/>
                      <w:lang w:val="en-US" w:eastAsia="zh-CN" w:bidi="ar"/>
                    </w:rPr>
                    <w:t>3</w:t>
                  </w:r>
                  <w:r>
                    <w:rPr>
                      <w:rFonts w:hint="default" w:ascii="Times New Roman" w:hAnsi="Times New Roman" w:eastAsia="宋体" w:cs="Times New Roman"/>
                      <w:b/>
                      <w:bCs/>
                      <w:color w:val="auto"/>
                      <w:kern w:val="2"/>
                      <w:sz w:val="21"/>
                      <w:szCs w:val="21"/>
                      <w:lang w:val="en-US" w:eastAsia="zh-CN" w:bidi="ar"/>
                    </w:rPr>
                    <w:t>/h</w:t>
                  </w:r>
                </w:p>
              </w:tc>
              <w:tc>
                <w:tcPr>
                  <w:tcW w:w="504" w:type="pct"/>
                  <w:tcBorders>
                    <w:tl2br w:val="nil"/>
                    <w:tr2bl w:val="nil"/>
                  </w:tcBorders>
                  <w:shd w:val="clear" w:color="auto" w:fill="auto"/>
                  <w:vAlign w:val="center"/>
                </w:tcPr>
                <w:p w14:paraId="041F4962">
                  <w:pPr>
                    <w:keepNext w:val="0"/>
                    <w:keepLines w:val="0"/>
                    <w:widowControl w:val="0"/>
                    <w:suppressLineNumbers w:val="0"/>
                    <w:spacing w:before="0" w:beforeAutospacing="0" w:after="0" w:afterAutospacing="0" w:line="276" w:lineRule="auto"/>
                    <w:ind w:left="0" w:right="0"/>
                    <w:jc w:val="center"/>
                    <w:rPr>
                      <w:rFonts w:hint="eastAsia"/>
                      <w:b/>
                      <w:bCs/>
                      <w:color w:val="auto"/>
                      <w:szCs w:val="21"/>
                      <w:lang w:val="en-US" w:eastAsia="zh-CN"/>
                    </w:rPr>
                  </w:pPr>
                  <w:r>
                    <w:rPr>
                      <w:rFonts w:hint="eastAsia"/>
                      <w:b/>
                      <w:bCs/>
                      <w:color w:val="auto"/>
                      <w:szCs w:val="21"/>
                      <w:lang w:val="en-US" w:eastAsia="zh-CN"/>
                    </w:rPr>
                    <w:t>设计</w:t>
                  </w:r>
                </w:p>
                <w:p w14:paraId="39D022DB">
                  <w:pPr>
                    <w:keepNext w:val="0"/>
                    <w:keepLines w:val="0"/>
                    <w:widowControl w:val="0"/>
                    <w:suppressLineNumbers w:val="0"/>
                    <w:spacing w:before="0" w:beforeAutospacing="0" w:after="0" w:afterAutospacing="0" w:line="276" w:lineRule="auto"/>
                    <w:ind w:left="0" w:right="0"/>
                    <w:jc w:val="center"/>
                    <w:rPr>
                      <w:rFonts w:hint="eastAsia"/>
                      <w:b/>
                      <w:bCs/>
                      <w:color w:val="auto"/>
                      <w:szCs w:val="21"/>
                      <w:lang w:val="en-US" w:eastAsia="zh-CN"/>
                    </w:rPr>
                  </w:pPr>
                  <w:r>
                    <w:rPr>
                      <w:rFonts w:hint="eastAsia"/>
                      <w:b/>
                      <w:bCs/>
                      <w:color w:val="auto"/>
                      <w:szCs w:val="21"/>
                      <w:lang w:val="en-US" w:eastAsia="zh-CN"/>
                    </w:rPr>
                    <w:t>风量</w:t>
                  </w:r>
                </w:p>
                <w:p w14:paraId="6A9447D2">
                  <w:pPr>
                    <w:keepNext w:val="0"/>
                    <w:keepLines w:val="0"/>
                    <w:widowControl w:val="0"/>
                    <w:suppressLineNumbers w:val="0"/>
                    <w:spacing w:before="0" w:beforeAutospacing="0" w:after="0" w:afterAutospacing="0" w:line="276" w:lineRule="auto"/>
                    <w:ind w:left="0" w:right="0"/>
                    <w:jc w:val="center"/>
                    <w:rPr>
                      <w:rFonts w:hint="default"/>
                      <w:b/>
                      <w:bCs/>
                      <w:color w:val="auto"/>
                      <w:szCs w:val="21"/>
                      <w:lang w:val="en-US" w:eastAsia="zh-CN"/>
                    </w:rPr>
                  </w:pPr>
                  <w:r>
                    <w:rPr>
                      <w:rFonts w:hint="default" w:ascii="Times New Roman" w:hAnsi="Times New Roman" w:eastAsia="宋体" w:cs="Times New Roman"/>
                      <w:b/>
                      <w:bCs/>
                      <w:color w:val="auto"/>
                      <w:kern w:val="2"/>
                      <w:sz w:val="21"/>
                      <w:szCs w:val="21"/>
                      <w:lang w:val="en-US" w:eastAsia="zh-CN" w:bidi="ar"/>
                    </w:rPr>
                    <w:t>m</w:t>
                  </w:r>
                  <w:r>
                    <w:rPr>
                      <w:rFonts w:hint="default" w:ascii="Times New Roman" w:hAnsi="Times New Roman" w:eastAsia="宋体" w:cs="Times New Roman"/>
                      <w:b/>
                      <w:bCs/>
                      <w:color w:val="auto"/>
                      <w:kern w:val="2"/>
                      <w:sz w:val="21"/>
                      <w:szCs w:val="21"/>
                      <w:vertAlign w:val="superscript"/>
                      <w:lang w:val="en-US" w:eastAsia="zh-CN" w:bidi="ar"/>
                    </w:rPr>
                    <w:t>3</w:t>
                  </w:r>
                  <w:r>
                    <w:rPr>
                      <w:rFonts w:hint="default" w:ascii="Times New Roman" w:hAnsi="Times New Roman" w:eastAsia="宋体" w:cs="Times New Roman"/>
                      <w:b/>
                      <w:bCs/>
                      <w:color w:val="auto"/>
                      <w:kern w:val="2"/>
                      <w:sz w:val="21"/>
                      <w:szCs w:val="21"/>
                      <w:lang w:val="en-US" w:eastAsia="zh-CN" w:bidi="ar"/>
                    </w:rPr>
                    <w:t>/h</w:t>
                  </w:r>
                </w:p>
              </w:tc>
            </w:tr>
            <w:tr w14:paraId="543082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471" w:hRule="atLeast"/>
                <w:jc w:val="center"/>
              </w:trPr>
              <w:tc>
                <w:tcPr>
                  <w:tcW w:w="470" w:type="pct"/>
                  <w:tcBorders>
                    <w:tl2br w:val="nil"/>
                    <w:tr2bl w:val="nil"/>
                  </w:tcBorders>
                  <w:shd w:val="clear" w:color="auto" w:fill="auto"/>
                  <w:vAlign w:val="center"/>
                </w:tcPr>
                <w:p w14:paraId="480A0F31">
                  <w:pPr>
                    <w:keepNext w:val="0"/>
                    <w:keepLines w:val="0"/>
                    <w:widowControl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注塑</w:t>
                  </w:r>
                </w:p>
              </w:tc>
              <w:tc>
                <w:tcPr>
                  <w:tcW w:w="518" w:type="pct"/>
                  <w:tcBorders>
                    <w:tl2br w:val="nil"/>
                    <w:tr2bl w:val="nil"/>
                  </w:tcBorders>
                  <w:shd w:val="clear" w:color="auto" w:fill="auto"/>
                  <w:vAlign w:val="center"/>
                </w:tcPr>
                <w:p w14:paraId="3C76D213">
                  <w:pPr>
                    <w:keepNext w:val="0"/>
                    <w:keepLines w:val="0"/>
                    <w:widowControl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注塑机</w:t>
                  </w:r>
                </w:p>
              </w:tc>
              <w:tc>
                <w:tcPr>
                  <w:tcW w:w="709" w:type="pct"/>
                  <w:tcBorders>
                    <w:tl2br w:val="nil"/>
                    <w:tr2bl w:val="nil"/>
                  </w:tcBorders>
                  <w:shd w:val="clear" w:color="auto" w:fill="auto"/>
                  <w:vAlign w:val="center"/>
                </w:tcPr>
                <w:p w14:paraId="2BD0C39A">
                  <w:pPr>
                    <w:keepNext w:val="0"/>
                    <w:keepLines w:val="0"/>
                    <w:widowControl w:val="0"/>
                    <w:suppressLineNumbers w:val="0"/>
                    <w:spacing w:before="0" w:beforeAutospacing="0" w:after="0" w:afterAutospacing="0" w:line="276" w:lineRule="auto"/>
                    <w:ind w:left="0" w:right="0"/>
                    <w:jc w:val="center"/>
                    <w:rPr>
                      <w:rFonts w:hint="default"/>
                      <w:color w:val="auto"/>
                      <w:szCs w:val="21"/>
                      <w:lang w:val="en-US"/>
                    </w:rPr>
                  </w:pPr>
                  <w:r>
                    <w:rPr>
                      <w:rFonts w:hint="eastAsia" w:cs="宋体"/>
                      <w:color w:val="auto"/>
                      <w:kern w:val="2"/>
                      <w:sz w:val="21"/>
                      <w:szCs w:val="21"/>
                      <w:lang w:val="en-US" w:eastAsia="zh-CN" w:bidi="ar"/>
                    </w:rPr>
                    <w:t>泄气口</w:t>
                  </w:r>
                  <w:r>
                    <w:rPr>
                      <w:rFonts w:hint="eastAsia" w:ascii="Times New Roman" w:hAnsi="Times New Roman" w:eastAsia="宋体" w:cs="宋体"/>
                      <w:color w:val="auto"/>
                      <w:kern w:val="2"/>
                      <w:sz w:val="21"/>
                      <w:szCs w:val="21"/>
                      <w:lang w:val="en-US" w:eastAsia="zh-CN" w:bidi="ar"/>
                    </w:rPr>
                    <w:t>上方设置</w:t>
                  </w:r>
                  <w:r>
                    <w:rPr>
                      <w:rFonts w:hint="eastAsia" w:cs="宋体"/>
                      <w:color w:val="auto"/>
                      <w:kern w:val="2"/>
                      <w:sz w:val="21"/>
                      <w:szCs w:val="21"/>
                      <w:lang w:val="en-US" w:eastAsia="zh-CN" w:bidi="ar"/>
                    </w:rPr>
                    <w:t>外部顶吸式</w:t>
                  </w:r>
                  <w:r>
                    <w:rPr>
                      <w:rFonts w:hint="eastAsia" w:ascii="Times New Roman" w:hAnsi="Times New Roman" w:eastAsia="宋体" w:cs="宋体"/>
                      <w:color w:val="auto"/>
                      <w:kern w:val="2"/>
                      <w:sz w:val="21"/>
                      <w:szCs w:val="21"/>
                      <w:lang w:val="en-US" w:eastAsia="zh-CN" w:bidi="ar"/>
                    </w:rPr>
                    <w:t>集气罩</w:t>
                  </w:r>
                </w:p>
              </w:tc>
              <w:tc>
                <w:tcPr>
                  <w:tcW w:w="538" w:type="pct"/>
                  <w:tcBorders>
                    <w:tl2br w:val="nil"/>
                    <w:tr2bl w:val="nil"/>
                  </w:tcBorders>
                  <w:shd w:val="clear" w:color="auto" w:fill="auto"/>
                  <w:vAlign w:val="center"/>
                </w:tcPr>
                <w:p w14:paraId="4680247C">
                  <w:pPr>
                    <w:keepNext w:val="0"/>
                    <w:keepLines w:val="0"/>
                    <w:widowControl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16</w:t>
                  </w:r>
                </w:p>
              </w:tc>
              <w:tc>
                <w:tcPr>
                  <w:tcW w:w="916" w:type="pct"/>
                  <w:tcBorders>
                    <w:tl2br w:val="nil"/>
                    <w:tr2bl w:val="nil"/>
                  </w:tcBorders>
                  <w:shd w:val="clear" w:color="auto" w:fill="auto"/>
                  <w:vAlign w:val="center"/>
                </w:tcPr>
                <w:p w14:paraId="265E638C">
                  <w:pPr>
                    <w:keepNext w:val="0"/>
                    <w:keepLines w:val="0"/>
                    <w:widowControl w:val="0"/>
                    <w:suppressLineNumbers w:val="0"/>
                    <w:spacing w:before="0" w:beforeAutospacing="0" w:after="0" w:afterAutospacing="0" w:line="276" w:lineRule="auto"/>
                    <w:ind w:left="0" w:leftChars="0" w:right="0" w:rightChars="0"/>
                    <w:jc w:val="center"/>
                    <w:rPr>
                      <w:rFonts w:hint="default"/>
                      <w:color w:val="auto"/>
                      <w:szCs w:val="21"/>
                      <w:lang w:val="en-US"/>
                    </w:rPr>
                  </w:pPr>
                  <w:r>
                    <w:rPr>
                      <w:rFonts w:hint="eastAsia" w:cs="Times New Roman"/>
                      <w:color w:val="auto"/>
                      <w:kern w:val="2"/>
                      <w:sz w:val="21"/>
                      <w:szCs w:val="21"/>
                      <w:lang w:val="en-US" w:eastAsia="zh-CN" w:bidi="ar"/>
                    </w:rPr>
                    <w:t>0.5</w:t>
                  </w:r>
                  <w:r>
                    <w:rPr>
                      <w:rFonts w:hint="eastAsia" w:ascii="Times New Roman" w:hAnsi="Times New Roman" w:eastAsia="宋体" w:cs="Times New Roman"/>
                      <w:color w:val="auto"/>
                      <w:kern w:val="2"/>
                      <w:sz w:val="21"/>
                      <w:szCs w:val="21"/>
                      <w:lang w:val="en-US" w:eastAsia="zh-CN" w:bidi="ar"/>
                    </w:rPr>
                    <w:t>×</w:t>
                  </w:r>
                  <w:r>
                    <w:rPr>
                      <w:rFonts w:hint="eastAsia" w:cs="Times New Roman"/>
                      <w:color w:val="auto"/>
                      <w:kern w:val="2"/>
                      <w:sz w:val="21"/>
                      <w:szCs w:val="21"/>
                      <w:lang w:val="en-US" w:eastAsia="zh-CN" w:bidi="ar"/>
                    </w:rPr>
                    <w:t>0.5</w:t>
                  </w:r>
                </w:p>
              </w:tc>
              <w:tc>
                <w:tcPr>
                  <w:tcW w:w="727" w:type="pct"/>
                  <w:tcBorders>
                    <w:tl2br w:val="nil"/>
                    <w:tr2bl w:val="nil"/>
                  </w:tcBorders>
                  <w:shd w:val="clear" w:color="auto" w:fill="auto"/>
                  <w:vAlign w:val="center"/>
                </w:tcPr>
                <w:p w14:paraId="6ED0D60E">
                  <w:pPr>
                    <w:keepNext w:val="0"/>
                    <w:keepLines w:val="0"/>
                    <w:widowControl w:val="0"/>
                    <w:suppressLineNumbers w:val="0"/>
                    <w:spacing w:before="0" w:beforeAutospacing="0" w:after="0" w:afterAutospacing="0" w:line="276" w:lineRule="auto"/>
                    <w:ind w:left="0" w:leftChars="0" w:right="0" w:rightChars="0"/>
                    <w:jc w:val="center"/>
                    <w:rPr>
                      <w:rFonts w:hint="eastAsia" w:cs="Times New Roman"/>
                      <w:color w:val="auto"/>
                      <w:kern w:val="2"/>
                      <w:sz w:val="21"/>
                      <w:szCs w:val="21"/>
                      <w:lang w:val="en-US" w:eastAsia="zh-CN" w:bidi="ar"/>
                    </w:rPr>
                  </w:pPr>
                  <w:r>
                    <w:rPr>
                      <w:rFonts w:hint="eastAsia" w:cs="Times New Roman"/>
                      <w:color w:val="auto"/>
                      <w:kern w:val="2"/>
                      <w:sz w:val="21"/>
                      <w:szCs w:val="21"/>
                      <w:lang w:val="en-US" w:eastAsia="zh-CN" w:bidi="ar"/>
                    </w:rPr>
                    <w:t>0.2</w:t>
                  </w:r>
                </w:p>
              </w:tc>
              <w:tc>
                <w:tcPr>
                  <w:tcW w:w="614" w:type="pct"/>
                  <w:tcBorders>
                    <w:tl2br w:val="nil"/>
                    <w:tr2bl w:val="nil"/>
                  </w:tcBorders>
                  <w:shd w:val="clear" w:color="auto" w:fill="auto"/>
                  <w:vAlign w:val="center"/>
                </w:tcPr>
                <w:p w14:paraId="08C50100">
                  <w:pPr>
                    <w:keepNext w:val="0"/>
                    <w:keepLines w:val="0"/>
                    <w:widowControl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23040</w:t>
                  </w:r>
                </w:p>
              </w:tc>
              <w:tc>
                <w:tcPr>
                  <w:tcW w:w="504" w:type="pct"/>
                  <w:tcBorders>
                    <w:tl2br w:val="nil"/>
                    <w:tr2bl w:val="nil"/>
                  </w:tcBorders>
                  <w:shd w:val="clear" w:color="auto" w:fill="auto"/>
                  <w:vAlign w:val="center"/>
                </w:tcPr>
                <w:p w14:paraId="47EB0179">
                  <w:pPr>
                    <w:keepNext w:val="0"/>
                    <w:keepLines w:val="0"/>
                    <w:widowControl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24000</w:t>
                  </w:r>
                </w:p>
              </w:tc>
            </w:tr>
            <w:tr w14:paraId="1F6356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3" w:hRule="atLeast"/>
                <w:jc w:val="center"/>
              </w:trPr>
              <w:tc>
                <w:tcPr>
                  <w:tcW w:w="3881" w:type="pct"/>
                  <w:gridSpan w:val="6"/>
                  <w:tcBorders>
                    <w:tl2br w:val="nil"/>
                    <w:tr2bl w:val="nil"/>
                  </w:tcBorders>
                  <w:shd w:val="clear" w:color="auto" w:fill="auto"/>
                  <w:vAlign w:val="center"/>
                </w:tcPr>
                <w:p w14:paraId="0ECB569D">
                  <w:pPr>
                    <w:keepNext w:val="0"/>
                    <w:keepLines w:val="0"/>
                    <w:widowControl w:val="0"/>
                    <w:suppressLineNumbers w:val="0"/>
                    <w:spacing w:before="0" w:beforeAutospacing="0" w:after="0" w:afterAutospacing="0" w:line="276" w:lineRule="auto"/>
                    <w:ind w:left="0" w:right="0"/>
                    <w:jc w:val="center"/>
                    <w:rPr>
                      <w:rFonts w:hint="eastAsia" w:ascii="Times New Roman" w:hAnsi="Times New Roman" w:eastAsia="宋体" w:cs="宋体"/>
                      <w:b/>
                      <w:bCs/>
                      <w:color w:val="auto"/>
                      <w:kern w:val="2"/>
                      <w:sz w:val="21"/>
                      <w:szCs w:val="21"/>
                      <w:lang w:val="en-US" w:eastAsia="zh-CN" w:bidi="ar"/>
                    </w:rPr>
                  </w:pPr>
                  <w:r>
                    <w:rPr>
                      <w:rFonts w:hint="eastAsia" w:ascii="Times New Roman" w:hAnsi="Times New Roman" w:eastAsia="宋体" w:cs="宋体"/>
                      <w:b/>
                      <w:bCs/>
                      <w:color w:val="auto"/>
                      <w:kern w:val="2"/>
                      <w:sz w:val="21"/>
                      <w:szCs w:val="21"/>
                      <w:lang w:val="en-US" w:eastAsia="zh-CN" w:bidi="ar"/>
                    </w:rPr>
                    <w:t>合计</w:t>
                  </w:r>
                </w:p>
              </w:tc>
              <w:tc>
                <w:tcPr>
                  <w:tcW w:w="614" w:type="pct"/>
                  <w:tcBorders>
                    <w:tl2br w:val="nil"/>
                    <w:tr2bl w:val="nil"/>
                  </w:tcBorders>
                  <w:shd w:val="clear" w:color="auto" w:fill="auto"/>
                  <w:vAlign w:val="center"/>
                </w:tcPr>
                <w:p w14:paraId="6DE4B5EB">
                  <w:pPr>
                    <w:keepNext w:val="0"/>
                    <w:keepLines w:val="0"/>
                    <w:widowControl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b/>
                      <w:bCs/>
                      <w:color w:val="auto"/>
                      <w:kern w:val="2"/>
                      <w:sz w:val="21"/>
                      <w:szCs w:val="21"/>
                      <w:lang w:val="en-US" w:eastAsia="zh-CN" w:bidi="ar-SA"/>
                    </w:rPr>
                  </w:pPr>
                  <w:r>
                    <w:rPr>
                      <w:rFonts w:hint="eastAsia" w:cs="Times New Roman"/>
                      <w:b/>
                      <w:bCs/>
                      <w:color w:val="auto"/>
                      <w:kern w:val="2"/>
                      <w:sz w:val="21"/>
                      <w:szCs w:val="21"/>
                      <w:lang w:val="en-US" w:eastAsia="zh-CN" w:bidi="ar-SA"/>
                    </w:rPr>
                    <w:t>23040</w:t>
                  </w:r>
                </w:p>
              </w:tc>
              <w:tc>
                <w:tcPr>
                  <w:tcW w:w="504" w:type="pct"/>
                  <w:tcBorders>
                    <w:tl2br w:val="nil"/>
                    <w:tr2bl w:val="nil"/>
                  </w:tcBorders>
                  <w:shd w:val="clear" w:color="auto" w:fill="auto"/>
                  <w:vAlign w:val="center"/>
                </w:tcPr>
                <w:p w14:paraId="7985EA63">
                  <w:pPr>
                    <w:keepNext w:val="0"/>
                    <w:keepLines w:val="0"/>
                    <w:widowControl w:val="0"/>
                    <w:suppressLineNumbers w:val="0"/>
                    <w:spacing w:before="0" w:beforeAutospacing="0" w:after="0" w:afterAutospacing="0" w:line="276" w:lineRule="auto"/>
                    <w:ind w:left="0" w:right="0"/>
                    <w:jc w:val="center"/>
                    <w:rPr>
                      <w:rFonts w:hint="default" w:ascii="Times New Roman" w:hAnsi="Times New Roman" w:eastAsia="宋体" w:cs="宋体"/>
                      <w:b/>
                      <w:bCs/>
                      <w:color w:val="auto"/>
                      <w:kern w:val="2"/>
                      <w:sz w:val="21"/>
                      <w:szCs w:val="21"/>
                      <w:lang w:val="en-US" w:eastAsia="zh-CN" w:bidi="ar"/>
                    </w:rPr>
                  </w:pPr>
                  <w:r>
                    <w:rPr>
                      <w:rFonts w:hint="eastAsia" w:cs="宋体"/>
                      <w:b/>
                      <w:bCs/>
                      <w:color w:val="auto"/>
                      <w:kern w:val="2"/>
                      <w:sz w:val="21"/>
                      <w:szCs w:val="21"/>
                      <w:lang w:val="en-US" w:eastAsia="zh-CN" w:bidi="ar"/>
                    </w:rPr>
                    <w:t>24000</w:t>
                  </w:r>
                </w:p>
              </w:tc>
            </w:tr>
          </w:tbl>
          <w:p w14:paraId="5B96A3CF">
            <w:pPr>
              <w:keepNext w:val="0"/>
              <w:keepLines w:val="0"/>
              <w:suppressLineNumbers w:val="0"/>
              <w:spacing w:before="0" w:beforeAutospacing="0" w:after="0" w:afterAutospacing="0" w:line="360" w:lineRule="auto"/>
              <w:ind w:left="0" w:right="0" w:firstLine="480" w:firstLineChars="200"/>
              <w:jc w:val="left"/>
              <w:rPr>
                <w:rFonts w:hint="eastAsia"/>
                <w:color w:val="auto"/>
                <w:sz w:val="24"/>
                <w:highlight w:val="none"/>
                <w:lang w:val="en-US" w:eastAsia="zh-CN"/>
              </w:rPr>
            </w:pPr>
            <w:r>
              <w:rPr>
                <w:rFonts w:hint="eastAsia" w:cs="Times New Roman"/>
                <w:color w:val="auto"/>
                <w:sz w:val="24"/>
                <w:lang w:val="en-US" w:eastAsia="zh-CN"/>
              </w:rPr>
              <w:t>经核算</w:t>
            </w:r>
            <w:r>
              <w:rPr>
                <w:rFonts w:hint="default" w:ascii="Times New Roman" w:hAnsi="Times New Roman" w:cs="Times New Roman"/>
                <w:color w:val="auto"/>
                <w:sz w:val="24"/>
              </w:rPr>
              <w:t>，集气罩计算风量为</w:t>
            </w:r>
            <w:r>
              <w:rPr>
                <w:rFonts w:hint="eastAsia" w:cs="Times New Roman"/>
                <w:color w:val="auto"/>
                <w:sz w:val="24"/>
                <w:lang w:val="en-US" w:eastAsia="zh-CN"/>
              </w:rPr>
              <w:t>23040</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/h，</w:t>
            </w:r>
            <w:r>
              <w:rPr>
                <w:rFonts w:hint="default" w:ascii="Times New Roman" w:hAnsi="Times New Roman" w:cs="Times New Roman"/>
                <w:color w:val="auto"/>
                <w:sz w:val="24"/>
                <w:szCs w:val="24"/>
              </w:rPr>
              <w:t>考虑到风阻</w:t>
            </w:r>
            <w:r>
              <w:rPr>
                <w:rFonts w:hint="eastAsia" w:cs="Times New Roman"/>
                <w:color w:val="auto"/>
                <w:sz w:val="24"/>
                <w:szCs w:val="24"/>
                <w:lang w:eastAsia="zh-CN"/>
              </w:rPr>
              <w:t>、</w:t>
            </w:r>
            <w:r>
              <w:rPr>
                <w:rFonts w:hint="eastAsia" w:cs="Times New Roman"/>
                <w:color w:val="auto"/>
                <w:sz w:val="24"/>
                <w:szCs w:val="24"/>
                <w:lang w:val="en-US" w:eastAsia="zh-CN"/>
              </w:rPr>
              <w:t>风量损失</w:t>
            </w:r>
            <w:r>
              <w:rPr>
                <w:rFonts w:hint="default" w:ascii="Times New Roman" w:hAnsi="Times New Roman" w:cs="Times New Roman"/>
                <w:color w:val="auto"/>
                <w:sz w:val="24"/>
                <w:szCs w:val="24"/>
              </w:rPr>
              <w:t>等情况，</w:t>
            </w:r>
            <w:r>
              <w:rPr>
                <w:rFonts w:hint="default" w:ascii="Times New Roman" w:hAnsi="Times New Roman" w:cs="Times New Roman"/>
                <w:color w:val="auto"/>
                <w:sz w:val="24"/>
              </w:rPr>
              <w:t>风量取值</w:t>
            </w:r>
            <w:r>
              <w:rPr>
                <w:rFonts w:hint="eastAsia" w:cs="Times New Roman"/>
                <w:color w:val="auto"/>
                <w:sz w:val="24"/>
                <w:lang w:val="en-US" w:eastAsia="zh-CN"/>
              </w:rPr>
              <w:t>24000</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/h。</w:t>
            </w:r>
          </w:p>
          <w:p w14:paraId="52AD613D">
            <w:pPr>
              <w:keepNext w:val="0"/>
              <w:keepLines w:val="0"/>
              <w:suppressLineNumbers w:val="0"/>
              <w:spacing w:before="0" w:beforeAutospacing="0" w:after="0" w:afterAutospacing="0" w:line="360" w:lineRule="auto"/>
              <w:ind w:left="0" w:right="0" w:firstLine="482" w:firstLineChars="200"/>
              <w:jc w:val="left"/>
              <w:rPr>
                <w:rFonts w:hint="eastAsia" w:eastAsia="宋体"/>
                <w:b/>
                <w:bCs/>
                <w:color w:val="auto"/>
                <w:sz w:val="24"/>
                <w:szCs w:val="24"/>
                <w:lang w:eastAsia="zh-CN"/>
              </w:rPr>
            </w:pPr>
            <w:r>
              <w:rPr>
                <w:rFonts w:hint="eastAsia"/>
                <w:b/>
                <w:bCs/>
                <w:color w:val="auto"/>
                <w:sz w:val="24"/>
                <w:szCs w:val="24"/>
                <w:lang w:eastAsia="zh-CN"/>
              </w:rPr>
              <w:t>（</w:t>
            </w:r>
            <w:r>
              <w:rPr>
                <w:rFonts w:hint="eastAsia"/>
                <w:b/>
                <w:bCs/>
                <w:color w:val="auto"/>
                <w:sz w:val="24"/>
                <w:szCs w:val="24"/>
                <w:lang w:val="en-US" w:eastAsia="zh-CN"/>
              </w:rPr>
              <w:t>3</w:t>
            </w:r>
            <w:r>
              <w:rPr>
                <w:rFonts w:hint="eastAsia"/>
                <w:b/>
                <w:bCs/>
                <w:color w:val="auto"/>
                <w:sz w:val="24"/>
                <w:szCs w:val="24"/>
                <w:lang w:eastAsia="zh-CN"/>
              </w:rPr>
              <w:t>）</w:t>
            </w:r>
            <w:r>
              <w:rPr>
                <w:rFonts w:hint="eastAsia" w:hAnsi="宋体"/>
                <w:b/>
                <w:bCs/>
                <w:color w:val="auto"/>
                <w:sz w:val="24"/>
                <w:szCs w:val="24"/>
                <w:lang w:val="en-US" w:eastAsia="zh-CN"/>
              </w:rPr>
              <w:t>粉碎粉尘（</w:t>
            </w:r>
            <w:r>
              <w:rPr>
                <w:rFonts w:hint="eastAsia"/>
                <w:b w:val="0"/>
                <w:bCs/>
                <w:color w:val="auto"/>
                <w:sz w:val="24"/>
                <w:lang w:val="en-US" w:eastAsia="zh-CN"/>
              </w:rPr>
              <w:t>G</w:t>
            </w:r>
            <w:r>
              <w:rPr>
                <w:rFonts w:hint="eastAsia"/>
                <w:b w:val="0"/>
                <w:bCs/>
                <w:color w:val="auto"/>
                <w:sz w:val="24"/>
                <w:vertAlign w:val="subscript"/>
                <w:lang w:val="en-US" w:eastAsia="zh-CN"/>
              </w:rPr>
              <w:t>3</w:t>
            </w:r>
            <w:r>
              <w:rPr>
                <w:rFonts w:hint="eastAsia" w:hAnsi="宋体"/>
                <w:b/>
                <w:bCs/>
                <w:color w:val="auto"/>
                <w:sz w:val="24"/>
                <w:szCs w:val="24"/>
                <w:lang w:val="en-US" w:eastAsia="zh-CN"/>
              </w:rPr>
              <w:t>）</w:t>
            </w:r>
          </w:p>
          <w:p w14:paraId="5798D7D1">
            <w:pPr>
              <w:keepNext w:val="0"/>
              <w:keepLines w:val="0"/>
              <w:suppressLineNumbers w:val="0"/>
              <w:spacing w:before="0" w:beforeAutospacing="0" w:after="0" w:afterAutospacing="0" w:line="360" w:lineRule="auto"/>
              <w:ind w:left="0" w:right="0" w:firstLine="480" w:firstLineChars="200"/>
              <w:jc w:val="left"/>
              <w:rPr>
                <w:rFonts w:hint="default"/>
                <w:color w:val="auto"/>
                <w:sz w:val="24"/>
                <w:lang w:val="en-US" w:eastAsia="zh-CN"/>
              </w:rPr>
            </w:pPr>
            <w:r>
              <w:rPr>
                <w:rFonts w:hint="eastAsia"/>
                <w:color w:val="auto"/>
                <w:sz w:val="24"/>
                <w:lang w:val="en-US" w:eastAsia="zh-CN"/>
              </w:rPr>
              <w:t>塑料半成品检验产生的不合格品及人工修剪工序产生的废塑料边角料经统一收集后送至粉碎机进行粉碎成粒，粉碎后塑料粒子回用于塑料生产。</w:t>
            </w:r>
          </w:p>
          <w:p w14:paraId="10F44602">
            <w:pPr>
              <w:keepNext w:val="0"/>
              <w:keepLines w:val="0"/>
              <w:suppressLineNumbers w:val="0"/>
              <w:spacing w:before="0" w:beforeAutospacing="0" w:after="0" w:afterAutospacing="0" w:line="360" w:lineRule="auto"/>
              <w:ind w:left="0" w:right="0" w:firstLine="480" w:firstLineChars="200"/>
              <w:jc w:val="left"/>
              <w:rPr>
                <w:rFonts w:hint="default"/>
                <w:color w:val="auto"/>
                <w:sz w:val="24"/>
                <w:lang w:val="en-US" w:eastAsia="zh-CN"/>
              </w:rPr>
            </w:pPr>
            <w:r>
              <w:rPr>
                <w:rFonts w:hint="eastAsia"/>
                <w:color w:val="auto"/>
                <w:sz w:val="24"/>
                <w:lang w:val="en-US" w:eastAsia="zh-CN"/>
              </w:rPr>
              <w:t>根据建设单位提供资料，不合格塑料半成品及废塑料边角料约为塑料粒子总重的7.48%，约41.13t/a，其中废PS约55%（22.625t/a），废PP/PE类约45%（18.505t/a）。</w:t>
            </w:r>
          </w:p>
          <w:p w14:paraId="68007E96">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cs="Times New Roman"/>
                <w:color w:val="auto"/>
                <w:sz w:val="24"/>
                <w:szCs w:val="28"/>
              </w:rPr>
            </w:pPr>
            <w:r>
              <w:rPr>
                <w:rFonts w:hint="eastAsia"/>
                <w:color w:val="auto"/>
                <w:sz w:val="24"/>
                <w:lang w:val="en-US" w:eastAsia="zh-CN"/>
              </w:rPr>
              <w:t>粉碎粉尘中颗粒物源强参考《排放源统计调查产排污核算方法和系数手册》“4220非金属废料和碎屑加工处理行业系数表”中“废PP/PE/PET再生塑料粒子—干法破碎”的颗粒物产污系数为375千克/吨-原料，“废PS/ABS再生塑料粒子—干法破碎”的颗粒物产污系数为425千克/吨-原料。经计算，粉碎粉尘中颗粒物产生量约16.555t/a。粉碎粉尘经集气罩收集后通过布袋除尘器处理，最后由23m高排气筒DA002排放，年工作300h</w:t>
            </w:r>
            <w:r>
              <w:rPr>
                <w:rFonts w:hint="default" w:ascii="Times New Roman" w:hAnsi="Times New Roman" w:cs="Times New Roman"/>
                <w:color w:val="auto"/>
                <w:sz w:val="24"/>
                <w:szCs w:val="28"/>
              </w:rPr>
              <w:t>。</w:t>
            </w:r>
          </w:p>
          <w:p w14:paraId="67CEC5F8">
            <w:pPr>
              <w:keepNext w:val="0"/>
              <w:keepLines w:val="0"/>
              <w:suppressLineNumbers w:val="0"/>
              <w:spacing w:before="0" w:beforeAutospacing="0" w:after="0" w:afterAutospacing="0" w:line="360" w:lineRule="auto"/>
              <w:ind w:left="0" w:right="0" w:firstLine="480" w:firstLineChars="200"/>
              <w:jc w:val="left"/>
              <w:rPr>
                <w:rFonts w:hint="default"/>
                <w:color w:val="auto"/>
                <w:sz w:val="24"/>
                <w:lang w:val="en-US" w:eastAsia="zh-CN"/>
              </w:rPr>
            </w:pPr>
            <w:r>
              <w:rPr>
                <w:rFonts w:hint="eastAsia"/>
                <w:color w:val="auto"/>
                <w:sz w:val="24"/>
                <w:lang w:val="en-US" w:eastAsia="zh-CN"/>
              </w:rPr>
              <w:t>根据《简明通风设计手册》中上吸罩风机风量计算公式，项目粉碎粉尘风量核算详见下表：</w:t>
            </w:r>
          </w:p>
          <w:p w14:paraId="6496C026">
            <w:pPr>
              <w:keepNext w:val="0"/>
              <w:keepLines w:val="0"/>
              <w:widowControl w:val="0"/>
              <w:suppressLineNumbers w:val="0"/>
              <w:spacing w:before="0" w:beforeAutospacing="0" w:after="0" w:afterAutospacing="0" w:line="360" w:lineRule="auto"/>
              <w:ind w:left="0" w:right="0"/>
              <w:jc w:val="center"/>
              <w:rPr>
                <w:rFonts w:hint="default" w:eastAsia="黑体"/>
                <w:color w:val="auto"/>
                <w:sz w:val="24"/>
                <w:szCs w:val="24"/>
                <w:lang w:val="en-US"/>
              </w:rPr>
            </w:pPr>
            <w:r>
              <w:rPr>
                <w:rFonts w:hint="eastAsia" w:ascii="Times New Roman" w:hAnsi="宋体" w:eastAsia="黑体" w:cs="黑体"/>
                <w:color w:val="auto"/>
                <w:kern w:val="2"/>
                <w:sz w:val="24"/>
                <w:szCs w:val="24"/>
                <w:lang w:val="en-US" w:eastAsia="zh-CN" w:bidi="ar"/>
              </w:rPr>
              <w:t>表</w:t>
            </w:r>
            <w:r>
              <w:rPr>
                <w:rFonts w:hint="eastAsia" w:hAnsi="宋体" w:eastAsia="黑体" w:cs="Times New Roman"/>
                <w:color w:val="auto"/>
                <w:kern w:val="2"/>
                <w:sz w:val="24"/>
                <w:szCs w:val="24"/>
                <w:lang w:val="en-US" w:eastAsia="zh-CN" w:bidi="ar"/>
              </w:rPr>
              <w:t>4-2</w:t>
            </w:r>
            <w:r>
              <w:rPr>
                <w:rFonts w:hint="default" w:ascii="Times New Roman" w:hAnsi="宋体" w:eastAsia="黑体" w:cs="Times New Roman"/>
                <w:color w:val="auto"/>
                <w:kern w:val="2"/>
                <w:sz w:val="24"/>
                <w:szCs w:val="24"/>
                <w:lang w:val="en-US" w:eastAsia="zh-CN" w:bidi="ar"/>
              </w:rPr>
              <w:t xml:space="preserve"> </w:t>
            </w:r>
            <w:r>
              <w:rPr>
                <w:rFonts w:hint="eastAsia" w:hAnsi="宋体" w:eastAsia="黑体" w:cs="Times New Roman"/>
                <w:color w:val="auto"/>
                <w:kern w:val="2"/>
                <w:sz w:val="24"/>
                <w:szCs w:val="24"/>
                <w:lang w:val="en-US" w:eastAsia="zh-CN" w:bidi="ar"/>
              </w:rPr>
              <w:t>粉碎粉尘</w:t>
            </w:r>
            <w:r>
              <w:rPr>
                <w:rFonts w:hint="eastAsia" w:ascii="Times New Roman" w:hAnsi="宋体" w:eastAsia="黑体" w:cs="黑体"/>
                <w:color w:val="auto"/>
                <w:kern w:val="2"/>
                <w:sz w:val="24"/>
                <w:szCs w:val="24"/>
                <w:lang w:val="en-US" w:eastAsia="zh-CN" w:bidi="ar"/>
              </w:rPr>
              <w:t>污染防治设施设计参数一览表</w:t>
            </w:r>
          </w:p>
          <w:tbl>
            <w:tblPr>
              <w:tblStyle w:val="253"/>
              <w:tblW w:w="7917"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45"/>
              <w:gridCol w:w="900"/>
              <w:gridCol w:w="1045"/>
              <w:gridCol w:w="910"/>
              <w:gridCol w:w="1292"/>
              <w:gridCol w:w="989"/>
              <w:gridCol w:w="989"/>
              <w:gridCol w:w="1047"/>
            </w:tblGrid>
            <w:tr w14:paraId="5F9F8B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112" w:hRule="atLeast"/>
                <w:jc w:val="center"/>
              </w:trPr>
              <w:tc>
                <w:tcPr>
                  <w:tcW w:w="470" w:type="pct"/>
                  <w:tcBorders>
                    <w:tl2br w:val="nil"/>
                    <w:tr2bl w:val="nil"/>
                  </w:tcBorders>
                  <w:shd w:val="clear" w:color="auto" w:fill="auto"/>
                  <w:vAlign w:val="center"/>
                </w:tcPr>
                <w:p w14:paraId="6FA7072D">
                  <w:pPr>
                    <w:keepNext w:val="0"/>
                    <w:keepLines w:val="0"/>
                    <w:widowControl w:val="0"/>
                    <w:suppressLineNumbers w:val="0"/>
                    <w:spacing w:before="0" w:beforeAutospacing="0" w:after="0" w:afterAutospacing="0" w:line="276" w:lineRule="auto"/>
                    <w:ind w:left="0" w:right="0"/>
                    <w:jc w:val="center"/>
                    <w:rPr>
                      <w:rFonts w:hint="default"/>
                      <w:b/>
                      <w:bCs/>
                      <w:color w:val="auto"/>
                      <w:szCs w:val="21"/>
                      <w:lang w:val="en-US"/>
                    </w:rPr>
                  </w:pPr>
                  <w:r>
                    <w:rPr>
                      <w:rFonts w:hint="eastAsia" w:ascii="Times New Roman" w:hAnsi="Times New Roman" w:eastAsia="宋体" w:cs="宋体"/>
                      <w:b/>
                      <w:bCs/>
                      <w:color w:val="auto"/>
                      <w:kern w:val="2"/>
                      <w:sz w:val="21"/>
                      <w:szCs w:val="21"/>
                      <w:lang w:val="en-US" w:eastAsia="zh-CN" w:bidi="ar"/>
                    </w:rPr>
                    <w:t>生产工序</w:t>
                  </w:r>
                </w:p>
              </w:tc>
              <w:tc>
                <w:tcPr>
                  <w:tcW w:w="568" w:type="pct"/>
                  <w:tcBorders>
                    <w:tl2br w:val="nil"/>
                    <w:tr2bl w:val="nil"/>
                  </w:tcBorders>
                  <w:shd w:val="clear" w:color="auto" w:fill="auto"/>
                  <w:vAlign w:val="center"/>
                </w:tcPr>
                <w:p w14:paraId="43BC2B99">
                  <w:pPr>
                    <w:keepNext w:val="0"/>
                    <w:keepLines w:val="0"/>
                    <w:widowControl w:val="0"/>
                    <w:suppressLineNumbers w:val="0"/>
                    <w:spacing w:before="0" w:beforeAutospacing="0" w:after="0" w:afterAutospacing="0" w:line="276" w:lineRule="auto"/>
                    <w:ind w:left="0" w:right="0"/>
                    <w:jc w:val="center"/>
                    <w:rPr>
                      <w:rFonts w:hint="eastAsia" w:ascii="Times New Roman" w:hAnsi="Times New Roman" w:eastAsia="宋体" w:cs="宋体"/>
                      <w:b/>
                      <w:bCs/>
                      <w:color w:val="auto"/>
                      <w:kern w:val="2"/>
                      <w:sz w:val="21"/>
                      <w:szCs w:val="21"/>
                      <w:lang w:val="en-US" w:eastAsia="zh-CN" w:bidi="ar"/>
                    </w:rPr>
                  </w:pPr>
                  <w:r>
                    <w:rPr>
                      <w:rFonts w:hint="eastAsia" w:ascii="Times New Roman" w:hAnsi="Times New Roman" w:eastAsia="宋体" w:cs="宋体"/>
                      <w:b/>
                      <w:bCs/>
                      <w:color w:val="auto"/>
                      <w:kern w:val="2"/>
                      <w:sz w:val="21"/>
                      <w:szCs w:val="21"/>
                      <w:lang w:val="en-US" w:eastAsia="zh-CN" w:bidi="ar"/>
                    </w:rPr>
                    <w:t>设备</w:t>
                  </w:r>
                </w:p>
                <w:p w14:paraId="3D6256D9">
                  <w:pPr>
                    <w:keepNext w:val="0"/>
                    <w:keepLines w:val="0"/>
                    <w:widowControl w:val="0"/>
                    <w:suppressLineNumbers w:val="0"/>
                    <w:spacing w:before="0" w:beforeAutospacing="0" w:after="0" w:afterAutospacing="0" w:line="276" w:lineRule="auto"/>
                    <w:ind w:left="0" w:right="0"/>
                    <w:jc w:val="center"/>
                    <w:rPr>
                      <w:rFonts w:hint="default" w:ascii="Times New Roman" w:hAnsi="Times New Roman" w:eastAsia="宋体" w:cs="宋体"/>
                      <w:b/>
                      <w:bCs/>
                      <w:color w:val="auto"/>
                      <w:kern w:val="2"/>
                      <w:sz w:val="21"/>
                      <w:szCs w:val="21"/>
                      <w:lang w:val="en-US" w:eastAsia="zh-CN" w:bidi="ar"/>
                    </w:rPr>
                  </w:pPr>
                  <w:r>
                    <w:rPr>
                      <w:rFonts w:hint="eastAsia" w:ascii="Times New Roman" w:hAnsi="Times New Roman" w:eastAsia="宋体" w:cs="宋体"/>
                      <w:b/>
                      <w:bCs/>
                      <w:color w:val="auto"/>
                      <w:kern w:val="2"/>
                      <w:sz w:val="21"/>
                      <w:szCs w:val="21"/>
                      <w:lang w:val="en-US" w:eastAsia="zh-CN" w:bidi="ar"/>
                    </w:rPr>
                    <w:t>名称</w:t>
                  </w:r>
                </w:p>
              </w:tc>
              <w:tc>
                <w:tcPr>
                  <w:tcW w:w="659" w:type="pct"/>
                  <w:tcBorders>
                    <w:tl2br w:val="nil"/>
                    <w:tr2bl w:val="nil"/>
                  </w:tcBorders>
                  <w:shd w:val="clear" w:color="auto" w:fill="auto"/>
                  <w:vAlign w:val="center"/>
                </w:tcPr>
                <w:p w14:paraId="5261216F">
                  <w:pPr>
                    <w:keepNext w:val="0"/>
                    <w:keepLines w:val="0"/>
                    <w:widowControl w:val="0"/>
                    <w:suppressLineNumbers w:val="0"/>
                    <w:spacing w:before="0" w:beforeAutospacing="0" w:after="0" w:afterAutospacing="0" w:line="276" w:lineRule="auto"/>
                    <w:ind w:left="0" w:right="0"/>
                    <w:jc w:val="center"/>
                    <w:rPr>
                      <w:rFonts w:hint="eastAsia" w:ascii="Times New Roman" w:hAnsi="Times New Roman" w:eastAsia="宋体" w:cs="宋体"/>
                      <w:b/>
                      <w:bCs/>
                      <w:color w:val="auto"/>
                      <w:kern w:val="2"/>
                      <w:sz w:val="21"/>
                      <w:szCs w:val="21"/>
                      <w:lang w:val="en-US" w:eastAsia="zh-CN" w:bidi="ar"/>
                    </w:rPr>
                  </w:pPr>
                  <w:r>
                    <w:rPr>
                      <w:rFonts w:hint="eastAsia" w:ascii="Times New Roman" w:hAnsi="Times New Roman" w:eastAsia="宋体" w:cs="宋体"/>
                      <w:b/>
                      <w:bCs/>
                      <w:color w:val="auto"/>
                      <w:kern w:val="2"/>
                      <w:sz w:val="21"/>
                      <w:szCs w:val="21"/>
                      <w:lang w:val="en-US" w:eastAsia="zh-CN" w:bidi="ar"/>
                    </w:rPr>
                    <w:t>集气罩</w:t>
                  </w:r>
                </w:p>
                <w:p w14:paraId="6AF3416C">
                  <w:pPr>
                    <w:keepNext w:val="0"/>
                    <w:keepLines w:val="0"/>
                    <w:widowControl w:val="0"/>
                    <w:suppressLineNumbers w:val="0"/>
                    <w:spacing w:before="0" w:beforeAutospacing="0" w:after="0" w:afterAutospacing="0" w:line="276" w:lineRule="auto"/>
                    <w:ind w:left="0" w:right="0"/>
                    <w:jc w:val="center"/>
                    <w:rPr>
                      <w:rFonts w:hint="default"/>
                      <w:b/>
                      <w:bCs/>
                      <w:color w:val="auto"/>
                      <w:szCs w:val="21"/>
                      <w:lang w:val="en-US"/>
                    </w:rPr>
                  </w:pPr>
                  <w:r>
                    <w:rPr>
                      <w:rFonts w:hint="eastAsia" w:ascii="Times New Roman" w:hAnsi="Times New Roman" w:eastAsia="宋体" w:cs="宋体"/>
                      <w:b/>
                      <w:bCs/>
                      <w:color w:val="auto"/>
                      <w:kern w:val="2"/>
                      <w:sz w:val="21"/>
                      <w:szCs w:val="21"/>
                      <w:lang w:val="en-US" w:eastAsia="zh-CN" w:bidi="ar"/>
                    </w:rPr>
                    <w:t>设置情况</w:t>
                  </w:r>
                </w:p>
              </w:tc>
              <w:tc>
                <w:tcPr>
                  <w:tcW w:w="574" w:type="pct"/>
                  <w:tcBorders>
                    <w:tl2br w:val="nil"/>
                    <w:tr2bl w:val="nil"/>
                  </w:tcBorders>
                  <w:shd w:val="clear" w:color="auto" w:fill="auto"/>
                  <w:vAlign w:val="center"/>
                </w:tcPr>
                <w:p w14:paraId="2DAA2953">
                  <w:pPr>
                    <w:keepNext w:val="0"/>
                    <w:keepLines w:val="0"/>
                    <w:widowControl w:val="0"/>
                    <w:suppressLineNumbers w:val="0"/>
                    <w:spacing w:before="0" w:beforeAutospacing="0" w:after="0" w:afterAutospacing="0" w:line="276" w:lineRule="auto"/>
                    <w:ind w:left="0" w:right="0"/>
                    <w:jc w:val="center"/>
                    <w:rPr>
                      <w:rFonts w:hint="eastAsia" w:ascii="Times New Roman" w:hAnsi="Times New Roman" w:eastAsia="宋体" w:cs="宋体"/>
                      <w:b/>
                      <w:bCs/>
                      <w:color w:val="auto"/>
                      <w:kern w:val="2"/>
                      <w:sz w:val="21"/>
                      <w:szCs w:val="21"/>
                      <w:lang w:val="en-US" w:eastAsia="zh-CN" w:bidi="ar"/>
                    </w:rPr>
                  </w:pPr>
                  <w:r>
                    <w:rPr>
                      <w:rFonts w:hint="eastAsia" w:ascii="Times New Roman" w:hAnsi="Times New Roman" w:eastAsia="宋体" w:cs="宋体"/>
                      <w:b/>
                      <w:bCs/>
                      <w:color w:val="auto"/>
                      <w:kern w:val="2"/>
                      <w:sz w:val="21"/>
                      <w:szCs w:val="21"/>
                      <w:lang w:val="en-US" w:eastAsia="zh-CN" w:bidi="ar"/>
                    </w:rPr>
                    <w:t>集气罩</w:t>
                  </w:r>
                </w:p>
                <w:p w14:paraId="48E41C99">
                  <w:pPr>
                    <w:keepNext w:val="0"/>
                    <w:keepLines w:val="0"/>
                    <w:widowControl w:val="0"/>
                    <w:suppressLineNumbers w:val="0"/>
                    <w:spacing w:before="0" w:beforeAutospacing="0" w:after="0" w:afterAutospacing="0" w:line="276" w:lineRule="auto"/>
                    <w:ind w:left="0" w:right="0"/>
                    <w:jc w:val="center"/>
                    <w:rPr>
                      <w:rFonts w:hint="default"/>
                      <w:b/>
                      <w:bCs/>
                      <w:color w:val="auto"/>
                      <w:szCs w:val="21"/>
                      <w:lang w:val="en-US"/>
                    </w:rPr>
                  </w:pPr>
                  <w:r>
                    <w:rPr>
                      <w:rFonts w:hint="eastAsia" w:ascii="Times New Roman" w:hAnsi="Times New Roman" w:eastAsia="宋体" w:cs="宋体"/>
                      <w:b/>
                      <w:bCs/>
                      <w:color w:val="auto"/>
                      <w:kern w:val="2"/>
                      <w:sz w:val="21"/>
                      <w:szCs w:val="21"/>
                      <w:lang w:val="en-US" w:eastAsia="zh-CN" w:bidi="ar"/>
                    </w:rPr>
                    <w:t>数量/个</w:t>
                  </w:r>
                </w:p>
              </w:tc>
              <w:tc>
                <w:tcPr>
                  <w:tcW w:w="815" w:type="pct"/>
                  <w:tcBorders>
                    <w:tl2br w:val="nil"/>
                    <w:tr2bl w:val="nil"/>
                  </w:tcBorders>
                  <w:shd w:val="clear" w:color="auto" w:fill="auto"/>
                  <w:vAlign w:val="center"/>
                </w:tcPr>
                <w:p w14:paraId="2491EF28">
                  <w:pPr>
                    <w:keepNext w:val="0"/>
                    <w:keepLines w:val="0"/>
                    <w:widowControl w:val="0"/>
                    <w:suppressLineNumbers w:val="0"/>
                    <w:spacing w:before="0" w:beforeAutospacing="0" w:after="0" w:afterAutospacing="0" w:line="276" w:lineRule="auto"/>
                    <w:ind w:left="0" w:right="0"/>
                    <w:jc w:val="center"/>
                    <w:rPr>
                      <w:rFonts w:hint="eastAsia" w:ascii="Times New Roman" w:hAnsi="Times New Roman" w:eastAsia="宋体" w:cs="宋体"/>
                      <w:b/>
                      <w:bCs/>
                      <w:color w:val="auto"/>
                      <w:kern w:val="2"/>
                      <w:sz w:val="21"/>
                      <w:szCs w:val="21"/>
                      <w:lang w:val="en-US" w:eastAsia="zh-CN" w:bidi="ar"/>
                    </w:rPr>
                  </w:pPr>
                  <w:r>
                    <w:rPr>
                      <w:rFonts w:hint="eastAsia" w:ascii="Times New Roman" w:hAnsi="Times New Roman" w:eastAsia="宋体" w:cs="宋体"/>
                      <w:b/>
                      <w:bCs/>
                      <w:color w:val="auto"/>
                      <w:kern w:val="2"/>
                      <w:sz w:val="21"/>
                      <w:szCs w:val="21"/>
                      <w:lang w:val="en-US" w:eastAsia="zh-CN" w:bidi="ar"/>
                    </w:rPr>
                    <w:t>集气罩尺寸</w:t>
                  </w:r>
                </w:p>
                <w:p w14:paraId="4800F64E">
                  <w:pPr>
                    <w:keepNext w:val="0"/>
                    <w:keepLines w:val="0"/>
                    <w:widowControl w:val="0"/>
                    <w:suppressLineNumbers w:val="0"/>
                    <w:spacing w:before="0" w:beforeAutospacing="0" w:after="0" w:afterAutospacing="0" w:line="276" w:lineRule="auto"/>
                    <w:ind w:left="0" w:right="0"/>
                    <w:jc w:val="center"/>
                    <w:rPr>
                      <w:rFonts w:hint="default"/>
                      <w:b/>
                      <w:bCs/>
                      <w:color w:val="auto"/>
                      <w:szCs w:val="21"/>
                      <w:lang w:val="en-US"/>
                    </w:rPr>
                  </w:pPr>
                  <w:r>
                    <w:rPr>
                      <w:rFonts w:hint="eastAsia" w:ascii="Times New Roman" w:hAnsi="Times New Roman" w:eastAsia="宋体" w:cs="宋体"/>
                      <w:b/>
                      <w:bCs/>
                      <w:color w:val="auto"/>
                      <w:kern w:val="2"/>
                      <w:sz w:val="21"/>
                      <w:szCs w:val="21"/>
                      <w:lang w:val="en-US" w:eastAsia="zh-CN" w:bidi="ar"/>
                    </w:rPr>
                    <w:t>（长</w:t>
                  </w:r>
                  <w:r>
                    <w:rPr>
                      <w:rFonts w:hint="eastAsia" w:cs="宋体"/>
                      <w:b/>
                      <w:bCs/>
                      <w:color w:val="auto"/>
                      <w:kern w:val="2"/>
                      <w:sz w:val="21"/>
                      <w:szCs w:val="21"/>
                      <w:lang w:val="en-US" w:eastAsia="zh-CN" w:bidi="ar"/>
                    </w:rPr>
                    <w:t>m</w:t>
                  </w:r>
                  <w:r>
                    <w:rPr>
                      <w:rFonts w:hint="eastAsia" w:ascii="Times New Roman" w:hAnsi="Times New Roman" w:eastAsia="宋体" w:cs="宋体"/>
                      <w:b/>
                      <w:bCs/>
                      <w:color w:val="auto"/>
                      <w:kern w:val="2"/>
                      <w:sz w:val="21"/>
                      <w:szCs w:val="21"/>
                      <w:lang w:val="en-US" w:eastAsia="zh-CN" w:bidi="ar"/>
                    </w:rPr>
                    <w:t>×宽</w:t>
                  </w:r>
                  <w:r>
                    <w:rPr>
                      <w:rFonts w:hint="eastAsia" w:cs="宋体"/>
                      <w:b/>
                      <w:bCs/>
                      <w:color w:val="auto"/>
                      <w:kern w:val="2"/>
                      <w:sz w:val="21"/>
                      <w:szCs w:val="21"/>
                      <w:lang w:val="en-US" w:eastAsia="zh-CN" w:bidi="ar"/>
                    </w:rPr>
                    <w:t>m</w:t>
                  </w:r>
                  <w:r>
                    <w:rPr>
                      <w:rFonts w:hint="eastAsia" w:ascii="Times New Roman" w:hAnsi="Times New Roman" w:eastAsia="宋体" w:cs="宋体"/>
                      <w:b/>
                      <w:bCs/>
                      <w:color w:val="auto"/>
                      <w:kern w:val="2"/>
                      <w:sz w:val="21"/>
                      <w:szCs w:val="21"/>
                      <w:lang w:val="en-US" w:eastAsia="zh-CN" w:bidi="ar"/>
                    </w:rPr>
                    <w:t>）</w:t>
                  </w:r>
                </w:p>
              </w:tc>
              <w:tc>
                <w:tcPr>
                  <w:tcW w:w="624" w:type="pct"/>
                  <w:tcBorders>
                    <w:tl2br w:val="nil"/>
                    <w:tr2bl w:val="nil"/>
                  </w:tcBorders>
                  <w:shd w:val="clear" w:color="auto" w:fill="auto"/>
                  <w:vAlign w:val="center"/>
                </w:tcPr>
                <w:p w14:paraId="46854016">
                  <w:pPr>
                    <w:keepNext w:val="0"/>
                    <w:keepLines w:val="0"/>
                    <w:widowControl w:val="0"/>
                    <w:suppressLineNumbers w:val="0"/>
                    <w:spacing w:before="0" w:beforeAutospacing="0" w:after="0" w:afterAutospacing="0" w:line="276" w:lineRule="auto"/>
                    <w:ind w:left="0" w:right="0"/>
                    <w:jc w:val="center"/>
                    <w:rPr>
                      <w:rFonts w:hint="default" w:ascii="Times New Roman" w:hAnsi="Times New Roman" w:eastAsia="宋体" w:cs="宋体"/>
                      <w:b/>
                      <w:bCs/>
                      <w:color w:val="auto"/>
                      <w:kern w:val="2"/>
                      <w:sz w:val="21"/>
                      <w:szCs w:val="21"/>
                      <w:lang w:val="en-US" w:eastAsia="zh-CN" w:bidi="ar"/>
                    </w:rPr>
                  </w:pPr>
                  <w:r>
                    <w:rPr>
                      <w:rFonts w:hint="eastAsia" w:cs="宋体"/>
                      <w:b/>
                      <w:bCs/>
                      <w:color w:val="auto"/>
                      <w:kern w:val="2"/>
                      <w:sz w:val="21"/>
                      <w:szCs w:val="21"/>
                      <w:lang w:val="en-US" w:eastAsia="zh-CN" w:bidi="ar"/>
                    </w:rPr>
                    <w:t>罩口至污染源距离/m</w:t>
                  </w:r>
                </w:p>
              </w:tc>
              <w:tc>
                <w:tcPr>
                  <w:tcW w:w="624" w:type="pct"/>
                  <w:tcBorders>
                    <w:tl2br w:val="nil"/>
                    <w:tr2bl w:val="nil"/>
                  </w:tcBorders>
                  <w:shd w:val="clear" w:color="auto" w:fill="auto"/>
                  <w:vAlign w:val="center"/>
                </w:tcPr>
                <w:p w14:paraId="66E17567">
                  <w:pPr>
                    <w:keepNext w:val="0"/>
                    <w:keepLines w:val="0"/>
                    <w:widowControl w:val="0"/>
                    <w:suppressLineNumbers w:val="0"/>
                    <w:spacing w:before="0" w:beforeAutospacing="0" w:after="0" w:afterAutospacing="0" w:line="276" w:lineRule="auto"/>
                    <w:ind w:left="0" w:leftChars="0" w:right="0" w:rightChars="0"/>
                    <w:jc w:val="center"/>
                    <w:rPr>
                      <w:rFonts w:hint="eastAsia" w:ascii="Times New Roman" w:hAnsi="Times New Roman" w:eastAsia="宋体" w:cs="宋体"/>
                      <w:b/>
                      <w:bCs/>
                      <w:color w:val="auto"/>
                      <w:kern w:val="2"/>
                      <w:sz w:val="21"/>
                      <w:szCs w:val="21"/>
                      <w:lang w:val="en-US" w:eastAsia="zh-CN" w:bidi="ar"/>
                    </w:rPr>
                  </w:pPr>
                  <w:r>
                    <w:rPr>
                      <w:rFonts w:hint="eastAsia" w:ascii="Times New Roman" w:hAnsi="Times New Roman" w:eastAsia="宋体" w:cs="宋体"/>
                      <w:b/>
                      <w:bCs/>
                      <w:color w:val="auto"/>
                      <w:kern w:val="2"/>
                      <w:sz w:val="21"/>
                      <w:szCs w:val="21"/>
                      <w:lang w:val="en-US" w:eastAsia="zh-CN" w:bidi="ar"/>
                    </w:rPr>
                    <w:t>计算</w:t>
                  </w:r>
                </w:p>
                <w:p w14:paraId="5CFA13F4">
                  <w:pPr>
                    <w:keepNext w:val="0"/>
                    <w:keepLines w:val="0"/>
                    <w:widowControl w:val="0"/>
                    <w:suppressLineNumbers w:val="0"/>
                    <w:spacing w:before="0" w:beforeAutospacing="0" w:after="0" w:afterAutospacing="0" w:line="276" w:lineRule="auto"/>
                    <w:ind w:left="0" w:leftChars="0" w:right="0" w:rightChars="0"/>
                    <w:jc w:val="center"/>
                    <w:rPr>
                      <w:rFonts w:hint="eastAsia" w:ascii="Times New Roman" w:hAnsi="Times New Roman" w:eastAsia="宋体" w:cs="宋体"/>
                      <w:b/>
                      <w:bCs/>
                      <w:color w:val="auto"/>
                      <w:kern w:val="2"/>
                      <w:sz w:val="21"/>
                      <w:szCs w:val="21"/>
                      <w:lang w:val="en-US" w:eastAsia="zh-CN" w:bidi="ar"/>
                    </w:rPr>
                  </w:pPr>
                  <w:r>
                    <w:rPr>
                      <w:rFonts w:hint="eastAsia" w:ascii="Times New Roman" w:hAnsi="Times New Roman" w:eastAsia="宋体" w:cs="宋体"/>
                      <w:b/>
                      <w:bCs/>
                      <w:color w:val="auto"/>
                      <w:kern w:val="2"/>
                      <w:sz w:val="21"/>
                      <w:szCs w:val="21"/>
                      <w:lang w:val="en-US" w:eastAsia="zh-CN" w:bidi="ar"/>
                    </w:rPr>
                    <w:t>风量</w:t>
                  </w:r>
                </w:p>
                <w:p w14:paraId="3C1187A3">
                  <w:pPr>
                    <w:keepNext w:val="0"/>
                    <w:keepLines w:val="0"/>
                    <w:widowControl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
                    </w:rPr>
                    <w:t>m</w:t>
                  </w:r>
                  <w:r>
                    <w:rPr>
                      <w:rFonts w:hint="default" w:ascii="Times New Roman" w:hAnsi="Times New Roman" w:eastAsia="宋体" w:cs="Times New Roman"/>
                      <w:b/>
                      <w:bCs/>
                      <w:color w:val="auto"/>
                      <w:kern w:val="2"/>
                      <w:sz w:val="21"/>
                      <w:szCs w:val="21"/>
                      <w:vertAlign w:val="superscript"/>
                      <w:lang w:val="en-US" w:eastAsia="zh-CN" w:bidi="ar"/>
                    </w:rPr>
                    <w:t>3</w:t>
                  </w:r>
                  <w:r>
                    <w:rPr>
                      <w:rFonts w:hint="default" w:ascii="Times New Roman" w:hAnsi="Times New Roman" w:eastAsia="宋体" w:cs="Times New Roman"/>
                      <w:b/>
                      <w:bCs/>
                      <w:color w:val="auto"/>
                      <w:kern w:val="2"/>
                      <w:sz w:val="21"/>
                      <w:szCs w:val="21"/>
                      <w:lang w:val="en-US" w:eastAsia="zh-CN" w:bidi="ar"/>
                    </w:rPr>
                    <w:t>/h</w:t>
                  </w:r>
                </w:p>
              </w:tc>
              <w:tc>
                <w:tcPr>
                  <w:tcW w:w="661" w:type="pct"/>
                  <w:tcBorders>
                    <w:tl2br w:val="nil"/>
                    <w:tr2bl w:val="nil"/>
                  </w:tcBorders>
                  <w:shd w:val="clear" w:color="auto" w:fill="auto"/>
                  <w:vAlign w:val="center"/>
                </w:tcPr>
                <w:p w14:paraId="2BC0CFC3">
                  <w:pPr>
                    <w:keepNext w:val="0"/>
                    <w:keepLines w:val="0"/>
                    <w:widowControl w:val="0"/>
                    <w:suppressLineNumbers w:val="0"/>
                    <w:spacing w:before="0" w:beforeAutospacing="0" w:after="0" w:afterAutospacing="0" w:line="276" w:lineRule="auto"/>
                    <w:ind w:left="0" w:right="0"/>
                    <w:jc w:val="center"/>
                    <w:rPr>
                      <w:rFonts w:hint="eastAsia"/>
                      <w:b/>
                      <w:bCs/>
                      <w:color w:val="auto"/>
                      <w:szCs w:val="21"/>
                      <w:lang w:val="en-US" w:eastAsia="zh-CN"/>
                    </w:rPr>
                  </w:pPr>
                  <w:r>
                    <w:rPr>
                      <w:rFonts w:hint="eastAsia"/>
                      <w:b/>
                      <w:bCs/>
                      <w:color w:val="auto"/>
                      <w:szCs w:val="21"/>
                      <w:lang w:val="en-US" w:eastAsia="zh-CN"/>
                    </w:rPr>
                    <w:t>设计</w:t>
                  </w:r>
                </w:p>
                <w:p w14:paraId="7B0566F0">
                  <w:pPr>
                    <w:keepNext w:val="0"/>
                    <w:keepLines w:val="0"/>
                    <w:widowControl w:val="0"/>
                    <w:suppressLineNumbers w:val="0"/>
                    <w:spacing w:before="0" w:beforeAutospacing="0" w:after="0" w:afterAutospacing="0" w:line="276" w:lineRule="auto"/>
                    <w:ind w:left="0" w:right="0"/>
                    <w:jc w:val="center"/>
                    <w:rPr>
                      <w:rFonts w:hint="eastAsia"/>
                      <w:b/>
                      <w:bCs/>
                      <w:color w:val="auto"/>
                      <w:szCs w:val="21"/>
                      <w:lang w:val="en-US" w:eastAsia="zh-CN"/>
                    </w:rPr>
                  </w:pPr>
                  <w:r>
                    <w:rPr>
                      <w:rFonts w:hint="eastAsia"/>
                      <w:b/>
                      <w:bCs/>
                      <w:color w:val="auto"/>
                      <w:szCs w:val="21"/>
                      <w:lang w:val="en-US" w:eastAsia="zh-CN"/>
                    </w:rPr>
                    <w:t>风量</w:t>
                  </w:r>
                </w:p>
                <w:p w14:paraId="23D25B07">
                  <w:pPr>
                    <w:keepNext w:val="0"/>
                    <w:keepLines w:val="0"/>
                    <w:widowControl w:val="0"/>
                    <w:suppressLineNumbers w:val="0"/>
                    <w:spacing w:before="0" w:beforeAutospacing="0" w:after="0" w:afterAutospacing="0" w:line="276" w:lineRule="auto"/>
                    <w:ind w:left="0" w:right="0"/>
                    <w:jc w:val="center"/>
                    <w:rPr>
                      <w:rFonts w:hint="default"/>
                      <w:b/>
                      <w:bCs/>
                      <w:color w:val="auto"/>
                      <w:szCs w:val="21"/>
                      <w:lang w:val="en-US" w:eastAsia="zh-CN"/>
                    </w:rPr>
                  </w:pPr>
                  <w:r>
                    <w:rPr>
                      <w:rFonts w:hint="default" w:ascii="Times New Roman" w:hAnsi="Times New Roman" w:eastAsia="宋体" w:cs="Times New Roman"/>
                      <w:b/>
                      <w:bCs/>
                      <w:color w:val="auto"/>
                      <w:kern w:val="2"/>
                      <w:sz w:val="21"/>
                      <w:szCs w:val="21"/>
                      <w:lang w:val="en-US" w:eastAsia="zh-CN" w:bidi="ar"/>
                    </w:rPr>
                    <w:t>m</w:t>
                  </w:r>
                  <w:r>
                    <w:rPr>
                      <w:rFonts w:hint="default" w:ascii="Times New Roman" w:hAnsi="Times New Roman" w:eastAsia="宋体" w:cs="Times New Roman"/>
                      <w:b/>
                      <w:bCs/>
                      <w:color w:val="auto"/>
                      <w:kern w:val="2"/>
                      <w:sz w:val="21"/>
                      <w:szCs w:val="21"/>
                      <w:vertAlign w:val="superscript"/>
                      <w:lang w:val="en-US" w:eastAsia="zh-CN" w:bidi="ar"/>
                    </w:rPr>
                    <w:t>3</w:t>
                  </w:r>
                  <w:r>
                    <w:rPr>
                      <w:rFonts w:hint="default" w:ascii="Times New Roman" w:hAnsi="Times New Roman" w:eastAsia="宋体" w:cs="Times New Roman"/>
                      <w:b/>
                      <w:bCs/>
                      <w:color w:val="auto"/>
                      <w:kern w:val="2"/>
                      <w:sz w:val="21"/>
                      <w:szCs w:val="21"/>
                      <w:lang w:val="en-US" w:eastAsia="zh-CN" w:bidi="ar"/>
                    </w:rPr>
                    <w:t>/h</w:t>
                  </w:r>
                </w:p>
              </w:tc>
            </w:tr>
            <w:tr w14:paraId="3AD8CA5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092" w:hRule="atLeast"/>
                <w:jc w:val="center"/>
              </w:trPr>
              <w:tc>
                <w:tcPr>
                  <w:tcW w:w="470" w:type="pct"/>
                  <w:tcBorders>
                    <w:tl2br w:val="nil"/>
                    <w:tr2bl w:val="nil"/>
                  </w:tcBorders>
                  <w:shd w:val="clear" w:color="auto" w:fill="auto"/>
                  <w:vAlign w:val="center"/>
                </w:tcPr>
                <w:p w14:paraId="25B7B8EB">
                  <w:pPr>
                    <w:keepNext w:val="0"/>
                    <w:keepLines w:val="0"/>
                    <w:widowControl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粉碎</w:t>
                  </w:r>
                </w:p>
              </w:tc>
              <w:tc>
                <w:tcPr>
                  <w:tcW w:w="568" w:type="pct"/>
                  <w:tcBorders>
                    <w:tl2br w:val="nil"/>
                    <w:tr2bl w:val="nil"/>
                  </w:tcBorders>
                  <w:shd w:val="clear" w:color="auto" w:fill="auto"/>
                  <w:vAlign w:val="center"/>
                </w:tcPr>
                <w:p w14:paraId="129F5D76">
                  <w:pPr>
                    <w:keepNext w:val="0"/>
                    <w:keepLines w:val="0"/>
                    <w:widowControl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粉碎机</w:t>
                  </w:r>
                </w:p>
              </w:tc>
              <w:tc>
                <w:tcPr>
                  <w:tcW w:w="659" w:type="pct"/>
                  <w:tcBorders>
                    <w:tl2br w:val="nil"/>
                    <w:tr2bl w:val="nil"/>
                  </w:tcBorders>
                  <w:shd w:val="clear" w:color="auto" w:fill="auto"/>
                  <w:vAlign w:val="center"/>
                </w:tcPr>
                <w:p w14:paraId="7D93A135">
                  <w:pPr>
                    <w:keepNext w:val="0"/>
                    <w:keepLines w:val="0"/>
                    <w:widowControl w:val="0"/>
                    <w:suppressLineNumbers w:val="0"/>
                    <w:spacing w:before="0" w:beforeAutospacing="0" w:after="0" w:afterAutospacing="0" w:line="276" w:lineRule="auto"/>
                    <w:ind w:left="0" w:right="0"/>
                    <w:jc w:val="center"/>
                    <w:rPr>
                      <w:rFonts w:hint="default"/>
                      <w:color w:val="auto"/>
                      <w:szCs w:val="21"/>
                      <w:lang w:val="en-US"/>
                    </w:rPr>
                  </w:pPr>
                  <w:r>
                    <w:rPr>
                      <w:rFonts w:hint="eastAsia" w:ascii="Times New Roman" w:hAnsi="Times New Roman" w:eastAsia="宋体" w:cs="宋体"/>
                      <w:color w:val="auto"/>
                      <w:kern w:val="2"/>
                      <w:sz w:val="21"/>
                      <w:szCs w:val="21"/>
                      <w:lang w:val="en-US" w:eastAsia="zh-CN" w:bidi="ar"/>
                    </w:rPr>
                    <w:t>上方设置</w:t>
                  </w:r>
                  <w:r>
                    <w:rPr>
                      <w:rFonts w:hint="eastAsia" w:cs="宋体"/>
                      <w:color w:val="auto"/>
                      <w:kern w:val="2"/>
                      <w:sz w:val="21"/>
                      <w:szCs w:val="21"/>
                      <w:lang w:val="en-US" w:eastAsia="zh-CN" w:bidi="ar"/>
                    </w:rPr>
                    <w:t>外部顶吸式</w:t>
                  </w:r>
                  <w:r>
                    <w:rPr>
                      <w:rFonts w:hint="eastAsia" w:ascii="Times New Roman" w:hAnsi="Times New Roman" w:eastAsia="宋体" w:cs="宋体"/>
                      <w:color w:val="auto"/>
                      <w:kern w:val="2"/>
                      <w:sz w:val="21"/>
                      <w:szCs w:val="21"/>
                      <w:lang w:val="en-US" w:eastAsia="zh-CN" w:bidi="ar"/>
                    </w:rPr>
                    <w:t>集气罩</w:t>
                  </w:r>
                </w:p>
              </w:tc>
              <w:tc>
                <w:tcPr>
                  <w:tcW w:w="574" w:type="pct"/>
                  <w:tcBorders>
                    <w:tl2br w:val="nil"/>
                    <w:tr2bl w:val="nil"/>
                  </w:tcBorders>
                  <w:shd w:val="clear" w:color="auto" w:fill="auto"/>
                  <w:vAlign w:val="center"/>
                </w:tcPr>
                <w:p w14:paraId="033BE621">
                  <w:pPr>
                    <w:keepNext w:val="0"/>
                    <w:keepLines w:val="0"/>
                    <w:widowControl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6</w:t>
                  </w:r>
                </w:p>
              </w:tc>
              <w:tc>
                <w:tcPr>
                  <w:tcW w:w="815" w:type="pct"/>
                  <w:tcBorders>
                    <w:tl2br w:val="nil"/>
                    <w:tr2bl w:val="nil"/>
                  </w:tcBorders>
                  <w:shd w:val="clear" w:color="auto" w:fill="auto"/>
                  <w:vAlign w:val="center"/>
                </w:tcPr>
                <w:p w14:paraId="7A6DDC08">
                  <w:pPr>
                    <w:keepNext w:val="0"/>
                    <w:keepLines w:val="0"/>
                    <w:widowControl w:val="0"/>
                    <w:suppressLineNumbers w:val="0"/>
                    <w:spacing w:before="0" w:beforeAutospacing="0" w:after="0" w:afterAutospacing="0" w:line="276" w:lineRule="auto"/>
                    <w:ind w:left="0" w:right="0"/>
                    <w:jc w:val="center"/>
                    <w:rPr>
                      <w:rFonts w:hint="default"/>
                      <w:color w:val="auto"/>
                      <w:szCs w:val="21"/>
                      <w:lang w:val="en-US"/>
                    </w:rPr>
                  </w:pPr>
                  <w:r>
                    <w:rPr>
                      <w:rFonts w:hint="eastAsia" w:cs="Times New Roman"/>
                      <w:color w:val="auto"/>
                      <w:kern w:val="2"/>
                      <w:sz w:val="21"/>
                      <w:szCs w:val="21"/>
                      <w:lang w:val="en-US" w:eastAsia="zh-CN" w:bidi="ar"/>
                    </w:rPr>
                    <w:t>0.5</w:t>
                  </w:r>
                  <w:r>
                    <w:rPr>
                      <w:rFonts w:hint="eastAsia" w:ascii="Times New Roman" w:hAnsi="Times New Roman" w:eastAsia="宋体" w:cs="Times New Roman"/>
                      <w:color w:val="auto"/>
                      <w:kern w:val="2"/>
                      <w:sz w:val="21"/>
                      <w:szCs w:val="21"/>
                      <w:lang w:val="en-US" w:eastAsia="zh-CN" w:bidi="ar"/>
                    </w:rPr>
                    <w:t>×</w:t>
                  </w:r>
                  <w:r>
                    <w:rPr>
                      <w:rFonts w:hint="eastAsia" w:cs="Times New Roman"/>
                      <w:color w:val="auto"/>
                      <w:kern w:val="2"/>
                      <w:sz w:val="21"/>
                      <w:szCs w:val="21"/>
                      <w:lang w:val="en-US" w:eastAsia="zh-CN" w:bidi="ar"/>
                    </w:rPr>
                    <w:t>0.5</w:t>
                  </w:r>
                </w:p>
              </w:tc>
              <w:tc>
                <w:tcPr>
                  <w:tcW w:w="624" w:type="pct"/>
                  <w:tcBorders>
                    <w:tl2br w:val="nil"/>
                    <w:tr2bl w:val="nil"/>
                  </w:tcBorders>
                  <w:shd w:val="clear" w:color="auto" w:fill="auto"/>
                  <w:vAlign w:val="center"/>
                </w:tcPr>
                <w:p w14:paraId="6584675F">
                  <w:pPr>
                    <w:keepNext w:val="0"/>
                    <w:keepLines w:val="0"/>
                    <w:widowControl w:val="0"/>
                    <w:suppressLineNumbers w:val="0"/>
                    <w:spacing w:before="0" w:beforeAutospacing="0" w:after="0" w:afterAutospacing="0" w:line="276" w:lineRule="auto"/>
                    <w:ind w:left="0" w:right="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0.2</w:t>
                  </w:r>
                </w:p>
              </w:tc>
              <w:tc>
                <w:tcPr>
                  <w:tcW w:w="624" w:type="pct"/>
                  <w:tcBorders>
                    <w:tl2br w:val="nil"/>
                    <w:tr2bl w:val="nil"/>
                  </w:tcBorders>
                  <w:shd w:val="clear" w:color="auto" w:fill="auto"/>
                  <w:vAlign w:val="center"/>
                </w:tcPr>
                <w:p w14:paraId="73FB74C9">
                  <w:pPr>
                    <w:keepNext w:val="0"/>
                    <w:keepLines w:val="0"/>
                    <w:widowControl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8640</w:t>
                  </w:r>
                </w:p>
              </w:tc>
              <w:tc>
                <w:tcPr>
                  <w:tcW w:w="661" w:type="pct"/>
                  <w:tcBorders>
                    <w:tl2br w:val="nil"/>
                    <w:tr2bl w:val="nil"/>
                  </w:tcBorders>
                  <w:shd w:val="clear" w:color="auto" w:fill="auto"/>
                  <w:vAlign w:val="center"/>
                </w:tcPr>
                <w:p w14:paraId="6E58C684">
                  <w:pPr>
                    <w:keepNext w:val="0"/>
                    <w:keepLines w:val="0"/>
                    <w:widowControl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9000</w:t>
                  </w:r>
                </w:p>
              </w:tc>
            </w:tr>
            <w:tr w14:paraId="1AED74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3714" w:type="pct"/>
                  <w:gridSpan w:val="6"/>
                  <w:tcBorders>
                    <w:tl2br w:val="nil"/>
                    <w:tr2bl w:val="nil"/>
                  </w:tcBorders>
                  <w:shd w:val="clear" w:color="auto" w:fill="auto"/>
                  <w:vAlign w:val="center"/>
                </w:tcPr>
                <w:p w14:paraId="4E30E298">
                  <w:pPr>
                    <w:keepNext w:val="0"/>
                    <w:keepLines w:val="0"/>
                    <w:widowControl w:val="0"/>
                    <w:suppressLineNumbers w:val="0"/>
                    <w:spacing w:before="0" w:beforeAutospacing="0" w:after="0" w:afterAutospacing="0" w:line="276" w:lineRule="auto"/>
                    <w:ind w:left="0" w:right="0"/>
                    <w:jc w:val="center"/>
                    <w:rPr>
                      <w:rFonts w:hint="eastAsia" w:ascii="Times New Roman" w:hAnsi="Times New Roman" w:eastAsia="宋体" w:cs="宋体"/>
                      <w:b/>
                      <w:bCs/>
                      <w:color w:val="auto"/>
                      <w:kern w:val="2"/>
                      <w:sz w:val="21"/>
                      <w:szCs w:val="21"/>
                      <w:lang w:val="en-US" w:eastAsia="zh-CN" w:bidi="ar"/>
                    </w:rPr>
                  </w:pPr>
                  <w:r>
                    <w:rPr>
                      <w:rFonts w:hint="eastAsia" w:ascii="Times New Roman" w:hAnsi="Times New Roman" w:eastAsia="宋体" w:cs="宋体"/>
                      <w:b/>
                      <w:bCs/>
                      <w:color w:val="auto"/>
                      <w:kern w:val="2"/>
                      <w:sz w:val="21"/>
                      <w:szCs w:val="21"/>
                      <w:lang w:val="en-US" w:eastAsia="zh-CN" w:bidi="ar"/>
                    </w:rPr>
                    <w:t>合计</w:t>
                  </w:r>
                </w:p>
              </w:tc>
              <w:tc>
                <w:tcPr>
                  <w:tcW w:w="624" w:type="pct"/>
                  <w:tcBorders>
                    <w:tl2br w:val="nil"/>
                    <w:tr2bl w:val="nil"/>
                  </w:tcBorders>
                  <w:shd w:val="clear" w:color="auto" w:fill="auto"/>
                  <w:vAlign w:val="center"/>
                </w:tcPr>
                <w:p w14:paraId="247BF230">
                  <w:pPr>
                    <w:keepNext w:val="0"/>
                    <w:keepLines w:val="0"/>
                    <w:widowControl w:val="0"/>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b/>
                      <w:bCs/>
                      <w:color w:val="auto"/>
                      <w:kern w:val="2"/>
                      <w:sz w:val="21"/>
                      <w:szCs w:val="21"/>
                      <w:lang w:val="en-US" w:eastAsia="zh-CN" w:bidi="ar-SA"/>
                    </w:rPr>
                  </w:pPr>
                  <w:r>
                    <w:rPr>
                      <w:rFonts w:hint="eastAsia" w:cs="Times New Roman"/>
                      <w:b/>
                      <w:bCs/>
                      <w:color w:val="auto"/>
                      <w:kern w:val="2"/>
                      <w:sz w:val="21"/>
                      <w:szCs w:val="21"/>
                      <w:lang w:val="en-US" w:eastAsia="zh-CN" w:bidi="ar-SA"/>
                    </w:rPr>
                    <w:t>8640</w:t>
                  </w:r>
                </w:p>
              </w:tc>
              <w:tc>
                <w:tcPr>
                  <w:tcW w:w="661" w:type="pct"/>
                  <w:tcBorders>
                    <w:tl2br w:val="nil"/>
                    <w:tr2bl w:val="nil"/>
                  </w:tcBorders>
                  <w:shd w:val="clear" w:color="auto" w:fill="auto"/>
                  <w:vAlign w:val="center"/>
                </w:tcPr>
                <w:p w14:paraId="44F5638E">
                  <w:pPr>
                    <w:keepNext w:val="0"/>
                    <w:keepLines w:val="0"/>
                    <w:widowControl w:val="0"/>
                    <w:suppressLineNumbers w:val="0"/>
                    <w:spacing w:before="0" w:beforeAutospacing="0" w:after="0" w:afterAutospacing="0" w:line="276" w:lineRule="auto"/>
                    <w:ind w:left="0" w:right="0"/>
                    <w:jc w:val="center"/>
                    <w:rPr>
                      <w:rFonts w:hint="default" w:ascii="Times New Roman" w:hAnsi="Times New Roman" w:eastAsia="宋体" w:cs="宋体"/>
                      <w:b/>
                      <w:bCs/>
                      <w:color w:val="auto"/>
                      <w:kern w:val="2"/>
                      <w:sz w:val="21"/>
                      <w:szCs w:val="21"/>
                      <w:lang w:val="en-US" w:eastAsia="zh-CN" w:bidi="ar"/>
                    </w:rPr>
                  </w:pPr>
                  <w:r>
                    <w:rPr>
                      <w:rFonts w:hint="eastAsia" w:cs="宋体"/>
                      <w:b/>
                      <w:bCs/>
                      <w:color w:val="auto"/>
                      <w:kern w:val="2"/>
                      <w:sz w:val="21"/>
                      <w:szCs w:val="21"/>
                      <w:lang w:val="en-US" w:eastAsia="zh-CN" w:bidi="ar"/>
                    </w:rPr>
                    <w:t>9000</w:t>
                  </w:r>
                </w:p>
              </w:tc>
            </w:tr>
          </w:tbl>
          <w:p w14:paraId="5240C482">
            <w:pPr>
              <w:keepNext w:val="0"/>
              <w:keepLines w:val="0"/>
              <w:suppressLineNumbers w:val="0"/>
              <w:spacing w:before="0" w:beforeAutospacing="0" w:after="0" w:afterAutospacing="0" w:line="360" w:lineRule="auto"/>
              <w:ind w:left="0" w:right="0" w:firstLine="480" w:firstLineChars="200"/>
              <w:rPr>
                <w:rFonts w:hint="default" w:cs="Times New Roman"/>
                <w:color w:val="auto"/>
                <w:sz w:val="24"/>
                <w:szCs w:val="28"/>
                <w:lang w:val="en-US" w:eastAsia="zh-CN"/>
              </w:rPr>
            </w:pPr>
            <w:r>
              <w:rPr>
                <w:rFonts w:hint="eastAsia" w:cs="Times New Roman"/>
                <w:color w:val="auto"/>
                <w:sz w:val="24"/>
                <w:lang w:val="en-US" w:eastAsia="zh-CN"/>
              </w:rPr>
              <w:t>经核算</w:t>
            </w:r>
            <w:r>
              <w:rPr>
                <w:rFonts w:hint="default" w:ascii="Times New Roman" w:hAnsi="Times New Roman" w:cs="Times New Roman"/>
                <w:color w:val="auto"/>
                <w:sz w:val="24"/>
              </w:rPr>
              <w:t>，集气罩计算风量为</w:t>
            </w:r>
            <w:r>
              <w:rPr>
                <w:rFonts w:hint="eastAsia" w:cs="Times New Roman"/>
                <w:color w:val="auto"/>
                <w:sz w:val="24"/>
                <w:lang w:val="en-US" w:eastAsia="zh-CN"/>
              </w:rPr>
              <w:t>8640</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/h，</w:t>
            </w:r>
            <w:r>
              <w:rPr>
                <w:rFonts w:hint="default" w:ascii="Times New Roman" w:hAnsi="Times New Roman" w:cs="Times New Roman"/>
                <w:color w:val="auto"/>
                <w:sz w:val="24"/>
                <w:szCs w:val="24"/>
              </w:rPr>
              <w:t>考虑到风阻</w:t>
            </w:r>
            <w:r>
              <w:rPr>
                <w:rFonts w:hint="eastAsia" w:cs="Times New Roman"/>
                <w:color w:val="auto"/>
                <w:sz w:val="24"/>
                <w:szCs w:val="24"/>
                <w:lang w:eastAsia="zh-CN"/>
              </w:rPr>
              <w:t>、</w:t>
            </w:r>
            <w:r>
              <w:rPr>
                <w:rFonts w:hint="eastAsia" w:cs="Times New Roman"/>
                <w:color w:val="auto"/>
                <w:sz w:val="24"/>
                <w:szCs w:val="24"/>
                <w:lang w:val="en-US" w:eastAsia="zh-CN"/>
              </w:rPr>
              <w:t>风量损失</w:t>
            </w:r>
            <w:r>
              <w:rPr>
                <w:rFonts w:hint="default" w:ascii="Times New Roman" w:hAnsi="Times New Roman" w:cs="Times New Roman"/>
                <w:color w:val="auto"/>
                <w:sz w:val="24"/>
                <w:szCs w:val="24"/>
              </w:rPr>
              <w:t>等情况，</w:t>
            </w:r>
            <w:r>
              <w:rPr>
                <w:rFonts w:hint="default" w:ascii="Times New Roman" w:hAnsi="Times New Roman" w:cs="Times New Roman"/>
                <w:color w:val="auto"/>
                <w:sz w:val="24"/>
              </w:rPr>
              <w:t>风量取值</w:t>
            </w:r>
            <w:r>
              <w:rPr>
                <w:rFonts w:hint="eastAsia" w:cs="Times New Roman"/>
                <w:color w:val="auto"/>
                <w:sz w:val="24"/>
                <w:lang w:val="en-US" w:eastAsia="zh-CN"/>
              </w:rPr>
              <w:t>9000</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/h。</w:t>
            </w:r>
          </w:p>
          <w:p w14:paraId="1B4780A7">
            <w:pPr>
              <w:keepNext w:val="0"/>
              <w:keepLines w:val="0"/>
              <w:suppressLineNumbers w:val="0"/>
              <w:spacing w:before="0" w:beforeAutospacing="0" w:after="0" w:afterAutospacing="0" w:line="360" w:lineRule="auto"/>
              <w:ind w:left="0" w:right="0" w:firstLine="480" w:firstLineChars="200"/>
              <w:jc w:val="left"/>
              <w:rPr>
                <w:rFonts w:hint="default"/>
                <w:color w:val="auto"/>
                <w:sz w:val="24"/>
                <w:lang w:val="en-US" w:eastAsia="zh-CN"/>
              </w:rPr>
            </w:pPr>
          </w:p>
          <w:p w14:paraId="6366C273">
            <w:pPr>
              <w:keepNext w:val="0"/>
              <w:keepLines w:val="0"/>
              <w:suppressLineNumbers w:val="0"/>
              <w:spacing w:before="0" w:beforeAutospacing="0" w:after="0" w:afterAutospacing="0" w:line="360" w:lineRule="auto"/>
              <w:ind w:left="0" w:right="0" w:firstLine="480" w:firstLineChars="200"/>
              <w:jc w:val="left"/>
              <w:rPr>
                <w:rFonts w:hint="default"/>
                <w:color w:val="auto"/>
                <w:sz w:val="24"/>
                <w:lang w:val="en-US" w:eastAsia="zh-CN"/>
              </w:rPr>
            </w:pPr>
          </w:p>
          <w:p w14:paraId="1128782C">
            <w:pPr>
              <w:keepNext w:val="0"/>
              <w:keepLines w:val="0"/>
              <w:suppressLineNumbers w:val="0"/>
              <w:spacing w:before="0" w:beforeAutospacing="0" w:after="0" w:afterAutospacing="0"/>
              <w:ind w:left="0" w:right="0"/>
              <w:rPr>
                <w:rFonts w:hint="default"/>
                <w:color w:val="auto"/>
              </w:rPr>
            </w:pPr>
          </w:p>
        </w:tc>
      </w:tr>
    </w:tbl>
    <w:p w14:paraId="6410DBE2">
      <w:pPr>
        <w:widowControl/>
        <w:spacing w:line="360" w:lineRule="auto"/>
        <w:jc w:val="center"/>
        <w:rPr>
          <w:rFonts w:hAnsi="宋体"/>
          <w:color w:val="auto"/>
          <w:kern w:val="0"/>
          <w:sz w:val="24"/>
        </w:rPr>
        <w:sectPr>
          <w:pgSz w:w="11906" w:h="16838"/>
          <w:pgMar w:top="1440" w:right="1508" w:bottom="1440" w:left="1797" w:header="851" w:footer="992" w:gutter="0"/>
          <w:pgBorders>
            <w:top w:val="none" w:sz="0" w:space="0"/>
            <w:left w:val="none" w:sz="0" w:space="0"/>
            <w:bottom w:val="none" w:sz="0" w:space="0"/>
            <w:right w:val="none" w:sz="0" w:space="0"/>
          </w:pgBorders>
          <w:cols w:space="720" w:num="1"/>
          <w:docGrid w:type="lines" w:linePitch="312" w:charSpace="0"/>
        </w:sectPr>
      </w:pPr>
      <w:bookmarkStart w:id="13" w:name="_Toc354926677"/>
    </w:p>
    <w:tbl>
      <w:tblPr>
        <w:tblStyle w:val="37"/>
        <w:tblW w:w="4956" w:type="pct"/>
        <w:tblInd w:w="12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96"/>
        <w:gridCol w:w="13453"/>
      </w:tblGrid>
      <w:tr w14:paraId="71111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17" w:hRule="atLeast"/>
        </w:trPr>
        <w:tc>
          <w:tcPr>
            <w:tcW w:w="212" w:type="pct"/>
            <w:vAlign w:val="center"/>
          </w:tcPr>
          <w:p w14:paraId="3E5111C2">
            <w:pPr>
              <w:keepNext w:val="0"/>
              <w:keepLines w:val="0"/>
              <w:widowControl/>
              <w:suppressLineNumbers w:val="0"/>
              <w:spacing w:before="0" w:beforeAutospacing="0" w:after="0" w:afterAutospacing="0" w:line="360" w:lineRule="auto"/>
              <w:ind w:left="0" w:right="0"/>
              <w:jc w:val="center"/>
              <w:rPr>
                <w:rFonts w:hint="default" w:hAnsi="宋体"/>
                <w:color w:val="auto"/>
                <w:kern w:val="0"/>
                <w:sz w:val="24"/>
              </w:rPr>
            </w:pPr>
            <w:r>
              <w:rPr>
                <w:rFonts w:hint="eastAsia" w:hAnsi="宋体"/>
                <w:color w:val="auto"/>
                <w:kern w:val="0"/>
                <w:sz w:val="24"/>
              </w:rPr>
              <w:t>运营期环境影响和保护措施</w:t>
            </w:r>
          </w:p>
        </w:tc>
        <w:tc>
          <w:tcPr>
            <w:tcW w:w="4787" w:type="pct"/>
            <w:vAlign w:val="center"/>
          </w:tcPr>
          <w:p w14:paraId="237D7182">
            <w:pPr>
              <w:keepNext w:val="0"/>
              <w:keepLines w:val="0"/>
              <w:suppressLineNumbers w:val="0"/>
              <w:spacing w:before="0" w:beforeAutospacing="0" w:after="0" w:afterAutospacing="0" w:line="360" w:lineRule="auto"/>
              <w:ind w:left="0" w:right="0" w:firstLine="480" w:firstLineChars="200"/>
              <w:jc w:val="left"/>
              <w:rPr>
                <w:rFonts w:hint="default"/>
                <w:bCs/>
                <w:color w:val="auto"/>
                <w:sz w:val="24"/>
                <w:szCs w:val="28"/>
              </w:rPr>
            </w:pPr>
            <w:r>
              <w:rPr>
                <w:rFonts w:hint="default"/>
                <w:bCs/>
                <w:color w:val="auto"/>
                <w:sz w:val="24"/>
                <w:szCs w:val="28"/>
              </w:rPr>
              <w:t>本项目废气产生及</w:t>
            </w:r>
            <w:r>
              <w:rPr>
                <w:rFonts w:hint="eastAsia" w:hAnsi="宋体"/>
                <w:color w:val="auto"/>
                <w:sz w:val="24"/>
              </w:rPr>
              <w:t>排放情况汇总表如下表所示：</w:t>
            </w:r>
          </w:p>
          <w:p w14:paraId="463B300D">
            <w:pPr>
              <w:pStyle w:val="223"/>
              <w:keepNext w:val="0"/>
              <w:keepLines w:val="0"/>
              <w:suppressLineNumbers w:val="0"/>
              <w:spacing w:before="0" w:beforeAutospacing="0" w:after="0" w:afterAutospacing="0"/>
              <w:ind w:left="0" w:right="0"/>
              <w:jc w:val="center"/>
              <w:rPr>
                <w:rFonts w:hint="default" w:eastAsia="黑体" w:cs="Times New Roman"/>
                <w:bCs/>
                <w:color w:val="auto"/>
                <w:szCs w:val="21"/>
              </w:rPr>
            </w:pPr>
            <w:r>
              <w:rPr>
                <w:rFonts w:hint="default" w:hAnsi="黑体" w:eastAsia="黑体" w:cs="Times New Roman"/>
                <w:color w:val="auto"/>
              </w:rPr>
              <w:t>表</w:t>
            </w:r>
            <w:r>
              <w:rPr>
                <w:rFonts w:hint="eastAsia" w:eastAsia="黑体" w:cs="Times New Roman"/>
                <w:color w:val="auto"/>
                <w:lang w:val="en-US" w:eastAsia="zh-CN"/>
              </w:rPr>
              <w:t>4-3 本项目</w:t>
            </w:r>
            <w:r>
              <w:rPr>
                <w:rFonts w:hint="default" w:hAnsi="黑体" w:eastAsia="黑体" w:cs="Times New Roman"/>
                <w:color w:val="auto"/>
              </w:rPr>
              <w:t>有组织废气产生及排放源强一览表</w:t>
            </w:r>
          </w:p>
          <w:tbl>
            <w:tblPr>
              <w:tblStyle w:val="3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14"/>
              <w:gridCol w:w="599"/>
              <w:gridCol w:w="514"/>
              <w:gridCol w:w="514"/>
              <w:gridCol w:w="498"/>
              <w:gridCol w:w="493"/>
              <w:gridCol w:w="676"/>
              <w:gridCol w:w="546"/>
              <w:gridCol w:w="731"/>
              <w:gridCol w:w="554"/>
              <w:gridCol w:w="559"/>
              <w:gridCol w:w="1182"/>
              <w:gridCol w:w="1192"/>
              <w:gridCol w:w="1184"/>
              <w:gridCol w:w="731"/>
              <w:gridCol w:w="495"/>
              <w:gridCol w:w="845"/>
              <w:gridCol w:w="472"/>
              <w:gridCol w:w="472"/>
              <w:gridCol w:w="466"/>
            </w:tblGrid>
            <w:tr w14:paraId="5F3336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gridSpan w:val="2"/>
                  <w:vMerge w:val="restart"/>
                  <w:vAlign w:val="center"/>
                </w:tcPr>
                <w:p w14:paraId="3DD357CB">
                  <w:pPr>
                    <w:keepNext w:val="0"/>
                    <w:keepLines w:val="0"/>
                    <w:suppressLineNumbers w:val="0"/>
                    <w:wordWrap w:val="0"/>
                    <w:spacing w:before="0" w:beforeAutospacing="0" w:after="0" w:afterAutospacing="0" w:line="276" w:lineRule="auto"/>
                    <w:ind w:left="0" w:right="0"/>
                    <w:jc w:val="center"/>
                    <w:rPr>
                      <w:rFonts w:hint="eastAsia" w:hAnsi="宋体"/>
                      <w:b/>
                      <w:color w:val="auto"/>
                      <w:szCs w:val="21"/>
                    </w:rPr>
                  </w:pPr>
                  <w:r>
                    <w:rPr>
                      <w:rFonts w:hint="eastAsia" w:hAnsi="宋体"/>
                      <w:b/>
                      <w:color w:val="auto"/>
                      <w:szCs w:val="21"/>
                    </w:rPr>
                    <w:t>产污环节</w:t>
                  </w:r>
                </w:p>
              </w:tc>
              <w:tc>
                <w:tcPr>
                  <w:tcW w:w="194" w:type="pct"/>
                  <w:vMerge w:val="restart"/>
                  <w:vAlign w:val="center"/>
                </w:tcPr>
                <w:p w14:paraId="4F89195D">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eastAsia" w:hAnsi="宋体"/>
                      <w:b/>
                      <w:color w:val="auto"/>
                      <w:szCs w:val="21"/>
                    </w:rPr>
                    <w:t>污染物</w:t>
                  </w:r>
                </w:p>
              </w:tc>
              <w:tc>
                <w:tcPr>
                  <w:tcW w:w="823" w:type="pct"/>
                  <w:gridSpan w:val="4"/>
                  <w:vAlign w:val="center"/>
                </w:tcPr>
                <w:p w14:paraId="422B4783">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eastAsia"/>
                      <w:b/>
                      <w:color w:val="auto"/>
                      <w:szCs w:val="21"/>
                    </w:rPr>
                    <w:t>污染物产生情况</w:t>
                  </w:r>
                </w:p>
              </w:tc>
              <w:tc>
                <w:tcPr>
                  <w:tcW w:w="902" w:type="pct"/>
                  <w:gridSpan w:val="4"/>
                  <w:vAlign w:val="center"/>
                </w:tcPr>
                <w:p w14:paraId="40A34489">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eastAsia"/>
                      <w:b/>
                      <w:color w:val="auto"/>
                      <w:szCs w:val="21"/>
                    </w:rPr>
                    <w:t>收集及治理设施</w:t>
                  </w:r>
                </w:p>
              </w:tc>
              <w:tc>
                <w:tcPr>
                  <w:tcW w:w="1343" w:type="pct"/>
                  <w:gridSpan w:val="3"/>
                  <w:vAlign w:val="center"/>
                </w:tcPr>
                <w:p w14:paraId="3EE1D606">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eastAsia"/>
                      <w:b/>
                      <w:color w:val="auto"/>
                      <w:szCs w:val="21"/>
                    </w:rPr>
                    <w:t>污染物排放情况</w:t>
                  </w:r>
                </w:p>
              </w:tc>
              <w:tc>
                <w:tcPr>
                  <w:tcW w:w="463" w:type="pct"/>
                  <w:gridSpan w:val="2"/>
                  <w:vAlign w:val="center"/>
                </w:tcPr>
                <w:p w14:paraId="506A9A02">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eastAsia"/>
                      <w:b/>
                      <w:color w:val="auto"/>
                      <w:szCs w:val="21"/>
                    </w:rPr>
                    <w:t>排放标准</w:t>
                  </w:r>
                </w:p>
              </w:tc>
              <w:tc>
                <w:tcPr>
                  <w:tcW w:w="319" w:type="pct"/>
                  <w:vAlign w:val="center"/>
                </w:tcPr>
                <w:p w14:paraId="63F45DD9">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eastAsia"/>
                      <w:b/>
                      <w:color w:val="auto"/>
                      <w:szCs w:val="21"/>
                    </w:rPr>
                    <w:t>风量</w:t>
                  </w:r>
                </w:p>
              </w:tc>
              <w:tc>
                <w:tcPr>
                  <w:tcW w:w="532" w:type="pct"/>
                  <w:gridSpan w:val="3"/>
                  <w:vAlign w:val="center"/>
                </w:tcPr>
                <w:p w14:paraId="2E968A5C">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eastAsia"/>
                      <w:b/>
                      <w:color w:val="auto"/>
                      <w:szCs w:val="21"/>
                    </w:rPr>
                    <w:t>排气筒</w:t>
                  </w:r>
                </w:p>
              </w:tc>
            </w:tr>
            <w:tr w14:paraId="3FA8E0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gridSpan w:val="2"/>
                  <w:vMerge w:val="continue"/>
                  <w:vAlign w:val="center"/>
                </w:tcPr>
                <w:p w14:paraId="5DD49399">
                  <w:pPr>
                    <w:keepNext w:val="0"/>
                    <w:keepLines w:val="0"/>
                    <w:widowControl/>
                    <w:suppressLineNumbers w:val="0"/>
                    <w:spacing w:before="0" w:beforeAutospacing="0" w:after="0" w:afterAutospacing="0" w:line="276" w:lineRule="auto"/>
                    <w:ind w:left="0" w:right="0"/>
                    <w:jc w:val="center"/>
                    <w:rPr>
                      <w:rFonts w:hint="default"/>
                      <w:b/>
                      <w:color w:val="auto"/>
                      <w:szCs w:val="21"/>
                    </w:rPr>
                  </w:pPr>
                </w:p>
              </w:tc>
              <w:tc>
                <w:tcPr>
                  <w:tcW w:w="194" w:type="pct"/>
                  <w:vMerge w:val="continue"/>
                  <w:vAlign w:val="center"/>
                </w:tcPr>
                <w:p w14:paraId="00134798">
                  <w:pPr>
                    <w:keepNext w:val="0"/>
                    <w:keepLines w:val="0"/>
                    <w:widowControl/>
                    <w:suppressLineNumbers w:val="0"/>
                    <w:spacing w:before="0" w:beforeAutospacing="0" w:after="0" w:afterAutospacing="0" w:line="276" w:lineRule="auto"/>
                    <w:ind w:left="0" w:right="0"/>
                    <w:jc w:val="center"/>
                    <w:rPr>
                      <w:rFonts w:hint="default"/>
                      <w:b/>
                      <w:color w:val="auto"/>
                      <w:szCs w:val="21"/>
                    </w:rPr>
                  </w:pPr>
                </w:p>
              </w:tc>
              <w:tc>
                <w:tcPr>
                  <w:tcW w:w="194" w:type="pct"/>
                  <w:vAlign w:val="center"/>
                </w:tcPr>
                <w:p w14:paraId="0E5C99A8">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eastAsia"/>
                      <w:b/>
                      <w:color w:val="auto"/>
                      <w:szCs w:val="21"/>
                    </w:rPr>
                    <w:t>核算方法</w:t>
                  </w:r>
                </w:p>
              </w:tc>
              <w:tc>
                <w:tcPr>
                  <w:tcW w:w="188" w:type="pct"/>
                  <w:vAlign w:val="center"/>
                </w:tcPr>
                <w:p w14:paraId="52E49F31">
                  <w:pPr>
                    <w:keepNext w:val="0"/>
                    <w:keepLines w:val="0"/>
                    <w:suppressLineNumbers w:val="0"/>
                    <w:wordWrap w:val="0"/>
                    <w:spacing w:before="0" w:beforeAutospacing="0" w:after="0" w:afterAutospacing="0" w:line="276" w:lineRule="auto"/>
                    <w:ind w:left="0" w:right="0"/>
                    <w:jc w:val="center"/>
                    <w:rPr>
                      <w:rFonts w:hint="eastAsia"/>
                      <w:b/>
                      <w:color w:val="auto"/>
                      <w:szCs w:val="21"/>
                    </w:rPr>
                  </w:pPr>
                  <w:r>
                    <w:rPr>
                      <w:rFonts w:hint="eastAsia"/>
                      <w:b/>
                      <w:color w:val="auto"/>
                      <w:szCs w:val="21"/>
                    </w:rPr>
                    <w:t>速率</w:t>
                  </w:r>
                </w:p>
                <w:p w14:paraId="33FB500E">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default"/>
                      <w:b/>
                      <w:color w:val="auto"/>
                      <w:szCs w:val="21"/>
                    </w:rPr>
                    <w:t>kg/h</w:t>
                  </w:r>
                </w:p>
              </w:tc>
              <w:tc>
                <w:tcPr>
                  <w:tcW w:w="186" w:type="pct"/>
                  <w:vAlign w:val="center"/>
                </w:tcPr>
                <w:p w14:paraId="2A6D5BCD">
                  <w:pPr>
                    <w:keepNext w:val="0"/>
                    <w:keepLines w:val="0"/>
                    <w:suppressLineNumbers w:val="0"/>
                    <w:wordWrap w:val="0"/>
                    <w:spacing w:before="0" w:beforeAutospacing="0" w:after="0" w:afterAutospacing="0" w:line="276" w:lineRule="auto"/>
                    <w:ind w:left="0" w:right="0"/>
                    <w:jc w:val="center"/>
                    <w:rPr>
                      <w:rFonts w:hint="eastAsia"/>
                      <w:b/>
                      <w:color w:val="auto"/>
                      <w:szCs w:val="21"/>
                    </w:rPr>
                  </w:pPr>
                  <w:r>
                    <w:rPr>
                      <w:rFonts w:hint="eastAsia"/>
                      <w:b/>
                      <w:color w:val="auto"/>
                      <w:szCs w:val="21"/>
                    </w:rPr>
                    <w:t>产生量</w:t>
                  </w:r>
                </w:p>
                <w:p w14:paraId="5DB93DC0">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default"/>
                      <w:b/>
                      <w:color w:val="auto"/>
                      <w:szCs w:val="21"/>
                    </w:rPr>
                    <w:t>t/a</w:t>
                  </w:r>
                </w:p>
              </w:tc>
              <w:tc>
                <w:tcPr>
                  <w:tcW w:w="255" w:type="pct"/>
                  <w:vAlign w:val="center"/>
                </w:tcPr>
                <w:p w14:paraId="08BA8A4F">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eastAsia"/>
                      <w:b/>
                      <w:color w:val="auto"/>
                      <w:szCs w:val="21"/>
                    </w:rPr>
                    <w:t>排放时间（</w:t>
                  </w:r>
                  <w:r>
                    <w:rPr>
                      <w:rFonts w:hint="default"/>
                      <w:b/>
                      <w:color w:val="auto"/>
                      <w:szCs w:val="21"/>
                    </w:rPr>
                    <w:t>h</w:t>
                  </w:r>
                  <w:r>
                    <w:rPr>
                      <w:rFonts w:hint="eastAsia"/>
                      <w:b/>
                      <w:color w:val="auto"/>
                      <w:szCs w:val="21"/>
                    </w:rPr>
                    <w:t>/a）</w:t>
                  </w:r>
                </w:p>
              </w:tc>
              <w:tc>
                <w:tcPr>
                  <w:tcW w:w="206" w:type="pct"/>
                  <w:vAlign w:val="center"/>
                </w:tcPr>
                <w:p w14:paraId="410F953D">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eastAsia"/>
                      <w:b/>
                      <w:color w:val="auto"/>
                      <w:szCs w:val="21"/>
                    </w:rPr>
                    <w:t>收集措施</w:t>
                  </w:r>
                </w:p>
              </w:tc>
              <w:tc>
                <w:tcPr>
                  <w:tcW w:w="276" w:type="pct"/>
                  <w:vAlign w:val="center"/>
                </w:tcPr>
                <w:p w14:paraId="1490F789">
                  <w:pPr>
                    <w:keepNext w:val="0"/>
                    <w:keepLines w:val="0"/>
                    <w:suppressLineNumbers w:val="0"/>
                    <w:wordWrap w:val="0"/>
                    <w:spacing w:before="0" w:beforeAutospacing="0" w:after="0" w:afterAutospacing="0" w:line="276" w:lineRule="auto"/>
                    <w:ind w:left="0" w:right="0"/>
                    <w:jc w:val="center"/>
                    <w:rPr>
                      <w:rFonts w:hint="eastAsia"/>
                      <w:b/>
                      <w:color w:val="auto"/>
                      <w:szCs w:val="21"/>
                    </w:rPr>
                  </w:pPr>
                  <w:r>
                    <w:rPr>
                      <w:rFonts w:hint="eastAsia"/>
                      <w:b/>
                      <w:color w:val="auto"/>
                      <w:szCs w:val="21"/>
                    </w:rPr>
                    <w:t>治理</w:t>
                  </w:r>
                </w:p>
                <w:p w14:paraId="50F35C14">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eastAsia"/>
                      <w:b/>
                      <w:color w:val="auto"/>
                      <w:szCs w:val="21"/>
                    </w:rPr>
                    <w:t>工艺</w:t>
                  </w:r>
                </w:p>
              </w:tc>
              <w:tc>
                <w:tcPr>
                  <w:tcW w:w="209" w:type="pct"/>
                  <w:vAlign w:val="center"/>
                </w:tcPr>
                <w:p w14:paraId="3673CC90">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eastAsia"/>
                      <w:b/>
                      <w:color w:val="auto"/>
                      <w:szCs w:val="21"/>
                    </w:rPr>
                    <w:t>收集效率</w:t>
                  </w:r>
                </w:p>
              </w:tc>
              <w:tc>
                <w:tcPr>
                  <w:tcW w:w="211" w:type="pct"/>
                  <w:vAlign w:val="center"/>
                </w:tcPr>
                <w:p w14:paraId="44EF0267">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eastAsia"/>
                      <w:b/>
                      <w:color w:val="auto"/>
                      <w:szCs w:val="21"/>
                    </w:rPr>
                    <w:t>处理效率</w:t>
                  </w:r>
                </w:p>
              </w:tc>
              <w:tc>
                <w:tcPr>
                  <w:tcW w:w="446" w:type="pct"/>
                  <w:vAlign w:val="center"/>
                </w:tcPr>
                <w:p w14:paraId="6E5D7CC8">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eastAsia"/>
                      <w:b/>
                      <w:color w:val="auto"/>
                      <w:szCs w:val="21"/>
                    </w:rPr>
                    <w:t>排放浓度</w:t>
                  </w:r>
                </w:p>
                <w:p w14:paraId="1857DC30">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default"/>
                      <w:b/>
                      <w:color w:val="auto"/>
                      <w:szCs w:val="21"/>
                    </w:rPr>
                    <w:t>mg/m</w:t>
                  </w:r>
                  <w:r>
                    <w:rPr>
                      <w:rFonts w:hint="default"/>
                      <w:b/>
                      <w:color w:val="auto"/>
                      <w:szCs w:val="21"/>
                      <w:vertAlign w:val="superscript"/>
                    </w:rPr>
                    <w:t>3</w:t>
                  </w:r>
                </w:p>
              </w:tc>
              <w:tc>
                <w:tcPr>
                  <w:tcW w:w="450" w:type="pct"/>
                  <w:vAlign w:val="center"/>
                </w:tcPr>
                <w:p w14:paraId="2684F34E">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eastAsia"/>
                      <w:b/>
                      <w:color w:val="auto"/>
                      <w:szCs w:val="21"/>
                    </w:rPr>
                    <w:t>速率</w:t>
                  </w:r>
                </w:p>
                <w:p w14:paraId="27FE9D8A">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default"/>
                      <w:b/>
                      <w:color w:val="auto"/>
                      <w:szCs w:val="21"/>
                    </w:rPr>
                    <w:t>kg/h</w:t>
                  </w:r>
                </w:p>
              </w:tc>
              <w:tc>
                <w:tcPr>
                  <w:tcW w:w="447" w:type="pct"/>
                  <w:vAlign w:val="center"/>
                </w:tcPr>
                <w:p w14:paraId="71B6DBAB">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default"/>
                      <w:b/>
                      <w:color w:val="auto"/>
                      <w:szCs w:val="21"/>
                    </w:rPr>
                    <w:t>排放量</w:t>
                  </w:r>
                </w:p>
                <w:p w14:paraId="23730AFE">
                  <w:pPr>
                    <w:keepNext w:val="0"/>
                    <w:keepLines w:val="0"/>
                    <w:suppressLineNumbers w:val="0"/>
                    <w:spacing w:before="0" w:beforeAutospacing="0" w:after="0" w:afterAutospacing="0" w:line="276" w:lineRule="auto"/>
                    <w:ind w:left="0" w:right="0"/>
                    <w:jc w:val="center"/>
                    <w:rPr>
                      <w:rFonts w:hint="default"/>
                      <w:b/>
                      <w:color w:val="auto"/>
                      <w:szCs w:val="21"/>
                    </w:rPr>
                  </w:pPr>
                  <w:r>
                    <w:rPr>
                      <w:rFonts w:hint="default"/>
                      <w:b/>
                      <w:color w:val="auto"/>
                      <w:szCs w:val="21"/>
                    </w:rPr>
                    <w:t>t/a</w:t>
                  </w:r>
                </w:p>
              </w:tc>
              <w:tc>
                <w:tcPr>
                  <w:tcW w:w="276" w:type="pct"/>
                  <w:vAlign w:val="center"/>
                </w:tcPr>
                <w:p w14:paraId="5E8BF73F">
                  <w:pPr>
                    <w:keepNext w:val="0"/>
                    <w:keepLines w:val="0"/>
                    <w:suppressLineNumbers w:val="0"/>
                    <w:wordWrap w:val="0"/>
                    <w:spacing w:before="0" w:beforeAutospacing="0" w:after="0" w:afterAutospacing="0" w:line="276" w:lineRule="auto"/>
                    <w:ind w:left="0" w:right="0"/>
                    <w:jc w:val="center"/>
                    <w:rPr>
                      <w:rFonts w:hint="default"/>
                      <w:b/>
                      <w:color w:val="auto"/>
                      <w:szCs w:val="21"/>
                      <w:highlight w:val="none"/>
                    </w:rPr>
                  </w:pPr>
                  <w:r>
                    <w:rPr>
                      <w:rFonts w:hint="eastAsia"/>
                      <w:b/>
                      <w:color w:val="auto"/>
                      <w:szCs w:val="21"/>
                      <w:highlight w:val="none"/>
                    </w:rPr>
                    <w:t>浓度</w:t>
                  </w:r>
                  <w:r>
                    <w:rPr>
                      <w:rFonts w:hint="default"/>
                      <w:b/>
                      <w:color w:val="auto"/>
                      <w:szCs w:val="21"/>
                      <w:highlight w:val="none"/>
                    </w:rPr>
                    <w:t>mg/m</w:t>
                  </w:r>
                  <w:r>
                    <w:rPr>
                      <w:rFonts w:hint="default"/>
                      <w:b/>
                      <w:color w:val="auto"/>
                      <w:szCs w:val="21"/>
                      <w:highlight w:val="none"/>
                      <w:vertAlign w:val="superscript"/>
                    </w:rPr>
                    <w:t>3</w:t>
                  </w:r>
                </w:p>
              </w:tc>
              <w:tc>
                <w:tcPr>
                  <w:tcW w:w="186" w:type="pct"/>
                  <w:vAlign w:val="center"/>
                </w:tcPr>
                <w:p w14:paraId="28054E39">
                  <w:pPr>
                    <w:keepNext w:val="0"/>
                    <w:keepLines w:val="0"/>
                    <w:suppressLineNumbers w:val="0"/>
                    <w:wordWrap w:val="0"/>
                    <w:spacing w:before="0" w:beforeAutospacing="0" w:after="0" w:afterAutospacing="0" w:line="276" w:lineRule="auto"/>
                    <w:ind w:left="0" w:right="0"/>
                    <w:jc w:val="center"/>
                    <w:rPr>
                      <w:rFonts w:hint="default"/>
                      <w:b/>
                      <w:color w:val="auto"/>
                      <w:szCs w:val="21"/>
                      <w:highlight w:val="none"/>
                    </w:rPr>
                  </w:pPr>
                  <w:r>
                    <w:rPr>
                      <w:rFonts w:hint="eastAsia"/>
                      <w:b/>
                      <w:color w:val="auto"/>
                      <w:szCs w:val="21"/>
                      <w:highlight w:val="none"/>
                    </w:rPr>
                    <w:t>速率</w:t>
                  </w:r>
                </w:p>
                <w:p w14:paraId="40225FC3">
                  <w:pPr>
                    <w:keepNext w:val="0"/>
                    <w:keepLines w:val="0"/>
                    <w:suppressLineNumbers w:val="0"/>
                    <w:wordWrap w:val="0"/>
                    <w:spacing w:before="0" w:beforeAutospacing="0" w:after="0" w:afterAutospacing="0" w:line="276" w:lineRule="auto"/>
                    <w:ind w:left="0" w:right="0"/>
                    <w:jc w:val="center"/>
                    <w:rPr>
                      <w:rFonts w:hint="default"/>
                      <w:b/>
                      <w:color w:val="auto"/>
                      <w:szCs w:val="21"/>
                      <w:highlight w:val="none"/>
                    </w:rPr>
                  </w:pPr>
                  <w:r>
                    <w:rPr>
                      <w:rFonts w:hint="default"/>
                      <w:b/>
                      <w:color w:val="auto"/>
                      <w:szCs w:val="21"/>
                      <w:highlight w:val="none"/>
                    </w:rPr>
                    <w:t>kg/h</w:t>
                  </w:r>
                </w:p>
              </w:tc>
              <w:tc>
                <w:tcPr>
                  <w:tcW w:w="319" w:type="pct"/>
                  <w:vAlign w:val="center"/>
                </w:tcPr>
                <w:p w14:paraId="1B8CACDA">
                  <w:pPr>
                    <w:keepNext w:val="0"/>
                    <w:keepLines w:val="0"/>
                    <w:widowControl/>
                    <w:suppressLineNumbers w:val="0"/>
                    <w:spacing w:before="0" w:beforeAutospacing="0" w:after="0" w:afterAutospacing="0" w:line="276" w:lineRule="auto"/>
                    <w:ind w:left="0" w:right="0"/>
                    <w:jc w:val="center"/>
                    <w:rPr>
                      <w:rFonts w:hint="default"/>
                      <w:b/>
                      <w:color w:val="auto"/>
                      <w:szCs w:val="21"/>
                    </w:rPr>
                  </w:pPr>
                  <w:r>
                    <w:rPr>
                      <w:rFonts w:hint="default"/>
                      <w:b/>
                      <w:color w:val="auto"/>
                      <w:szCs w:val="21"/>
                    </w:rPr>
                    <w:t>m</w:t>
                  </w:r>
                  <w:r>
                    <w:rPr>
                      <w:rFonts w:hint="default"/>
                      <w:b/>
                      <w:color w:val="auto"/>
                      <w:szCs w:val="21"/>
                      <w:vertAlign w:val="superscript"/>
                    </w:rPr>
                    <w:t>3</w:t>
                  </w:r>
                  <w:r>
                    <w:rPr>
                      <w:rFonts w:hint="default"/>
                      <w:b/>
                      <w:color w:val="auto"/>
                      <w:szCs w:val="21"/>
                    </w:rPr>
                    <w:t>/h</w:t>
                  </w:r>
                </w:p>
              </w:tc>
              <w:tc>
                <w:tcPr>
                  <w:tcW w:w="178" w:type="pct"/>
                  <w:vAlign w:val="center"/>
                </w:tcPr>
                <w:p w14:paraId="2E8E9695">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eastAsia"/>
                      <w:b/>
                      <w:color w:val="auto"/>
                      <w:szCs w:val="21"/>
                    </w:rPr>
                    <w:t>高度</w:t>
                  </w:r>
                  <w:r>
                    <w:rPr>
                      <w:rFonts w:hint="default"/>
                      <w:b/>
                      <w:color w:val="auto"/>
                      <w:szCs w:val="21"/>
                    </w:rPr>
                    <w:t>m</w:t>
                  </w:r>
                </w:p>
              </w:tc>
              <w:tc>
                <w:tcPr>
                  <w:tcW w:w="178" w:type="pct"/>
                  <w:vAlign w:val="center"/>
                </w:tcPr>
                <w:p w14:paraId="54EF33E6">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eastAsia"/>
                      <w:b/>
                      <w:color w:val="auto"/>
                      <w:szCs w:val="21"/>
                    </w:rPr>
                    <w:t>内径</w:t>
                  </w:r>
                  <w:r>
                    <w:rPr>
                      <w:rFonts w:hint="default"/>
                      <w:b/>
                      <w:color w:val="auto"/>
                      <w:szCs w:val="21"/>
                    </w:rPr>
                    <w:t>m</w:t>
                  </w:r>
                </w:p>
              </w:tc>
              <w:tc>
                <w:tcPr>
                  <w:tcW w:w="176" w:type="pct"/>
                  <w:vAlign w:val="center"/>
                </w:tcPr>
                <w:p w14:paraId="4F5A9D66">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eastAsia"/>
                      <w:b/>
                      <w:color w:val="auto"/>
                      <w:szCs w:val="21"/>
                    </w:rPr>
                    <w:t>温度</w:t>
                  </w:r>
                </w:p>
                <w:p w14:paraId="4BF942C0">
                  <w:pPr>
                    <w:keepNext w:val="0"/>
                    <w:keepLines w:val="0"/>
                    <w:suppressLineNumbers w:val="0"/>
                    <w:wordWrap w:val="0"/>
                    <w:spacing w:before="0" w:beforeAutospacing="0" w:after="0" w:afterAutospacing="0" w:line="276" w:lineRule="auto"/>
                    <w:ind w:left="0" w:right="0"/>
                    <w:jc w:val="center"/>
                    <w:rPr>
                      <w:rFonts w:hint="default"/>
                      <w:b/>
                      <w:color w:val="auto"/>
                      <w:szCs w:val="21"/>
                    </w:rPr>
                  </w:pPr>
                  <w:r>
                    <w:rPr>
                      <w:rFonts w:hint="default"/>
                      <w:b/>
                      <w:color w:val="auto"/>
                      <w:szCs w:val="21"/>
                    </w:rPr>
                    <w:t>℃</w:t>
                  </w:r>
                </w:p>
              </w:tc>
            </w:tr>
            <w:tr w14:paraId="6181DF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94" w:type="pct"/>
                  <w:vMerge w:val="restart"/>
                  <w:vAlign w:val="center"/>
                </w:tcPr>
                <w:p w14:paraId="14BB9C4E">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塑料制品生产</w:t>
                  </w:r>
                </w:p>
              </w:tc>
              <w:tc>
                <w:tcPr>
                  <w:tcW w:w="226" w:type="pct"/>
                  <w:vMerge w:val="restart"/>
                  <w:vAlign w:val="center"/>
                </w:tcPr>
                <w:p w14:paraId="111804CF">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注塑废气G</w:t>
                  </w:r>
                  <w:r>
                    <w:rPr>
                      <w:rFonts w:hint="eastAsia"/>
                      <w:color w:val="auto"/>
                      <w:szCs w:val="21"/>
                      <w:vertAlign w:val="subscript"/>
                      <w:lang w:val="en-US" w:eastAsia="zh-CN"/>
                    </w:rPr>
                    <w:t>2</w:t>
                  </w:r>
                </w:p>
              </w:tc>
              <w:tc>
                <w:tcPr>
                  <w:tcW w:w="194" w:type="pct"/>
                  <w:vAlign w:val="center"/>
                </w:tcPr>
                <w:p w14:paraId="2631BE76">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非甲烷总烃</w:t>
                  </w:r>
                </w:p>
              </w:tc>
              <w:tc>
                <w:tcPr>
                  <w:tcW w:w="194" w:type="pct"/>
                  <w:vMerge w:val="restart"/>
                  <w:vAlign w:val="center"/>
                </w:tcPr>
                <w:p w14:paraId="1F318673">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r>
                    <w:rPr>
                      <w:rFonts w:hint="eastAsia"/>
                      <w:color w:val="auto"/>
                      <w:szCs w:val="21"/>
                      <w:lang w:val="en-US" w:eastAsia="zh-CN"/>
                    </w:rPr>
                    <w:t>产污系数法</w:t>
                  </w:r>
                </w:p>
              </w:tc>
              <w:tc>
                <w:tcPr>
                  <w:tcW w:w="188" w:type="pct"/>
                  <w:vAlign w:val="center"/>
                </w:tcPr>
                <w:p w14:paraId="31F1DA79">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0.457</w:t>
                  </w:r>
                </w:p>
              </w:tc>
              <w:tc>
                <w:tcPr>
                  <w:tcW w:w="186" w:type="pct"/>
                  <w:vAlign w:val="center"/>
                </w:tcPr>
                <w:p w14:paraId="37B92E3C">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1.37</w:t>
                  </w:r>
                </w:p>
              </w:tc>
              <w:tc>
                <w:tcPr>
                  <w:tcW w:w="255" w:type="pct"/>
                  <w:vMerge w:val="restart"/>
                  <w:vAlign w:val="center"/>
                </w:tcPr>
                <w:p w14:paraId="46CEB7CB">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3000</w:t>
                  </w:r>
                </w:p>
              </w:tc>
              <w:tc>
                <w:tcPr>
                  <w:tcW w:w="206" w:type="pct"/>
                  <w:vMerge w:val="restart"/>
                  <w:vAlign w:val="center"/>
                </w:tcPr>
                <w:p w14:paraId="26EF94D8">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集气罩</w:t>
                  </w:r>
                </w:p>
              </w:tc>
              <w:tc>
                <w:tcPr>
                  <w:tcW w:w="276" w:type="pct"/>
                  <w:vMerge w:val="restart"/>
                  <w:vAlign w:val="center"/>
                </w:tcPr>
                <w:p w14:paraId="3ECB3AB8">
                  <w:pPr>
                    <w:keepNext w:val="0"/>
                    <w:keepLines w:val="0"/>
                    <w:widowControl/>
                    <w:suppressLineNumbers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二级活性炭吸附</w:t>
                  </w:r>
                </w:p>
              </w:tc>
              <w:tc>
                <w:tcPr>
                  <w:tcW w:w="209" w:type="pct"/>
                  <w:vMerge w:val="restart"/>
                  <w:vAlign w:val="center"/>
                </w:tcPr>
                <w:p w14:paraId="7C2FD848">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90%</w:t>
                  </w:r>
                </w:p>
              </w:tc>
              <w:tc>
                <w:tcPr>
                  <w:tcW w:w="211" w:type="pct"/>
                  <w:vAlign w:val="center"/>
                </w:tcPr>
                <w:p w14:paraId="4B22249E">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90%</w:t>
                  </w:r>
                </w:p>
              </w:tc>
              <w:tc>
                <w:tcPr>
                  <w:tcW w:w="446" w:type="pct"/>
                  <w:vAlign w:val="center"/>
                </w:tcPr>
                <w:p w14:paraId="1ABF49CC">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1.71</w:t>
                  </w:r>
                </w:p>
              </w:tc>
              <w:tc>
                <w:tcPr>
                  <w:tcW w:w="450" w:type="pct"/>
                  <w:vAlign w:val="center"/>
                </w:tcPr>
                <w:p w14:paraId="368CCEC6">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0.041</w:t>
                  </w:r>
                </w:p>
              </w:tc>
              <w:tc>
                <w:tcPr>
                  <w:tcW w:w="447" w:type="pct"/>
                  <w:vAlign w:val="center"/>
                </w:tcPr>
                <w:p w14:paraId="6FF7AECD">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0.123</w:t>
                  </w:r>
                </w:p>
              </w:tc>
              <w:tc>
                <w:tcPr>
                  <w:tcW w:w="276" w:type="pct"/>
                  <w:vAlign w:val="center"/>
                </w:tcPr>
                <w:p w14:paraId="2451575F">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40</w:t>
                  </w:r>
                </w:p>
              </w:tc>
              <w:tc>
                <w:tcPr>
                  <w:tcW w:w="186" w:type="pct"/>
                  <w:vAlign w:val="center"/>
                </w:tcPr>
                <w:p w14:paraId="65C192FE">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1.6</w:t>
                  </w:r>
                </w:p>
              </w:tc>
              <w:tc>
                <w:tcPr>
                  <w:tcW w:w="319" w:type="pct"/>
                  <w:vMerge w:val="restart"/>
                  <w:vAlign w:val="center"/>
                </w:tcPr>
                <w:p w14:paraId="34E40CA1">
                  <w:pPr>
                    <w:keepNext w:val="0"/>
                    <w:keepLines w:val="0"/>
                    <w:widowControl/>
                    <w:suppressLineNumbers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24000</w:t>
                  </w:r>
                </w:p>
              </w:tc>
              <w:tc>
                <w:tcPr>
                  <w:tcW w:w="532" w:type="pct"/>
                  <w:gridSpan w:val="3"/>
                  <w:vMerge w:val="restart"/>
                  <w:vAlign w:val="center"/>
                </w:tcPr>
                <w:p w14:paraId="59BD61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lang w:val="en-US" w:eastAsia="zh-CN"/>
                    </w:rPr>
                    <w:t>编号DA001</w:t>
                  </w:r>
                </w:p>
                <w:p w14:paraId="397F1B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lang w:val="en-US" w:eastAsia="zh-CN"/>
                    </w:rPr>
                    <w:t>高23m</w:t>
                  </w:r>
                </w:p>
                <w:p w14:paraId="684106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lang w:val="en-US" w:eastAsia="zh-CN"/>
                    </w:rPr>
                    <w:t>内径0.75m</w:t>
                  </w:r>
                </w:p>
                <w:p w14:paraId="0E6E06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温度：</w:t>
                  </w:r>
                  <w:r>
                    <w:rPr>
                      <w:rFonts w:hint="default" w:ascii="Times New Roman" w:hAnsi="Times New Roman" w:cs="Times New Roman"/>
                      <w:color w:val="auto"/>
                      <w:sz w:val="21"/>
                      <w:szCs w:val="21"/>
                      <w:lang w:val="en-US" w:eastAsia="zh-CN"/>
                    </w:rPr>
                    <w:t>25℃</w:t>
                  </w:r>
                </w:p>
              </w:tc>
            </w:tr>
            <w:tr w14:paraId="52884F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94" w:type="pct"/>
                  <w:vMerge w:val="continue"/>
                  <w:vAlign w:val="center"/>
                </w:tcPr>
                <w:p w14:paraId="54ECA235">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226" w:type="pct"/>
                  <w:vMerge w:val="continue"/>
                  <w:vAlign w:val="center"/>
                </w:tcPr>
                <w:p w14:paraId="4C265A62">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194" w:type="pct"/>
                  <w:vAlign w:val="center"/>
                </w:tcPr>
                <w:p w14:paraId="0F29E28C">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甲苯</w:t>
                  </w:r>
                </w:p>
              </w:tc>
              <w:tc>
                <w:tcPr>
                  <w:tcW w:w="194" w:type="pct"/>
                  <w:vMerge w:val="continue"/>
                  <w:vAlign w:val="center"/>
                </w:tcPr>
                <w:p w14:paraId="60B6BFAB">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188" w:type="pct"/>
                  <w:vAlign w:val="center"/>
                </w:tcPr>
                <w:p w14:paraId="4D50F3D3">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s="Times New Roman"/>
                      <w:color w:val="auto"/>
                      <w:sz w:val="21"/>
                      <w:szCs w:val="21"/>
                      <w:lang w:val="en-US" w:eastAsia="zh-CN"/>
                    </w:rPr>
                    <w:t>2.28×10</w:t>
                  </w:r>
                  <w:r>
                    <w:rPr>
                      <w:rFonts w:hint="eastAsia" w:cs="Times New Roman"/>
                      <w:color w:val="auto"/>
                      <w:sz w:val="21"/>
                      <w:szCs w:val="21"/>
                      <w:vertAlign w:val="superscript"/>
                      <w:lang w:val="en-US" w:eastAsia="zh-CN"/>
                    </w:rPr>
                    <w:t>-6</w:t>
                  </w:r>
                </w:p>
              </w:tc>
              <w:tc>
                <w:tcPr>
                  <w:tcW w:w="186" w:type="pct"/>
                  <w:vAlign w:val="center"/>
                </w:tcPr>
                <w:p w14:paraId="7A739133">
                  <w:pPr>
                    <w:keepNext w:val="0"/>
                    <w:keepLines w:val="0"/>
                    <w:suppressLineNumbers w:val="0"/>
                    <w:wordWrap w:val="0"/>
                    <w:spacing w:before="0" w:beforeAutospacing="0" w:after="0" w:afterAutospacing="0" w:line="276" w:lineRule="auto"/>
                    <w:ind w:left="0" w:right="0"/>
                    <w:jc w:val="center"/>
                    <w:rPr>
                      <w:rFonts w:hint="default"/>
                      <w:color w:val="auto"/>
                      <w:sz w:val="21"/>
                      <w:szCs w:val="21"/>
                      <w:lang w:val="en-US" w:eastAsia="zh-CN"/>
                    </w:rPr>
                  </w:pPr>
                  <w:r>
                    <w:rPr>
                      <w:rFonts w:hint="eastAsia" w:cs="Times New Roman"/>
                      <w:color w:val="auto"/>
                      <w:sz w:val="21"/>
                      <w:szCs w:val="21"/>
                      <w:lang w:val="en-US" w:eastAsia="zh-CN"/>
                    </w:rPr>
                    <w:t>6.84×10</w:t>
                  </w:r>
                  <w:r>
                    <w:rPr>
                      <w:rFonts w:hint="eastAsia" w:cs="Times New Roman"/>
                      <w:color w:val="auto"/>
                      <w:sz w:val="21"/>
                      <w:szCs w:val="21"/>
                      <w:vertAlign w:val="superscript"/>
                      <w:lang w:val="en-US" w:eastAsia="zh-CN"/>
                    </w:rPr>
                    <w:t>-6</w:t>
                  </w:r>
                </w:p>
              </w:tc>
              <w:tc>
                <w:tcPr>
                  <w:tcW w:w="255" w:type="pct"/>
                  <w:vMerge w:val="continue"/>
                  <w:vAlign w:val="center"/>
                </w:tcPr>
                <w:p w14:paraId="79BC66D5">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206" w:type="pct"/>
                  <w:vMerge w:val="continue"/>
                  <w:vAlign w:val="center"/>
                </w:tcPr>
                <w:p w14:paraId="7267295B">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276" w:type="pct"/>
                  <w:vMerge w:val="continue"/>
                  <w:vAlign w:val="center"/>
                </w:tcPr>
                <w:p w14:paraId="3414DB78">
                  <w:pPr>
                    <w:keepNext w:val="0"/>
                    <w:keepLines w:val="0"/>
                    <w:widowControl/>
                    <w:suppressLineNumbers w:val="0"/>
                    <w:spacing w:before="0" w:beforeAutospacing="0" w:after="0" w:afterAutospacing="0" w:line="276" w:lineRule="auto"/>
                    <w:ind w:left="0" w:right="0"/>
                    <w:jc w:val="center"/>
                    <w:rPr>
                      <w:rFonts w:hint="eastAsia"/>
                      <w:color w:val="auto"/>
                      <w:szCs w:val="21"/>
                      <w:lang w:val="en-US" w:eastAsia="zh-CN"/>
                    </w:rPr>
                  </w:pPr>
                </w:p>
              </w:tc>
              <w:tc>
                <w:tcPr>
                  <w:tcW w:w="209" w:type="pct"/>
                  <w:vMerge w:val="continue"/>
                  <w:vAlign w:val="center"/>
                </w:tcPr>
                <w:p w14:paraId="4519B5C2">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211" w:type="pct"/>
                  <w:vAlign w:val="center"/>
                </w:tcPr>
                <w:p w14:paraId="3325DF1C">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0</w:t>
                  </w:r>
                </w:p>
              </w:tc>
              <w:tc>
                <w:tcPr>
                  <w:tcW w:w="446" w:type="pct"/>
                  <w:vAlign w:val="center"/>
                </w:tcPr>
                <w:p w14:paraId="14727A0B">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s="Times New Roman"/>
                      <w:color w:val="auto"/>
                      <w:sz w:val="21"/>
                      <w:szCs w:val="21"/>
                      <w:lang w:val="en-US" w:eastAsia="zh-CN"/>
                    </w:rPr>
                    <w:t>8.56×10</w:t>
                  </w:r>
                  <w:r>
                    <w:rPr>
                      <w:rFonts w:hint="eastAsia" w:cs="Times New Roman"/>
                      <w:color w:val="auto"/>
                      <w:sz w:val="21"/>
                      <w:szCs w:val="21"/>
                      <w:vertAlign w:val="superscript"/>
                      <w:lang w:val="en-US" w:eastAsia="zh-CN"/>
                    </w:rPr>
                    <w:t>-5</w:t>
                  </w:r>
                </w:p>
              </w:tc>
              <w:tc>
                <w:tcPr>
                  <w:tcW w:w="450" w:type="pct"/>
                  <w:vAlign w:val="center"/>
                </w:tcPr>
                <w:p w14:paraId="76A02FA1">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s="Times New Roman"/>
                      <w:color w:val="auto"/>
                      <w:sz w:val="21"/>
                      <w:szCs w:val="21"/>
                      <w:lang w:val="en-US" w:eastAsia="zh-CN"/>
                    </w:rPr>
                    <w:t>2.05×10</w:t>
                  </w:r>
                  <w:r>
                    <w:rPr>
                      <w:rFonts w:hint="eastAsia" w:cs="Times New Roman"/>
                      <w:color w:val="auto"/>
                      <w:sz w:val="21"/>
                      <w:szCs w:val="21"/>
                      <w:vertAlign w:val="superscript"/>
                      <w:lang w:val="en-US" w:eastAsia="zh-CN"/>
                    </w:rPr>
                    <w:t>-6</w:t>
                  </w:r>
                </w:p>
              </w:tc>
              <w:tc>
                <w:tcPr>
                  <w:tcW w:w="447" w:type="pct"/>
                  <w:vAlign w:val="center"/>
                </w:tcPr>
                <w:p w14:paraId="321DA7DC">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s="Times New Roman"/>
                      <w:color w:val="auto"/>
                      <w:sz w:val="21"/>
                      <w:szCs w:val="21"/>
                      <w:lang w:val="en-US" w:eastAsia="zh-CN"/>
                    </w:rPr>
                    <w:t>6.16×10</w:t>
                  </w:r>
                  <w:r>
                    <w:rPr>
                      <w:rFonts w:hint="eastAsia" w:cs="Times New Roman"/>
                      <w:color w:val="auto"/>
                      <w:sz w:val="21"/>
                      <w:szCs w:val="21"/>
                      <w:vertAlign w:val="superscript"/>
                      <w:lang w:val="en-US" w:eastAsia="zh-CN"/>
                    </w:rPr>
                    <w:t>-6</w:t>
                  </w:r>
                </w:p>
              </w:tc>
              <w:tc>
                <w:tcPr>
                  <w:tcW w:w="276" w:type="pct"/>
                  <w:vAlign w:val="center"/>
                </w:tcPr>
                <w:p w14:paraId="4A5430B3">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8</w:t>
                  </w:r>
                </w:p>
              </w:tc>
              <w:tc>
                <w:tcPr>
                  <w:tcW w:w="186" w:type="pct"/>
                  <w:vAlign w:val="center"/>
                </w:tcPr>
                <w:p w14:paraId="558C6DC1">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c>
                <w:tcPr>
                  <w:tcW w:w="319" w:type="pct"/>
                  <w:vMerge w:val="continue"/>
                  <w:vAlign w:val="center"/>
                </w:tcPr>
                <w:p w14:paraId="3F81D953">
                  <w:pPr>
                    <w:keepNext w:val="0"/>
                    <w:keepLines w:val="0"/>
                    <w:widowControl/>
                    <w:suppressLineNumbers w:val="0"/>
                    <w:spacing w:before="0" w:beforeAutospacing="0" w:after="0" w:afterAutospacing="0" w:line="276" w:lineRule="auto"/>
                    <w:ind w:left="0" w:right="0"/>
                    <w:jc w:val="center"/>
                    <w:rPr>
                      <w:rFonts w:hint="eastAsia"/>
                      <w:color w:val="auto"/>
                      <w:szCs w:val="21"/>
                      <w:lang w:val="en-US" w:eastAsia="zh-CN"/>
                    </w:rPr>
                  </w:pPr>
                </w:p>
              </w:tc>
              <w:tc>
                <w:tcPr>
                  <w:tcW w:w="532" w:type="pct"/>
                  <w:gridSpan w:val="3"/>
                  <w:vMerge w:val="continue"/>
                  <w:vAlign w:val="center"/>
                </w:tcPr>
                <w:p w14:paraId="435A3022">
                  <w:pPr>
                    <w:keepNext w:val="0"/>
                    <w:keepLines w:val="0"/>
                    <w:widowControl/>
                    <w:suppressLineNumbers w:val="0"/>
                    <w:spacing w:before="0" w:beforeAutospacing="0" w:after="0" w:afterAutospacing="0" w:line="276" w:lineRule="auto"/>
                    <w:ind w:left="0" w:right="0"/>
                    <w:jc w:val="center"/>
                    <w:rPr>
                      <w:rFonts w:hint="eastAsia"/>
                      <w:color w:val="auto"/>
                      <w:szCs w:val="21"/>
                      <w:lang w:val="en-US" w:eastAsia="zh-CN"/>
                    </w:rPr>
                  </w:pPr>
                </w:p>
              </w:tc>
            </w:tr>
            <w:tr w14:paraId="4F5367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94" w:type="pct"/>
                  <w:vMerge w:val="continue"/>
                  <w:vAlign w:val="center"/>
                </w:tcPr>
                <w:p w14:paraId="30515AD0">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226" w:type="pct"/>
                  <w:vMerge w:val="continue"/>
                  <w:vAlign w:val="center"/>
                </w:tcPr>
                <w:p w14:paraId="1A480C2F">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194" w:type="pct"/>
                  <w:vAlign w:val="center"/>
                </w:tcPr>
                <w:p w14:paraId="7D07B634">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乙苯</w:t>
                  </w:r>
                </w:p>
              </w:tc>
              <w:tc>
                <w:tcPr>
                  <w:tcW w:w="194" w:type="pct"/>
                  <w:vMerge w:val="continue"/>
                  <w:vAlign w:val="center"/>
                </w:tcPr>
                <w:p w14:paraId="46DD8999">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188" w:type="pct"/>
                  <w:vAlign w:val="center"/>
                </w:tcPr>
                <w:p w14:paraId="428A0FF5">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s="Times New Roman"/>
                      <w:color w:val="auto"/>
                      <w:sz w:val="21"/>
                      <w:szCs w:val="21"/>
                      <w:lang w:val="en-US" w:eastAsia="zh-CN"/>
                    </w:rPr>
                    <w:t>1.06×10</w:t>
                  </w:r>
                  <w:r>
                    <w:rPr>
                      <w:rFonts w:hint="eastAsia" w:cs="Times New Roman"/>
                      <w:color w:val="auto"/>
                      <w:sz w:val="21"/>
                      <w:szCs w:val="21"/>
                      <w:vertAlign w:val="superscript"/>
                      <w:lang w:val="en-US" w:eastAsia="zh-CN"/>
                    </w:rPr>
                    <w:t>-6</w:t>
                  </w:r>
                </w:p>
              </w:tc>
              <w:tc>
                <w:tcPr>
                  <w:tcW w:w="186" w:type="pct"/>
                  <w:vAlign w:val="center"/>
                </w:tcPr>
                <w:p w14:paraId="319CF720">
                  <w:pPr>
                    <w:keepNext w:val="0"/>
                    <w:keepLines w:val="0"/>
                    <w:suppressLineNumbers w:val="0"/>
                    <w:wordWrap w:val="0"/>
                    <w:spacing w:before="0" w:beforeAutospacing="0" w:after="0" w:afterAutospacing="0" w:line="276" w:lineRule="auto"/>
                    <w:ind w:left="0" w:right="0"/>
                    <w:jc w:val="center"/>
                    <w:rPr>
                      <w:rFonts w:hint="default"/>
                      <w:color w:val="auto"/>
                      <w:sz w:val="21"/>
                      <w:szCs w:val="21"/>
                      <w:lang w:val="en-US" w:eastAsia="zh-CN"/>
                    </w:rPr>
                  </w:pPr>
                  <w:r>
                    <w:rPr>
                      <w:rFonts w:hint="eastAsia" w:cs="Times New Roman"/>
                      <w:color w:val="auto"/>
                      <w:sz w:val="21"/>
                      <w:szCs w:val="21"/>
                      <w:lang w:val="en-US" w:eastAsia="zh-CN"/>
                    </w:rPr>
                    <w:t>3.18×10</w:t>
                  </w:r>
                  <w:r>
                    <w:rPr>
                      <w:rFonts w:hint="eastAsia" w:cs="Times New Roman"/>
                      <w:color w:val="auto"/>
                      <w:sz w:val="21"/>
                      <w:szCs w:val="21"/>
                      <w:vertAlign w:val="superscript"/>
                      <w:lang w:val="en-US" w:eastAsia="zh-CN"/>
                    </w:rPr>
                    <w:t>-6</w:t>
                  </w:r>
                </w:p>
              </w:tc>
              <w:tc>
                <w:tcPr>
                  <w:tcW w:w="255" w:type="pct"/>
                  <w:vMerge w:val="continue"/>
                  <w:vAlign w:val="center"/>
                </w:tcPr>
                <w:p w14:paraId="6D2D1102">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206" w:type="pct"/>
                  <w:vMerge w:val="continue"/>
                  <w:vAlign w:val="center"/>
                </w:tcPr>
                <w:p w14:paraId="20C8405F">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276" w:type="pct"/>
                  <w:vMerge w:val="continue"/>
                  <w:vAlign w:val="center"/>
                </w:tcPr>
                <w:p w14:paraId="62EE783B">
                  <w:pPr>
                    <w:keepNext w:val="0"/>
                    <w:keepLines w:val="0"/>
                    <w:widowControl/>
                    <w:suppressLineNumbers w:val="0"/>
                    <w:spacing w:before="0" w:beforeAutospacing="0" w:after="0" w:afterAutospacing="0" w:line="276" w:lineRule="auto"/>
                    <w:ind w:left="0" w:right="0"/>
                    <w:jc w:val="center"/>
                    <w:rPr>
                      <w:rFonts w:hint="eastAsia"/>
                      <w:color w:val="auto"/>
                      <w:szCs w:val="21"/>
                      <w:lang w:val="en-US" w:eastAsia="zh-CN"/>
                    </w:rPr>
                  </w:pPr>
                </w:p>
              </w:tc>
              <w:tc>
                <w:tcPr>
                  <w:tcW w:w="209" w:type="pct"/>
                  <w:vMerge w:val="continue"/>
                  <w:vAlign w:val="center"/>
                </w:tcPr>
                <w:p w14:paraId="5D562031">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211" w:type="pct"/>
                  <w:vAlign w:val="center"/>
                </w:tcPr>
                <w:p w14:paraId="44984543">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0</w:t>
                  </w:r>
                </w:p>
              </w:tc>
              <w:tc>
                <w:tcPr>
                  <w:tcW w:w="446" w:type="pct"/>
                  <w:vAlign w:val="center"/>
                </w:tcPr>
                <w:p w14:paraId="29319E1D">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s="Times New Roman"/>
                      <w:color w:val="auto"/>
                      <w:sz w:val="21"/>
                      <w:szCs w:val="21"/>
                      <w:lang w:val="en-US" w:eastAsia="zh-CN"/>
                    </w:rPr>
                    <w:t>3.97×10</w:t>
                  </w:r>
                  <w:r>
                    <w:rPr>
                      <w:rFonts w:hint="eastAsia" w:cs="Times New Roman"/>
                      <w:color w:val="auto"/>
                      <w:sz w:val="21"/>
                      <w:szCs w:val="21"/>
                      <w:vertAlign w:val="superscript"/>
                      <w:lang w:val="en-US" w:eastAsia="zh-CN"/>
                    </w:rPr>
                    <w:t>-5</w:t>
                  </w:r>
                </w:p>
              </w:tc>
              <w:tc>
                <w:tcPr>
                  <w:tcW w:w="450" w:type="pct"/>
                  <w:vAlign w:val="center"/>
                </w:tcPr>
                <w:p w14:paraId="4511515A">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s="Times New Roman"/>
                      <w:color w:val="auto"/>
                      <w:sz w:val="21"/>
                      <w:szCs w:val="21"/>
                      <w:lang w:val="en-US" w:eastAsia="zh-CN"/>
                    </w:rPr>
                    <w:t>9.53×10</w:t>
                  </w:r>
                  <w:r>
                    <w:rPr>
                      <w:rFonts w:hint="eastAsia" w:cs="Times New Roman"/>
                      <w:color w:val="auto"/>
                      <w:sz w:val="21"/>
                      <w:szCs w:val="21"/>
                      <w:vertAlign w:val="superscript"/>
                      <w:lang w:val="en-US" w:eastAsia="zh-CN"/>
                    </w:rPr>
                    <w:t>-7</w:t>
                  </w:r>
                </w:p>
              </w:tc>
              <w:tc>
                <w:tcPr>
                  <w:tcW w:w="447" w:type="pct"/>
                  <w:vAlign w:val="center"/>
                </w:tcPr>
                <w:p w14:paraId="58A08BCC">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s="Times New Roman"/>
                      <w:color w:val="auto"/>
                      <w:sz w:val="21"/>
                      <w:szCs w:val="21"/>
                      <w:lang w:val="en-US" w:eastAsia="zh-CN"/>
                    </w:rPr>
                    <w:t>2.86×10</w:t>
                  </w:r>
                  <w:r>
                    <w:rPr>
                      <w:rFonts w:hint="eastAsia" w:cs="Times New Roman"/>
                      <w:color w:val="auto"/>
                      <w:sz w:val="21"/>
                      <w:szCs w:val="21"/>
                      <w:vertAlign w:val="superscript"/>
                      <w:lang w:val="en-US" w:eastAsia="zh-CN"/>
                    </w:rPr>
                    <w:t>-6</w:t>
                  </w:r>
                </w:p>
              </w:tc>
              <w:tc>
                <w:tcPr>
                  <w:tcW w:w="276" w:type="pct"/>
                  <w:vAlign w:val="center"/>
                </w:tcPr>
                <w:p w14:paraId="1815F4A9">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100</w:t>
                  </w:r>
                </w:p>
              </w:tc>
              <w:tc>
                <w:tcPr>
                  <w:tcW w:w="186" w:type="pct"/>
                  <w:vAlign w:val="center"/>
                </w:tcPr>
                <w:p w14:paraId="0FE47A81">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c>
                <w:tcPr>
                  <w:tcW w:w="319" w:type="pct"/>
                  <w:vMerge w:val="continue"/>
                  <w:vAlign w:val="center"/>
                </w:tcPr>
                <w:p w14:paraId="1219E061">
                  <w:pPr>
                    <w:keepNext w:val="0"/>
                    <w:keepLines w:val="0"/>
                    <w:widowControl/>
                    <w:suppressLineNumbers w:val="0"/>
                    <w:spacing w:before="0" w:beforeAutospacing="0" w:after="0" w:afterAutospacing="0" w:line="276" w:lineRule="auto"/>
                    <w:ind w:left="0" w:right="0"/>
                    <w:jc w:val="center"/>
                    <w:rPr>
                      <w:rFonts w:hint="eastAsia"/>
                      <w:color w:val="auto"/>
                      <w:szCs w:val="21"/>
                      <w:lang w:val="en-US" w:eastAsia="zh-CN"/>
                    </w:rPr>
                  </w:pPr>
                </w:p>
              </w:tc>
              <w:tc>
                <w:tcPr>
                  <w:tcW w:w="532" w:type="pct"/>
                  <w:gridSpan w:val="3"/>
                  <w:vMerge w:val="continue"/>
                  <w:vAlign w:val="center"/>
                </w:tcPr>
                <w:p w14:paraId="79C10CDD">
                  <w:pPr>
                    <w:keepNext w:val="0"/>
                    <w:keepLines w:val="0"/>
                    <w:widowControl/>
                    <w:suppressLineNumbers w:val="0"/>
                    <w:spacing w:before="0" w:beforeAutospacing="0" w:after="0" w:afterAutospacing="0" w:line="276" w:lineRule="auto"/>
                    <w:ind w:left="0" w:right="0"/>
                    <w:jc w:val="center"/>
                    <w:rPr>
                      <w:rFonts w:hint="eastAsia"/>
                      <w:color w:val="auto"/>
                      <w:szCs w:val="21"/>
                      <w:lang w:val="en-US" w:eastAsia="zh-CN"/>
                    </w:rPr>
                  </w:pPr>
                </w:p>
              </w:tc>
            </w:tr>
            <w:tr w14:paraId="607ACA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94" w:type="pct"/>
                  <w:vMerge w:val="continue"/>
                  <w:vAlign w:val="center"/>
                </w:tcPr>
                <w:p w14:paraId="4EED53BC">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226" w:type="pct"/>
                  <w:vMerge w:val="continue"/>
                  <w:vAlign w:val="center"/>
                </w:tcPr>
                <w:p w14:paraId="3E967CD0">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194" w:type="pct"/>
                  <w:vAlign w:val="center"/>
                </w:tcPr>
                <w:p w14:paraId="164058D1">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苯乙烯</w:t>
                  </w:r>
                </w:p>
              </w:tc>
              <w:tc>
                <w:tcPr>
                  <w:tcW w:w="194" w:type="pct"/>
                  <w:vMerge w:val="continue"/>
                  <w:vAlign w:val="center"/>
                </w:tcPr>
                <w:p w14:paraId="16636F42">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188" w:type="pct"/>
                  <w:vAlign w:val="center"/>
                </w:tcPr>
                <w:p w14:paraId="123CFA6E">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s="Times New Roman"/>
                      <w:color w:val="auto"/>
                      <w:sz w:val="21"/>
                      <w:szCs w:val="21"/>
                      <w:lang w:val="en-US" w:eastAsia="zh-CN"/>
                    </w:rPr>
                    <w:t>6.4×10</w:t>
                  </w:r>
                  <w:r>
                    <w:rPr>
                      <w:rFonts w:hint="eastAsia" w:cs="Times New Roman"/>
                      <w:color w:val="auto"/>
                      <w:sz w:val="21"/>
                      <w:szCs w:val="21"/>
                      <w:vertAlign w:val="superscript"/>
                      <w:lang w:val="en-US" w:eastAsia="zh-CN"/>
                    </w:rPr>
                    <w:t>-7</w:t>
                  </w:r>
                </w:p>
              </w:tc>
              <w:tc>
                <w:tcPr>
                  <w:tcW w:w="186" w:type="pct"/>
                  <w:vAlign w:val="center"/>
                </w:tcPr>
                <w:p w14:paraId="2E0FAEC5">
                  <w:pPr>
                    <w:keepNext w:val="0"/>
                    <w:keepLines w:val="0"/>
                    <w:suppressLineNumbers w:val="0"/>
                    <w:wordWrap w:val="0"/>
                    <w:spacing w:before="0" w:beforeAutospacing="0" w:after="0" w:afterAutospacing="0" w:line="276" w:lineRule="auto"/>
                    <w:ind w:left="0" w:right="0"/>
                    <w:jc w:val="center"/>
                    <w:rPr>
                      <w:rFonts w:hint="default"/>
                      <w:color w:val="auto"/>
                      <w:sz w:val="21"/>
                      <w:szCs w:val="21"/>
                      <w:lang w:val="en-US" w:eastAsia="zh-CN"/>
                    </w:rPr>
                  </w:pPr>
                  <w:r>
                    <w:rPr>
                      <w:rFonts w:hint="eastAsia" w:cs="Times New Roman"/>
                      <w:color w:val="auto"/>
                      <w:sz w:val="21"/>
                      <w:szCs w:val="21"/>
                      <w:lang w:val="en-US" w:eastAsia="zh-CN"/>
                    </w:rPr>
                    <w:t>1.92×10</w:t>
                  </w:r>
                  <w:r>
                    <w:rPr>
                      <w:rFonts w:hint="eastAsia" w:cs="Times New Roman"/>
                      <w:color w:val="auto"/>
                      <w:sz w:val="21"/>
                      <w:szCs w:val="21"/>
                      <w:vertAlign w:val="superscript"/>
                      <w:lang w:val="en-US" w:eastAsia="zh-CN"/>
                    </w:rPr>
                    <w:t>-6</w:t>
                  </w:r>
                </w:p>
              </w:tc>
              <w:tc>
                <w:tcPr>
                  <w:tcW w:w="255" w:type="pct"/>
                  <w:vMerge w:val="continue"/>
                  <w:vAlign w:val="center"/>
                </w:tcPr>
                <w:p w14:paraId="52D1227C">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206" w:type="pct"/>
                  <w:vMerge w:val="continue"/>
                  <w:vAlign w:val="center"/>
                </w:tcPr>
                <w:p w14:paraId="7057FC25">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276" w:type="pct"/>
                  <w:vMerge w:val="continue"/>
                  <w:vAlign w:val="center"/>
                </w:tcPr>
                <w:p w14:paraId="7F936871">
                  <w:pPr>
                    <w:keepNext w:val="0"/>
                    <w:keepLines w:val="0"/>
                    <w:widowControl/>
                    <w:suppressLineNumbers w:val="0"/>
                    <w:spacing w:before="0" w:beforeAutospacing="0" w:after="0" w:afterAutospacing="0" w:line="276" w:lineRule="auto"/>
                    <w:ind w:left="0" w:right="0"/>
                    <w:jc w:val="center"/>
                    <w:rPr>
                      <w:rFonts w:hint="eastAsia"/>
                      <w:color w:val="auto"/>
                      <w:szCs w:val="21"/>
                      <w:lang w:val="en-US" w:eastAsia="zh-CN"/>
                    </w:rPr>
                  </w:pPr>
                </w:p>
              </w:tc>
              <w:tc>
                <w:tcPr>
                  <w:tcW w:w="209" w:type="pct"/>
                  <w:vMerge w:val="continue"/>
                  <w:vAlign w:val="center"/>
                </w:tcPr>
                <w:p w14:paraId="7C9F91FE">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211" w:type="pct"/>
                  <w:vAlign w:val="center"/>
                </w:tcPr>
                <w:p w14:paraId="76C8C20B">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0</w:t>
                  </w:r>
                </w:p>
              </w:tc>
              <w:tc>
                <w:tcPr>
                  <w:tcW w:w="446" w:type="pct"/>
                  <w:vAlign w:val="center"/>
                </w:tcPr>
                <w:p w14:paraId="3B2E2CE8">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s="Times New Roman"/>
                      <w:color w:val="auto"/>
                      <w:sz w:val="21"/>
                      <w:szCs w:val="21"/>
                      <w:lang w:val="en-US" w:eastAsia="zh-CN"/>
                    </w:rPr>
                    <w:t>2.40×10</w:t>
                  </w:r>
                  <w:r>
                    <w:rPr>
                      <w:rFonts w:hint="eastAsia" w:cs="Times New Roman"/>
                      <w:color w:val="auto"/>
                      <w:sz w:val="21"/>
                      <w:szCs w:val="21"/>
                      <w:vertAlign w:val="superscript"/>
                      <w:lang w:val="en-US" w:eastAsia="zh-CN"/>
                    </w:rPr>
                    <w:t>-5</w:t>
                  </w:r>
                </w:p>
              </w:tc>
              <w:tc>
                <w:tcPr>
                  <w:tcW w:w="450" w:type="pct"/>
                  <w:vAlign w:val="center"/>
                </w:tcPr>
                <w:p w14:paraId="4B1D0244">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s="Times New Roman"/>
                      <w:color w:val="auto"/>
                      <w:sz w:val="21"/>
                      <w:szCs w:val="21"/>
                      <w:lang w:val="en-US" w:eastAsia="zh-CN"/>
                    </w:rPr>
                    <w:t>5.77×10</w:t>
                  </w:r>
                  <w:r>
                    <w:rPr>
                      <w:rFonts w:hint="eastAsia" w:cs="Times New Roman"/>
                      <w:color w:val="auto"/>
                      <w:sz w:val="21"/>
                      <w:szCs w:val="21"/>
                      <w:vertAlign w:val="superscript"/>
                      <w:lang w:val="en-US" w:eastAsia="zh-CN"/>
                    </w:rPr>
                    <w:t>-7</w:t>
                  </w:r>
                </w:p>
              </w:tc>
              <w:tc>
                <w:tcPr>
                  <w:tcW w:w="447" w:type="pct"/>
                  <w:vAlign w:val="center"/>
                </w:tcPr>
                <w:p w14:paraId="6B8639CB">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s="Times New Roman"/>
                      <w:color w:val="auto"/>
                      <w:sz w:val="21"/>
                      <w:szCs w:val="21"/>
                      <w:lang w:val="en-US" w:eastAsia="zh-CN"/>
                    </w:rPr>
                    <w:t>1.73×10</w:t>
                  </w:r>
                  <w:r>
                    <w:rPr>
                      <w:rFonts w:hint="eastAsia" w:cs="Times New Roman"/>
                      <w:color w:val="auto"/>
                      <w:sz w:val="21"/>
                      <w:szCs w:val="21"/>
                      <w:vertAlign w:val="superscript"/>
                      <w:lang w:val="en-US" w:eastAsia="zh-CN"/>
                    </w:rPr>
                    <w:t>-6</w:t>
                  </w:r>
                </w:p>
              </w:tc>
              <w:tc>
                <w:tcPr>
                  <w:tcW w:w="276" w:type="pct"/>
                  <w:vAlign w:val="center"/>
                </w:tcPr>
                <w:p w14:paraId="17461A9A">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20</w:t>
                  </w:r>
                </w:p>
              </w:tc>
              <w:tc>
                <w:tcPr>
                  <w:tcW w:w="186" w:type="pct"/>
                  <w:vAlign w:val="center"/>
                </w:tcPr>
                <w:p w14:paraId="0157DBF5">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c>
                <w:tcPr>
                  <w:tcW w:w="319" w:type="pct"/>
                  <w:vMerge w:val="continue"/>
                  <w:vAlign w:val="center"/>
                </w:tcPr>
                <w:p w14:paraId="0AA4CFEE">
                  <w:pPr>
                    <w:keepNext w:val="0"/>
                    <w:keepLines w:val="0"/>
                    <w:widowControl/>
                    <w:suppressLineNumbers w:val="0"/>
                    <w:spacing w:before="0" w:beforeAutospacing="0" w:after="0" w:afterAutospacing="0" w:line="276" w:lineRule="auto"/>
                    <w:ind w:left="0" w:right="0"/>
                    <w:jc w:val="center"/>
                    <w:rPr>
                      <w:rFonts w:hint="eastAsia"/>
                      <w:color w:val="auto"/>
                      <w:szCs w:val="21"/>
                      <w:lang w:val="en-US" w:eastAsia="zh-CN"/>
                    </w:rPr>
                  </w:pPr>
                </w:p>
              </w:tc>
              <w:tc>
                <w:tcPr>
                  <w:tcW w:w="532" w:type="pct"/>
                  <w:gridSpan w:val="3"/>
                  <w:vMerge w:val="continue"/>
                  <w:vAlign w:val="center"/>
                </w:tcPr>
                <w:p w14:paraId="4E44B69F">
                  <w:pPr>
                    <w:keepNext w:val="0"/>
                    <w:keepLines w:val="0"/>
                    <w:widowControl/>
                    <w:suppressLineNumbers w:val="0"/>
                    <w:spacing w:before="0" w:beforeAutospacing="0" w:after="0" w:afterAutospacing="0" w:line="276" w:lineRule="auto"/>
                    <w:ind w:left="0" w:right="0"/>
                    <w:jc w:val="center"/>
                    <w:rPr>
                      <w:rFonts w:hint="eastAsia"/>
                      <w:color w:val="auto"/>
                      <w:szCs w:val="21"/>
                      <w:lang w:val="en-US" w:eastAsia="zh-CN"/>
                    </w:rPr>
                  </w:pPr>
                </w:p>
              </w:tc>
            </w:tr>
            <w:tr w14:paraId="24A410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94" w:type="pct"/>
                  <w:vMerge w:val="continue"/>
                  <w:vAlign w:val="center"/>
                </w:tcPr>
                <w:p w14:paraId="0AEBAC04">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226" w:type="pct"/>
                  <w:vMerge w:val="continue"/>
                  <w:vAlign w:val="center"/>
                </w:tcPr>
                <w:p w14:paraId="1AB727B2">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194" w:type="pct"/>
                  <w:vAlign w:val="center"/>
                </w:tcPr>
                <w:p w14:paraId="6C17B766">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苯</w:t>
                  </w:r>
                </w:p>
              </w:tc>
              <w:tc>
                <w:tcPr>
                  <w:tcW w:w="194" w:type="pct"/>
                  <w:vMerge w:val="continue"/>
                  <w:vAlign w:val="center"/>
                </w:tcPr>
                <w:p w14:paraId="36EA7971">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188" w:type="pct"/>
                  <w:vAlign w:val="center"/>
                </w:tcPr>
                <w:p w14:paraId="4AFE4D03">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s="Times New Roman"/>
                      <w:color w:val="auto"/>
                      <w:sz w:val="21"/>
                      <w:szCs w:val="21"/>
                      <w:lang w:val="en-US" w:eastAsia="zh-CN"/>
                    </w:rPr>
                    <w:t>4.13×10</w:t>
                  </w:r>
                  <w:r>
                    <w:rPr>
                      <w:rFonts w:hint="eastAsia" w:cs="Times New Roman"/>
                      <w:color w:val="auto"/>
                      <w:sz w:val="21"/>
                      <w:szCs w:val="21"/>
                      <w:vertAlign w:val="superscript"/>
                      <w:lang w:val="en-US" w:eastAsia="zh-CN"/>
                    </w:rPr>
                    <w:t>-6</w:t>
                  </w:r>
                </w:p>
              </w:tc>
              <w:tc>
                <w:tcPr>
                  <w:tcW w:w="186" w:type="pct"/>
                  <w:vAlign w:val="center"/>
                </w:tcPr>
                <w:p w14:paraId="61DCC338">
                  <w:pPr>
                    <w:keepNext w:val="0"/>
                    <w:keepLines w:val="0"/>
                    <w:suppressLineNumbers w:val="0"/>
                    <w:wordWrap w:val="0"/>
                    <w:spacing w:before="0" w:beforeAutospacing="0" w:after="0" w:afterAutospacing="0" w:line="276" w:lineRule="auto"/>
                    <w:ind w:left="0" w:right="0"/>
                    <w:jc w:val="center"/>
                    <w:rPr>
                      <w:rFonts w:hint="default"/>
                      <w:color w:val="auto"/>
                      <w:sz w:val="21"/>
                      <w:szCs w:val="21"/>
                      <w:lang w:val="en-US" w:eastAsia="zh-CN"/>
                    </w:rPr>
                  </w:pPr>
                  <w:r>
                    <w:rPr>
                      <w:rFonts w:hint="eastAsia" w:cs="Times New Roman"/>
                      <w:color w:val="auto"/>
                      <w:sz w:val="21"/>
                      <w:szCs w:val="21"/>
                      <w:lang w:val="en-US" w:eastAsia="zh-CN"/>
                    </w:rPr>
                    <w:t>1.24×10</w:t>
                  </w:r>
                  <w:r>
                    <w:rPr>
                      <w:rFonts w:hint="eastAsia" w:cs="Times New Roman"/>
                      <w:color w:val="auto"/>
                      <w:sz w:val="21"/>
                      <w:szCs w:val="21"/>
                      <w:vertAlign w:val="superscript"/>
                      <w:lang w:val="en-US" w:eastAsia="zh-CN"/>
                    </w:rPr>
                    <w:t>-5</w:t>
                  </w:r>
                </w:p>
              </w:tc>
              <w:tc>
                <w:tcPr>
                  <w:tcW w:w="255" w:type="pct"/>
                  <w:vMerge w:val="continue"/>
                  <w:vAlign w:val="center"/>
                </w:tcPr>
                <w:p w14:paraId="334A85DE">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206" w:type="pct"/>
                  <w:vMerge w:val="continue"/>
                  <w:vAlign w:val="center"/>
                </w:tcPr>
                <w:p w14:paraId="6824504D">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276" w:type="pct"/>
                  <w:vMerge w:val="continue"/>
                  <w:vAlign w:val="center"/>
                </w:tcPr>
                <w:p w14:paraId="5C6DBB43">
                  <w:pPr>
                    <w:keepNext w:val="0"/>
                    <w:keepLines w:val="0"/>
                    <w:widowControl/>
                    <w:suppressLineNumbers w:val="0"/>
                    <w:spacing w:before="0" w:beforeAutospacing="0" w:after="0" w:afterAutospacing="0" w:line="276" w:lineRule="auto"/>
                    <w:ind w:left="0" w:right="0"/>
                    <w:jc w:val="center"/>
                    <w:rPr>
                      <w:rFonts w:hint="eastAsia"/>
                      <w:color w:val="auto"/>
                      <w:szCs w:val="21"/>
                      <w:lang w:val="en-US" w:eastAsia="zh-CN"/>
                    </w:rPr>
                  </w:pPr>
                </w:p>
              </w:tc>
              <w:tc>
                <w:tcPr>
                  <w:tcW w:w="209" w:type="pct"/>
                  <w:vMerge w:val="continue"/>
                  <w:vAlign w:val="center"/>
                </w:tcPr>
                <w:p w14:paraId="0D4B2868">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211" w:type="pct"/>
                  <w:vAlign w:val="center"/>
                </w:tcPr>
                <w:p w14:paraId="2E0BE42C">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0</w:t>
                  </w:r>
                </w:p>
              </w:tc>
              <w:tc>
                <w:tcPr>
                  <w:tcW w:w="446" w:type="pct"/>
                  <w:vAlign w:val="center"/>
                </w:tcPr>
                <w:p w14:paraId="0979A48F">
                  <w:pPr>
                    <w:keepNext w:val="0"/>
                    <w:keepLines w:val="0"/>
                    <w:suppressLineNumbers w:val="0"/>
                    <w:spacing w:before="0" w:beforeAutospacing="0" w:after="0" w:afterAutospacing="0" w:line="276" w:lineRule="auto"/>
                    <w:ind w:left="0" w:right="0"/>
                    <w:jc w:val="center"/>
                    <w:rPr>
                      <w:rFonts w:hint="eastAsia"/>
                      <w:color w:val="auto"/>
                      <w:szCs w:val="21"/>
                      <w:lang w:val="en-US" w:eastAsia="zh-CN"/>
                    </w:rPr>
                  </w:pPr>
                  <w:r>
                    <w:rPr>
                      <w:rFonts w:hint="eastAsia" w:cs="Times New Roman"/>
                      <w:color w:val="auto"/>
                      <w:sz w:val="21"/>
                      <w:szCs w:val="21"/>
                      <w:lang w:val="en-US" w:eastAsia="zh-CN"/>
                    </w:rPr>
                    <w:t>1.56×10</w:t>
                  </w:r>
                  <w:r>
                    <w:rPr>
                      <w:rFonts w:hint="eastAsia" w:cs="Times New Roman"/>
                      <w:color w:val="auto"/>
                      <w:sz w:val="21"/>
                      <w:szCs w:val="21"/>
                      <w:vertAlign w:val="superscript"/>
                      <w:lang w:val="en-US" w:eastAsia="zh-CN"/>
                    </w:rPr>
                    <w:t>-4</w:t>
                  </w:r>
                </w:p>
              </w:tc>
              <w:tc>
                <w:tcPr>
                  <w:tcW w:w="450" w:type="pct"/>
                  <w:vAlign w:val="center"/>
                </w:tcPr>
                <w:p w14:paraId="391F63DD">
                  <w:pPr>
                    <w:keepNext w:val="0"/>
                    <w:keepLines w:val="0"/>
                    <w:suppressLineNumbers w:val="0"/>
                    <w:spacing w:before="0" w:beforeAutospacing="0" w:after="0" w:afterAutospacing="0" w:line="276" w:lineRule="auto"/>
                    <w:ind w:left="0" w:right="0"/>
                    <w:jc w:val="center"/>
                    <w:rPr>
                      <w:rFonts w:hint="eastAsia"/>
                      <w:color w:val="auto"/>
                      <w:szCs w:val="21"/>
                      <w:lang w:val="en-US" w:eastAsia="zh-CN"/>
                    </w:rPr>
                  </w:pPr>
                  <w:r>
                    <w:rPr>
                      <w:rFonts w:hint="eastAsia" w:cs="Times New Roman"/>
                      <w:color w:val="auto"/>
                      <w:sz w:val="21"/>
                      <w:szCs w:val="21"/>
                      <w:lang w:val="en-US" w:eastAsia="zh-CN"/>
                    </w:rPr>
                    <w:t>3.73×10</w:t>
                  </w:r>
                  <w:r>
                    <w:rPr>
                      <w:rFonts w:hint="eastAsia" w:cs="Times New Roman"/>
                      <w:color w:val="auto"/>
                      <w:sz w:val="21"/>
                      <w:szCs w:val="21"/>
                      <w:vertAlign w:val="superscript"/>
                      <w:lang w:val="en-US" w:eastAsia="zh-CN"/>
                    </w:rPr>
                    <w:t>-6</w:t>
                  </w:r>
                </w:p>
              </w:tc>
              <w:tc>
                <w:tcPr>
                  <w:tcW w:w="447" w:type="pct"/>
                  <w:vAlign w:val="center"/>
                </w:tcPr>
                <w:p w14:paraId="3250747B">
                  <w:pPr>
                    <w:keepNext w:val="0"/>
                    <w:keepLines w:val="0"/>
                    <w:suppressLineNumbers w:val="0"/>
                    <w:spacing w:before="0" w:beforeAutospacing="0" w:after="0" w:afterAutospacing="0" w:line="276" w:lineRule="auto"/>
                    <w:ind w:left="0" w:right="0"/>
                    <w:jc w:val="center"/>
                    <w:rPr>
                      <w:rFonts w:hint="eastAsia"/>
                      <w:color w:val="auto"/>
                      <w:szCs w:val="21"/>
                      <w:lang w:val="en-US" w:eastAsia="zh-CN"/>
                    </w:rPr>
                  </w:pPr>
                  <w:r>
                    <w:rPr>
                      <w:rFonts w:hint="eastAsia" w:cs="Times New Roman"/>
                      <w:color w:val="auto"/>
                      <w:sz w:val="21"/>
                      <w:szCs w:val="21"/>
                      <w:lang w:val="en-US" w:eastAsia="zh-CN"/>
                    </w:rPr>
                    <w:t>1.12×10</w:t>
                  </w:r>
                  <w:r>
                    <w:rPr>
                      <w:rFonts w:hint="eastAsia" w:cs="Times New Roman"/>
                      <w:color w:val="auto"/>
                      <w:sz w:val="21"/>
                      <w:szCs w:val="21"/>
                      <w:vertAlign w:val="superscript"/>
                      <w:lang w:val="en-US" w:eastAsia="zh-CN"/>
                    </w:rPr>
                    <w:t>-5</w:t>
                  </w:r>
                </w:p>
              </w:tc>
              <w:tc>
                <w:tcPr>
                  <w:tcW w:w="276" w:type="pct"/>
                  <w:vAlign w:val="center"/>
                </w:tcPr>
                <w:p w14:paraId="4B2DA2CC">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4</w:t>
                  </w:r>
                </w:p>
              </w:tc>
              <w:tc>
                <w:tcPr>
                  <w:tcW w:w="186" w:type="pct"/>
                  <w:vAlign w:val="center"/>
                </w:tcPr>
                <w:p w14:paraId="5F641F75">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c>
                <w:tcPr>
                  <w:tcW w:w="319" w:type="pct"/>
                  <w:vMerge w:val="continue"/>
                  <w:vAlign w:val="center"/>
                </w:tcPr>
                <w:p w14:paraId="66747A2A">
                  <w:pPr>
                    <w:keepNext w:val="0"/>
                    <w:keepLines w:val="0"/>
                    <w:widowControl/>
                    <w:suppressLineNumbers w:val="0"/>
                    <w:spacing w:before="0" w:beforeAutospacing="0" w:after="0" w:afterAutospacing="0" w:line="276" w:lineRule="auto"/>
                    <w:ind w:left="0" w:right="0"/>
                    <w:jc w:val="center"/>
                    <w:rPr>
                      <w:rFonts w:hint="eastAsia"/>
                      <w:color w:val="auto"/>
                      <w:szCs w:val="21"/>
                      <w:lang w:val="en-US" w:eastAsia="zh-CN"/>
                    </w:rPr>
                  </w:pPr>
                </w:p>
              </w:tc>
              <w:tc>
                <w:tcPr>
                  <w:tcW w:w="532" w:type="pct"/>
                  <w:gridSpan w:val="3"/>
                  <w:vMerge w:val="continue"/>
                  <w:vAlign w:val="center"/>
                </w:tcPr>
                <w:p w14:paraId="22EC177C">
                  <w:pPr>
                    <w:keepNext w:val="0"/>
                    <w:keepLines w:val="0"/>
                    <w:widowControl/>
                    <w:suppressLineNumbers w:val="0"/>
                    <w:spacing w:before="0" w:beforeAutospacing="0" w:after="0" w:afterAutospacing="0" w:line="276" w:lineRule="auto"/>
                    <w:ind w:left="0" w:right="0"/>
                    <w:jc w:val="center"/>
                    <w:rPr>
                      <w:rFonts w:hint="eastAsia"/>
                      <w:color w:val="auto"/>
                      <w:szCs w:val="21"/>
                      <w:lang w:val="en-US" w:eastAsia="zh-CN"/>
                    </w:rPr>
                  </w:pPr>
                </w:p>
              </w:tc>
            </w:tr>
            <w:tr w14:paraId="2FD674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94" w:type="pct"/>
                  <w:vMerge w:val="continue"/>
                  <w:vAlign w:val="center"/>
                </w:tcPr>
                <w:p w14:paraId="5CB5A151">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226" w:type="pct"/>
                  <w:vMerge w:val="continue"/>
                  <w:vAlign w:val="center"/>
                </w:tcPr>
                <w:p w14:paraId="5E91ECB4">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194" w:type="pct"/>
                  <w:vAlign w:val="center"/>
                </w:tcPr>
                <w:p w14:paraId="64D7CEED">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二甲苯</w:t>
                  </w:r>
                </w:p>
              </w:tc>
              <w:tc>
                <w:tcPr>
                  <w:tcW w:w="194" w:type="pct"/>
                  <w:vMerge w:val="continue"/>
                  <w:vAlign w:val="center"/>
                </w:tcPr>
                <w:p w14:paraId="13DA2063">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188" w:type="pct"/>
                  <w:vAlign w:val="center"/>
                </w:tcPr>
                <w:p w14:paraId="47D74473">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s="Times New Roman"/>
                      <w:color w:val="auto"/>
                      <w:sz w:val="21"/>
                      <w:szCs w:val="21"/>
                      <w:lang w:val="en-US" w:eastAsia="zh-CN"/>
                    </w:rPr>
                    <w:t>1.57×10</w:t>
                  </w:r>
                  <w:r>
                    <w:rPr>
                      <w:rFonts w:hint="eastAsia" w:cs="Times New Roman"/>
                      <w:color w:val="auto"/>
                      <w:sz w:val="21"/>
                      <w:szCs w:val="21"/>
                      <w:vertAlign w:val="superscript"/>
                      <w:lang w:val="en-US" w:eastAsia="zh-CN"/>
                    </w:rPr>
                    <w:t>-5</w:t>
                  </w:r>
                </w:p>
              </w:tc>
              <w:tc>
                <w:tcPr>
                  <w:tcW w:w="186" w:type="pct"/>
                  <w:vAlign w:val="center"/>
                </w:tcPr>
                <w:p w14:paraId="6B4068F5">
                  <w:pPr>
                    <w:keepNext w:val="0"/>
                    <w:keepLines w:val="0"/>
                    <w:suppressLineNumbers w:val="0"/>
                    <w:wordWrap w:val="0"/>
                    <w:spacing w:before="0" w:beforeAutospacing="0" w:after="0" w:afterAutospacing="0" w:line="276" w:lineRule="auto"/>
                    <w:ind w:left="0" w:right="0"/>
                    <w:jc w:val="center"/>
                    <w:rPr>
                      <w:rFonts w:hint="default"/>
                      <w:color w:val="auto"/>
                      <w:sz w:val="21"/>
                      <w:szCs w:val="21"/>
                      <w:lang w:val="en-US" w:eastAsia="zh-CN"/>
                    </w:rPr>
                  </w:pPr>
                  <w:r>
                    <w:rPr>
                      <w:rFonts w:hint="eastAsia" w:cs="Times New Roman"/>
                      <w:color w:val="auto"/>
                      <w:sz w:val="21"/>
                      <w:szCs w:val="21"/>
                      <w:lang w:val="en-US" w:eastAsia="zh-CN"/>
                    </w:rPr>
                    <w:t>4.72×10</w:t>
                  </w:r>
                  <w:r>
                    <w:rPr>
                      <w:rFonts w:hint="eastAsia" w:cs="Times New Roman"/>
                      <w:color w:val="auto"/>
                      <w:sz w:val="21"/>
                      <w:szCs w:val="21"/>
                      <w:vertAlign w:val="superscript"/>
                      <w:lang w:val="en-US" w:eastAsia="zh-CN"/>
                    </w:rPr>
                    <w:t>-5</w:t>
                  </w:r>
                </w:p>
              </w:tc>
              <w:tc>
                <w:tcPr>
                  <w:tcW w:w="255" w:type="pct"/>
                  <w:vMerge w:val="continue"/>
                  <w:vAlign w:val="center"/>
                </w:tcPr>
                <w:p w14:paraId="65A616A9">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206" w:type="pct"/>
                  <w:vMerge w:val="continue"/>
                  <w:vAlign w:val="center"/>
                </w:tcPr>
                <w:p w14:paraId="04CDC14A">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276" w:type="pct"/>
                  <w:vMerge w:val="continue"/>
                  <w:vAlign w:val="center"/>
                </w:tcPr>
                <w:p w14:paraId="01249AC7">
                  <w:pPr>
                    <w:keepNext w:val="0"/>
                    <w:keepLines w:val="0"/>
                    <w:widowControl/>
                    <w:suppressLineNumbers w:val="0"/>
                    <w:spacing w:before="0" w:beforeAutospacing="0" w:after="0" w:afterAutospacing="0" w:line="276" w:lineRule="auto"/>
                    <w:ind w:left="0" w:right="0"/>
                    <w:jc w:val="center"/>
                    <w:rPr>
                      <w:rFonts w:hint="eastAsia"/>
                      <w:color w:val="auto"/>
                      <w:szCs w:val="21"/>
                      <w:lang w:val="en-US" w:eastAsia="zh-CN"/>
                    </w:rPr>
                  </w:pPr>
                </w:p>
              </w:tc>
              <w:tc>
                <w:tcPr>
                  <w:tcW w:w="209" w:type="pct"/>
                  <w:vMerge w:val="continue"/>
                  <w:vAlign w:val="center"/>
                </w:tcPr>
                <w:p w14:paraId="1F9EBED7">
                  <w:pPr>
                    <w:keepNext w:val="0"/>
                    <w:keepLines w:val="0"/>
                    <w:suppressLineNumbers w:val="0"/>
                    <w:wordWrap w:val="0"/>
                    <w:spacing w:before="0" w:beforeAutospacing="0" w:after="0" w:afterAutospacing="0" w:line="276" w:lineRule="auto"/>
                    <w:ind w:left="0" w:right="0"/>
                    <w:jc w:val="center"/>
                    <w:rPr>
                      <w:rFonts w:hint="eastAsia"/>
                      <w:color w:val="auto"/>
                      <w:szCs w:val="21"/>
                      <w:lang w:val="en-US" w:eastAsia="zh-CN"/>
                    </w:rPr>
                  </w:pPr>
                </w:p>
              </w:tc>
              <w:tc>
                <w:tcPr>
                  <w:tcW w:w="211" w:type="pct"/>
                  <w:vAlign w:val="center"/>
                </w:tcPr>
                <w:p w14:paraId="735A5259">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r>
                    <w:rPr>
                      <w:rFonts w:hint="eastAsia"/>
                      <w:color w:val="auto"/>
                      <w:szCs w:val="21"/>
                      <w:lang w:val="en-US" w:eastAsia="zh-CN"/>
                    </w:rPr>
                    <w:t>0</w:t>
                  </w:r>
                </w:p>
              </w:tc>
              <w:tc>
                <w:tcPr>
                  <w:tcW w:w="446" w:type="pct"/>
                  <w:vAlign w:val="center"/>
                </w:tcPr>
                <w:p w14:paraId="564A0787">
                  <w:pPr>
                    <w:keepNext w:val="0"/>
                    <w:keepLines w:val="0"/>
                    <w:suppressLineNumbers w:val="0"/>
                    <w:spacing w:before="0" w:beforeAutospacing="0" w:after="0" w:afterAutospacing="0" w:line="276" w:lineRule="auto"/>
                    <w:ind w:left="0" w:right="0"/>
                    <w:jc w:val="center"/>
                    <w:rPr>
                      <w:rFonts w:hint="eastAsia"/>
                      <w:color w:val="auto"/>
                      <w:szCs w:val="21"/>
                      <w:lang w:val="en-US" w:eastAsia="zh-CN"/>
                    </w:rPr>
                  </w:pPr>
                  <w:r>
                    <w:rPr>
                      <w:rFonts w:hint="eastAsia" w:cs="Times New Roman"/>
                      <w:color w:val="auto"/>
                      <w:sz w:val="21"/>
                      <w:szCs w:val="21"/>
                      <w:lang w:val="en-US" w:eastAsia="zh-CN"/>
                    </w:rPr>
                    <w:t>5.90×10</w:t>
                  </w:r>
                  <w:r>
                    <w:rPr>
                      <w:rFonts w:hint="eastAsia" w:cs="Times New Roman"/>
                      <w:color w:val="auto"/>
                      <w:sz w:val="21"/>
                      <w:szCs w:val="21"/>
                      <w:vertAlign w:val="superscript"/>
                      <w:lang w:val="en-US" w:eastAsia="zh-CN"/>
                    </w:rPr>
                    <w:t>-4</w:t>
                  </w:r>
                </w:p>
              </w:tc>
              <w:tc>
                <w:tcPr>
                  <w:tcW w:w="450" w:type="pct"/>
                  <w:vAlign w:val="center"/>
                </w:tcPr>
                <w:p w14:paraId="23C13A1C">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s="Times New Roman"/>
                      <w:color w:val="auto"/>
                      <w:sz w:val="21"/>
                      <w:szCs w:val="21"/>
                      <w:lang w:val="en-US" w:eastAsia="zh-CN"/>
                    </w:rPr>
                    <w:t>1.42×10</w:t>
                  </w:r>
                  <w:r>
                    <w:rPr>
                      <w:rFonts w:hint="eastAsia" w:cs="Times New Roman"/>
                      <w:color w:val="auto"/>
                      <w:sz w:val="21"/>
                      <w:szCs w:val="21"/>
                      <w:vertAlign w:val="superscript"/>
                      <w:lang w:val="en-US" w:eastAsia="zh-CN"/>
                    </w:rPr>
                    <w:t>-5</w:t>
                  </w:r>
                </w:p>
              </w:tc>
              <w:tc>
                <w:tcPr>
                  <w:tcW w:w="447" w:type="pct"/>
                  <w:vAlign w:val="center"/>
                </w:tcPr>
                <w:p w14:paraId="6C6713EC">
                  <w:pPr>
                    <w:keepNext w:val="0"/>
                    <w:keepLines w:val="0"/>
                    <w:suppressLineNumbers w:val="0"/>
                    <w:spacing w:before="0" w:beforeAutospacing="0" w:after="0" w:afterAutospacing="0" w:line="276" w:lineRule="auto"/>
                    <w:ind w:left="0" w:right="0"/>
                    <w:jc w:val="center"/>
                    <w:rPr>
                      <w:rFonts w:hint="default"/>
                      <w:color w:val="auto"/>
                      <w:szCs w:val="21"/>
                      <w:lang w:val="en-US" w:eastAsia="zh-CN"/>
                    </w:rPr>
                  </w:pPr>
                  <w:r>
                    <w:rPr>
                      <w:rFonts w:hint="eastAsia" w:cs="Times New Roman"/>
                      <w:color w:val="auto"/>
                      <w:sz w:val="21"/>
                      <w:szCs w:val="21"/>
                      <w:lang w:val="en-US" w:eastAsia="zh-CN"/>
                    </w:rPr>
                    <w:t>4.25×10</w:t>
                  </w:r>
                  <w:r>
                    <w:rPr>
                      <w:rFonts w:hint="eastAsia" w:cs="Times New Roman"/>
                      <w:color w:val="auto"/>
                      <w:sz w:val="21"/>
                      <w:szCs w:val="21"/>
                      <w:vertAlign w:val="superscript"/>
                      <w:lang w:val="en-US" w:eastAsia="zh-CN"/>
                    </w:rPr>
                    <w:t>-5</w:t>
                  </w:r>
                </w:p>
              </w:tc>
              <w:tc>
                <w:tcPr>
                  <w:tcW w:w="276" w:type="pct"/>
                  <w:vAlign w:val="center"/>
                </w:tcPr>
                <w:p w14:paraId="4D873C24">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20</w:t>
                  </w:r>
                </w:p>
              </w:tc>
              <w:tc>
                <w:tcPr>
                  <w:tcW w:w="186" w:type="pct"/>
                  <w:vAlign w:val="center"/>
                </w:tcPr>
                <w:p w14:paraId="3518B32E">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c>
                <w:tcPr>
                  <w:tcW w:w="319" w:type="pct"/>
                  <w:vMerge w:val="continue"/>
                  <w:vAlign w:val="center"/>
                </w:tcPr>
                <w:p w14:paraId="6477852A">
                  <w:pPr>
                    <w:keepNext w:val="0"/>
                    <w:keepLines w:val="0"/>
                    <w:widowControl/>
                    <w:suppressLineNumbers w:val="0"/>
                    <w:spacing w:before="0" w:beforeAutospacing="0" w:after="0" w:afterAutospacing="0" w:line="276" w:lineRule="auto"/>
                    <w:ind w:left="0" w:right="0"/>
                    <w:jc w:val="center"/>
                    <w:rPr>
                      <w:rFonts w:hint="eastAsia"/>
                      <w:color w:val="auto"/>
                      <w:szCs w:val="21"/>
                      <w:lang w:val="en-US" w:eastAsia="zh-CN"/>
                    </w:rPr>
                  </w:pPr>
                </w:p>
              </w:tc>
              <w:tc>
                <w:tcPr>
                  <w:tcW w:w="532" w:type="pct"/>
                  <w:gridSpan w:val="3"/>
                  <w:vMerge w:val="continue"/>
                  <w:vAlign w:val="center"/>
                </w:tcPr>
                <w:p w14:paraId="517D724F">
                  <w:pPr>
                    <w:keepNext w:val="0"/>
                    <w:keepLines w:val="0"/>
                    <w:widowControl/>
                    <w:suppressLineNumbers w:val="0"/>
                    <w:spacing w:before="0" w:beforeAutospacing="0" w:after="0" w:afterAutospacing="0" w:line="276" w:lineRule="auto"/>
                    <w:ind w:left="0" w:right="0"/>
                    <w:jc w:val="center"/>
                    <w:rPr>
                      <w:rFonts w:hint="eastAsia"/>
                      <w:color w:val="auto"/>
                      <w:szCs w:val="21"/>
                      <w:lang w:val="en-US" w:eastAsia="zh-CN"/>
                    </w:rPr>
                  </w:pPr>
                </w:p>
              </w:tc>
            </w:tr>
            <w:tr w14:paraId="13FDE5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94" w:type="pct"/>
                  <w:vMerge w:val="continue"/>
                  <w:vAlign w:val="center"/>
                </w:tcPr>
                <w:p w14:paraId="6B76E0F0">
                  <w:pPr>
                    <w:keepNext w:val="0"/>
                    <w:keepLines w:val="0"/>
                    <w:suppressLineNumbers w:val="0"/>
                    <w:wordWrap w:val="0"/>
                    <w:spacing w:before="0" w:beforeAutospacing="0" w:after="0" w:afterAutospacing="0" w:line="276" w:lineRule="auto"/>
                    <w:ind w:left="0" w:right="0"/>
                    <w:jc w:val="center"/>
                    <w:rPr>
                      <w:rFonts w:hint="default"/>
                      <w:color w:val="auto"/>
                      <w:szCs w:val="21"/>
                      <w:lang w:val="en-US" w:eastAsia="zh-CN"/>
                    </w:rPr>
                  </w:pPr>
                </w:p>
              </w:tc>
              <w:tc>
                <w:tcPr>
                  <w:tcW w:w="226" w:type="pct"/>
                  <w:vAlign w:val="center"/>
                </w:tcPr>
                <w:p w14:paraId="597D0DD4">
                  <w:pPr>
                    <w:keepNext w:val="0"/>
                    <w:keepLines w:val="0"/>
                    <w:suppressLineNumbers w:val="0"/>
                    <w:wordWrap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粉碎粉尘G</w:t>
                  </w:r>
                  <w:r>
                    <w:rPr>
                      <w:rFonts w:hint="eastAsia"/>
                      <w:color w:val="auto"/>
                      <w:szCs w:val="21"/>
                      <w:highlight w:val="none"/>
                      <w:vertAlign w:val="subscript"/>
                      <w:lang w:val="en-US" w:eastAsia="zh-CN"/>
                    </w:rPr>
                    <w:t>3</w:t>
                  </w:r>
                </w:p>
              </w:tc>
              <w:tc>
                <w:tcPr>
                  <w:tcW w:w="194" w:type="pct"/>
                  <w:vAlign w:val="center"/>
                </w:tcPr>
                <w:p w14:paraId="04910838">
                  <w:pPr>
                    <w:keepNext w:val="0"/>
                    <w:keepLines w:val="0"/>
                    <w:suppressLineNumbers w:val="0"/>
                    <w:wordWrap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颗粒物</w:t>
                  </w:r>
                </w:p>
              </w:tc>
              <w:tc>
                <w:tcPr>
                  <w:tcW w:w="194" w:type="pct"/>
                  <w:vAlign w:val="center"/>
                </w:tcPr>
                <w:p w14:paraId="4F14AA10">
                  <w:pPr>
                    <w:keepNext w:val="0"/>
                    <w:keepLines w:val="0"/>
                    <w:suppressLineNumbers w:val="0"/>
                    <w:wordWrap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产污系数法</w:t>
                  </w:r>
                </w:p>
              </w:tc>
              <w:tc>
                <w:tcPr>
                  <w:tcW w:w="188" w:type="pct"/>
                  <w:vAlign w:val="center"/>
                </w:tcPr>
                <w:p w14:paraId="51330842">
                  <w:pPr>
                    <w:keepNext w:val="0"/>
                    <w:keepLines w:val="0"/>
                    <w:suppressLineNumbers w:val="0"/>
                    <w:wordWrap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55.183</w:t>
                  </w:r>
                </w:p>
              </w:tc>
              <w:tc>
                <w:tcPr>
                  <w:tcW w:w="186" w:type="pct"/>
                  <w:vAlign w:val="center"/>
                </w:tcPr>
                <w:p w14:paraId="787D57B2">
                  <w:pPr>
                    <w:keepNext w:val="0"/>
                    <w:keepLines w:val="0"/>
                    <w:suppressLineNumbers w:val="0"/>
                    <w:wordWrap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16.555</w:t>
                  </w:r>
                </w:p>
              </w:tc>
              <w:tc>
                <w:tcPr>
                  <w:tcW w:w="255" w:type="pct"/>
                  <w:vAlign w:val="center"/>
                </w:tcPr>
                <w:p w14:paraId="2D0D9968">
                  <w:pPr>
                    <w:keepNext w:val="0"/>
                    <w:keepLines w:val="0"/>
                    <w:suppressLineNumbers w:val="0"/>
                    <w:wordWrap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300</w:t>
                  </w:r>
                </w:p>
              </w:tc>
              <w:tc>
                <w:tcPr>
                  <w:tcW w:w="206" w:type="pct"/>
                  <w:vAlign w:val="center"/>
                </w:tcPr>
                <w:p w14:paraId="591BE5EE">
                  <w:pPr>
                    <w:keepNext w:val="0"/>
                    <w:keepLines w:val="0"/>
                    <w:suppressLineNumbers w:val="0"/>
                    <w:wordWrap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集气罩</w:t>
                  </w:r>
                </w:p>
              </w:tc>
              <w:tc>
                <w:tcPr>
                  <w:tcW w:w="276" w:type="pct"/>
                  <w:vAlign w:val="center"/>
                </w:tcPr>
                <w:p w14:paraId="358DC369">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布袋除尘器</w:t>
                  </w:r>
                </w:p>
              </w:tc>
              <w:tc>
                <w:tcPr>
                  <w:tcW w:w="209" w:type="pct"/>
                  <w:vAlign w:val="center"/>
                </w:tcPr>
                <w:p w14:paraId="2EB3B94C">
                  <w:pPr>
                    <w:keepNext w:val="0"/>
                    <w:keepLines w:val="0"/>
                    <w:suppressLineNumbers w:val="0"/>
                    <w:wordWrap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90%</w:t>
                  </w:r>
                </w:p>
              </w:tc>
              <w:tc>
                <w:tcPr>
                  <w:tcW w:w="211" w:type="pct"/>
                  <w:vAlign w:val="center"/>
                </w:tcPr>
                <w:p w14:paraId="555525E2">
                  <w:pPr>
                    <w:keepNext w:val="0"/>
                    <w:keepLines w:val="0"/>
                    <w:suppressLineNumbers w:val="0"/>
                    <w:wordWrap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99.8%</w:t>
                  </w:r>
                </w:p>
              </w:tc>
              <w:tc>
                <w:tcPr>
                  <w:tcW w:w="446" w:type="pct"/>
                  <w:vAlign w:val="center"/>
                </w:tcPr>
                <w:p w14:paraId="6B078C76">
                  <w:pPr>
                    <w:keepNext w:val="0"/>
                    <w:keepLines w:val="0"/>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11.111</w:t>
                  </w:r>
                </w:p>
              </w:tc>
              <w:tc>
                <w:tcPr>
                  <w:tcW w:w="450" w:type="pct"/>
                  <w:vAlign w:val="center"/>
                </w:tcPr>
                <w:p w14:paraId="751E3081">
                  <w:pPr>
                    <w:keepNext w:val="0"/>
                    <w:keepLines w:val="0"/>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0.100</w:t>
                  </w:r>
                </w:p>
              </w:tc>
              <w:tc>
                <w:tcPr>
                  <w:tcW w:w="447" w:type="pct"/>
                  <w:vAlign w:val="center"/>
                </w:tcPr>
                <w:p w14:paraId="758CFE61">
                  <w:pPr>
                    <w:keepNext w:val="0"/>
                    <w:keepLines w:val="0"/>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0.030</w:t>
                  </w:r>
                </w:p>
              </w:tc>
              <w:tc>
                <w:tcPr>
                  <w:tcW w:w="276" w:type="pct"/>
                  <w:vAlign w:val="center"/>
                </w:tcPr>
                <w:p w14:paraId="5FD5433C">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20</w:t>
                  </w:r>
                </w:p>
              </w:tc>
              <w:tc>
                <w:tcPr>
                  <w:tcW w:w="186" w:type="pct"/>
                  <w:vAlign w:val="center"/>
                </w:tcPr>
                <w:p w14:paraId="13E2FCC5">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c>
                <w:tcPr>
                  <w:tcW w:w="319" w:type="pct"/>
                  <w:vAlign w:val="center"/>
                </w:tcPr>
                <w:p w14:paraId="4B4A9D01">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9000</w:t>
                  </w:r>
                </w:p>
              </w:tc>
              <w:tc>
                <w:tcPr>
                  <w:tcW w:w="532" w:type="pct"/>
                  <w:gridSpan w:val="3"/>
                  <w:vAlign w:val="center"/>
                </w:tcPr>
                <w:p w14:paraId="780FA4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编号DA00</w:t>
                  </w:r>
                  <w:r>
                    <w:rPr>
                      <w:rFonts w:hint="eastAsia" w:ascii="Times New Roman" w:hAnsi="Times New Roman" w:cs="Times New Roman"/>
                      <w:color w:val="auto"/>
                      <w:sz w:val="21"/>
                      <w:szCs w:val="21"/>
                      <w:highlight w:val="none"/>
                      <w:lang w:val="en-US" w:eastAsia="zh-CN"/>
                    </w:rPr>
                    <w:t>2</w:t>
                  </w:r>
                </w:p>
                <w:p w14:paraId="29C8E2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高</w:t>
                  </w:r>
                  <w:r>
                    <w:rPr>
                      <w:rFonts w:hint="eastAsia" w:cs="Times New Roman"/>
                      <w:color w:val="auto"/>
                      <w:sz w:val="21"/>
                      <w:szCs w:val="21"/>
                      <w:highlight w:val="none"/>
                      <w:lang w:val="en-US" w:eastAsia="zh-CN"/>
                    </w:rPr>
                    <w:t>23</w:t>
                  </w:r>
                  <w:r>
                    <w:rPr>
                      <w:rFonts w:hint="default" w:ascii="Times New Roman" w:hAnsi="Times New Roman" w:cs="Times New Roman"/>
                      <w:color w:val="auto"/>
                      <w:sz w:val="21"/>
                      <w:szCs w:val="21"/>
                      <w:highlight w:val="none"/>
                      <w:lang w:val="en-US" w:eastAsia="zh-CN"/>
                    </w:rPr>
                    <w:t>m</w:t>
                  </w:r>
                </w:p>
                <w:p w14:paraId="1F9177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内径</w:t>
                  </w:r>
                  <w:r>
                    <w:rPr>
                      <w:rFonts w:hint="eastAsia" w:ascii="Times New Roman" w:hAnsi="Times New Roman" w:cs="Times New Roman"/>
                      <w:color w:val="auto"/>
                      <w:sz w:val="21"/>
                      <w:szCs w:val="21"/>
                      <w:highlight w:val="none"/>
                      <w:lang w:val="en-US" w:eastAsia="zh-CN"/>
                    </w:rPr>
                    <w:t>0.</w:t>
                  </w:r>
                  <w:r>
                    <w:rPr>
                      <w:rFonts w:hint="eastAsia" w:cs="Times New Roman"/>
                      <w:color w:val="auto"/>
                      <w:sz w:val="21"/>
                      <w:szCs w:val="21"/>
                      <w:highlight w:val="none"/>
                      <w:lang w:val="en-US" w:eastAsia="zh-CN"/>
                    </w:rPr>
                    <w:t>46</w:t>
                  </w:r>
                  <w:r>
                    <w:rPr>
                      <w:rFonts w:hint="default" w:ascii="Times New Roman" w:hAnsi="Times New Roman" w:cs="Times New Roman"/>
                      <w:color w:val="auto"/>
                      <w:sz w:val="21"/>
                      <w:szCs w:val="21"/>
                      <w:highlight w:val="none"/>
                      <w:lang w:val="en-US" w:eastAsia="zh-CN"/>
                    </w:rPr>
                    <w:t>m</w:t>
                  </w:r>
                </w:p>
                <w:p w14:paraId="5A2857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温度：25℃</w:t>
                  </w:r>
                </w:p>
              </w:tc>
            </w:tr>
          </w:tbl>
          <w:p w14:paraId="7454A48E">
            <w:pPr>
              <w:pStyle w:val="223"/>
              <w:keepNext w:val="0"/>
              <w:keepLines w:val="0"/>
              <w:suppressLineNumbers w:val="0"/>
              <w:spacing w:before="0" w:beforeAutospacing="0" w:after="0" w:afterAutospacing="0"/>
              <w:ind w:left="0" w:right="0"/>
              <w:jc w:val="left"/>
              <w:rPr>
                <w:rFonts w:hint="default" w:hAnsi="黑体" w:eastAsia="黑体" w:cs="Times New Roman"/>
                <w:color w:val="auto"/>
              </w:rPr>
            </w:pPr>
          </w:p>
          <w:p w14:paraId="19D8849B">
            <w:pPr>
              <w:pStyle w:val="223"/>
              <w:keepNext w:val="0"/>
              <w:keepLines w:val="0"/>
              <w:suppressLineNumbers w:val="0"/>
              <w:spacing w:before="0" w:beforeAutospacing="0" w:after="0" w:afterAutospacing="0"/>
              <w:ind w:left="0" w:right="0"/>
              <w:jc w:val="left"/>
              <w:rPr>
                <w:rFonts w:hint="default" w:hAnsi="黑体" w:eastAsia="黑体" w:cs="Times New Roman"/>
                <w:color w:val="auto"/>
              </w:rPr>
            </w:pPr>
          </w:p>
          <w:p w14:paraId="590303AC">
            <w:pPr>
              <w:pStyle w:val="223"/>
              <w:keepNext w:val="0"/>
              <w:keepLines w:val="0"/>
              <w:suppressLineNumbers w:val="0"/>
              <w:spacing w:before="0" w:beforeAutospacing="0" w:after="0" w:afterAutospacing="0"/>
              <w:ind w:left="0" w:right="0"/>
              <w:jc w:val="center"/>
              <w:rPr>
                <w:rFonts w:hint="default" w:eastAsia="黑体" w:cs="Times New Roman"/>
                <w:color w:val="auto"/>
              </w:rPr>
            </w:pPr>
            <w:r>
              <w:rPr>
                <w:rFonts w:hint="default" w:hAnsi="黑体" w:eastAsia="黑体" w:cs="Times New Roman"/>
                <w:color w:val="auto"/>
              </w:rPr>
              <w:t>表</w:t>
            </w:r>
            <w:r>
              <w:rPr>
                <w:rFonts w:hint="eastAsia" w:eastAsia="黑体" w:cs="Times New Roman"/>
                <w:color w:val="auto"/>
                <w:lang w:val="en-US" w:eastAsia="zh-CN"/>
              </w:rPr>
              <w:t>4-4</w:t>
            </w:r>
            <w:r>
              <w:rPr>
                <w:rFonts w:hint="default" w:eastAsia="黑体" w:cs="Times New Roman"/>
                <w:color w:val="auto"/>
              </w:rPr>
              <w:t xml:space="preserve"> </w:t>
            </w:r>
            <w:r>
              <w:rPr>
                <w:rFonts w:hint="eastAsia" w:eastAsia="黑体" w:cs="Times New Roman"/>
                <w:color w:val="auto"/>
                <w:lang w:val="en-US" w:eastAsia="zh-CN"/>
              </w:rPr>
              <w:t>本项目</w:t>
            </w:r>
            <w:r>
              <w:rPr>
                <w:rFonts w:hint="default" w:hAnsi="黑体" w:eastAsia="黑体" w:cs="Times New Roman"/>
                <w:color w:val="auto"/>
              </w:rPr>
              <w:t>无组织废气产生及排放源强一览表</w:t>
            </w:r>
          </w:p>
          <w:tbl>
            <w:tblPr>
              <w:tblStyle w:val="3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1062"/>
              <w:gridCol w:w="1449"/>
              <w:gridCol w:w="1767"/>
              <w:gridCol w:w="1666"/>
              <w:gridCol w:w="1068"/>
              <w:gridCol w:w="1899"/>
              <w:gridCol w:w="1383"/>
              <w:gridCol w:w="1785"/>
            </w:tblGrid>
            <w:tr w14:paraId="569FE2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38" w:type="pct"/>
                  <w:gridSpan w:val="2"/>
                  <w:vMerge w:val="restart"/>
                  <w:vAlign w:val="center"/>
                </w:tcPr>
                <w:p w14:paraId="0090F18B">
                  <w:pPr>
                    <w:keepNext w:val="0"/>
                    <w:keepLines w:val="0"/>
                    <w:suppressLineNumbers w:val="0"/>
                    <w:spacing w:before="0" w:beforeAutospacing="0" w:after="0" w:afterAutospacing="0" w:line="276" w:lineRule="auto"/>
                    <w:ind w:left="0" w:right="0"/>
                    <w:jc w:val="center"/>
                    <w:rPr>
                      <w:rFonts w:hint="default"/>
                      <w:b/>
                      <w:color w:val="auto"/>
                      <w:szCs w:val="21"/>
                      <w:highlight w:val="none"/>
                    </w:rPr>
                  </w:pPr>
                  <w:r>
                    <w:rPr>
                      <w:rFonts w:hint="eastAsia" w:hAnsi="宋体"/>
                      <w:b/>
                      <w:color w:val="auto"/>
                      <w:szCs w:val="21"/>
                      <w:highlight w:val="none"/>
                    </w:rPr>
                    <w:t>区域</w:t>
                  </w:r>
                </w:p>
              </w:tc>
              <w:tc>
                <w:tcPr>
                  <w:tcW w:w="547" w:type="pct"/>
                  <w:vMerge w:val="restart"/>
                  <w:vAlign w:val="center"/>
                </w:tcPr>
                <w:p w14:paraId="1F702B45">
                  <w:pPr>
                    <w:keepNext w:val="0"/>
                    <w:keepLines w:val="0"/>
                    <w:suppressLineNumbers w:val="0"/>
                    <w:spacing w:before="0" w:beforeAutospacing="0" w:after="0" w:afterAutospacing="0" w:line="276" w:lineRule="auto"/>
                    <w:ind w:left="0" w:right="0"/>
                    <w:jc w:val="center"/>
                    <w:rPr>
                      <w:rFonts w:hint="eastAsia" w:hAnsi="宋体"/>
                      <w:b/>
                      <w:color w:val="auto"/>
                      <w:szCs w:val="21"/>
                      <w:highlight w:val="none"/>
                    </w:rPr>
                  </w:pPr>
                  <w:r>
                    <w:rPr>
                      <w:rFonts w:hint="eastAsia" w:hAnsi="宋体"/>
                      <w:b/>
                      <w:color w:val="auto"/>
                      <w:szCs w:val="21"/>
                      <w:highlight w:val="none"/>
                    </w:rPr>
                    <w:t>污染物</w:t>
                  </w:r>
                </w:p>
                <w:p w14:paraId="42AE2939">
                  <w:pPr>
                    <w:keepNext w:val="0"/>
                    <w:keepLines w:val="0"/>
                    <w:suppressLineNumbers w:val="0"/>
                    <w:spacing w:before="0" w:beforeAutospacing="0" w:after="0" w:afterAutospacing="0" w:line="276" w:lineRule="auto"/>
                    <w:ind w:left="0" w:right="0"/>
                    <w:jc w:val="center"/>
                    <w:rPr>
                      <w:rFonts w:hint="default"/>
                      <w:b/>
                      <w:color w:val="auto"/>
                      <w:szCs w:val="21"/>
                      <w:highlight w:val="none"/>
                    </w:rPr>
                  </w:pPr>
                  <w:r>
                    <w:rPr>
                      <w:rFonts w:hint="eastAsia" w:hAnsi="宋体"/>
                      <w:b/>
                      <w:color w:val="auto"/>
                      <w:szCs w:val="21"/>
                      <w:highlight w:val="none"/>
                    </w:rPr>
                    <w:t>种类</w:t>
                  </w:r>
                </w:p>
              </w:tc>
              <w:tc>
                <w:tcPr>
                  <w:tcW w:w="667" w:type="pct"/>
                  <w:vAlign w:val="center"/>
                </w:tcPr>
                <w:p w14:paraId="07933A20">
                  <w:pPr>
                    <w:keepNext w:val="0"/>
                    <w:keepLines w:val="0"/>
                    <w:suppressLineNumbers w:val="0"/>
                    <w:spacing w:before="0" w:beforeAutospacing="0" w:after="0" w:afterAutospacing="0" w:line="276" w:lineRule="auto"/>
                    <w:ind w:left="0" w:right="0"/>
                    <w:jc w:val="center"/>
                    <w:rPr>
                      <w:rFonts w:hint="default"/>
                      <w:b/>
                      <w:color w:val="auto"/>
                      <w:szCs w:val="21"/>
                      <w:highlight w:val="none"/>
                    </w:rPr>
                  </w:pPr>
                  <w:r>
                    <w:rPr>
                      <w:rFonts w:hint="eastAsia"/>
                      <w:b/>
                      <w:color w:val="auto"/>
                      <w:szCs w:val="21"/>
                      <w:highlight w:val="none"/>
                    </w:rPr>
                    <w:t>污染物产生情况</w:t>
                  </w:r>
                </w:p>
              </w:tc>
              <w:tc>
                <w:tcPr>
                  <w:tcW w:w="1032" w:type="pct"/>
                  <w:gridSpan w:val="2"/>
                  <w:vAlign w:val="center"/>
                </w:tcPr>
                <w:p w14:paraId="23D10941">
                  <w:pPr>
                    <w:keepNext w:val="0"/>
                    <w:keepLines w:val="0"/>
                    <w:suppressLineNumbers w:val="0"/>
                    <w:spacing w:before="0" w:beforeAutospacing="0" w:after="0" w:afterAutospacing="0" w:line="276" w:lineRule="auto"/>
                    <w:ind w:left="0" w:right="0"/>
                    <w:jc w:val="center"/>
                    <w:rPr>
                      <w:rFonts w:hint="default"/>
                      <w:b/>
                      <w:color w:val="auto"/>
                      <w:szCs w:val="21"/>
                      <w:highlight w:val="none"/>
                    </w:rPr>
                  </w:pPr>
                  <w:r>
                    <w:rPr>
                      <w:rFonts w:hint="eastAsia"/>
                      <w:b/>
                      <w:color w:val="auto"/>
                      <w:szCs w:val="21"/>
                      <w:highlight w:val="none"/>
                    </w:rPr>
                    <w:t>收集及治理设施</w:t>
                  </w:r>
                </w:p>
              </w:tc>
              <w:tc>
                <w:tcPr>
                  <w:tcW w:w="717" w:type="pct"/>
                  <w:vAlign w:val="center"/>
                </w:tcPr>
                <w:p w14:paraId="232D8D20">
                  <w:pPr>
                    <w:keepNext w:val="0"/>
                    <w:keepLines w:val="0"/>
                    <w:suppressLineNumbers w:val="0"/>
                    <w:spacing w:before="0" w:beforeAutospacing="0" w:after="0" w:afterAutospacing="0" w:line="276" w:lineRule="auto"/>
                    <w:ind w:left="0" w:right="0"/>
                    <w:jc w:val="center"/>
                    <w:rPr>
                      <w:rFonts w:hint="default"/>
                      <w:b/>
                      <w:color w:val="auto"/>
                      <w:szCs w:val="21"/>
                      <w:highlight w:val="none"/>
                    </w:rPr>
                  </w:pPr>
                  <w:r>
                    <w:rPr>
                      <w:rFonts w:hint="eastAsia"/>
                      <w:b/>
                      <w:color w:val="auto"/>
                      <w:szCs w:val="21"/>
                      <w:highlight w:val="none"/>
                    </w:rPr>
                    <w:t>污染物排放情况</w:t>
                  </w:r>
                </w:p>
              </w:tc>
              <w:tc>
                <w:tcPr>
                  <w:tcW w:w="522" w:type="pct"/>
                  <w:vMerge w:val="restart"/>
                  <w:vAlign w:val="center"/>
                </w:tcPr>
                <w:p w14:paraId="3AD0A11E">
                  <w:pPr>
                    <w:keepNext w:val="0"/>
                    <w:keepLines w:val="0"/>
                    <w:suppressLineNumbers w:val="0"/>
                    <w:spacing w:before="0" w:beforeAutospacing="0" w:after="0" w:afterAutospacing="0" w:line="276" w:lineRule="auto"/>
                    <w:ind w:left="0" w:right="0"/>
                    <w:jc w:val="center"/>
                    <w:rPr>
                      <w:rFonts w:hint="eastAsia"/>
                      <w:b/>
                      <w:color w:val="auto"/>
                      <w:szCs w:val="21"/>
                      <w:highlight w:val="none"/>
                    </w:rPr>
                  </w:pPr>
                  <w:r>
                    <w:rPr>
                      <w:rFonts w:hint="eastAsia"/>
                      <w:b/>
                      <w:color w:val="auto"/>
                      <w:szCs w:val="21"/>
                      <w:highlight w:val="none"/>
                    </w:rPr>
                    <w:t>排放高度</w:t>
                  </w:r>
                </w:p>
                <w:p w14:paraId="025FDBB5">
                  <w:pPr>
                    <w:keepNext w:val="0"/>
                    <w:keepLines w:val="0"/>
                    <w:suppressLineNumbers w:val="0"/>
                    <w:spacing w:before="0" w:beforeAutospacing="0" w:after="0" w:afterAutospacing="0" w:line="276" w:lineRule="auto"/>
                    <w:ind w:left="0" w:right="0"/>
                    <w:jc w:val="center"/>
                    <w:rPr>
                      <w:rFonts w:hint="default"/>
                      <w:b/>
                      <w:color w:val="auto"/>
                      <w:szCs w:val="21"/>
                      <w:highlight w:val="none"/>
                    </w:rPr>
                  </w:pPr>
                  <w:r>
                    <w:rPr>
                      <w:rFonts w:hint="default"/>
                      <w:b/>
                      <w:color w:val="auto"/>
                      <w:szCs w:val="21"/>
                      <w:highlight w:val="none"/>
                    </w:rPr>
                    <w:t>m</w:t>
                  </w:r>
                </w:p>
              </w:tc>
              <w:tc>
                <w:tcPr>
                  <w:tcW w:w="674" w:type="pct"/>
                  <w:vMerge w:val="restart"/>
                  <w:vAlign w:val="center"/>
                </w:tcPr>
                <w:p w14:paraId="358963EF">
                  <w:pPr>
                    <w:keepNext w:val="0"/>
                    <w:keepLines w:val="0"/>
                    <w:suppressLineNumbers w:val="0"/>
                    <w:spacing w:before="0" w:beforeAutospacing="0" w:after="0" w:afterAutospacing="0" w:line="276" w:lineRule="auto"/>
                    <w:ind w:left="0" w:right="0"/>
                    <w:jc w:val="center"/>
                    <w:rPr>
                      <w:rFonts w:hint="default"/>
                      <w:b/>
                      <w:color w:val="auto"/>
                      <w:szCs w:val="21"/>
                      <w:highlight w:val="none"/>
                    </w:rPr>
                  </w:pPr>
                  <w:r>
                    <w:rPr>
                      <w:rFonts w:hint="eastAsia"/>
                      <w:b/>
                      <w:color w:val="auto"/>
                      <w:szCs w:val="21"/>
                      <w:highlight w:val="none"/>
                    </w:rPr>
                    <w:t>面源面积</w:t>
                  </w:r>
                </w:p>
                <w:p w14:paraId="5F6495B0">
                  <w:pPr>
                    <w:keepNext w:val="0"/>
                    <w:keepLines w:val="0"/>
                    <w:suppressLineNumbers w:val="0"/>
                    <w:spacing w:before="0" w:beforeAutospacing="0" w:after="0" w:afterAutospacing="0" w:line="276" w:lineRule="auto"/>
                    <w:ind w:left="0" w:right="0"/>
                    <w:jc w:val="center"/>
                    <w:rPr>
                      <w:rFonts w:hint="default"/>
                      <w:b/>
                      <w:color w:val="auto"/>
                      <w:szCs w:val="21"/>
                      <w:highlight w:val="none"/>
                    </w:rPr>
                  </w:pPr>
                  <w:r>
                    <w:rPr>
                      <w:rFonts w:hint="default"/>
                      <w:b/>
                      <w:color w:val="auto"/>
                      <w:szCs w:val="21"/>
                      <w:highlight w:val="none"/>
                    </w:rPr>
                    <w:t>m</w:t>
                  </w:r>
                  <w:r>
                    <w:rPr>
                      <w:rFonts w:hint="default"/>
                      <w:b/>
                      <w:color w:val="auto"/>
                      <w:szCs w:val="21"/>
                      <w:highlight w:val="none"/>
                      <w:vertAlign w:val="superscript"/>
                    </w:rPr>
                    <w:t>2</w:t>
                  </w:r>
                </w:p>
              </w:tc>
            </w:tr>
            <w:tr w14:paraId="193AA9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38" w:type="pct"/>
                  <w:gridSpan w:val="2"/>
                  <w:vMerge w:val="continue"/>
                  <w:vAlign w:val="center"/>
                </w:tcPr>
                <w:p w14:paraId="3A8ADC97">
                  <w:pPr>
                    <w:keepNext w:val="0"/>
                    <w:keepLines w:val="0"/>
                    <w:widowControl/>
                    <w:suppressLineNumbers w:val="0"/>
                    <w:spacing w:before="0" w:beforeAutospacing="0" w:after="0" w:afterAutospacing="0" w:line="276" w:lineRule="auto"/>
                    <w:ind w:left="0" w:right="0"/>
                    <w:jc w:val="left"/>
                    <w:rPr>
                      <w:rFonts w:hint="default"/>
                      <w:b/>
                      <w:color w:val="auto"/>
                      <w:szCs w:val="21"/>
                      <w:highlight w:val="none"/>
                    </w:rPr>
                  </w:pPr>
                </w:p>
              </w:tc>
              <w:tc>
                <w:tcPr>
                  <w:tcW w:w="547" w:type="pct"/>
                  <w:vMerge w:val="continue"/>
                  <w:vAlign w:val="center"/>
                </w:tcPr>
                <w:p w14:paraId="7B29906A">
                  <w:pPr>
                    <w:keepNext w:val="0"/>
                    <w:keepLines w:val="0"/>
                    <w:widowControl/>
                    <w:suppressLineNumbers w:val="0"/>
                    <w:spacing w:before="0" w:beforeAutospacing="0" w:after="0" w:afterAutospacing="0" w:line="276" w:lineRule="auto"/>
                    <w:ind w:left="0" w:right="0"/>
                    <w:jc w:val="left"/>
                    <w:rPr>
                      <w:rFonts w:hint="default"/>
                      <w:b/>
                      <w:color w:val="auto"/>
                      <w:szCs w:val="21"/>
                      <w:highlight w:val="none"/>
                    </w:rPr>
                  </w:pPr>
                </w:p>
              </w:tc>
              <w:tc>
                <w:tcPr>
                  <w:tcW w:w="667" w:type="pct"/>
                  <w:vAlign w:val="center"/>
                </w:tcPr>
                <w:p w14:paraId="7B46E0DF">
                  <w:pPr>
                    <w:keepNext w:val="0"/>
                    <w:keepLines w:val="0"/>
                    <w:suppressLineNumbers w:val="0"/>
                    <w:spacing w:before="0" w:beforeAutospacing="0" w:after="0" w:afterAutospacing="0" w:line="276" w:lineRule="auto"/>
                    <w:ind w:left="0" w:right="0"/>
                    <w:jc w:val="center"/>
                    <w:rPr>
                      <w:rFonts w:hint="default"/>
                      <w:b/>
                      <w:color w:val="auto"/>
                      <w:szCs w:val="21"/>
                      <w:highlight w:val="none"/>
                    </w:rPr>
                  </w:pPr>
                  <w:r>
                    <w:rPr>
                      <w:rFonts w:hint="eastAsia"/>
                      <w:b/>
                      <w:color w:val="auto"/>
                      <w:szCs w:val="21"/>
                      <w:highlight w:val="none"/>
                    </w:rPr>
                    <w:t>产生量</w:t>
                  </w:r>
                  <w:r>
                    <w:rPr>
                      <w:rFonts w:hint="default"/>
                      <w:b/>
                      <w:color w:val="auto"/>
                      <w:szCs w:val="21"/>
                      <w:highlight w:val="none"/>
                    </w:rPr>
                    <w:t>t/a</w:t>
                  </w:r>
                </w:p>
              </w:tc>
              <w:tc>
                <w:tcPr>
                  <w:tcW w:w="629" w:type="pct"/>
                  <w:vAlign w:val="center"/>
                </w:tcPr>
                <w:p w14:paraId="41F6F38E">
                  <w:pPr>
                    <w:keepNext w:val="0"/>
                    <w:keepLines w:val="0"/>
                    <w:suppressLineNumbers w:val="0"/>
                    <w:spacing w:before="0" w:beforeAutospacing="0" w:after="0" w:afterAutospacing="0" w:line="276" w:lineRule="auto"/>
                    <w:ind w:left="0" w:right="0"/>
                    <w:jc w:val="center"/>
                    <w:rPr>
                      <w:rFonts w:hint="default"/>
                      <w:b/>
                      <w:color w:val="auto"/>
                      <w:szCs w:val="21"/>
                      <w:highlight w:val="none"/>
                    </w:rPr>
                  </w:pPr>
                  <w:r>
                    <w:rPr>
                      <w:rFonts w:hint="eastAsia"/>
                      <w:b/>
                      <w:color w:val="auto"/>
                      <w:szCs w:val="21"/>
                      <w:highlight w:val="none"/>
                    </w:rPr>
                    <w:t>收集治理工艺</w:t>
                  </w:r>
                </w:p>
              </w:tc>
              <w:tc>
                <w:tcPr>
                  <w:tcW w:w="403" w:type="pct"/>
                  <w:vAlign w:val="center"/>
                </w:tcPr>
                <w:p w14:paraId="76DB00E4">
                  <w:pPr>
                    <w:keepNext w:val="0"/>
                    <w:keepLines w:val="0"/>
                    <w:suppressLineNumbers w:val="0"/>
                    <w:spacing w:before="0" w:beforeAutospacing="0" w:after="0" w:afterAutospacing="0" w:line="276" w:lineRule="auto"/>
                    <w:ind w:left="0" w:right="0"/>
                    <w:jc w:val="center"/>
                    <w:rPr>
                      <w:rFonts w:hint="default"/>
                      <w:b/>
                      <w:color w:val="auto"/>
                      <w:szCs w:val="21"/>
                      <w:highlight w:val="none"/>
                    </w:rPr>
                  </w:pPr>
                  <w:r>
                    <w:rPr>
                      <w:rFonts w:hint="eastAsia"/>
                      <w:b/>
                      <w:color w:val="auto"/>
                      <w:szCs w:val="21"/>
                      <w:highlight w:val="none"/>
                    </w:rPr>
                    <w:t>效率</w:t>
                  </w:r>
                  <w:r>
                    <w:rPr>
                      <w:rFonts w:hint="default"/>
                      <w:b/>
                      <w:color w:val="auto"/>
                      <w:szCs w:val="21"/>
                      <w:highlight w:val="none"/>
                    </w:rPr>
                    <w:t>%</w:t>
                  </w:r>
                </w:p>
              </w:tc>
              <w:tc>
                <w:tcPr>
                  <w:tcW w:w="717" w:type="pct"/>
                  <w:vAlign w:val="center"/>
                </w:tcPr>
                <w:p w14:paraId="24805A9C">
                  <w:pPr>
                    <w:keepNext w:val="0"/>
                    <w:keepLines w:val="0"/>
                    <w:suppressLineNumbers w:val="0"/>
                    <w:spacing w:before="0" w:beforeAutospacing="0" w:after="0" w:afterAutospacing="0" w:line="276" w:lineRule="auto"/>
                    <w:ind w:left="0" w:right="0"/>
                    <w:jc w:val="center"/>
                    <w:rPr>
                      <w:rFonts w:hint="default"/>
                      <w:b/>
                      <w:color w:val="auto"/>
                      <w:szCs w:val="21"/>
                      <w:highlight w:val="none"/>
                    </w:rPr>
                  </w:pPr>
                  <w:r>
                    <w:rPr>
                      <w:rFonts w:hint="eastAsia"/>
                      <w:b/>
                      <w:color w:val="auto"/>
                      <w:szCs w:val="21"/>
                      <w:highlight w:val="none"/>
                    </w:rPr>
                    <w:t>排放量</w:t>
                  </w:r>
                  <w:r>
                    <w:rPr>
                      <w:rFonts w:hint="default"/>
                      <w:b/>
                      <w:color w:val="auto"/>
                      <w:szCs w:val="21"/>
                      <w:highlight w:val="none"/>
                    </w:rPr>
                    <w:t>t/a</w:t>
                  </w:r>
                </w:p>
              </w:tc>
              <w:tc>
                <w:tcPr>
                  <w:tcW w:w="522" w:type="pct"/>
                  <w:vMerge w:val="continue"/>
                  <w:vAlign w:val="center"/>
                </w:tcPr>
                <w:p w14:paraId="06A31507">
                  <w:pPr>
                    <w:keepNext w:val="0"/>
                    <w:keepLines w:val="0"/>
                    <w:widowControl/>
                    <w:suppressLineNumbers w:val="0"/>
                    <w:spacing w:before="0" w:beforeAutospacing="0" w:after="0" w:afterAutospacing="0" w:line="276" w:lineRule="auto"/>
                    <w:ind w:left="0" w:right="0"/>
                    <w:jc w:val="left"/>
                    <w:rPr>
                      <w:rFonts w:hint="default"/>
                      <w:b/>
                      <w:color w:val="auto"/>
                      <w:szCs w:val="21"/>
                      <w:highlight w:val="none"/>
                    </w:rPr>
                  </w:pPr>
                </w:p>
              </w:tc>
              <w:tc>
                <w:tcPr>
                  <w:tcW w:w="674" w:type="pct"/>
                  <w:vMerge w:val="continue"/>
                  <w:vAlign w:val="center"/>
                </w:tcPr>
                <w:p w14:paraId="588D33E4">
                  <w:pPr>
                    <w:keepNext w:val="0"/>
                    <w:keepLines w:val="0"/>
                    <w:widowControl/>
                    <w:suppressLineNumbers w:val="0"/>
                    <w:spacing w:before="0" w:beforeAutospacing="0" w:after="0" w:afterAutospacing="0" w:line="276" w:lineRule="auto"/>
                    <w:ind w:left="0" w:right="0"/>
                    <w:jc w:val="left"/>
                    <w:rPr>
                      <w:rFonts w:hint="default"/>
                      <w:b/>
                      <w:color w:val="auto"/>
                      <w:szCs w:val="21"/>
                      <w:highlight w:val="none"/>
                    </w:rPr>
                  </w:pPr>
                </w:p>
              </w:tc>
            </w:tr>
            <w:tr w14:paraId="128171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437" w:type="pct"/>
                  <w:vMerge w:val="restart"/>
                  <w:vAlign w:val="center"/>
                </w:tcPr>
                <w:p w14:paraId="6E6933A1">
                  <w:pPr>
                    <w:keepNext w:val="0"/>
                    <w:keepLines w:val="0"/>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厂房1F</w:t>
                  </w:r>
                </w:p>
              </w:tc>
              <w:tc>
                <w:tcPr>
                  <w:tcW w:w="401" w:type="pct"/>
                  <w:vMerge w:val="restart"/>
                  <w:shd w:val="clear" w:color="auto" w:fill="auto"/>
                  <w:vAlign w:val="center"/>
                </w:tcPr>
                <w:p w14:paraId="3B0CCFFB">
                  <w:pPr>
                    <w:keepNext w:val="0"/>
                    <w:keepLines w:val="0"/>
                    <w:suppressLineNumbers w:val="0"/>
                    <w:spacing w:before="0" w:beforeAutospacing="0" w:after="0" w:afterAutospacing="0" w:line="276" w:lineRule="auto"/>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注塑区</w:t>
                  </w:r>
                </w:p>
              </w:tc>
              <w:tc>
                <w:tcPr>
                  <w:tcW w:w="547" w:type="pct"/>
                  <w:shd w:val="clear" w:color="auto" w:fill="auto"/>
                  <w:vAlign w:val="center"/>
                </w:tcPr>
                <w:p w14:paraId="23345A9D">
                  <w:pPr>
                    <w:keepNext w:val="0"/>
                    <w:keepLines w:val="0"/>
                    <w:suppressLineNumbers w:val="0"/>
                    <w:wordWrap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非甲烷总烃</w:t>
                  </w:r>
                </w:p>
              </w:tc>
              <w:tc>
                <w:tcPr>
                  <w:tcW w:w="667" w:type="pct"/>
                  <w:shd w:val="clear" w:color="auto" w:fill="auto"/>
                  <w:vAlign w:val="center"/>
                </w:tcPr>
                <w:p w14:paraId="6E1F2853">
                  <w:pPr>
                    <w:keepNext w:val="0"/>
                    <w:keepLines w:val="0"/>
                    <w:suppressLineNumbers w:val="0"/>
                    <w:spacing w:before="0" w:beforeAutospacing="0" w:after="0" w:afterAutospacing="0" w:line="276" w:lineRule="auto"/>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0.137</w:t>
                  </w:r>
                </w:p>
              </w:tc>
              <w:tc>
                <w:tcPr>
                  <w:tcW w:w="629" w:type="pct"/>
                  <w:shd w:val="clear" w:color="auto" w:fill="auto"/>
                  <w:vAlign w:val="center"/>
                </w:tcPr>
                <w:p w14:paraId="7A492C55">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w:t>
                  </w:r>
                </w:p>
              </w:tc>
              <w:tc>
                <w:tcPr>
                  <w:tcW w:w="403" w:type="pct"/>
                  <w:shd w:val="clear" w:color="auto" w:fill="auto"/>
                  <w:vAlign w:val="center"/>
                </w:tcPr>
                <w:p w14:paraId="4A467BE0">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w:t>
                  </w:r>
                </w:p>
              </w:tc>
              <w:tc>
                <w:tcPr>
                  <w:tcW w:w="1899" w:type="dxa"/>
                  <w:shd w:val="clear" w:color="auto" w:fill="auto"/>
                  <w:vAlign w:val="center"/>
                </w:tcPr>
                <w:p w14:paraId="16589497">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0.137</w:t>
                  </w:r>
                </w:p>
              </w:tc>
              <w:tc>
                <w:tcPr>
                  <w:tcW w:w="522" w:type="pct"/>
                  <w:shd w:val="clear" w:color="auto" w:fill="auto"/>
                  <w:vAlign w:val="center"/>
                </w:tcPr>
                <w:p w14:paraId="2284AFB3">
                  <w:pPr>
                    <w:keepNext w:val="0"/>
                    <w:keepLines w:val="0"/>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6.5</w:t>
                  </w:r>
                </w:p>
              </w:tc>
              <w:tc>
                <w:tcPr>
                  <w:tcW w:w="674" w:type="pct"/>
                  <w:vMerge w:val="restart"/>
                  <w:shd w:val="clear" w:color="auto" w:fill="auto"/>
                  <w:vAlign w:val="center"/>
                </w:tcPr>
                <w:p w14:paraId="718371F6">
                  <w:pPr>
                    <w:keepNext w:val="0"/>
                    <w:keepLines w:val="0"/>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650</w:t>
                  </w:r>
                </w:p>
              </w:tc>
            </w:tr>
            <w:tr w14:paraId="1AD397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437" w:type="pct"/>
                  <w:vMerge w:val="continue"/>
                  <w:vAlign w:val="center"/>
                </w:tcPr>
                <w:p w14:paraId="5D270827">
                  <w:pPr>
                    <w:keepNext w:val="0"/>
                    <w:keepLines w:val="0"/>
                    <w:suppressLineNumbers w:val="0"/>
                    <w:spacing w:before="0" w:beforeAutospacing="0" w:after="0" w:afterAutospacing="0" w:line="276" w:lineRule="auto"/>
                    <w:ind w:left="0" w:right="0"/>
                    <w:jc w:val="center"/>
                    <w:rPr>
                      <w:rFonts w:hint="eastAsia"/>
                      <w:color w:val="auto"/>
                      <w:szCs w:val="21"/>
                      <w:highlight w:val="none"/>
                      <w:lang w:val="en-US" w:eastAsia="zh-CN"/>
                    </w:rPr>
                  </w:pPr>
                </w:p>
              </w:tc>
              <w:tc>
                <w:tcPr>
                  <w:tcW w:w="401" w:type="pct"/>
                  <w:vMerge w:val="continue"/>
                  <w:shd w:val="clear" w:color="auto" w:fill="auto"/>
                  <w:vAlign w:val="center"/>
                </w:tcPr>
                <w:p w14:paraId="479C198A">
                  <w:pPr>
                    <w:keepNext w:val="0"/>
                    <w:keepLines w:val="0"/>
                    <w:suppressLineNumbers w:val="0"/>
                    <w:spacing w:before="0" w:beforeAutospacing="0" w:after="0" w:afterAutospacing="0" w:line="276" w:lineRule="auto"/>
                    <w:ind w:left="0" w:right="0"/>
                    <w:jc w:val="center"/>
                    <w:rPr>
                      <w:rFonts w:hint="eastAsia" w:cs="Times New Roman"/>
                      <w:color w:val="auto"/>
                      <w:kern w:val="2"/>
                      <w:sz w:val="21"/>
                      <w:szCs w:val="21"/>
                      <w:highlight w:val="none"/>
                      <w:lang w:val="en-US" w:eastAsia="zh-CN" w:bidi="ar-SA"/>
                    </w:rPr>
                  </w:pPr>
                </w:p>
              </w:tc>
              <w:tc>
                <w:tcPr>
                  <w:tcW w:w="547" w:type="pct"/>
                  <w:shd w:val="clear" w:color="auto" w:fill="auto"/>
                  <w:vAlign w:val="center"/>
                </w:tcPr>
                <w:p w14:paraId="28084F96">
                  <w:pPr>
                    <w:keepNext w:val="0"/>
                    <w:keepLines w:val="0"/>
                    <w:suppressLineNumbers w:val="0"/>
                    <w:wordWrap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甲苯</w:t>
                  </w:r>
                </w:p>
              </w:tc>
              <w:tc>
                <w:tcPr>
                  <w:tcW w:w="667" w:type="pct"/>
                  <w:shd w:val="clear" w:color="auto" w:fill="auto"/>
                  <w:vAlign w:val="center"/>
                </w:tcPr>
                <w:p w14:paraId="023EE75B">
                  <w:pPr>
                    <w:keepNext w:val="0"/>
                    <w:keepLines w:val="0"/>
                    <w:suppressLineNumbers w:val="0"/>
                    <w:spacing w:before="0" w:beforeAutospacing="0" w:after="0" w:afterAutospacing="0" w:line="276" w:lineRule="auto"/>
                    <w:ind w:left="0" w:right="0"/>
                    <w:jc w:val="center"/>
                    <w:rPr>
                      <w:rFonts w:hint="default"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6.8×10</w:t>
                  </w:r>
                  <w:r>
                    <w:rPr>
                      <w:rFonts w:hint="eastAsia" w:cs="Times New Roman"/>
                      <w:color w:val="auto"/>
                      <w:sz w:val="21"/>
                      <w:szCs w:val="21"/>
                      <w:highlight w:val="none"/>
                      <w:vertAlign w:val="superscript"/>
                      <w:lang w:val="en-US" w:eastAsia="zh-CN"/>
                    </w:rPr>
                    <w:t>-7</w:t>
                  </w:r>
                </w:p>
              </w:tc>
              <w:tc>
                <w:tcPr>
                  <w:tcW w:w="629" w:type="pct"/>
                  <w:shd w:val="clear" w:color="auto" w:fill="auto"/>
                  <w:vAlign w:val="center"/>
                </w:tcPr>
                <w:p w14:paraId="21619F50">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w:t>
                  </w:r>
                </w:p>
              </w:tc>
              <w:tc>
                <w:tcPr>
                  <w:tcW w:w="403" w:type="pct"/>
                  <w:shd w:val="clear" w:color="auto" w:fill="auto"/>
                  <w:vAlign w:val="center"/>
                </w:tcPr>
                <w:p w14:paraId="06A6EF7F">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w:t>
                  </w:r>
                </w:p>
              </w:tc>
              <w:tc>
                <w:tcPr>
                  <w:tcW w:w="1899" w:type="dxa"/>
                  <w:shd w:val="clear" w:color="auto" w:fill="auto"/>
                  <w:vAlign w:val="center"/>
                </w:tcPr>
                <w:p w14:paraId="115705AB">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6.8×10</w:t>
                  </w:r>
                  <w:r>
                    <w:rPr>
                      <w:rFonts w:hint="eastAsia" w:cs="Times New Roman"/>
                      <w:color w:val="auto"/>
                      <w:sz w:val="21"/>
                      <w:szCs w:val="21"/>
                      <w:highlight w:val="none"/>
                      <w:vertAlign w:val="superscript"/>
                      <w:lang w:val="en-US" w:eastAsia="zh-CN"/>
                    </w:rPr>
                    <w:t>-7</w:t>
                  </w:r>
                </w:p>
              </w:tc>
              <w:tc>
                <w:tcPr>
                  <w:tcW w:w="522" w:type="pct"/>
                  <w:shd w:val="clear" w:color="auto" w:fill="auto"/>
                  <w:vAlign w:val="center"/>
                </w:tcPr>
                <w:p w14:paraId="6C811CB8">
                  <w:pPr>
                    <w:keepNext w:val="0"/>
                    <w:keepLines w:val="0"/>
                    <w:suppressLineNumbers w:val="0"/>
                    <w:spacing w:before="0" w:beforeAutospacing="0" w:after="0" w:afterAutospacing="0" w:line="276" w:lineRule="auto"/>
                    <w:ind w:left="0" w:right="0"/>
                    <w:jc w:val="center"/>
                    <w:rPr>
                      <w:rFonts w:hint="eastAsia"/>
                      <w:color w:val="auto"/>
                      <w:szCs w:val="21"/>
                      <w:highlight w:val="none"/>
                      <w:lang w:val="en-US" w:eastAsia="zh-CN"/>
                    </w:rPr>
                  </w:pPr>
                  <w:r>
                    <w:rPr>
                      <w:rFonts w:hint="eastAsia"/>
                      <w:color w:val="auto"/>
                      <w:szCs w:val="21"/>
                      <w:highlight w:val="none"/>
                      <w:lang w:val="en-US" w:eastAsia="zh-CN"/>
                    </w:rPr>
                    <w:t>6.5</w:t>
                  </w:r>
                </w:p>
              </w:tc>
              <w:tc>
                <w:tcPr>
                  <w:tcW w:w="674" w:type="pct"/>
                  <w:vMerge w:val="continue"/>
                  <w:shd w:val="clear" w:color="auto" w:fill="auto"/>
                  <w:vAlign w:val="center"/>
                </w:tcPr>
                <w:p w14:paraId="6BC6CD50">
                  <w:pPr>
                    <w:keepNext w:val="0"/>
                    <w:keepLines w:val="0"/>
                    <w:suppressLineNumbers w:val="0"/>
                    <w:spacing w:before="0" w:beforeAutospacing="0" w:after="0" w:afterAutospacing="0" w:line="276" w:lineRule="auto"/>
                    <w:ind w:left="0" w:right="0"/>
                    <w:jc w:val="center"/>
                    <w:rPr>
                      <w:rFonts w:hint="default"/>
                      <w:color w:val="auto"/>
                      <w:szCs w:val="21"/>
                      <w:highlight w:val="none"/>
                      <w:lang w:val="en-US" w:eastAsia="zh-CN"/>
                    </w:rPr>
                  </w:pPr>
                </w:p>
              </w:tc>
            </w:tr>
            <w:tr w14:paraId="7DDB36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437" w:type="pct"/>
                  <w:vMerge w:val="continue"/>
                  <w:vAlign w:val="center"/>
                </w:tcPr>
                <w:p w14:paraId="14167F78">
                  <w:pPr>
                    <w:keepNext w:val="0"/>
                    <w:keepLines w:val="0"/>
                    <w:suppressLineNumbers w:val="0"/>
                    <w:spacing w:before="0" w:beforeAutospacing="0" w:after="0" w:afterAutospacing="0" w:line="276" w:lineRule="auto"/>
                    <w:ind w:left="0" w:right="0"/>
                    <w:jc w:val="center"/>
                    <w:rPr>
                      <w:rFonts w:hint="eastAsia"/>
                      <w:color w:val="auto"/>
                      <w:szCs w:val="21"/>
                      <w:highlight w:val="none"/>
                      <w:lang w:val="en-US" w:eastAsia="zh-CN"/>
                    </w:rPr>
                  </w:pPr>
                </w:p>
              </w:tc>
              <w:tc>
                <w:tcPr>
                  <w:tcW w:w="401" w:type="pct"/>
                  <w:vMerge w:val="continue"/>
                  <w:shd w:val="clear" w:color="auto" w:fill="auto"/>
                  <w:vAlign w:val="center"/>
                </w:tcPr>
                <w:p w14:paraId="52B13189">
                  <w:pPr>
                    <w:keepNext w:val="0"/>
                    <w:keepLines w:val="0"/>
                    <w:suppressLineNumbers w:val="0"/>
                    <w:spacing w:before="0" w:beforeAutospacing="0" w:after="0" w:afterAutospacing="0" w:line="276" w:lineRule="auto"/>
                    <w:ind w:left="0" w:right="0"/>
                    <w:jc w:val="center"/>
                    <w:rPr>
                      <w:rFonts w:hint="eastAsia" w:cs="Times New Roman"/>
                      <w:color w:val="auto"/>
                      <w:kern w:val="2"/>
                      <w:sz w:val="21"/>
                      <w:szCs w:val="21"/>
                      <w:highlight w:val="none"/>
                      <w:lang w:val="en-US" w:eastAsia="zh-CN" w:bidi="ar-SA"/>
                    </w:rPr>
                  </w:pPr>
                </w:p>
              </w:tc>
              <w:tc>
                <w:tcPr>
                  <w:tcW w:w="547" w:type="pct"/>
                  <w:shd w:val="clear" w:color="auto" w:fill="auto"/>
                  <w:vAlign w:val="center"/>
                </w:tcPr>
                <w:p w14:paraId="1E9CF1EB">
                  <w:pPr>
                    <w:keepNext w:val="0"/>
                    <w:keepLines w:val="0"/>
                    <w:suppressLineNumbers w:val="0"/>
                    <w:wordWrap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乙苯</w:t>
                  </w:r>
                </w:p>
              </w:tc>
              <w:tc>
                <w:tcPr>
                  <w:tcW w:w="667" w:type="pct"/>
                  <w:shd w:val="clear" w:color="auto" w:fill="auto"/>
                  <w:vAlign w:val="center"/>
                </w:tcPr>
                <w:p w14:paraId="4F8B139A">
                  <w:pPr>
                    <w:keepNext w:val="0"/>
                    <w:keepLines w:val="0"/>
                    <w:suppressLineNumbers w:val="0"/>
                    <w:spacing w:before="0" w:beforeAutospacing="0" w:after="0" w:afterAutospacing="0" w:line="276" w:lineRule="auto"/>
                    <w:ind w:left="0" w:right="0"/>
                    <w:jc w:val="center"/>
                    <w:rPr>
                      <w:rFonts w:hint="default"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3.2×10</w:t>
                  </w:r>
                  <w:r>
                    <w:rPr>
                      <w:rFonts w:hint="eastAsia" w:cs="Times New Roman"/>
                      <w:color w:val="auto"/>
                      <w:sz w:val="21"/>
                      <w:szCs w:val="21"/>
                      <w:highlight w:val="none"/>
                      <w:vertAlign w:val="superscript"/>
                      <w:lang w:val="en-US" w:eastAsia="zh-CN"/>
                    </w:rPr>
                    <w:t>-7</w:t>
                  </w:r>
                </w:p>
              </w:tc>
              <w:tc>
                <w:tcPr>
                  <w:tcW w:w="629" w:type="pct"/>
                  <w:shd w:val="clear" w:color="auto" w:fill="auto"/>
                  <w:vAlign w:val="center"/>
                </w:tcPr>
                <w:p w14:paraId="11D3042F">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w:t>
                  </w:r>
                </w:p>
              </w:tc>
              <w:tc>
                <w:tcPr>
                  <w:tcW w:w="403" w:type="pct"/>
                  <w:shd w:val="clear" w:color="auto" w:fill="auto"/>
                  <w:vAlign w:val="center"/>
                </w:tcPr>
                <w:p w14:paraId="4223CF04">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w:t>
                  </w:r>
                </w:p>
              </w:tc>
              <w:tc>
                <w:tcPr>
                  <w:tcW w:w="1899" w:type="dxa"/>
                  <w:shd w:val="clear" w:color="auto" w:fill="auto"/>
                  <w:vAlign w:val="center"/>
                </w:tcPr>
                <w:p w14:paraId="68328FA4">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3.2×10</w:t>
                  </w:r>
                  <w:r>
                    <w:rPr>
                      <w:rFonts w:hint="eastAsia" w:cs="Times New Roman"/>
                      <w:color w:val="auto"/>
                      <w:sz w:val="21"/>
                      <w:szCs w:val="21"/>
                      <w:highlight w:val="none"/>
                      <w:vertAlign w:val="superscript"/>
                      <w:lang w:val="en-US" w:eastAsia="zh-CN"/>
                    </w:rPr>
                    <w:t>-7</w:t>
                  </w:r>
                </w:p>
              </w:tc>
              <w:tc>
                <w:tcPr>
                  <w:tcW w:w="522" w:type="pct"/>
                  <w:shd w:val="clear" w:color="auto" w:fill="auto"/>
                  <w:vAlign w:val="center"/>
                </w:tcPr>
                <w:p w14:paraId="5BD2E8E7">
                  <w:pPr>
                    <w:keepNext w:val="0"/>
                    <w:keepLines w:val="0"/>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6.5</w:t>
                  </w:r>
                </w:p>
              </w:tc>
              <w:tc>
                <w:tcPr>
                  <w:tcW w:w="674" w:type="pct"/>
                  <w:vMerge w:val="continue"/>
                  <w:shd w:val="clear" w:color="auto" w:fill="auto"/>
                  <w:vAlign w:val="center"/>
                </w:tcPr>
                <w:p w14:paraId="6F62BEF6">
                  <w:pPr>
                    <w:keepNext w:val="0"/>
                    <w:keepLines w:val="0"/>
                    <w:suppressLineNumbers w:val="0"/>
                    <w:spacing w:before="0" w:beforeAutospacing="0" w:after="0" w:afterAutospacing="0" w:line="276" w:lineRule="auto"/>
                    <w:ind w:left="0" w:right="0"/>
                    <w:jc w:val="center"/>
                    <w:rPr>
                      <w:rFonts w:hint="default"/>
                      <w:color w:val="auto"/>
                      <w:szCs w:val="21"/>
                      <w:highlight w:val="none"/>
                      <w:lang w:val="en-US" w:eastAsia="zh-CN"/>
                    </w:rPr>
                  </w:pPr>
                </w:p>
              </w:tc>
            </w:tr>
            <w:tr w14:paraId="4537F7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437" w:type="pct"/>
                  <w:vMerge w:val="continue"/>
                  <w:vAlign w:val="center"/>
                </w:tcPr>
                <w:p w14:paraId="0482AB8F">
                  <w:pPr>
                    <w:keepNext w:val="0"/>
                    <w:keepLines w:val="0"/>
                    <w:suppressLineNumbers w:val="0"/>
                    <w:spacing w:before="0" w:beforeAutospacing="0" w:after="0" w:afterAutospacing="0" w:line="276" w:lineRule="auto"/>
                    <w:ind w:left="0" w:right="0"/>
                    <w:jc w:val="center"/>
                    <w:rPr>
                      <w:rFonts w:hint="eastAsia"/>
                      <w:color w:val="auto"/>
                      <w:szCs w:val="21"/>
                      <w:highlight w:val="none"/>
                      <w:lang w:val="en-US" w:eastAsia="zh-CN"/>
                    </w:rPr>
                  </w:pPr>
                </w:p>
              </w:tc>
              <w:tc>
                <w:tcPr>
                  <w:tcW w:w="401" w:type="pct"/>
                  <w:vMerge w:val="continue"/>
                  <w:shd w:val="clear" w:color="auto" w:fill="auto"/>
                  <w:vAlign w:val="center"/>
                </w:tcPr>
                <w:p w14:paraId="1B7F94C7">
                  <w:pPr>
                    <w:keepNext w:val="0"/>
                    <w:keepLines w:val="0"/>
                    <w:suppressLineNumbers w:val="0"/>
                    <w:spacing w:before="0" w:beforeAutospacing="0" w:after="0" w:afterAutospacing="0" w:line="276" w:lineRule="auto"/>
                    <w:ind w:left="0" w:right="0"/>
                    <w:jc w:val="center"/>
                    <w:rPr>
                      <w:rFonts w:hint="eastAsia" w:cs="Times New Roman"/>
                      <w:color w:val="auto"/>
                      <w:kern w:val="2"/>
                      <w:sz w:val="21"/>
                      <w:szCs w:val="21"/>
                      <w:highlight w:val="none"/>
                      <w:lang w:val="en-US" w:eastAsia="zh-CN" w:bidi="ar-SA"/>
                    </w:rPr>
                  </w:pPr>
                </w:p>
              </w:tc>
              <w:tc>
                <w:tcPr>
                  <w:tcW w:w="547" w:type="pct"/>
                  <w:shd w:val="clear" w:color="auto" w:fill="auto"/>
                  <w:vAlign w:val="center"/>
                </w:tcPr>
                <w:p w14:paraId="1AC32E14">
                  <w:pPr>
                    <w:keepNext w:val="0"/>
                    <w:keepLines w:val="0"/>
                    <w:suppressLineNumbers w:val="0"/>
                    <w:wordWrap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苯乙烯</w:t>
                  </w:r>
                </w:p>
              </w:tc>
              <w:tc>
                <w:tcPr>
                  <w:tcW w:w="667" w:type="pct"/>
                  <w:shd w:val="clear" w:color="auto" w:fill="auto"/>
                  <w:vAlign w:val="center"/>
                </w:tcPr>
                <w:p w14:paraId="38476B66">
                  <w:pPr>
                    <w:keepNext w:val="0"/>
                    <w:keepLines w:val="0"/>
                    <w:suppressLineNumbers w:val="0"/>
                    <w:spacing w:before="0" w:beforeAutospacing="0" w:after="0" w:afterAutospacing="0" w:line="276" w:lineRule="auto"/>
                    <w:ind w:left="0" w:right="0"/>
                    <w:jc w:val="center"/>
                    <w:rPr>
                      <w:rFonts w:hint="default"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1.9×10</w:t>
                  </w:r>
                  <w:r>
                    <w:rPr>
                      <w:rFonts w:hint="eastAsia" w:cs="Times New Roman"/>
                      <w:color w:val="auto"/>
                      <w:sz w:val="21"/>
                      <w:szCs w:val="21"/>
                      <w:highlight w:val="none"/>
                      <w:vertAlign w:val="superscript"/>
                      <w:lang w:val="en-US" w:eastAsia="zh-CN"/>
                    </w:rPr>
                    <w:t>-7</w:t>
                  </w:r>
                </w:p>
              </w:tc>
              <w:tc>
                <w:tcPr>
                  <w:tcW w:w="629" w:type="pct"/>
                  <w:shd w:val="clear" w:color="auto" w:fill="auto"/>
                  <w:vAlign w:val="center"/>
                </w:tcPr>
                <w:p w14:paraId="62F03C90">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w:t>
                  </w:r>
                </w:p>
              </w:tc>
              <w:tc>
                <w:tcPr>
                  <w:tcW w:w="403" w:type="pct"/>
                  <w:shd w:val="clear" w:color="auto" w:fill="auto"/>
                  <w:vAlign w:val="center"/>
                </w:tcPr>
                <w:p w14:paraId="151F83EE">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w:t>
                  </w:r>
                </w:p>
              </w:tc>
              <w:tc>
                <w:tcPr>
                  <w:tcW w:w="1899" w:type="dxa"/>
                  <w:shd w:val="clear" w:color="auto" w:fill="auto"/>
                  <w:vAlign w:val="center"/>
                </w:tcPr>
                <w:p w14:paraId="5EC9B7E2">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1.9×10</w:t>
                  </w:r>
                  <w:r>
                    <w:rPr>
                      <w:rFonts w:hint="eastAsia" w:cs="Times New Roman"/>
                      <w:color w:val="auto"/>
                      <w:sz w:val="21"/>
                      <w:szCs w:val="21"/>
                      <w:highlight w:val="none"/>
                      <w:vertAlign w:val="superscript"/>
                      <w:lang w:val="en-US" w:eastAsia="zh-CN"/>
                    </w:rPr>
                    <w:t>-7</w:t>
                  </w:r>
                </w:p>
              </w:tc>
              <w:tc>
                <w:tcPr>
                  <w:tcW w:w="522" w:type="pct"/>
                  <w:shd w:val="clear" w:color="auto" w:fill="auto"/>
                  <w:vAlign w:val="center"/>
                </w:tcPr>
                <w:p w14:paraId="254067A9">
                  <w:pPr>
                    <w:keepNext w:val="0"/>
                    <w:keepLines w:val="0"/>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6.5</w:t>
                  </w:r>
                </w:p>
              </w:tc>
              <w:tc>
                <w:tcPr>
                  <w:tcW w:w="674" w:type="pct"/>
                  <w:vMerge w:val="continue"/>
                  <w:shd w:val="clear" w:color="auto" w:fill="auto"/>
                  <w:vAlign w:val="center"/>
                </w:tcPr>
                <w:p w14:paraId="11F18D27">
                  <w:pPr>
                    <w:keepNext w:val="0"/>
                    <w:keepLines w:val="0"/>
                    <w:suppressLineNumbers w:val="0"/>
                    <w:spacing w:before="0" w:beforeAutospacing="0" w:after="0" w:afterAutospacing="0" w:line="276" w:lineRule="auto"/>
                    <w:ind w:left="0" w:right="0"/>
                    <w:jc w:val="center"/>
                    <w:rPr>
                      <w:rFonts w:hint="default"/>
                      <w:color w:val="auto"/>
                      <w:szCs w:val="21"/>
                      <w:highlight w:val="none"/>
                      <w:lang w:val="en-US" w:eastAsia="zh-CN"/>
                    </w:rPr>
                  </w:pPr>
                </w:p>
              </w:tc>
            </w:tr>
            <w:tr w14:paraId="144884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437" w:type="pct"/>
                  <w:vMerge w:val="continue"/>
                  <w:vAlign w:val="center"/>
                </w:tcPr>
                <w:p w14:paraId="1892A01B">
                  <w:pPr>
                    <w:keepNext w:val="0"/>
                    <w:keepLines w:val="0"/>
                    <w:suppressLineNumbers w:val="0"/>
                    <w:spacing w:before="0" w:beforeAutospacing="0" w:after="0" w:afterAutospacing="0" w:line="276" w:lineRule="auto"/>
                    <w:ind w:left="0" w:right="0"/>
                    <w:jc w:val="center"/>
                    <w:rPr>
                      <w:rFonts w:hint="eastAsia"/>
                      <w:color w:val="auto"/>
                      <w:szCs w:val="21"/>
                      <w:highlight w:val="none"/>
                      <w:lang w:val="en-US" w:eastAsia="zh-CN"/>
                    </w:rPr>
                  </w:pPr>
                </w:p>
              </w:tc>
              <w:tc>
                <w:tcPr>
                  <w:tcW w:w="401" w:type="pct"/>
                  <w:vMerge w:val="continue"/>
                  <w:shd w:val="clear" w:color="auto" w:fill="auto"/>
                  <w:vAlign w:val="center"/>
                </w:tcPr>
                <w:p w14:paraId="43AB596D">
                  <w:pPr>
                    <w:keepNext w:val="0"/>
                    <w:keepLines w:val="0"/>
                    <w:suppressLineNumbers w:val="0"/>
                    <w:spacing w:before="0" w:beforeAutospacing="0" w:after="0" w:afterAutospacing="0" w:line="276" w:lineRule="auto"/>
                    <w:ind w:left="0" w:right="0"/>
                    <w:jc w:val="center"/>
                    <w:rPr>
                      <w:rFonts w:hint="eastAsia" w:cs="Times New Roman"/>
                      <w:color w:val="auto"/>
                      <w:kern w:val="2"/>
                      <w:sz w:val="21"/>
                      <w:szCs w:val="21"/>
                      <w:highlight w:val="none"/>
                      <w:lang w:val="en-US" w:eastAsia="zh-CN" w:bidi="ar-SA"/>
                    </w:rPr>
                  </w:pPr>
                </w:p>
              </w:tc>
              <w:tc>
                <w:tcPr>
                  <w:tcW w:w="547" w:type="pct"/>
                  <w:shd w:val="clear" w:color="auto" w:fill="auto"/>
                  <w:vAlign w:val="center"/>
                </w:tcPr>
                <w:p w14:paraId="19E88820">
                  <w:pPr>
                    <w:keepNext w:val="0"/>
                    <w:keepLines w:val="0"/>
                    <w:suppressLineNumbers w:val="0"/>
                    <w:wordWrap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苯</w:t>
                  </w:r>
                </w:p>
              </w:tc>
              <w:tc>
                <w:tcPr>
                  <w:tcW w:w="667" w:type="pct"/>
                  <w:shd w:val="clear" w:color="auto" w:fill="auto"/>
                  <w:vAlign w:val="center"/>
                </w:tcPr>
                <w:p w14:paraId="74C59640">
                  <w:pPr>
                    <w:keepNext w:val="0"/>
                    <w:keepLines w:val="0"/>
                    <w:suppressLineNumbers w:val="0"/>
                    <w:spacing w:before="0" w:beforeAutospacing="0" w:after="0" w:afterAutospacing="0" w:line="276" w:lineRule="auto"/>
                    <w:ind w:left="0" w:right="0"/>
                    <w:jc w:val="center"/>
                    <w:rPr>
                      <w:rFonts w:hint="default"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1.2×10</w:t>
                  </w:r>
                  <w:r>
                    <w:rPr>
                      <w:rFonts w:hint="eastAsia" w:cs="Times New Roman"/>
                      <w:color w:val="auto"/>
                      <w:sz w:val="21"/>
                      <w:szCs w:val="21"/>
                      <w:highlight w:val="none"/>
                      <w:vertAlign w:val="superscript"/>
                      <w:lang w:val="en-US" w:eastAsia="zh-CN"/>
                    </w:rPr>
                    <w:t>-6</w:t>
                  </w:r>
                </w:p>
              </w:tc>
              <w:tc>
                <w:tcPr>
                  <w:tcW w:w="629" w:type="pct"/>
                  <w:shd w:val="clear" w:color="auto" w:fill="auto"/>
                  <w:vAlign w:val="center"/>
                </w:tcPr>
                <w:p w14:paraId="1F34DBF9">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w:t>
                  </w:r>
                </w:p>
              </w:tc>
              <w:tc>
                <w:tcPr>
                  <w:tcW w:w="403" w:type="pct"/>
                  <w:shd w:val="clear" w:color="auto" w:fill="auto"/>
                  <w:vAlign w:val="center"/>
                </w:tcPr>
                <w:p w14:paraId="2238958C">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w:t>
                  </w:r>
                </w:p>
              </w:tc>
              <w:tc>
                <w:tcPr>
                  <w:tcW w:w="1899" w:type="dxa"/>
                  <w:shd w:val="clear" w:color="auto" w:fill="auto"/>
                  <w:vAlign w:val="center"/>
                </w:tcPr>
                <w:p w14:paraId="3380444A">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1.2×10</w:t>
                  </w:r>
                  <w:r>
                    <w:rPr>
                      <w:rFonts w:hint="eastAsia" w:cs="Times New Roman"/>
                      <w:color w:val="auto"/>
                      <w:sz w:val="21"/>
                      <w:szCs w:val="21"/>
                      <w:highlight w:val="none"/>
                      <w:vertAlign w:val="superscript"/>
                      <w:lang w:val="en-US" w:eastAsia="zh-CN"/>
                    </w:rPr>
                    <w:t>-6</w:t>
                  </w:r>
                </w:p>
              </w:tc>
              <w:tc>
                <w:tcPr>
                  <w:tcW w:w="522" w:type="pct"/>
                  <w:shd w:val="clear" w:color="auto" w:fill="auto"/>
                  <w:vAlign w:val="center"/>
                </w:tcPr>
                <w:p w14:paraId="53F3C2ED">
                  <w:pPr>
                    <w:keepNext w:val="0"/>
                    <w:keepLines w:val="0"/>
                    <w:suppressLineNumbers w:val="0"/>
                    <w:spacing w:before="0" w:beforeAutospacing="0" w:after="0" w:afterAutospacing="0" w:line="276" w:lineRule="auto"/>
                    <w:ind w:left="0" w:right="0"/>
                    <w:jc w:val="center"/>
                    <w:rPr>
                      <w:rFonts w:hint="eastAsia"/>
                      <w:color w:val="auto"/>
                      <w:szCs w:val="21"/>
                      <w:highlight w:val="none"/>
                      <w:lang w:val="en-US" w:eastAsia="zh-CN"/>
                    </w:rPr>
                  </w:pPr>
                  <w:r>
                    <w:rPr>
                      <w:rFonts w:hint="eastAsia"/>
                      <w:color w:val="auto"/>
                      <w:szCs w:val="21"/>
                      <w:highlight w:val="none"/>
                      <w:lang w:val="en-US" w:eastAsia="zh-CN"/>
                    </w:rPr>
                    <w:t>6.5</w:t>
                  </w:r>
                </w:p>
              </w:tc>
              <w:tc>
                <w:tcPr>
                  <w:tcW w:w="674" w:type="pct"/>
                  <w:vMerge w:val="continue"/>
                  <w:shd w:val="clear" w:color="auto" w:fill="auto"/>
                  <w:vAlign w:val="center"/>
                </w:tcPr>
                <w:p w14:paraId="3DA12F56">
                  <w:pPr>
                    <w:keepNext w:val="0"/>
                    <w:keepLines w:val="0"/>
                    <w:suppressLineNumbers w:val="0"/>
                    <w:spacing w:before="0" w:beforeAutospacing="0" w:after="0" w:afterAutospacing="0" w:line="276" w:lineRule="auto"/>
                    <w:ind w:left="0" w:right="0"/>
                    <w:jc w:val="center"/>
                    <w:rPr>
                      <w:rFonts w:hint="default"/>
                      <w:color w:val="auto"/>
                      <w:szCs w:val="21"/>
                      <w:highlight w:val="none"/>
                      <w:lang w:val="en-US" w:eastAsia="zh-CN"/>
                    </w:rPr>
                  </w:pPr>
                </w:p>
              </w:tc>
            </w:tr>
            <w:tr w14:paraId="13D158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437" w:type="pct"/>
                  <w:vMerge w:val="continue"/>
                  <w:vAlign w:val="center"/>
                </w:tcPr>
                <w:p w14:paraId="609FD09F">
                  <w:pPr>
                    <w:keepNext w:val="0"/>
                    <w:keepLines w:val="0"/>
                    <w:suppressLineNumbers w:val="0"/>
                    <w:spacing w:before="0" w:beforeAutospacing="0" w:after="0" w:afterAutospacing="0" w:line="276" w:lineRule="auto"/>
                    <w:ind w:left="0" w:right="0"/>
                    <w:jc w:val="center"/>
                    <w:rPr>
                      <w:rFonts w:hint="eastAsia"/>
                      <w:color w:val="auto"/>
                      <w:szCs w:val="21"/>
                      <w:highlight w:val="none"/>
                      <w:lang w:val="en-US" w:eastAsia="zh-CN"/>
                    </w:rPr>
                  </w:pPr>
                </w:p>
              </w:tc>
              <w:tc>
                <w:tcPr>
                  <w:tcW w:w="401" w:type="pct"/>
                  <w:vMerge w:val="continue"/>
                  <w:shd w:val="clear" w:color="auto" w:fill="auto"/>
                  <w:vAlign w:val="center"/>
                </w:tcPr>
                <w:p w14:paraId="6F76A495">
                  <w:pPr>
                    <w:keepNext w:val="0"/>
                    <w:keepLines w:val="0"/>
                    <w:suppressLineNumbers w:val="0"/>
                    <w:spacing w:before="0" w:beforeAutospacing="0" w:after="0" w:afterAutospacing="0" w:line="276" w:lineRule="auto"/>
                    <w:ind w:left="0" w:right="0"/>
                    <w:jc w:val="center"/>
                    <w:rPr>
                      <w:rFonts w:hint="eastAsia" w:cs="Times New Roman"/>
                      <w:color w:val="auto"/>
                      <w:kern w:val="2"/>
                      <w:sz w:val="21"/>
                      <w:szCs w:val="21"/>
                      <w:highlight w:val="none"/>
                      <w:lang w:val="en-US" w:eastAsia="zh-CN" w:bidi="ar-SA"/>
                    </w:rPr>
                  </w:pPr>
                </w:p>
              </w:tc>
              <w:tc>
                <w:tcPr>
                  <w:tcW w:w="547" w:type="pct"/>
                  <w:shd w:val="clear" w:color="auto" w:fill="auto"/>
                  <w:vAlign w:val="center"/>
                </w:tcPr>
                <w:p w14:paraId="04F7F758">
                  <w:pPr>
                    <w:keepNext w:val="0"/>
                    <w:keepLines w:val="0"/>
                    <w:suppressLineNumbers w:val="0"/>
                    <w:wordWrap w:val="0"/>
                    <w:spacing w:before="0" w:beforeAutospacing="0" w:after="0" w:afterAutospacing="0" w:line="276" w:lineRule="auto"/>
                    <w:ind w:left="0" w:leftChars="0" w:right="0" w:rightChars="0"/>
                    <w:jc w:val="center"/>
                    <w:rPr>
                      <w:rFonts w:hint="default"/>
                      <w:color w:val="auto"/>
                      <w:szCs w:val="21"/>
                      <w:highlight w:val="none"/>
                      <w:lang w:val="en-US" w:eastAsia="zh-CN"/>
                    </w:rPr>
                  </w:pPr>
                  <w:r>
                    <w:rPr>
                      <w:rFonts w:hint="eastAsia"/>
                      <w:color w:val="auto"/>
                      <w:szCs w:val="21"/>
                      <w:highlight w:val="none"/>
                      <w:lang w:val="en-US" w:eastAsia="zh-CN"/>
                    </w:rPr>
                    <w:t>二甲苯</w:t>
                  </w:r>
                </w:p>
              </w:tc>
              <w:tc>
                <w:tcPr>
                  <w:tcW w:w="667" w:type="pct"/>
                  <w:shd w:val="clear" w:color="auto" w:fill="auto"/>
                  <w:vAlign w:val="center"/>
                </w:tcPr>
                <w:p w14:paraId="02D7E2BE">
                  <w:pPr>
                    <w:keepNext w:val="0"/>
                    <w:keepLines w:val="0"/>
                    <w:suppressLineNumbers w:val="0"/>
                    <w:spacing w:before="0" w:beforeAutospacing="0" w:after="0" w:afterAutospacing="0" w:line="276" w:lineRule="auto"/>
                    <w:ind w:left="0" w:right="0"/>
                    <w:jc w:val="center"/>
                    <w:rPr>
                      <w:rFonts w:hint="default"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4.7×10</w:t>
                  </w:r>
                  <w:r>
                    <w:rPr>
                      <w:rFonts w:hint="eastAsia" w:cs="Times New Roman"/>
                      <w:color w:val="auto"/>
                      <w:sz w:val="21"/>
                      <w:szCs w:val="21"/>
                      <w:highlight w:val="none"/>
                      <w:vertAlign w:val="superscript"/>
                      <w:lang w:val="en-US" w:eastAsia="zh-CN"/>
                    </w:rPr>
                    <w:t>-6</w:t>
                  </w:r>
                </w:p>
              </w:tc>
              <w:tc>
                <w:tcPr>
                  <w:tcW w:w="629" w:type="pct"/>
                  <w:shd w:val="clear" w:color="auto" w:fill="auto"/>
                  <w:vAlign w:val="center"/>
                </w:tcPr>
                <w:p w14:paraId="0044E7BF">
                  <w:pPr>
                    <w:keepNext w:val="0"/>
                    <w:keepLines w:val="0"/>
                    <w:suppressLineNumbers w:val="0"/>
                    <w:spacing w:before="0" w:beforeAutospacing="0" w:after="0" w:afterAutospacing="0" w:line="276" w:lineRule="auto"/>
                    <w:ind w:left="0" w:leftChars="0" w:right="0" w:rightChars="0"/>
                    <w:jc w:val="center"/>
                    <w:rPr>
                      <w:rFonts w:hint="default"/>
                      <w:color w:val="auto"/>
                      <w:szCs w:val="21"/>
                      <w:highlight w:val="none"/>
                      <w:lang w:val="en-US" w:eastAsia="zh-CN"/>
                    </w:rPr>
                  </w:pPr>
                  <w:r>
                    <w:rPr>
                      <w:rFonts w:hint="eastAsia"/>
                      <w:color w:val="auto"/>
                      <w:szCs w:val="21"/>
                      <w:highlight w:val="none"/>
                      <w:lang w:val="en-US" w:eastAsia="zh-CN"/>
                    </w:rPr>
                    <w:t>/</w:t>
                  </w:r>
                </w:p>
              </w:tc>
              <w:tc>
                <w:tcPr>
                  <w:tcW w:w="403" w:type="pct"/>
                  <w:shd w:val="clear" w:color="auto" w:fill="auto"/>
                  <w:vAlign w:val="center"/>
                </w:tcPr>
                <w:p w14:paraId="2A28C031">
                  <w:pPr>
                    <w:keepNext w:val="0"/>
                    <w:keepLines w:val="0"/>
                    <w:suppressLineNumbers w:val="0"/>
                    <w:spacing w:before="0" w:beforeAutospacing="0" w:after="0" w:afterAutospacing="0" w:line="276" w:lineRule="auto"/>
                    <w:ind w:left="0" w:leftChars="0" w:right="0" w:rightChars="0"/>
                    <w:jc w:val="center"/>
                    <w:rPr>
                      <w:rFonts w:hint="default"/>
                      <w:color w:val="auto"/>
                      <w:szCs w:val="21"/>
                      <w:highlight w:val="none"/>
                      <w:lang w:val="en-US" w:eastAsia="zh-CN"/>
                    </w:rPr>
                  </w:pPr>
                  <w:r>
                    <w:rPr>
                      <w:rFonts w:hint="eastAsia"/>
                      <w:color w:val="auto"/>
                      <w:szCs w:val="21"/>
                      <w:highlight w:val="none"/>
                      <w:lang w:val="en-US" w:eastAsia="zh-CN"/>
                    </w:rPr>
                    <w:t>/</w:t>
                  </w:r>
                </w:p>
              </w:tc>
              <w:tc>
                <w:tcPr>
                  <w:tcW w:w="1899" w:type="dxa"/>
                  <w:shd w:val="clear" w:color="auto" w:fill="auto"/>
                  <w:vAlign w:val="center"/>
                </w:tcPr>
                <w:p w14:paraId="07124864">
                  <w:pPr>
                    <w:keepNext w:val="0"/>
                    <w:keepLines w:val="0"/>
                    <w:suppressLineNumbers w:val="0"/>
                    <w:spacing w:before="0" w:beforeAutospacing="0" w:after="0" w:afterAutospacing="0" w:line="276" w:lineRule="auto"/>
                    <w:ind w:left="0" w:leftChars="0" w:right="0" w:rightChars="0"/>
                    <w:jc w:val="center"/>
                    <w:rPr>
                      <w:rFonts w:hint="eastAsia"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4.7×10</w:t>
                  </w:r>
                  <w:r>
                    <w:rPr>
                      <w:rFonts w:hint="eastAsia" w:cs="Times New Roman"/>
                      <w:color w:val="auto"/>
                      <w:sz w:val="21"/>
                      <w:szCs w:val="21"/>
                      <w:highlight w:val="none"/>
                      <w:vertAlign w:val="superscript"/>
                      <w:lang w:val="en-US" w:eastAsia="zh-CN"/>
                    </w:rPr>
                    <w:t>-6</w:t>
                  </w:r>
                </w:p>
              </w:tc>
              <w:tc>
                <w:tcPr>
                  <w:tcW w:w="522" w:type="pct"/>
                  <w:shd w:val="clear" w:color="auto" w:fill="auto"/>
                  <w:vAlign w:val="center"/>
                </w:tcPr>
                <w:p w14:paraId="173B7C66">
                  <w:pPr>
                    <w:keepNext w:val="0"/>
                    <w:keepLines w:val="0"/>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6.5</w:t>
                  </w:r>
                </w:p>
              </w:tc>
              <w:tc>
                <w:tcPr>
                  <w:tcW w:w="674" w:type="pct"/>
                  <w:vMerge w:val="continue"/>
                  <w:shd w:val="clear" w:color="auto" w:fill="auto"/>
                  <w:vAlign w:val="center"/>
                </w:tcPr>
                <w:p w14:paraId="36A11555">
                  <w:pPr>
                    <w:keepNext w:val="0"/>
                    <w:keepLines w:val="0"/>
                    <w:suppressLineNumbers w:val="0"/>
                    <w:spacing w:before="0" w:beforeAutospacing="0" w:after="0" w:afterAutospacing="0" w:line="276" w:lineRule="auto"/>
                    <w:ind w:left="0" w:right="0"/>
                    <w:jc w:val="center"/>
                    <w:rPr>
                      <w:rFonts w:hint="default"/>
                      <w:color w:val="auto"/>
                      <w:szCs w:val="21"/>
                      <w:highlight w:val="none"/>
                      <w:lang w:val="en-US" w:eastAsia="zh-CN"/>
                    </w:rPr>
                  </w:pPr>
                </w:p>
              </w:tc>
            </w:tr>
            <w:tr w14:paraId="57F0CB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437" w:type="pct"/>
                  <w:vAlign w:val="center"/>
                </w:tcPr>
                <w:p w14:paraId="2686151D">
                  <w:pPr>
                    <w:keepNext w:val="0"/>
                    <w:keepLines w:val="0"/>
                    <w:suppressLineNumbers w:val="0"/>
                    <w:spacing w:before="0" w:beforeAutospacing="0" w:after="0" w:afterAutospacing="0" w:line="276" w:lineRule="auto"/>
                    <w:ind w:left="0" w:right="0"/>
                    <w:jc w:val="center"/>
                    <w:rPr>
                      <w:rFonts w:hint="eastAsia"/>
                      <w:color w:val="auto"/>
                      <w:szCs w:val="21"/>
                      <w:highlight w:val="none"/>
                      <w:lang w:val="en-US" w:eastAsia="zh-CN"/>
                    </w:rPr>
                  </w:pPr>
                  <w:r>
                    <w:rPr>
                      <w:rFonts w:hint="eastAsia"/>
                      <w:color w:val="auto"/>
                      <w:szCs w:val="21"/>
                      <w:highlight w:val="none"/>
                      <w:lang w:val="en-US" w:eastAsia="zh-CN"/>
                    </w:rPr>
                    <w:t>厂房2F</w:t>
                  </w:r>
                </w:p>
              </w:tc>
              <w:tc>
                <w:tcPr>
                  <w:tcW w:w="401" w:type="pct"/>
                  <w:shd w:val="clear" w:color="auto" w:fill="auto"/>
                  <w:vAlign w:val="center"/>
                </w:tcPr>
                <w:p w14:paraId="4CC61027">
                  <w:pPr>
                    <w:keepNext w:val="0"/>
                    <w:keepLines w:val="0"/>
                    <w:suppressLineNumbers w:val="0"/>
                    <w:spacing w:before="0" w:beforeAutospacing="0" w:after="0" w:afterAutospacing="0" w:line="276" w:lineRule="auto"/>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粉碎区</w:t>
                  </w:r>
                </w:p>
              </w:tc>
              <w:tc>
                <w:tcPr>
                  <w:tcW w:w="547" w:type="pct"/>
                  <w:shd w:val="clear" w:color="auto" w:fill="auto"/>
                  <w:vAlign w:val="center"/>
                </w:tcPr>
                <w:p w14:paraId="23A17339">
                  <w:pPr>
                    <w:keepNext w:val="0"/>
                    <w:keepLines w:val="0"/>
                    <w:suppressLineNumbers w:val="0"/>
                    <w:wordWrap w:val="0"/>
                    <w:spacing w:before="0" w:beforeAutospacing="0" w:after="0" w:afterAutospacing="0" w:line="276" w:lineRule="auto"/>
                    <w:ind w:left="0" w:leftChars="0" w:right="0" w:rightChars="0"/>
                    <w:jc w:val="center"/>
                    <w:rPr>
                      <w:rFonts w:hint="eastAsia"/>
                      <w:color w:val="auto"/>
                      <w:szCs w:val="21"/>
                      <w:highlight w:val="none"/>
                      <w:lang w:val="en-US" w:eastAsia="zh-CN"/>
                    </w:rPr>
                  </w:pPr>
                  <w:r>
                    <w:rPr>
                      <w:rFonts w:hint="eastAsia"/>
                      <w:color w:val="auto"/>
                      <w:szCs w:val="21"/>
                      <w:highlight w:val="none"/>
                      <w:lang w:val="en-US" w:eastAsia="zh-CN"/>
                    </w:rPr>
                    <w:t>颗粒物</w:t>
                  </w:r>
                </w:p>
              </w:tc>
              <w:tc>
                <w:tcPr>
                  <w:tcW w:w="667" w:type="pct"/>
                  <w:shd w:val="clear" w:color="auto" w:fill="auto"/>
                  <w:vAlign w:val="center"/>
                </w:tcPr>
                <w:p w14:paraId="6F55783F">
                  <w:pPr>
                    <w:keepNext w:val="0"/>
                    <w:keepLines w:val="0"/>
                    <w:suppressLineNumbers w:val="0"/>
                    <w:spacing w:before="0" w:beforeAutospacing="0" w:after="0" w:afterAutospacing="0" w:line="276" w:lineRule="auto"/>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1.655</w:t>
                  </w:r>
                </w:p>
              </w:tc>
              <w:tc>
                <w:tcPr>
                  <w:tcW w:w="629" w:type="pct"/>
                  <w:shd w:val="clear" w:color="auto" w:fill="auto"/>
                  <w:vAlign w:val="center"/>
                </w:tcPr>
                <w:p w14:paraId="36CBD018">
                  <w:pPr>
                    <w:keepNext w:val="0"/>
                    <w:keepLines w:val="0"/>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c>
                <w:tcPr>
                  <w:tcW w:w="403" w:type="pct"/>
                  <w:shd w:val="clear" w:color="auto" w:fill="auto"/>
                  <w:vAlign w:val="center"/>
                </w:tcPr>
                <w:p w14:paraId="180C0669">
                  <w:pPr>
                    <w:keepNext w:val="0"/>
                    <w:keepLines w:val="0"/>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c>
                <w:tcPr>
                  <w:tcW w:w="1899" w:type="dxa"/>
                  <w:shd w:val="clear" w:color="auto" w:fill="auto"/>
                  <w:vAlign w:val="center"/>
                </w:tcPr>
                <w:p w14:paraId="769BD0CD">
                  <w:pPr>
                    <w:keepNext w:val="0"/>
                    <w:keepLines w:val="0"/>
                    <w:suppressLineNumbers w:val="0"/>
                    <w:spacing w:before="0" w:beforeAutospacing="0" w:after="0" w:afterAutospacing="0" w:line="276" w:lineRule="auto"/>
                    <w:ind w:left="0" w:leftChars="0" w:right="0" w:rightChars="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1.655</w:t>
                  </w:r>
                </w:p>
              </w:tc>
              <w:tc>
                <w:tcPr>
                  <w:tcW w:w="522" w:type="pct"/>
                  <w:shd w:val="clear" w:color="auto" w:fill="auto"/>
                  <w:vAlign w:val="center"/>
                </w:tcPr>
                <w:p w14:paraId="0183473C">
                  <w:pPr>
                    <w:keepNext w:val="0"/>
                    <w:keepLines w:val="0"/>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11.0</w:t>
                  </w:r>
                </w:p>
              </w:tc>
              <w:tc>
                <w:tcPr>
                  <w:tcW w:w="674" w:type="pct"/>
                  <w:shd w:val="clear" w:color="auto" w:fill="auto"/>
                  <w:vAlign w:val="center"/>
                </w:tcPr>
                <w:p w14:paraId="35EA925A">
                  <w:pPr>
                    <w:keepNext w:val="0"/>
                    <w:keepLines w:val="0"/>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120</w:t>
                  </w:r>
                </w:p>
              </w:tc>
            </w:tr>
          </w:tbl>
          <w:p w14:paraId="3B000722">
            <w:pPr>
              <w:keepNext w:val="0"/>
              <w:keepLines w:val="0"/>
              <w:suppressLineNumbers w:val="0"/>
              <w:spacing w:before="0" w:beforeAutospacing="0" w:after="0" w:afterAutospacing="0" w:line="360" w:lineRule="auto"/>
              <w:ind w:left="0" w:right="0"/>
              <w:rPr>
                <w:rFonts w:hint="default"/>
                <w:b/>
                <w:bCs/>
                <w:color w:val="auto"/>
                <w:sz w:val="24"/>
                <w:szCs w:val="28"/>
              </w:rPr>
            </w:pPr>
          </w:p>
        </w:tc>
      </w:tr>
    </w:tbl>
    <w:p w14:paraId="78D04EBA">
      <w:pPr>
        <w:widowControl/>
        <w:outlineLvl w:val="0"/>
        <w:rPr>
          <w:rFonts w:ascii="宋体" w:hAnsi="宋体"/>
          <w:b/>
          <w:bCs/>
          <w:color w:val="auto"/>
          <w:kern w:val="0"/>
          <w:sz w:val="30"/>
          <w:szCs w:val="30"/>
        </w:rPr>
        <w:sectPr>
          <w:pgSz w:w="16838" w:h="11906" w:orient="landscape"/>
          <w:pgMar w:top="1797" w:right="1440" w:bottom="1508" w:left="1440" w:header="851" w:footer="992" w:gutter="0"/>
          <w:pgBorders>
            <w:top w:val="none" w:sz="0" w:space="0"/>
            <w:left w:val="none" w:sz="0" w:space="0"/>
            <w:bottom w:val="none" w:sz="0" w:space="0"/>
            <w:right w:val="none" w:sz="0" w:space="0"/>
          </w:pgBorders>
          <w:cols w:space="720" w:num="1"/>
          <w:docGrid w:type="linesAndChars" w:linePitch="312" w:charSpace="0"/>
        </w:sectPr>
      </w:pPr>
    </w:p>
    <w:tbl>
      <w:tblPr>
        <w:tblStyle w:val="37"/>
        <w:tblW w:w="0" w:type="auto"/>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6"/>
        <w:gridCol w:w="8195"/>
      </w:tblGrid>
      <w:tr w14:paraId="5C03B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16" w:type="dxa"/>
            <w:vAlign w:val="center"/>
          </w:tcPr>
          <w:p w14:paraId="07EA2453">
            <w:pPr>
              <w:keepNext w:val="0"/>
              <w:keepLines w:val="0"/>
              <w:suppressLineNumbers w:val="0"/>
              <w:spacing w:before="0" w:beforeAutospacing="0" w:after="0" w:afterAutospacing="0" w:line="360" w:lineRule="auto"/>
              <w:ind w:left="0" w:right="0"/>
              <w:jc w:val="center"/>
              <w:rPr>
                <w:rFonts w:hint="default"/>
                <w:color w:val="auto"/>
                <w:sz w:val="24"/>
              </w:rPr>
            </w:pPr>
            <w:r>
              <w:rPr>
                <w:rFonts w:hint="eastAsia" w:hAnsi="宋体"/>
                <w:color w:val="auto"/>
                <w:kern w:val="0"/>
                <w:sz w:val="24"/>
              </w:rPr>
              <w:t>运营期环境影响和保护措施</w:t>
            </w:r>
          </w:p>
        </w:tc>
        <w:tc>
          <w:tcPr>
            <w:tcW w:w="8195" w:type="dxa"/>
          </w:tcPr>
          <w:p w14:paraId="58B2BD2C">
            <w:pPr>
              <w:keepNext w:val="0"/>
              <w:keepLines w:val="0"/>
              <w:suppressLineNumbers w:val="0"/>
              <w:spacing w:before="0" w:beforeAutospacing="0" w:after="0" w:afterAutospacing="0" w:line="360" w:lineRule="auto"/>
              <w:ind w:left="0" w:right="0" w:firstLine="480" w:firstLineChars="200"/>
              <w:jc w:val="center"/>
              <w:rPr>
                <w:rFonts w:hint="eastAsia"/>
                <w:color w:val="auto"/>
                <w:sz w:val="24"/>
              </w:rPr>
            </w:pPr>
            <w:r>
              <w:rPr>
                <w:rFonts w:hint="default" w:hAnsi="黑体" w:eastAsia="黑体"/>
                <w:color w:val="auto"/>
                <w:sz w:val="24"/>
                <w:szCs w:val="24"/>
              </w:rPr>
              <w:t>表</w:t>
            </w:r>
            <w:r>
              <w:rPr>
                <w:rFonts w:hint="eastAsia" w:hAnsi="黑体" w:eastAsia="黑体"/>
                <w:color w:val="auto"/>
                <w:sz w:val="24"/>
                <w:szCs w:val="24"/>
                <w:lang w:val="en-US" w:eastAsia="zh-CN"/>
              </w:rPr>
              <w:t>4-5</w:t>
            </w:r>
            <w:r>
              <w:rPr>
                <w:rFonts w:hint="default" w:hAnsi="黑体" w:eastAsia="黑体"/>
                <w:color w:val="auto"/>
                <w:sz w:val="24"/>
                <w:szCs w:val="24"/>
              </w:rPr>
              <w:t xml:space="preserve"> </w:t>
            </w:r>
            <w:r>
              <w:rPr>
                <w:rFonts w:hint="eastAsia" w:hAnsi="黑体" w:eastAsia="黑体"/>
                <w:color w:val="auto"/>
                <w:sz w:val="24"/>
                <w:szCs w:val="24"/>
                <w:lang w:val="en-US" w:eastAsia="zh-CN"/>
              </w:rPr>
              <w:t>本项目废气排放口汇总</w:t>
            </w:r>
            <w:r>
              <w:rPr>
                <w:rFonts w:hint="default" w:hAnsi="黑体" w:eastAsia="黑体"/>
                <w:color w:val="auto"/>
                <w:sz w:val="24"/>
                <w:szCs w:val="24"/>
              </w:rPr>
              <w:t>一览表</w:t>
            </w:r>
          </w:p>
          <w:tbl>
            <w:tblPr>
              <w:tblStyle w:val="38"/>
              <w:tblW w:w="806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66"/>
              <w:gridCol w:w="566"/>
              <w:gridCol w:w="505"/>
              <w:gridCol w:w="619"/>
              <w:gridCol w:w="741"/>
              <w:gridCol w:w="392"/>
              <w:gridCol w:w="523"/>
              <w:gridCol w:w="581"/>
              <w:gridCol w:w="967"/>
              <w:gridCol w:w="967"/>
              <w:gridCol w:w="701"/>
              <w:gridCol w:w="547"/>
              <w:gridCol w:w="392"/>
            </w:tblGrid>
            <w:tr w14:paraId="47C34A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566" w:type="dxa"/>
                  <w:vMerge w:val="restart"/>
                  <w:tcBorders>
                    <w:tl2br w:val="nil"/>
                    <w:tr2bl w:val="nil"/>
                  </w:tcBorders>
                  <w:vAlign w:val="center"/>
                </w:tcPr>
                <w:p w14:paraId="289C42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cs="Times New Roman"/>
                      <w:b/>
                      <w:bCs/>
                      <w:color w:val="auto"/>
                      <w:sz w:val="21"/>
                      <w:szCs w:val="21"/>
                      <w:vertAlign w:val="baseline"/>
                      <w:lang w:val="en-US" w:eastAsia="zh-CN"/>
                    </w:rPr>
                    <w:t>产污环节</w:t>
                  </w:r>
                </w:p>
              </w:tc>
              <w:tc>
                <w:tcPr>
                  <w:tcW w:w="566" w:type="dxa"/>
                  <w:vMerge w:val="restart"/>
                  <w:tcBorders>
                    <w:tl2br w:val="nil"/>
                    <w:tr2bl w:val="nil"/>
                  </w:tcBorders>
                  <w:vAlign w:val="center"/>
                </w:tcPr>
                <w:p w14:paraId="0D0A7D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cs="Times New Roman"/>
                      <w:b/>
                      <w:bCs/>
                      <w:color w:val="auto"/>
                      <w:sz w:val="21"/>
                      <w:szCs w:val="21"/>
                      <w:vertAlign w:val="baseline"/>
                      <w:lang w:val="en-US" w:eastAsia="zh-CN"/>
                    </w:rPr>
                    <w:t>废气名称</w:t>
                  </w:r>
                </w:p>
              </w:tc>
              <w:tc>
                <w:tcPr>
                  <w:tcW w:w="505" w:type="dxa"/>
                  <w:vMerge w:val="restart"/>
                  <w:tcBorders>
                    <w:tl2br w:val="nil"/>
                    <w:tr2bl w:val="nil"/>
                  </w:tcBorders>
                  <w:vAlign w:val="center"/>
                </w:tcPr>
                <w:p w14:paraId="184A0B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eastAsia="宋体" w:cs="Times New Roman"/>
                      <w:b/>
                      <w:bCs/>
                      <w:color w:val="auto"/>
                      <w:sz w:val="21"/>
                      <w:szCs w:val="21"/>
                      <w:vertAlign w:val="baseline"/>
                    </w:rPr>
                  </w:pPr>
                  <w:r>
                    <w:rPr>
                      <w:rFonts w:hint="eastAsia" w:ascii="Times New Roman" w:hAnsi="Times New Roman" w:cs="Times New Roman"/>
                      <w:b/>
                      <w:bCs/>
                      <w:color w:val="auto"/>
                      <w:sz w:val="21"/>
                      <w:szCs w:val="21"/>
                      <w:vertAlign w:val="baseline"/>
                      <w:lang w:val="en-US" w:eastAsia="zh-CN"/>
                    </w:rPr>
                    <w:t>排放口编号</w:t>
                  </w:r>
                </w:p>
              </w:tc>
              <w:tc>
                <w:tcPr>
                  <w:tcW w:w="619" w:type="dxa"/>
                  <w:vMerge w:val="restart"/>
                  <w:tcBorders>
                    <w:tl2br w:val="nil"/>
                    <w:tr2bl w:val="nil"/>
                  </w:tcBorders>
                  <w:vAlign w:val="center"/>
                </w:tcPr>
                <w:p w14:paraId="35D370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污染物种类</w:t>
                  </w:r>
                </w:p>
              </w:tc>
              <w:tc>
                <w:tcPr>
                  <w:tcW w:w="741" w:type="dxa"/>
                  <w:vMerge w:val="restart"/>
                  <w:tcBorders>
                    <w:tl2br w:val="nil"/>
                    <w:tr2bl w:val="nil"/>
                  </w:tcBorders>
                  <w:vAlign w:val="center"/>
                </w:tcPr>
                <w:p w14:paraId="131A77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风机风量</w:t>
                  </w:r>
                </w:p>
                <w:p w14:paraId="553EE3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m</w:t>
                  </w:r>
                  <w:r>
                    <w:rPr>
                      <w:rFonts w:hint="eastAsia" w:cs="Times New Roman"/>
                      <w:b/>
                      <w:bCs/>
                      <w:color w:val="auto"/>
                      <w:sz w:val="21"/>
                      <w:szCs w:val="21"/>
                      <w:vertAlign w:val="superscript"/>
                      <w:lang w:val="en-US" w:eastAsia="zh-CN"/>
                    </w:rPr>
                    <w:t>3</w:t>
                  </w:r>
                  <w:r>
                    <w:rPr>
                      <w:rFonts w:hint="eastAsia" w:cs="Times New Roman"/>
                      <w:b/>
                      <w:bCs/>
                      <w:color w:val="auto"/>
                      <w:sz w:val="21"/>
                      <w:szCs w:val="21"/>
                      <w:vertAlign w:val="baseline"/>
                      <w:lang w:val="en-US" w:eastAsia="zh-CN"/>
                    </w:rPr>
                    <w:t>/h</w:t>
                  </w:r>
                </w:p>
              </w:tc>
              <w:tc>
                <w:tcPr>
                  <w:tcW w:w="392" w:type="dxa"/>
                  <w:vMerge w:val="restart"/>
                  <w:tcBorders>
                    <w:tl2br w:val="nil"/>
                    <w:tr2bl w:val="nil"/>
                  </w:tcBorders>
                  <w:vAlign w:val="center"/>
                </w:tcPr>
                <w:p w14:paraId="2C94D1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排气筒高度m</w:t>
                  </w:r>
                </w:p>
              </w:tc>
              <w:tc>
                <w:tcPr>
                  <w:tcW w:w="523" w:type="dxa"/>
                  <w:vMerge w:val="restart"/>
                  <w:tcBorders>
                    <w:tl2br w:val="nil"/>
                    <w:tr2bl w:val="nil"/>
                  </w:tcBorders>
                  <w:vAlign w:val="center"/>
                </w:tcPr>
                <w:p w14:paraId="700096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排气筒内径</w:t>
                  </w:r>
                </w:p>
                <w:p w14:paraId="323D41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cs="Times New Roman"/>
                      <w:b/>
                      <w:bCs/>
                      <w:color w:val="auto"/>
                      <w:sz w:val="21"/>
                      <w:szCs w:val="21"/>
                      <w:vertAlign w:val="baseline"/>
                      <w:lang w:val="en-US" w:eastAsia="zh-CN"/>
                    </w:rPr>
                    <w:t>m</w:t>
                  </w:r>
                </w:p>
              </w:tc>
              <w:tc>
                <w:tcPr>
                  <w:tcW w:w="581" w:type="dxa"/>
                  <w:vMerge w:val="restart"/>
                  <w:tcBorders>
                    <w:tl2br w:val="nil"/>
                    <w:tr2bl w:val="nil"/>
                  </w:tcBorders>
                  <w:vAlign w:val="center"/>
                </w:tcPr>
                <w:p w14:paraId="71ACA4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温度</w:t>
                  </w:r>
                  <w:r>
                    <w:rPr>
                      <w:rFonts w:hint="default" w:ascii="Times New Roman" w:hAnsi="Times New Roman" w:cs="Times New Roman"/>
                      <w:b/>
                      <w:bCs/>
                      <w:color w:val="auto"/>
                      <w:sz w:val="21"/>
                      <w:szCs w:val="21"/>
                      <w:vertAlign w:val="baseline"/>
                      <w:lang w:val="en-US" w:eastAsia="zh-CN"/>
                    </w:rPr>
                    <w:t>℃</w:t>
                  </w:r>
                </w:p>
              </w:tc>
              <w:tc>
                <w:tcPr>
                  <w:tcW w:w="1934" w:type="dxa"/>
                  <w:gridSpan w:val="2"/>
                  <w:tcBorders>
                    <w:tl2br w:val="nil"/>
                    <w:tr2bl w:val="nil"/>
                  </w:tcBorders>
                  <w:vAlign w:val="center"/>
                </w:tcPr>
                <w:p w14:paraId="07A365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b/>
                      <w:bCs/>
                      <w:color w:val="auto"/>
                      <w:highlight w:val="none"/>
                      <w:lang w:val="en-US" w:eastAsia="zh-CN"/>
                    </w:rPr>
                    <w:t>排放</w:t>
                  </w:r>
                </w:p>
              </w:tc>
              <w:tc>
                <w:tcPr>
                  <w:tcW w:w="1248" w:type="dxa"/>
                  <w:gridSpan w:val="2"/>
                  <w:tcBorders>
                    <w:tl2br w:val="nil"/>
                    <w:tr2bl w:val="nil"/>
                  </w:tcBorders>
                  <w:vAlign w:val="center"/>
                </w:tcPr>
                <w:p w14:paraId="3BB8D3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cs="Times New Roman"/>
                      <w:b/>
                      <w:bCs/>
                      <w:color w:val="auto"/>
                      <w:sz w:val="21"/>
                      <w:szCs w:val="21"/>
                      <w:highlight w:val="none"/>
                      <w:vertAlign w:val="baseline"/>
                      <w:lang w:val="en-US" w:eastAsia="zh-CN"/>
                    </w:rPr>
                    <w:t>标准限值</w:t>
                  </w:r>
                </w:p>
              </w:tc>
              <w:tc>
                <w:tcPr>
                  <w:tcW w:w="392" w:type="dxa"/>
                  <w:vMerge w:val="restart"/>
                  <w:tcBorders>
                    <w:tl2br w:val="nil"/>
                    <w:tr2bl w:val="nil"/>
                  </w:tcBorders>
                  <w:vAlign w:val="center"/>
                </w:tcPr>
                <w:p w14:paraId="21FB8B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是否达标</w:t>
                  </w:r>
                </w:p>
              </w:tc>
            </w:tr>
            <w:tr w14:paraId="7F63B2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566" w:type="dxa"/>
                  <w:vMerge w:val="continue"/>
                  <w:tcBorders>
                    <w:tl2br w:val="nil"/>
                    <w:tr2bl w:val="nil"/>
                  </w:tcBorders>
                  <w:vAlign w:val="center"/>
                </w:tcPr>
                <w:p w14:paraId="324471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ascii="Times New Roman" w:hAnsi="Times New Roman" w:cs="Times New Roman"/>
                      <w:b/>
                      <w:bCs/>
                      <w:color w:val="auto"/>
                      <w:sz w:val="21"/>
                      <w:szCs w:val="21"/>
                      <w:vertAlign w:val="baseline"/>
                      <w:lang w:val="en-US" w:eastAsia="zh-CN"/>
                    </w:rPr>
                  </w:pPr>
                </w:p>
              </w:tc>
              <w:tc>
                <w:tcPr>
                  <w:tcW w:w="566" w:type="dxa"/>
                  <w:vMerge w:val="continue"/>
                  <w:tcBorders>
                    <w:tl2br w:val="nil"/>
                    <w:tr2bl w:val="nil"/>
                  </w:tcBorders>
                  <w:vAlign w:val="center"/>
                </w:tcPr>
                <w:p w14:paraId="0956F2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ascii="Times New Roman" w:hAnsi="Times New Roman" w:cs="Times New Roman"/>
                      <w:b/>
                      <w:bCs/>
                      <w:color w:val="auto"/>
                      <w:sz w:val="21"/>
                      <w:szCs w:val="21"/>
                      <w:vertAlign w:val="baseline"/>
                      <w:lang w:val="en-US" w:eastAsia="zh-CN"/>
                    </w:rPr>
                  </w:pPr>
                </w:p>
              </w:tc>
              <w:tc>
                <w:tcPr>
                  <w:tcW w:w="505" w:type="dxa"/>
                  <w:vMerge w:val="continue"/>
                  <w:tcBorders>
                    <w:tl2br w:val="nil"/>
                    <w:tr2bl w:val="nil"/>
                  </w:tcBorders>
                  <w:vAlign w:val="center"/>
                </w:tcPr>
                <w:p w14:paraId="2AE60B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ascii="Times New Roman" w:hAnsi="Times New Roman" w:cs="Times New Roman"/>
                      <w:b/>
                      <w:bCs/>
                      <w:color w:val="auto"/>
                      <w:sz w:val="21"/>
                      <w:szCs w:val="21"/>
                      <w:vertAlign w:val="baseline"/>
                      <w:lang w:val="en-US" w:eastAsia="zh-CN"/>
                    </w:rPr>
                  </w:pPr>
                </w:p>
              </w:tc>
              <w:tc>
                <w:tcPr>
                  <w:tcW w:w="619" w:type="dxa"/>
                  <w:vMerge w:val="continue"/>
                  <w:tcBorders>
                    <w:tl2br w:val="nil"/>
                    <w:tr2bl w:val="nil"/>
                  </w:tcBorders>
                  <w:vAlign w:val="center"/>
                </w:tcPr>
                <w:p w14:paraId="15B70E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b/>
                      <w:bCs/>
                      <w:color w:val="auto"/>
                      <w:sz w:val="21"/>
                      <w:szCs w:val="21"/>
                      <w:vertAlign w:val="baseline"/>
                      <w:lang w:val="en-US" w:eastAsia="zh-CN"/>
                    </w:rPr>
                  </w:pPr>
                </w:p>
              </w:tc>
              <w:tc>
                <w:tcPr>
                  <w:tcW w:w="741" w:type="dxa"/>
                  <w:vMerge w:val="continue"/>
                  <w:tcBorders>
                    <w:tl2br w:val="nil"/>
                    <w:tr2bl w:val="nil"/>
                  </w:tcBorders>
                  <w:vAlign w:val="center"/>
                </w:tcPr>
                <w:p w14:paraId="39EABE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b/>
                      <w:bCs/>
                      <w:color w:val="auto"/>
                      <w:sz w:val="21"/>
                      <w:szCs w:val="21"/>
                      <w:vertAlign w:val="baseline"/>
                      <w:lang w:val="en-US" w:eastAsia="zh-CN"/>
                    </w:rPr>
                  </w:pPr>
                </w:p>
              </w:tc>
              <w:tc>
                <w:tcPr>
                  <w:tcW w:w="392" w:type="dxa"/>
                  <w:vMerge w:val="continue"/>
                  <w:tcBorders>
                    <w:tl2br w:val="nil"/>
                    <w:tr2bl w:val="nil"/>
                  </w:tcBorders>
                  <w:vAlign w:val="center"/>
                </w:tcPr>
                <w:p w14:paraId="455A22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b/>
                      <w:bCs/>
                      <w:color w:val="auto"/>
                      <w:sz w:val="21"/>
                      <w:szCs w:val="21"/>
                      <w:vertAlign w:val="baseline"/>
                      <w:lang w:val="en-US" w:eastAsia="zh-CN"/>
                    </w:rPr>
                  </w:pPr>
                </w:p>
              </w:tc>
              <w:tc>
                <w:tcPr>
                  <w:tcW w:w="523" w:type="dxa"/>
                  <w:vMerge w:val="continue"/>
                  <w:tcBorders>
                    <w:tl2br w:val="nil"/>
                    <w:tr2bl w:val="nil"/>
                  </w:tcBorders>
                  <w:vAlign w:val="center"/>
                </w:tcPr>
                <w:p w14:paraId="46344F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ascii="Times New Roman" w:hAnsi="Times New Roman" w:cs="Times New Roman"/>
                      <w:b/>
                      <w:bCs/>
                      <w:color w:val="auto"/>
                      <w:sz w:val="21"/>
                      <w:szCs w:val="21"/>
                      <w:vertAlign w:val="baseline"/>
                      <w:lang w:val="en-US" w:eastAsia="zh-CN"/>
                    </w:rPr>
                  </w:pPr>
                </w:p>
              </w:tc>
              <w:tc>
                <w:tcPr>
                  <w:tcW w:w="581" w:type="dxa"/>
                  <w:vMerge w:val="continue"/>
                  <w:tcBorders>
                    <w:tl2br w:val="nil"/>
                    <w:tr2bl w:val="nil"/>
                  </w:tcBorders>
                  <w:vAlign w:val="center"/>
                </w:tcPr>
                <w:p w14:paraId="102F0A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b/>
                      <w:bCs/>
                      <w:color w:val="auto"/>
                      <w:sz w:val="21"/>
                      <w:szCs w:val="21"/>
                      <w:vertAlign w:val="baseline"/>
                      <w:lang w:val="en-US" w:eastAsia="zh-CN"/>
                    </w:rPr>
                  </w:pPr>
                </w:p>
              </w:tc>
              <w:tc>
                <w:tcPr>
                  <w:tcW w:w="967" w:type="dxa"/>
                  <w:tcBorders>
                    <w:tl2br w:val="nil"/>
                    <w:tr2bl w:val="nil"/>
                  </w:tcBorders>
                  <w:vAlign w:val="center"/>
                </w:tcPr>
                <w:p w14:paraId="4EFF19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b/>
                      <w:bCs/>
                      <w:color w:val="auto"/>
                      <w:highlight w:val="none"/>
                      <w:lang w:val="en-US" w:eastAsia="zh-CN"/>
                    </w:rPr>
                  </w:pPr>
                  <w:r>
                    <w:rPr>
                      <w:rFonts w:hint="eastAsia"/>
                      <w:b/>
                      <w:bCs/>
                      <w:color w:val="auto"/>
                      <w:highlight w:val="none"/>
                      <w:lang w:val="en-US" w:eastAsia="zh-CN"/>
                    </w:rPr>
                    <w:t>浓度</w:t>
                  </w:r>
                </w:p>
                <w:p w14:paraId="30DA03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highlight w:val="none"/>
                      <w:lang w:val="en-US" w:eastAsia="zh-CN"/>
                    </w:rPr>
                  </w:pPr>
                  <w:r>
                    <w:rPr>
                      <w:rFonts w:hint="eastAsia"/>
                      <w:b/>
                      <w:bCs/>
                      <w:color w:val="auto"/>
                      <w:highlight w:val="none"/>
                      <w:lang w:val="en-US" w:eastAsia="zh-CN"/>
                    </w:rPr>
                    <w:t>mg/m</w:t>
                  </w:r>
                  <w:r>
                    <w:rPr>
                      <w:rFonts w:hint="eastAsia"/>
                      <w:b/>
                      <w:bCs/>
                      <w:color w:val="auto"/>
                      <w:highlight w:val="none"/>
                      <w:vertAlign w:val="superscript"/>
                      <w:lang w:val="en-US" w:eastAsia="zh-CN"/>
                    </w:rPr>
                    <w:t>3</w:t>
                  </w:r>
                </w:p>
              </w:tc>
              <w:tc>
                <w:tcPr>
                  <w:tcW w:w="967" w:type="dxa"/>
                  <w:tcBorders>
                    <w:tl2br w:val="nil"/>
                    <w:tr2bl w:val="nil"/>
                  </w:tcBorders>
                  <w:vAlign w:val="center"/>
                </w:tcPr>
                <w:p w14:paraId="086A53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b/>
                      <w:bCs/>
                      <w:color w:val="auto"/>
                      <w:sz w:val="21"/>
                      <w:szCs w:val="21"/>
                      <w:highlight w:val="none"/>
                      <w:vertAlign w:val="baseline"/>
                      <w:lang w:val="en-US" w:eastAsia="zh-CN"/>
                    </w:rPr>
                  </w:pPr>
                  <w:r>
                    <w:rPr>
                      <w:rFonts w:hint="eastAsia" w:cs="Times New Roman"/>
                      <w:b/>
                      <w:bCs/>
                      <w:color w:val="auto"/>
                      <w:sz w:val="21"/>
                      <w:szCs w:val="21"/>
                      <w:highlight w:val="none"/>
                      <w:vertAlign w:val="baseline"/>
                      <w:lang w:val="en-US" w:eastAsia="zh-CN"/>
                    </w:rPr>
                    <w:t>速率</w:t>
                  </w:r>
                </w:p>
                <w:p w14:paraId="64806B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b/>
                      <w:bCs/>
                      <w:color w:val="auto"/>
                      <w:sz w:val="21"/>
                      <w:szCs w:val="21"/>
                      <w:highlight w:val="none"/>
                      <w:vertAlign w:val="baseline"/>
                      <w:lang w:val="en-US" w:eastAsia="zh-CN"/>
                    </w:rPr>
                  </w:pPr>
                  <w:r>
                    <w:rPr>
                      <w:rFonts w:hint="eastAsia" w:cs="Times New Roman"/>
                      <w:b/>
                      <w:bCs/>
                      <w:color w:val="auto"/>
                      <w:sz w:val="21"/>
                      <w:szCs w:val="21"/>
                      <w:highlight w:val="none"/>
                      <w:vertAlign w:val="baseline"/>
                      <w:lang w:val="en-US" w:eastAsia="zh-CN"/>
                    </w:rPr>
                    <w:t>kg/h</w:t>
                  </w:r>
                </w:p>
              </w:tc>
              <w:tc>
                <w:tcPr>
                  <w:tcW w:w="701" w:type="dxa"/>
                  <w:tcBorders>
                    <w:tl2br w:val="nil"/>
                    <w:tr2bl w:val="nil"/>
                  </w:tcBorders>
                  <w:vAlign w:val="center"/>
                </w:tcPr>
                <w:p w14:paraId="03B156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b/>
                      <w:bCs/>
                      <w:color w:val="auto"/>
                      <w:highlight w:val="none"/>
                      <w:lang w:val="en-US" w:eastAsia="zh-CN"/>
                    </w:rPr>
                  </w:pPr>
                  <w:r>
                    <w:rPr>
                      <w:rFonts w:hint="eastAsia" w:cs="Times New Roman"/>
                      <w:b/>
                      <w:bCs/>
                      <w:color w:val="auto"/>
                      <w:sz w:val="21"/>
                      <w:szCs w:val="21"/>
                      <w:highlight w:val="none"/>
                      <w:vertAlign w:val="baseline"/>
                      <w:lang w:val="en-US" w:eastAsia="zh-CN"/>
                    </w:rPr>
                    <w:t>浓度</w:t>
                  </w:r>
                </w:p>
                <w:p w14:paraId="3C893D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b/>
                      <w:bCs/>
                      <w:color w:val="auto"/>
                      <w:sz w:val="21"/>
                      <w:szCs w:val="21"/>
                      <w:highlight w:val="none"/>
                      <w:vertAlign w:val="baseline"/>
                      <w:lang w:val="en-US" w:eastAsia="zh-CN"/>
                    </w:rPr>
                  </w:pPr>
                  <w:r>
                    <w:rPr>
                      <w:rFonts w:hint="eastAsia"/>
                      <w:b/>
                      <w:bCs/>
                      <w:color w:val="auto"/>
                      <w:highlight w:val="none"/>
                      <w:lang w:val="en-US" w:eastAsia="zh-CN"/>
                    </w:rPr>
                    <w:t>mg/m</w:t>
                  </w:r>
                  <w:r>
                    <w:rPr>
                      <w:rFonts w:hint="eastAsia"/>
                      <w:b/>
                      <w:bCs/>
                      <w:color w:val="auto"/>
                      <w:highlight w:val="none"/>
                      <w:vertAlign w:val="superscript"/>
                      <w:lang w:val="en-US" w:eastAsia="zh-CN"/>
                    </w:rPr>
                    <w:t>3</w:t>
                  </w:r>
                </w:p>
              </w:tc>
              <w:tc>
                <w:tcPr>
                  <w:tcW w:w="547" w:type="dxa"/>
                  <w:tcBorders>
                    <w:tl2br w:val="nil"/>
                    <w:tr2bl w:val="nil"/>
                  </w:tcBorders>
                  <w:vAlign w:val="center"/>
                </w:tcPr>
                <w:p w14:paraId="10AD3F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b/>
                      <w:bCs/>
                      <w:color w:val="auto"/>
                      <w:sz w:val="21"/>
                      <w:szCs w:val="21"/>
                      <w:highlight w:val="none"/>
                      <w:vertAlign w:val="baseline"/>
                      <w:lang w:val="en-US" w:eastAsia="zh-CN"/>
                    </w:rPr>
                  </w:pPr>
                  <w:r>
                    <w:rPr>
                      <w:rFonts w:hint="eastAsia" w:cs="Times New Roman"/>
                      <w:b/>
                      <w:bCs/>
                      <w:color w:val="auto"/>
                      <w:sz w:val="21"/>
                      <w:szCs w:val="21"/>
                      <w:highlight w:val="none"/>
                      <w:vertAlign w:val="baseline"/>
                      <w:lang w:val="en-US" w:eastAsia="zh-CN"/>
                    </w:rPr>
                    <w:t>速率</w:t>
                  </w:r>
                </w:p>
                <w:p w14:paraId="20DD83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cs="Times New Roman"/>
                      <w:b/>
                      <w:bCs/>
                      <w:color w:val="auto"/>
                      <w:sz w:val="21"/>
                      <w:szCs w:val="21"/>
                      <w:highlight w:val="none"/>
                      <w:vertAlign w:val="baseline"/>
                      <w:lang w:val="en-US" w:eastAsia="zh-CN"/>
                    </w:rPr>
                    <w:t>kg/h</w:t>
                  </w:r>
                </w:p>
              </w:tc>
              <w:tc>
                <w:tcPr>
                  <w:tcW w:w="392" w:type="dxa"/>
                  <w:vMerge w:val="continue"/>
                  <w:tcBorders>
                    <w:tl2br w:val="nil"/>
                    <w:tr2bl w:val="nil"/>
                  </w:tcBorders>
                  <w:vAlign w:val="center"/>
                </w:tcPr>
                <w:p w14:paraId="507E19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b/>
                      <w:bCs/>
                      <w:color w:val="auto"/>
                      <w:sz w:val="21"/>
                      <w:szCs w:val="21"/>
                      <w:vertAlign w:val="baseline"/>
                      <w:lang w:val="en-US" w:eastAsia="zh-CN"/>
                    </w:rPr>
                  </w:pPr>
                </w:p>
              </w:tc>
            </w:tr>
            <w:tr w14:paraId="633C91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566" w:type="dxa"/>
                  <w:vMerge w:val="restart"/>
                  <w:tcBorders>
                    <w:tl2br w:val="nil"/>
                    <w:tr2bl w:val="nil"/>
                  </w:tcBorders>
                  <w:vAlign w:val="center"/>
                </w:tcPr>
                <w:p w14:paraId="2C5F9E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color w:val="auto"/>
                      <w:sz w:val="21"/>
                      <w:szCs w:val="21"/>
                      <w:vertAlign w:val="baseline"/>
                      <w:lang w:val="en-US" w:eastAsia="zh-CN"/>
                    </w:rPr>
                  </w:pPr>
                  <w:r>
                    <w:rPr>
                      <w:rFonts w:hint="eastAsia" w:cs="Times New Roman"/>
                      <w:color w:val="auto"/>
                      <w:sz w:val="21"/>
                      <w:szCs w:val="21"/>
                      <w:vertAlign w:val="baseline"/>
                      <w:lang w:val="en-US" w:eastAsia="zh-CN"/>
                    </w:rPr>
                    <w:t>注塑</w:t>
                  </w:r>
                </w:p>
              </w:tc>
              <w:tc>
                <w:tcPr>
                  <w:tcW w:w="566" w:type="dxa"/>
                  <w:vMerge w:val="restart"/>
                  <w:tcBorders>
                    <w:tl2br w:val="nil"/>
                    <w:tr2bl w:val="nil"/>
                  </w:tcBorders>
                  <w:vAlign w:val="center"/>
                </w:tcPr>
                <w:p w14:paraId="6CC942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color w:val="auto"/>
                      <w:sz w:val="21"/>
                      <w:szCs w:val="21"/>
                      <w:vertAlign w:val="baseline"/>
                      <w:lang w:val="en-US" w:eastAsia="zh-CN"/>
                    </w:rPr>
                  </w:pPr>
                  <w:r>
                    <w:rPr>
                      <w:rFonts w:hint="eastAsia" w:cs="Times New Roman"/>
                      <w:color w:val="auto"/>
                      <w:sz w:val="21"/>
                      <w:szCs w:val="21"/>
                      <w:vertAlign w:val="baseline"/>
                      <w:lang w:val="en-US" w:eastAsia="zh-CN"/>
                    </w:rPr>
                    <w:t>注塑废气</w:t>
                  </w:r>
                </w:p>
              </w:tc>
              <w:tc>
                <w:tcPr>
                  <w:tcW w:w="505" w:type="dxa"/>
                  <w:vMerge w:val="restart"/>
                  <w:tcBorders>
                    <w:tl2br w:val="nil"/>
                    <w:tr2bl w:val="nil"/>
                  </w:tcBorders>
                  <w:vAlign w:val="center"/>
                </w:tcPr>
                <w:p w14:paraId="6D37F3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color w:val="auto"/>
                      <w:sz w:val="21"/>
                      <w:szCs w:val="21"/>
                      <w:vertAlign w:val="baseline"/>
                      <w:lang w:val="en-US" w:eastAsia="zh-CN"/>
                    </w:rPr>
                  </w:pPr>
                  <w:r>
                    <w:rPr>
                      <w:rFonts w:hint="eastAsia" w:cs="Times New Roman"/>
                      <w:color w:val="auto"/>
                      <w:sz w:val="21"/>
                      <w:szCs w:val="21"/>
                      <w:vertAlign w:val="baseline"/>
                      <w:lang w:val="en-US" w:eastAsia="zh-CN"/>
                    </w:rPr>
                    <w:t>DA001</w:t>
                  </w:r>
                </w:p>
              </w:tc>
              <w:tc>
                <w:tcPr>
                  <w:tcW w:w="619" w:type="dxa"/>
                  <w:tcBorders>
                    <w:tl2br w:val="nil"/>
                    <w:tr2bl w:val="nil"/>
                  </w:tcBorders>
                  <w:shd w:val="clear" w:color="auto" w:fill="auto"/>
                  <w:vAlign w:val="center"/>
                </w:tcPr>
                <w:p w14:paraId="063820FF">
                  <w:pPr>
                    <w:keepNext w:val="0"/>
                    <w:keepLines w:val="0"/>
                    <w:suppressLineNumbers w:val="0"/>
                    <w:wordWrap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非甲烷总烃</w:t>
                  </w:r>
                </w:p>
              </w:tc>
              <w:tc>
                <w:tcPr>
                  <w:tcW w:w="741" w:type="dxa"/>
                  <w:vMerge w:val="restart"/>
                  <w:tcBorders>
                    <w:tl2br w:val="nil"/>
                    <w:tr2bl w:val="nil"/>
                  </w:tcBorders>
                  <w:vAlign w:val="center"/>
                </w:tcPr>
                <w:p w14:paraId="2B059F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24000</w:t>
                  </w:r>
                </w:p>
              </w:tc>
              <w:tc>
                <w:tcPr>
                  <w:tcW w:w="392" w:type="dxa"/>
                  <w:vMerge w:val="restart"/>
                  <w:tcBorders>
                    <w:tl2br w:val="nil"/>
                    <w:tr2bl w:val="nil"/>
                  </w:tcBorders>
                  <w:vAlign w:val="center"/>
                </w:tcPr>
                <w:p w14:paraId="26B633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23</w:t>
                  </w:r>
                </w:p>
              </w:tc>
              <w:tc>
                <w:tcPr>
                  <w:tcW w:w="523" w:type="dxa"/>
                  <w:vMerge w:val="restart"/>
                  <w:tcBorders>
                    <w:tl2br w:val="nil"/>
                    <w:tr2bl w:val="nil"/>
                  </w:tcBorders>
                  <w:vAlign w:val="center"/>
                </w:tcPr>
                <w:p w14:paraId="1D5EBB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0.75</w:t>
                  </w:r>
                </w:p>
              </w:tc>
              <w:tc>
                <w:tcPr>
                  <w:tcW w:w="581" w:type="dxa"/>
                  <w:vMerge w:val="restart"/>
                  <w:tcBorders>
                    <w:tl2br w:val="nil"/>
                    <w:tr2bl w:val="nil"/>
                  </w:tcBorders>
                  <w:vAlign w:val="center"/>
                </w:tcPr>
                <w:p w14:paraId="773641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25</w:t>
                  </w:r>
                </w:p>
              </w:tc>
              <w:tc>
                <w:tcPr>
                  <w:tcW w:w="967" w:type="dxa"/>
                  <w:tcBorders>
                    <w:tl2br w:val="nil"/>
                    <w:tr2bl w:val="nil"/>
                  </w:tcBorders>
                  <w:shd w:val="clear" w:color="auto" w:fill="auto"/>
                  <w:vAlign w:val="center"/>
                </w:tcPr>
                <w:p w14:paraId="3FB09F40">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1.71</w:t>
                  </w:r>
                </w:p>
              </w:tc>
              <w:tc>
                <w:tcPr>
                  <w:tcW w:w="967" w:type="dxa"/>
                  <w:tcBorders>
                    <w:tl2br w:val="nil"/>
                    <w:tr2bl w:val="nil"/>
                  </w:tcBorders>
                  <w:shd w:val="clear" w:color="auto" w:fill="auto"/>
                  <w:vAlign w:val="center"/>
                </w:tcPr>
                <w:p w14:paraId="7E4CBD98">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0.041</w:t>
                  </w:r>
                </w:p>
              </w:tc>
              <w:tc>
                <w:tcPr>
                  <w:tcW w:w="701" w:type="dxa"/>
                  <w:tcBorders>
                    <w:tl2br w:val="nil"/>
                    <w:tr2bl w:val="nil"/>
                  </w:tcBorders>
                  <w:shd w:val="clear" w:color="auto" w:fill="auto"/>
                  <w:vAlign w:val="center"/>
                </w:tcPr>
                <w:p w14:paraId="1D6D14BC">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40</w:t>
                  </w:r>
                </w:p>
              </w:tc>
              <w:tc>
                <w:tcPr>
                  <w:tcW w:w="547" w:type="dxa"/>
                  <w:tcBorders>
                    <w:tl2br w:val="nil"/>
                    <w:tr2bl w:val="nil"/>
                  </w:tcBorders>
                  <w:shd w:val="clear" w:color="auto" w:fill="auto"/>
                  <w:vAlign w:val="center"/>
                </w:tcPr>
                <w:p w14:paraId="192811C9">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1.6</w:t>
                  </w:r>
                </w:p>
              </w:tc>
              <w:tc>
                <w:tcPr>
                  <w:tcW w:w="392" w:type="dxa"/>
                  <w:tcBorders>
                    <w:tl2br w:val="nil"/>
                    <w:tr2bl w:val="nil"/>
                  </w:tcBorders>
                  <w:vAlign w:val="center"/>
                </w:tcPr>
                <w:p w14:paraId="60FEC0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是</w:t>
                  </w:r>
                </w:p>
              </w:tc>
            </w:tr>
            <w:tr w14:paraId="7679D1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566" w:type="dxa"/>
                  <w:vMerge w:val="continue"/>
                  <w:tcBorders>
                    <w:tl2br w:val="nil"/>
                    <w:tr2bl w:val="nil"/>
                  </w:tcBorders>
                  <w:vAlign w:val="center"/>
                </w:tcPr>
                <w:p w14:paraId="4F542C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vertAlign w:val="baseline"/>
                      <w:lang w:val="en-US" w:eastAsia="zh-CN"/>
                    </w:rPr>
                  </w:pPr>
                </w:p>
              </w:tc>
              <w:tc>
                <w:tcPr>
                  <w:tcW w:w="566" w:type="dxa"/>
                  <w:vMerge w:val="continue"/>
                  <w:tcBorders>
                    <w:tl2br w:val="nil"/>
                    <w:tr2bl w:val="nil"/>
                  </w:tcBorders>
                  <w:vAlign w:val="center"/>
                </w:tcPr>
                <w:p w14:paraId="198B29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vertAlign w:val="baseline"/>
                      <w:lang w:val="en-US" w:eastAsia="zh-CN"/>
                    </w:rPr>
                  </w:pPr>
                </w:p>
              </w:tc>
              <w:tc>
                <w:tcPr>
                  <w:tcW w:w="505" w:type="dxa"/>
                  <w:vMerge w:val="continue"/>
                  <w:tcBorders>
                    <w:tl2br w:val="nil"/>
                    <w:tr2bl w:val="nil"/>
                  </w:tcBorders>
                  <w:vAlign w:val="center"/>
                </w:tcPr>
                <w:p w14:paraId="4C2AA7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vertAlign w:val="baseline"/>
                      <w:lang w:val="en-US" w:eastAsia="zh-CN"/>
                    </w:rPr>
                  </w:pPr>
                </w:p>
              </w:tc>
              <w:tc>
                <w:tcPr>
                  <w:tcW w:w="619" w:type="dxa"/>
                  <w:tcBorders>
                    <w:tl2br w:val="nil"/>
                    <w:tr2bl w:val="nil"/>
                  </w:tcBorders>
                  <w:shd w:val="clear" w:color="auto" w:fill="auto"/>
                  <w:vAlign w:val="center"/>
                </w:tcPr>
                <w:p w14:paraId="66D96322">
                  <w:pPr>
                    <w:keepNext w:val="0"/>
                    <w:keepLines w:val="0"/>
                    <w:suppressLineNumbers w:val="0"/>
                    <w:wordWrap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甲苯</w:t>
                  </w:r>
                </w:p>
              </w:tc>
              <w:tc>
                <w:tcPr>
                  <w:tcW w:w="741" w:type="dxa"/>
                  <w:vMerge w:val="continue"/>
                  <w:tcBorders>
                    <w:tl2br w:val="nil"/>
                    <w:tr2bl w:val="nil"/>
                  </w:tcBorders>
                  <w:vAlign w:val="center"/>
                </w:tcPr>
                <w:p w14:paraId="28AA36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p>
              </w:tc>
              <w:tc>
                <w:tcPr>
                  <w:tcW w:w="392" w:type="dxa"/>
                  <w:vMerge w:val="continue"/>
                  <w:tcBorders>
                    <w:tl2br w:val="nil"/>
                    <w:tr2bl w:val="nil"/>
                  </w:tcBorders>
                  <w:vAlign w:val="center"/>
                </w:tcPr>
                <w:p w14:paraId="5C648A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p>
              </w:tc>
              <w:tc>
                <w:tcPr>
                  <w:tcW w:w="523" w:type="dxa"/>
                  <w:vMerge w:val="continue"/>
                  <w:tcBorders>
                    <w:tl2br w:val="nil"/>
                    <w:tr2bl w:val="nil"/>
                  </w:tcBorders>
                  <w:vAlign w:val="center"/>
                </w:tcPr>
                <w:p w14:paraId="669A54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p>
              </w:tc>
              <w:tc>
                <w:tcPr>
                  <w:tcW w:w="581" w:type="dxa"/>
                  <w:vMerge w:val="continue"/>
                  <w:tcBorders>
                    <w:tl2br w:val="nil"/>
                    <w:tr2bl w:val="nil"/>
                  </w:tcBorders>
                  <w:vAlign w:val="center"/>
                </w:tcPr>
                <w:p w14:paraId="3422B2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p>
              </w:tc>
              <w:tc>
                <w:tcPr>
                  <w:tcW w:w="967" w:type="dxa"/>
                  <w:tcBorders>
                    <w:tl2br w:val="nil"/>
                    <w:tr2bl w:val="nil"/>
                  </w:tcBorders>
                  <w:shd w:val="clear" w:color="auto" w:fill="auto"/>
                  <w:vAlign w:val="center"/>
                </w:tcPr>
                <w:p w14:paraId="1DCC7FB9">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8.56×10</w:t>
                  </w:r>
                  <w:r>
                    <w:rPr>
                      <w:rFonts w:hint="eastAsia" w:cs="Times New Roman"/>
                      <w:color w:val="auto"/>
                      <w:sz w:val="21"/>
                      <w:szCs w:val="21"/>
                      <w:vertAlign w:val="superscript"/>
                      <w:lang w:val="en-US" w:eastAsia="zh-CN"/>
                    </w:rPr>
                    <w:t>-5</w:t>
                  </w:r>
                </w:p>
              </w:tc>
              <w:tc>
                <w:tcPr>
                  <w:tcW w:w="967" w:type="dxa"/>
                  <w:tcBorders>
                    <w:tl2br w:val="nil"/>
                    <w:tr2bl w:val="nil"/>
                  </w:tcBorders>
                  <w:shd w:val="clear" w:color="auto" w:fill="auto"/>
                  <w:vAlign w:val="center"/>
                </w:tcPr>
                <w:p w14:paraId="4DD10B11">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2.05×10</w:t>
                  </w:r>
                  <w:r>
                    <w:rPr>
                      <w:rFonts w:hint="eastAsia" w:cs="Times New Roman"/>
                      <w:color w:val="auto"/>
                      <w:sz w:val="21"/>
                      <w:szCs w:val="21"/>
                      <w:vertAlign w:val="superscript"/>
                      <w:lang w:val="en-US" w:eastAsia="zh-CN"/>
                    </w:rPr>
                    <w:t>-6</w:t>
                  </w:r>
                </w:p>
              </w:tc>
              <w:tc>
                <w:tcPr>
                  <w:tcW w:w="701" w:type="dxa"/>
                  <w:tcBorders>
                    <w:tl2br w:val="nil"/>
                    <w:tr2bl w:val="nil"/>
                  </w:tcBorders>
                  <w:shd w:val="clear" w:color="auto" w:fill="auto"/>
                  <w:vAlign w:val="center"/>
                </w:tcPr>
                <w:p w14:paraId="27329D8E">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8</w:t>
                  </w:r>
                </w:p>
              </w:tc>
              <w:tc>
                <w:tcPr>
                  <w:tcW w:w="547" w:type="dxa"/>
                  <w:tcBorders>
                    <w:tl2br w:val="nil"/>
                    <w:tr2bl w:val="nil"/>
                  </w:tcBorders>
                  <w:shd w:val="clear" w:color="auto" w:fill="auto"/>
                  <w:vAlign w:val="center"/>
                </w:tcPr>
                <w:p w14:paraId="4E850F2D">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w:t>
                  </w:r>
                </w:p>
              </w:tc>
              <w:tc>
                <w:tcPr>
                  <w:tcW w:w="392" w:type="dxa"/>
                  <w:tcBorders>
                    <w:tl2br w:val="nil"/>
                    <w:tr2bl w:val="nil"/>
                  </w:tcBorders>
                  <w:vAlign w:val="center"/>
                </w:tcPr>
                <w:p w14:paraId="3CDE16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是</w:t>
                  </w:r>
                </w:p>
              </w:tc>
            </w:tr>
            <w:tr w14:paraId="3F8838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566" w:type="dxa"/>
                  <w:vMerge w:val="continue"/>
                  <w:tcBorders>
                    <w:tl2br w:val="nil"/>
                    <w:tr2bl w:val="nil"/>
                  </w:tcBorders>
                  <w:vAlign w:val="center"/>
                </w:tcPr>
                <w:p w14:paraId="56A5D7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vertAlign w:val="baseline"/>
                      <w:lang w:val="en-US" w:eastAsia="zh-CN"/>
                    </w:rPr>
                  </w:pPr>
                </w:p>
              </w:tc>
              <w:tc>
                <w:tcPr>
                  <w:tcW w:w="566" w:type="dxa"/>
                  <w:vMerge w:val="continue"/>
                  <w:tcBorders>
                    <w:tl2br w:val="nil"/>
                    <w:tr2bl w:val="nil"/>
                  </w:tcBorders>
                  <w:vAlign w:val="center"/>
                </w:tcPr>
                <w:p w14:paraId="56E798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vertAlign w:val="baseline"/>
                      <w:lang w:val="en-US" w:eastAsia="zh-CN"/>
                    </w:rPr>
                  </w:pPr>
                </w:p>
              </w:tc>
              <w:tc>
                <w:tcPr>
                  <w:tcW w:w="505" w:type="dxa"/>
                  <w:vMerge w:val="continue"/>
                  <w:tcBorders>
                    <w:tl2br w:val="nil"/>
                    <w:tr2bl w:val="nil"/>
                  </w:tcBorders>
                  <w:vAlign w:val="center"/>
                </w:tcPr>
                <w:p w14:paraId="4FFE04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vertAlign w:val="baseline"/>
                      <w:lang w:val="en-US" w:eastAsia="zh-CN"/>
                    </w:rPr>
                  </w:pPr>
                </w:p>
              </w:tc>
              <w:tc>
                <w:tcPr>
                  <w:tcW w:w="619" w:type="dxa"/>
                  <w:tcBorders>
                    <w:tl2br w:val="nil"/>
                    <w:tr2bl w:val="nil"/>
                  </w:tcBorders>
                  <w:shd w:val="clear" w:color="auto" w:fill="auto"/>
                  <w:vAlign w:val="center"/>
                </w:tcPr>
                <w:p w14:paraId="1B14D7F5">
                  <w:pPr>
                    <w:keepNext w:val="0"/>
                    <w:keepLines w:val="0"/>
                    <w:suppressLineNumbers w:val="0"/>
                    <w:wordWrap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乙苯</w:t>
                  </w:r>
                </w:p>
              </w:tc>
              <w:tc>
                <w:tcPr>
                  <w:tcW w:w="741" w:type="dxa"/>
                  <w:vMerge w:val="continue"/>
                  <w:tcBorders>
                    <w:tl2br w:val="nil"/>
                    <w:tr2bl w:val="nil"/>
                  </w:tcBorders>
                  <w:vAlign w:val="center"/>
                </w:tcPr>
                <w:p w14:paraId="747791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p>
              </w:tc>
              <w:tc>
                <w:tcPr>
                  <w:tcW w:w="392" w:type="dxa"/>
                  <w:vMerge w:val="continue"/>
                  <w:tcBorders>
                    <w:tl2br w:val="nil"/>
                    <w:tr2bl w:val="nil"/>
                  </w:tcBorders>
                  <w:vAlign w:val="center"/>
                </w:tcPr>
                <w:p w14:paraId="753C77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p>
              </w:tc>
              <w:tc>
                <w:tcPr>
                  <w:tcW w:w="523" w:type="dxa"/>
                  <w:vMerge w:val="continue"/>
                  <w:tcBorders>
                    <w:tl2br w:val="nil"/>
                    <w:tr2bl w:val="nil"/>
                  </w:tcBorders>
                  <w:vAlign w:val="center"/>
                </w:tcPr>
                <w:p w14:paraId="6001AE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p>
              </w:tc>
              <w:tc>
                <w:tcPr>
                  <w:tcW w:w="581" w:type="dxa"/>
                  <w:vMerge w:val="continue"/>
                  <w:tcBorders>
                    <w:tl2br w:val="nil"/>
                    <w:tr2bl w:val="nil"/>
                  </w:tcBorders>
                  <w:vAlign w:val="center"/>
                </w:tcPr>
                <w:p w14:paraId="3CF291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p>
              </w:tc>
              <w:tc>
                <w:tcPr>
                  <w:tcW w:w="967" w:type="dxa"/>
                  <w:tcBorders>
                    <w:tl2br w:val="nil"/>
                    <w:tr2bl w:val="nil"/>
                  </w:tcBorders>
                  <w:shd w:val="clear" w:color="auto" w:fill="auto"/>
                  <w:vAlign w:val="center"/>
                </w:tcPr>
                <w:p w14:paraId="42FB9014">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3.97×10</w:t>
                  </w:r>
                  <w:r>
                    <w:rPr>
                      <w:rFonts w:hint="eastAsia" w:cs="Times New Roman"/>
                      <w:color w:val="auto"/>
                      <w:sz w:val="21"/>
                      <w:szCs w:val="21"/>
                      <w:vertAlign w:val="superscript"/>
                      <w:lang w:val="en-US" w:eastAsia="zh-CN"/>
                    </w:rPr>
                    <w:t>-5</w:t>
                  </w:r>
                </w:p>
              </w:tc>
              <w:tc>
                <w:tcPr>
                  <w:tcW w:w="967" w:type="dxa"/>
                  <w:tcBorders>
                    <w:tl2br w:val="nil"/>
                    <w:tr2bl w:val="nil"/>
                  </w:tcBorders>
                  <w:shd w:val="clear" w:color="auto" w:fill="auto"/>
                  <w:vAlign w:val="center"/>
                </w:tcPr>
                <w:p w14:paraId="3B887941">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9.53×10</w:t>
                  </w:r>
                  <w:r>
                    <w:rPr>
                      <w:rFonts w:hint="eastAsia" w:cs="Times New Roman"/>
                      <w:color w:val="auto"/>
                      <w:sz w:val="21"/>
                      <w:szCs w:val="21"/>
                      <w:vertAlign w:val="superscript"/>
                      <w:lang w:val="en-US" w:eastAsia="zh-CN"/>
                    </w:rPr>
                    <w:t>-7</w:t>
                  </w:r>
                </w:p>
              </w:tc>
              <w:tc>
                <w:tcPr>
                  <w:tcW w:w="701" w:type="dxa"/>
                  <w:tcBorders>
                    <w:tl2br w:val="nil"/>
                    <w:tr2bl w:val="nil"/>
                  </w:tcBorders>
                  <w:shd w:val="clear" w:color="auto" w:fill="auto"/>
                  <w:vAlign w:val="center"/>
                </w:tcPr>
                <w:p w14:paraId="6CB638A8">
                  <w:pPr>
                    <w:keepNext w:val="0"/>
                    <w:keepLines w:val="0"/>
                    <w:widowControl/>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100</w:t>
                  </w:r>
                </w:p>
              </w:tc>
              <w:tc>
                <w:tcPr>
                  <w:tcW w:w="547" w:type="dxa"/>
                  <w:tcBorders>
                    <w:tl2br w:val="nil"/>
                    <w:tr2bl w:val="nil"/>
                  </w:tcBorders>
                  <w:shd w:val="clear" w:color="auto" w:fill="auto"/>
                  <w:vAlign w:val="center"/>
                </w:tcPr>
                <w:p w14:paraId="412FC770">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w:t>
                  </w:r>
                </w:p>
              </w:tc>
              <w:tc>
                <w:tcPr>
                  <w:tcW w:w="392" w:type="dxa"/>
                  <w:tcBorders>
                    <w:tl2br w:val="nil"/>
                    <w:tr2bl w:val="nil"/>
                  </w:tcBorders>
                  <w:vAlign w:val="center"/>
                </w:tcPr>
                <w:p w14:paraId="3D639E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是</w:t>
                  </w:r>
                </w:p>
              </w:tc>
            </w:tr>
            <w:tr w14:paraId="58700E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566" w:type="dxa"/>
                  <w:vMerge w:val="continue"/>
                  <w:tcBorders>
                    <w:tl2br w:val="nil"/>
                    <w:tr2bl w:val="nil"/>
                  </w:tcBorders>
                  <w:vAlign w:val="center"/>
                </w:tcPr>
                <w:p w14:paraId="70D1C5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vertAlign w:val="baseline"/>
                      <w:lang w:val="en-US" w:eastAsia="zh-CN"/>
                    </w:rPr>
                  </w:pPr>
                </w:p>
              </w:tc>
              <w:tc>
                <w:tcPr>
                  <w:tcW w:w="566" w:type="dxa"/>
                  <w:vMerge w:val="continue"/>
                  <w:tcBorders>
                    <w:tl2br w:val="nil"/>
                    <w:tr2bl w:val="nil"/>
                  </w:tcBorders>
                  <w:vAlign w:val="center"/>
                </w:tcPr>
                <w:p w14:paraId="5C4161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vertAlign w:val="baseline"/>
                      <w:lang w:val="en-US" w:eastAsia="zh-CN"/>
                    </w:rPr>
                  </w:pPr>
                </w:p>
              </w:tc>
              <w:tc>
                <w:tcPr>
                  <w:tcW w:w="505" w:type="dxa"/>
                  <w:vMerge w:val="continue"/>
                  <w:tcBorders>
                    <w:tl2br w:val="nil"/>
                    <w:tr2bl w:val="nil"/>
                  </w:tcBorders>
                  <w:vAlign w:val="center"/>
                </w:tcPr>
                <w:p w14:paraId="2AA668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vertAlign w:val="baseline"/>
                      <w:lang w:val="en-US" w:eastAsia="zh-CN"/>
                    </w:rPr>
                  </w:pPr>
                </w:p>
              </w:tc>
              <w:tc>
                <w:tcPr>
                  <w:tcW w:w="619" w:type="dxa"/>
                  <w:tcBorders>
                    <w:tl2br w:val="nil"/>
                    <w:tr2bl w:val="nil"/>
                  </w:tcBorders>
                  <w:shd w:val="clear" w:color="auto" w:fill="auto"/>
                  <w:vAlign w:val="center"/>
                </w:tcPr>
                <w:p w14:paraId="4214A60A">
                  <w:pPr>
                    <w:keepNext w:val="0"/>
                    <w:keepLines w:val="0"/>
                    <w:suppressLineNumbers w:val="0"/>
                    <w:wordWrap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苯乙烯</w:t>
                  </w:r>
                </w:p>
              </w:tc>
              <w:tc>
                <w:tcPr>
                  <w:tcW w:w="741" w:type="dxa"/>
                  <w:vMerge w:val="continue"/>
                  <w:tcBorders>
                    <w:tl2br w:val="nil"/>
                    <w:tr2bl w:val="nil"/>
                  </w:tcBorders>
                  <w:vAlign w:val="center"/>
                </w:tcPr>
                <w:p w14:paraId="662328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p>
              </w:tc>
              <w:tc>
                <w:tcPr>
                  <w:tcW w:w="392" w:type="dxa"/>
                  <w:vMerge w:val="continue"/>
                  <w:tcBorders>
                    <w:tl2br w:val="nil"/>
                    <w:tr2bl w:val="nil"/>
                  </w:tcBorders>
                  <w:vAlign w:val="center"/>
                </w:tcPr>
                <w:p w14:paraId="066A10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p>
              </w:tc>
              <w:tc>
                <w:tcPr>
                  <w:tcW w:w="523" w:type="dxa"/>
                  <w:vMerge w:val="continue"/>
                  <w:tcBorders>
                    <w:tl2br w:val="nil"/>
                    <w:tr2bl w:val="nil"/>
                  </w:tcBorders>
                  <w:vAlign w:val="center"/>
                </w:tcPr>
                <w:p w14:paraId="13A355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p>
              </w:tc>
              <w:tc>
                <w:tcPr>
                  <w:tcW w:w="581" w:type="dxa"/>
                  <w:vMerge w:val="continue"/>
                  <w:tcBorders>
                    <w:tl2br w:val="nil"/>
                    <w:tr2bl w:val="nil"/>
                  </w:tcBorders>
                  <w:vAlign w:val="center"/>
                </w:tcPr>
                <w:p w14:paraId="77FBBB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p>
              </w:tc>
              <w:tc>
                <w:tcPr>
                  <w:tcW w:w="967" w:type="dxa"/>
                  <w:tcBorders>
                    <w:tl2br w:val="nil"/>
                    <w:tr2bl w:val="nil"/>
                  </w:tcBorders>
                  <w:shd w:val="clear" w:color="auto" w:fill="auto"/>
                  <w:vAlign w:val="center"/>
                </w:tcPr>
                <w:p w14:paraId="5F94C775">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2.40×10</w:t>
                  </w:r>
                  <w:r>
                    <w:rPr>
                      <w:rFonts w:hint="eastAsia" w:cs="Times New Roman"/>
                      <w:color w:val="auto"/>
                      <w:sz w:val="21"/>
                      <w:szCs w:val="21"/>
                      <w:vertAlign w:val="superscript"/>
                      <w:lang w:val="en-US" w:eastAsia="zh-CN"/>
                    </w:rPr>
                    <w:t>-5</w:t>
                  </w:r>
                </w:p>
              </w:tc>
              <w:tc>
                <w:tcPr>
                  <w:tcW w:w="967" w:type="dxa"/>
                  <w:tcBorders>
                    <w:tl2br w:val="nil"/>
                    <w:tr2bl w:val="nil"/>
                  </w:tcBorders>
                  <w:shd w:val="clear" w:color="auto" w:fill="auto"/>
                  <w:vAlign w:val="center"/>
                </w:tcPr>
                <w:p w14:paraId="6D339544">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5.77×10</w:t>
                  </w:r>
                  <w:r>
                    <w:rPr>
                      <w:rFonts w:hint="eastAsia" w:cs="Times New Roman"/>
                      <w:color w:val="auto"/>
                      <w:sz w:val="21"/>
                      <w:szCs w:val="21"/>
                      <w:vertAlign w:val="superscript"/>
                      <w:lang w:val="en-US" w:eastAsia="zh-CN"/>
                    </w:rPr>
                    <w:t>-7</w:t>
                  </w:r>
                </w:p>
              </w:tc>
              <w:tc>
                <w:tcPr>
                  <w:tcW w:w="701" w:type="dxa"/>
                  <w:tcBorders>
                    <w:tl2br w:val="nil"/>
                    <w:tr2bl w:val="nil"/>
                  </w:tcBorders>
                  <w:shd w:val="clear" w:color="auto" w:fill="auto"/>
                  <w:vAlign w:val="center"/>
                </w:tcPr>
                <w:p w14:paraId="65E3A79D">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20</w:t>
                  </w:r>
                </w:p>
              </w:tc>
              <w:tc>
                <w:tcPr>
                  <w:tcW w:w="547" w:type="dxa"/>
                  <w:tcBorders>
                    <w:tl2br w:val="nil"/>
                    <w:tr2bl w:val="nil"/>
                  </w:tcBorders>
                  <w:shd w:val="clear" w:color="auto" w:fill="auto"/>
                  <w:vAlign w:val="center"/>
                </w:tcPr>
                <w:p w14:paraId="76B68ECA">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w:t>
                  </w:r>
                </w:p>
              </w:tc>
              <w:tc>
                <w:tcPr>
                  <w:tcW w:w="392" w:type="dxa"/>
                  <w:tcBorders>
                    <w:tl2br w:val="nil"/>
                    <w:tr2bl w:val="nil"/>
                  </w:tcBorders>
                  <w:vAlign w:val="center"/>
                </w:tcPr>
                <w:p w14:paraId="2145BE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是</w:t>
                  </w:r>
                </w:p>
              </w:tc>
            </w:tr>
            <w:tr w14:paraId="3A1D4B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566" w:type="dxa"/>
                  <w:vMerge w:val="continue"/>
                  <w:tcBorders>
                    <w:tl2br w:val="nil"/>
                    <w:tr2bl w:val="nil"/>
                  </w:tcBorders>
                  <w:vAlign w:val="center"/>
                </w:tcPr>
                <w:p w14:paraId="5DCBEF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vertAlign w:val="baseline"/>
                      <w:lang w:val="en-US" w:eastAsia="zh-CN"/>
                    </w:rPr>
                  </w:pPr>
                </w:p>
              </w:tc>
              <w:tc>
                <w:tcPr>
                  <w:tcW w:w="566" w:type="dxa"/>
                  <w:vMerge w:val="continue"/>
                  <w:tcBorders>
                    <w:tl2br w:val="nil"/>
                    <w:tr2bl w:val="nil"/>
                  </w:tcBorders>
                  <w:vAlign w:val="center"/>
                </w:tcPr>
                <w:p w14:paraId="63990E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vertAlign w:val="baseline"/>
                      <w:lang w:val="en-US" w:eastAsia="zh-CN"/>
                    </w:rPr>
                  </w:pPr>
                </w:p>
              </w:tc>
              <w:tc>
                <w:tcPr>
                  <w:tcW w:w="505" w:type="dxa"/>
                  <w:vMerge w:val="continue"/>
                  <w:tcBorders>
                    <w:tl2br w:val="nil"/>
                    <w:tr2bl w:val="nil"/>
                  </w:tcBorders>
                  <w:vAlign w:val="center"/>
                </w:tcPr>
                <w:p w14:paraId="68602B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vertAlign w:val="baseline"/>
                      <w:lang w:val="en-US" w:eastAsia="zh-CN"/>
                    </w:rPr>
                  </w:pPr>
                </w:p>
              </w:tc>
              <w:tc>
                <w:tcPr>
                  <w:tcW w:w="619" w:type="dxa"/>
                  <w:tcBorders>
                    <w:tl2br w:val="nil"/>
                    <w:tr2bl w:val="nil"/>
                  </w:tcBorders>
                  <w:shd w:val="clear" w:color="auto" w:fill="auto"/>
                  <w:vAlign w:val="center"/>
                </w:tcPr>
                <w:p w14:paraId="1C9A62CB">
                  <w:pPr>
                    <w:keepNext w:val="0"/>
                    <w:keepLines w:val="0"/>
                    <w:suppressLineNumbers w:val="0"/>
                    <w:wordWrap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苯</w:t>
                  </w:r>
                </w:p>
              </w:tc>
              <w:tc>
                <w:tcPr>
                  <w:tcW w:w="741" w:type="dxa"/>
                  <w:vMerge w:val="continue"/>
                  <w:tcBorders>
                    <w:tl2br w:val="nil"/>
                    <w:tr2bl w:val="nil"/>
                  </w:tcBorders>
                  <w:vAlign w:val="center"/>
                </w:tcPr>
                <w:p w14:paraId="6908C6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p>
              </w:tc>
              <w:tc>
                <w:tcPr>
                  <w:tcW w:w="392" w:type="dxa"/>
                  <w:vMerge w:val="continue"/>
                  <w:tcBorders>
                    <w:tl2br w:val="nil"/>
                    <w:tr2bl w:val="nil"/>
                  </w:tcBorders>
                  <w:vAlign w:val="center"/>
                </w:tcPr>
                <w:p w14:paraId="4EBBE5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p>
              </w:tc>
              <w:tc>
                <w:tcPr>
                  <w:tcW w:w="523" w:type="dxa"/>
                  <w:vMerge w:val="continue"/>
                  <w:tcBorders>
                    <w:tl2br w:val="nil"/>
                    <w:tr2bl w:val="nil"/>
                  </w:tcBorders>
                  <w:vAlign w:val="center"/>
                </w:tcPr>
                <w:p w14:paraId="1B5293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p>
              </w:tc>
              <w:tc>
                <w:tcPr>
                  <w:tcW w:w="581" w:type="dxa"/>
                  <w:vMerge w:val="continue"/>
                  <w:tcBorders>
                    <w:tl2br w:val="nil"/>
                    <w:tr2bl w:val="nil"/>
                  </w:tcBorders>
                  <w:vAlign w:val="center"/>
                </w:tcPr>
                <w:p w14:paraId="3DA633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p>
              </w:tc>
              <w:tc>
                <w:tcPr>
                  <w:tcW w:w="967" w:type="dxa"/>
                  <w:tcBorders>
                    <w:tl2br w:val="nil"/>
                    <w:tr2bl w:val="nil"/>
                  </w:tcBorders>
                  <w:shd w:val="clear" w:color="auto" w:fill="auto"/>
                  <w:vAlign w:val="center"/>
                </w:tcPr>
                <w:p w14:paraId="03CD6D66">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1.56×10</w:t>
                  </w:r>
                  <w:r>
                    <w:rPr>
                      <w:rFonts w:hint="eastAsia" w:cs="Times New Roman"/>
                      <w:color w:val="auto"/>
                      <w:sz w:val="21"/>
                      <w:szCs w:val="21"/>
                      <w:vertAlign w:val="superscript"/>
                      <w:lang w:val="en-US" w:eastAsia="zh-CN"/>
                    </w:rPr>
                    <w:t>-4</w:t>
                  </w:r>
                </w:p>
              </w:tc>
              <w:tc>
                <w:tcPr>
                  <w:tcW w:w="967" w:type="dxa"/>
                  <w:tcBorders>
                    <w:tl2br w:val="nil"/>
                    <w:tr2bl w:val="nil"/>
                  </w:tcBorders>
                  <w:shd w:val="clear" w:color="auto" w:fill="auto"/>
                  <w:vAlign w:val="center"/>
                </w:tcPr>
                <w:p w14:paraId="6F2B42F8">
                  <w:pPr>
                    <w:keepNext w:val="0"/>
                    <w:keepLines w:val="0"/>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3.73×10</w:t>
                  </w:r>
                  <w:r>
                    <w:rPr>
                      <w:rFonts w:hint="eastAsia" w:cs="Times New Roman"/>
                      <w:color w:val="auto"/>
                      <w:sz w:val="21"/>
                      <w:szCs w:val="21"/>
                      <w:vertAlign w:val="superscript"/>
                      <w:lang w:val="en-US" w:eastAsia="zh-CN"/>
                    </w:rPr>
                    <w:t>-6</w:t>
                  </w:r>
                </w:p>
              </w:tc>
              <w:tc>
                <w:tcPr>
                  <w:tcW w:w="701" w:type="dxa"/>
                  <w:tcBorders>
                    <w:tl2br w:val="nil"/>
                    <w:tr2bl w:val="nil"/>
                  </w:tcBorders>
                  <w:shd w:val="clear" w:color="auto" w:fill="auto"/>
                  <w:vAlign w:val="center"/>
                </w:tcPr>
                <w:p w14:paraId="715E9B95">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4</w:t>
                  </w:r>
                </w:p>
              </w:tc>
              <w:tc>
                <w:tcPr>
                  <w:tcW w:w="547" w:type="dxa"/>
                  <w:tcBorders>
                    <w:tl2br w:val="nil"/>
                    <w:tr2bl w:val="nil"/>
                  </w:tcBorders>
                  <w:shd w:val="clear" w:color="auto" w:fill="auto"/>
                  <w:vAlign w:val="center"/>
                </w:tcPr>
                <w:p w14:paraId="13DB6C0E">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w:t>
                  </w:r>
                </w:p>
              </w:tc>
              <w:tc>
                <w:tcPr>
                  <w:tcW w:w="392" w:type="dxa"/>
                  <w:tcBorders>
                    <w:tl2br w:val="nil"/>
                    <w:tr2bl w:val="nil"/>
                  </w:tcBorders>
                  <w:vAlign w:val="center"/>
                </w:tcPr>
                <w:p w14:paraId="7C16D7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是</w:t>
                  </w:r>
                </w:p>
              </w:tc>
            </w:tr>
            <w:tr w14:paraId="1B257D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566" w:type="dxa"/>
                  <w:vMerge w:val="continue"/>
                  <w:tcBorders>
                    <w:tl2br w:val="nil"/>
                    <w:tr2bl w:val="nil"/>
                  </w:tcBorders>
                  <w:vAlign w:val="center"/>
                </w:tcPr>
                <w:p w14:paraId="3A7349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vertAlign w:val="baseline"/>
                      <w:lang w:val="en-US" w:eastAsia="zh-CN"/>
                    </w:rPr>
                  </w:pPr>
                </w:p>
              </w:tc>
              <w:tc>
                <w:tcPr>
                  <w:tcW w:w="566" w:type="dxa"/>
                  <w:vMerge w:val="continue"/>
                  <w:tcBorders>
                    <w:tl2br w:val="nil"/>
                    <w:tr2bl w:val="nil"/>
                  </w:tcBorders>
                  <w:vAlign w:val="center"/>
                </w:tcPr>
                <w:p w14:paraId="630102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vertAlign w:val="baseline"/>
                      <w:lang w:val="en-US" w:eastAsia="zh-CN"/>
                    </w:rPr>
                  </w:pPr>
                </w:p>
              </w:tc>
              <w:tc>
                <w:tcPr>
                  <w:tcW w:w="505" w:type="dxa"/>
                  <w:vMerge w:val="continue"/>
                  <w:tcBorders>
                    <w:tl2br w:val="nil"/>
                    <w:tr2bl w:val="nil"/>
                  </w:tcBorders>
                  <w:vAlign w:val="center"/>
                </w:tcPr>
                <w:p w14:paraId="5800AC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vertAlign w:val="baseline"/>
                      <w:lang w:val="en-US" w:eastAsia="zh-CN"/>
                    </w:rPr>
                  </w:pPr>
                </w:p>
              </w:tc>
              <w:tc>
                <w:tcPr>
                  <w:tcW w:w="619" w:type="dxa"/>
                  <w:tcBorders>
                    <w:tl2br w:val="nil"/>
                    <w:tr2bl w:val="nil"/>
                  </w:tcBorders>
                  <w:shd w:val="clear" w:color="auto" w:fill="auto"/>
                  <w:vAlign w:val="center"/>
                </w:tcPr>
                <w:p w14:paraId="3A069ED6">
                  <w:pPr>
                    <w:keepNext w:val="0"/>
                    <w:keepLines w:val="0"/>
                    <w:suppressLineNumbers w:val="0"/>
                    <w:wordWrap w:val="0"/>
                    <w:spacing w:before="0" w:beforeAutospacing="0" w:after="0" w:afterAutospacing="0" w:line="276" w:lineRule="auto"/>
                    <w:ind w:left="0" w:leftChars="0" w:right="0" w:rightChars="0"/>
                    <w:jc w:val="center"/>
                    <w:rPr>
                      <w:rFonts w:hint="default"/>
                      <w:color w:val="auto"/>
                      <w:szCs w:val="21"/>
                      <w:lang w:val="en-US" w:eastAsia="zh-CN"/>
                    </w:rPr>
                  </w:pPr>
                  <w:r>
                    <w:rPr>
                      <w:rFonts w:hint="eastAsia"/>
                      <w:color w:val="auto"/>
                      <w:szCs w:val="21"/>
                      <w:lang w:val="en-US" w:eastAsia="zh-CN"/>
                    </w:rPr>
                    <w:t>二甲苯</w:t>
                  </w:r>
                </w:p>
              </w:tc>
              <w:tc>
                <w:tcPr>
                  <w:tcW w:w="741" w:type="dxa"/>
                  <w:vMerge w:val="continue"/>
                  <w:tcBorders>
                    <w:tl2br w:val="nil"/>
                    <w:tr2bl w:val="nil"/>
                  </w:tcBorders>
                  <w:vAlign w:val="center"/>
                </w:tcPr>
                <w:p w14:paraId="4D12C8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p>
              </w:tc>
              <w:tc>
                <w:tcPr>
                  <w:tcW w:w="392" w:type="dxa"/>
                  <w:vMerge w:val="continue"/>
                  <w:tcBorders>
                    <w:tl2br w:val="nil"/>
                    <w:tr2bl w:val="nil"/>
                  </w:tcBorders>
                  <w:vAlign w:val="center"/>
                </w:tcPr>
                <w:p w14:paraId="33E8A6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p>
              </w:tc>
              <w:tc>
                <w:tcPr>
                  <w:tcW w:w="523" w:type="dxa"/>
                  <w:vMerge w:val="continue"/>
                  <w:tcBorders>
                    <w:tl2br w:val="nil"/>
                    <w:tr2bl w:val="nil"/>
                  </w:tcBorders>
                  <w:vAlign w:val="center"/>
                </w:tcPr>
                <w:p w14:paraId="205A73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p>
              </w:tc>
              <w:tc>
                <w:tcPr>
                  <w:tcW w:w="581" w:type="dxa"/>
                  <w:vMerge w:val="continue"/>
                  <w:tcBorders>
                    <w:tl2br w:val="nil"/>
                    <w:tr2bl w:val="nil"/>
                  </w:tcBorders>
                  <w:vAlign w:val="center"/>
                </w:tcPr>
                <w:p w14:paraId="10BB0B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vertAlign w:val="baseline"/>
                      <w:lang w:val="en-US" w:eastAsia="zh-CN"/>
                    </w:rPr>
                  </w:pPr>
                </w:p>
              </w:tc>
              <w:tc>
                <w:tcPr>
                  <w:tcW w:w="967" w:type="dxa"/>
                  <w:tcBorders>
                    <w:tl2br w:val="nil"/>
                    <w:tr2bl w:val="nil"/>
                  </w:tcBorders>
                  <w:shd w:val="clear" w:color="auto" w:fill="auto"/>
                  <w:vAlign w:val="center"/>
                </w:tcPr>
                <w:p w14:paraId="33D987C9">
                  <w:pPr>
                    <w:keepNext w:val="0"/>
                    <w:keepLines w:val="0"/>
                    <w:suppressLineNumbers w:val="0"/>
                    <w:spacing w:before="0" w:beforeAutospacing="0" w:after="0" w:afterAutospacing="0" w:line="276" w:lineRule="auto"/>
                    <w:ind w:left="0" w:leftChars="0" w:right="0" w:rightChars="0"/>
                    <w:jc w:val="center"/>
                    <w:rPr>
                      <w:rFonts w:hint="eastAsia"/>
                      <w:color w:val="auto"/>
                      <w:szCs w:val="21"/>
                      <w:lang w:val="en-US" w:eastAsia="zh-CN"/>
                    </w:rPr>
                  </w:pPr>
                  <w:r>
                    <w:rPr>
                      <w:rFonts w:hint="eastAsia" w:cs="Times New Roman"/>
                      <w:color w:val="auto"/>
                      <w:sz w:val="21"/>
                      <w:szCs w:val="21"/>
                      <w:lang w:val="en-US" w:eastAsia="zh-CN"/>
                    </w:rPr>
                    <w:t>5.90×10</w:t>
                  </w:r>
                  <w:r>
                    <w:rPr>
                      <w:rFonts w:hint="eastAsia" w:cs="Times New Roman"/>
                      <w:color w:val="auto"/>
                      <w:sz w:val="21"/>
                      <w:szCs w:val="21"/>
                      <w:vertAlign w:val="superscript"/>
                      <w:lang w:val="en-US" w:eastAsia="zh-CN"/>
                    </w:rPr>
                    <w:t>-4</w:t>
                  </w:r>
                </w:p>
              </w:tc>
              <w:tc>
                <w:tcPr>
                  <w:tcW w:w="967" w:type="dxa"/>
                  <w:tcBorders>
                    <w:tl2br w:val="nil"/>
                    <w:tr2bl w:val="nil"/>
                  </w:tcBorders>
                  <w:shd w:val="clear" w:color="auto" w:fill="auto"/>
                  <w:vAlign w:val="center"/>
                </w:tcPr>
                <w:p w14:paraId="03115EC0">
                  <w:pPr>
                    <w:keepNext w:val="0"/>
                    <w:keepLines w:val="0"/>
                    <w:suppressLineNumbers w:val="0"/>
                    <w:spacing w:before="0" w:beforeAutospacing="0" w:after="0" w:afterAutospacing="0" w:line="276" w:lineRule="auto"/>
                    <w:ind w:left="0" w:leftChars="0" w:right="0" w:rightChars="0"/>
                    <w:jc w:val="center"/>
                    <w:rPr>
                      <w:rFonts w:hint="eastAsia"/>
                      <w:color w:val="auto"/>
                      <w:szCs w:val="21"/>
                      <w:lang w:val="en-US" w:eastAsia="zh-CN"/>
                    </w:rPr>
                  </w:pPr>
                  <w:r>
                    <w:rPr>
                      <w:rFonts w:hint="eastAsia" w:cs="Times New Roman"/>
                      <w:color w:val="auto"/>
                      <w:sz w:val="21"/>
                      <w:szCs w:val="21"/>
                      <w:lang w:val="en-US" w:eastAsia="zh-CN"/>
                    </w:rPr>
                    <w:t>1.42×10</w:t>
                  </w:r>
                  <w:r>
                    <w:rPr>
                      <w:rFonts w:hint="eastAsia" w:cs="Times New Roman"/>
                      <w:color w:val="auto"/>
                      <w:sz w:val="21"/>
                      <w:szCs w:val="21"/>
                      <w:vertAlign w:val="superscript"/>
                      <w:lang w:val="en-US" w:eastAsia="zh-CN"/>
                    </w:rPr>
                    <w:t>-5</w:t>
                  </w:r>
                </w:p>
              </w:tc>
              <w:tc>
                <w:tcPr>
                  <w:tcW w:w="701" w:type="dxa"/>
                  <w:tcBorders>
                    <w:tl2br w:val="nil"/>
                    <w:tr2bl w:val="nil"/>
                  </w:tcBorders>
                  <w:shd w:val="clear" w:color="auto" w:fill="auto"/>
                  <w:vAlign w:val="center"/>
                </w:tcPr>
                <w:p w14:paraId="728032C5">
                  <w:pPr>
                    <w:keepNext w:val="0"/>
                    <w:keepLines w:val="0"/>
                    <w:widowControl/>
                    <w:suppressLineNumbers w:val="0"/>
                    <w:spacing w:before="0" w:beforeAutospacing="0" w:after="0" w:afterAutospacing="0" w:line="276" w:lineRule="auto"/>
                    <w:ind w:left="0" w:leftChars="0" w:right="0" w:rightChars="0"/>
                    <w:jc w:val="center"/>
                    <w:rPr>
                      <w:rFonts w:hint="default"/>
                      <w:color w:val="auto"/>
                      <w:szCs w:val="21"/>
                      <w:highlight w:val="none"/>
                      <w:lang w:val="en-US" w:eastAsia="zh-CN"/>
                    </w:rPr>
                  </w:pPr>
                  <w:r>
                    <w:rPr>
                      <w:rFonts w:hint="eastAsia"/>
                      <w:color w:val="auto"/>
                      <w:szCs w:val="21"/>
                      <w:highlight w:val="none"/>
                      <w:lang w:val="en-US" w:eastAsia="zh-CN"/>
                    </w:rPr>
                    <w:t>20</w:t>
                  </w:r>
                </w:p>
              </w:tc>
              <w:tc>
                <w:tcPr>
                  <w:tcW w:w="547" w:type="dxa"/>
                  <w:tcBorders>
                    <w:tl2br w:val="nil"/>
                    <w:tr2bl w:val="nil"/>
                  </w:tcBorders>
                  <w:shd w:val="clear" w:color="auto" w:fill="auto"/>
                  <w:vAlign w:val="center"/>
                </w:tcPr>
                <w:p w14:paraId="421396DF">
                  <w:pPr>
                    <w:keepNext w:val="0"/>
                    <w:keepLines w:val="0"/>
                    <w:widowControl/>
                    <w:suppressLineNumbers w:val="0"/>
                    <w:spacing w:before="0" w:beforeAutospacing="0" w:after="0" w:afterAutospacing="0" w:line="276" w:lineRule="auto"/>
                    <w:ind w:left="0" w:leftChars="0" w:right="0" w:rightChars="0"/>
                    <w:jc w:val="center"/>
                    <w:rPr>
                      <w:rFonts w:hint="default"/>
                      <w:color w:val="auto"/>
                      <w:szCs w:val="21"/>
                      <w:highlight w:val="none"/>
                      <w:lang w:val="en-US" w:eastAsia="zh-CN"/>
                    </w:rPr>
                  </w:pPr>
                  <w:r>
                    <w:rPr>
                      <w:rFonts w:hint="eastAsia"/>
                      <w:color w:val="auto"/>
                      <w:szCs w:val="21"/>
                      <w:highlight w:val="none"/>
                      <w:lang w:val="en-US" w:eastAsia="zh-CN"/>
                    </w:rPr>
                    <w:t>/</w:t>
                  </w:r>
                </w:p>
              </w:tc>
              <w:tc>
                <w:tcPr>
                  <w:tcW w:w="392" w:type="dxa"/>
                  <w:tcBorders>
                    <w:tl2br w:val="nil"/>
                    <w:tr2bl w:val="nil"/>
                  </w:tcBorders>
                  <w:vAlign w:val="center"/>
                </w:tcPr>
                <w:p w14:paraId="7E306C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是</w:t>
                  </w:r>
                </w:p>
              </w:tc>
            </w:tr>
            <w:tr w14:paraId="2F9E90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566" w:type="dxa"/>
                  <w:tcBorders>
                    <w:tl2br w:val="nil"/>
                    <w:tr2bl w:val="nil"/>
                  </w:tcBorders>
                  <w:vAlign w:val="center"/>
                </w:tcPr>
                <w:p w14:paraId="75800A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粉碎</w:t>
                  </w:r>
                </w:p>
              </w:tc>
              <w:tc>
                <w:tcPr>
                  <w:tcW w:w="566" w:type="dxa"/>
                  <w:tcBorders>
                    <w:tl2br w:val="nil"/>
                    <w:tr2bl w:val="nil"/>
                  </w:tcBorders>
                  <w:vAlign w:val="center"/>
                </w:tcPr>
                <w:p w14:paraId="037C6D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粉碎粉尘</w:t>
                  </w:r>
                </w:p>
              </w:tc>
              <w:tc>
                <w:tcPr>
                  <w:tcW w:w="505" w:type="dxa"/>
                  <w:tcBorders>
                    <w:tl2br w:val="nil"/>
                    <w:tr2bl w:val="nil"/>
                  </w:tcBorders>
                  <w:vAlign w:val="center"/>
                </w:tcPr>
                <w:p w14:paraId="0C3363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DA002</w:t>
                  </w:r>
                </w:p>
              </w:tc>
              <w:tc>
                <w:tcPr>
                  <w:tcW w:w="619" w:type="dxa"/>
                  <w:tcBorders>
                    <w:tl2br w:val="nil"/>
                    <w:tr2bl w:val="nil"/>
                  </w:tcBorders>
                  <w:vAlign w:val="center"/>
                </w:tcPr>
                <w:p w14:paraId="6FB529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颗粒物</w:t>
                  </w:r>
                </w:p>
              </w:tc>
              <w:tc>
                <w:tcPr>
                  <w:tcW w:w="741" w:type="dxa"/>
                  <w:tcBorders>
                    <w:tl2br w:val="nil"/>
                    <w:tr2bl w:val="nil"/>
                  </w:tcBorders>
                  <w:vAlign w:val="center"/>
                </w:tcPr>
                <w:p w14:paraId="25C542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9000</w:t>
                  </w:r>
                </w:p>
              </w:tc>
              <w:tc>
                <w:tcPr>
                  <w:tcW w:w="392" w:type="dxa"/>
                  <w:tcBorders>
                    <w:tl2br w:val="nil"/>
                    <w:tr2bl w:val="nil"/>
                  </w:tcBorders>
                  <w:vAlign w:val="center"/>
                </w:tcPr>
                <w:p w14:paraId="5E1FF1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23</w:t>
                  </w:r>
                </w:p>
              </w:tc>
              <w:tc>
                <w:tcPr>
                  <w:tcW w:w="523" w:type="dxa"/>
                  <w:tcBorders>
                    <w:tl2br w:val="nil"/>
                    <w:tr2bl w:val="nil"/>
                  </w:tcBorders>
                  <w:vAlign w:val="center"/>
                </w:tcPr>
                <w:p w14:paraId="155509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0.45</w:t>
                  </w:r>
                </w:p>
              </w:tc>
              <w:tc>
                <w:tcPr>
                  <w:tcW w:w="581" w:type="dxa"/>
                  <w:tcBorders>
                    <w:tl2br w:val="nil"/>
                    <w:tr2bl w:val="nil"/>
                  </w:tcBorders>
                  <w:vAlign w:val="center"/>
                </w:tcPr>
                <w:p w14:paraId="0A618B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25</w:t>
                  </w:r>
                </w:p>
              </w:tc>
              <w:tc>
                <w:tcPr>
                  <w:tcW w:w="967" w:type="dxa"/>
                  <w:tcBorders>
                    <w:tl2br w:val="nil"/>
                    <w:tr2bl w:val="nil"/>
                  </w:tcBorders>
                  <w:vAlign w:val="center"/>
                </w:tcPr>
                <w:p w14:paraId="5BC59803">
                  <w:pPr>
                    <w:keepNext w:val="0"/>
                    <w:keepLines w:val="0"/>
                    <w:suppressLineNumbers w:val="0"/>
                    <w:spacing w:before="0" w:beforeAutospacing="0" w:after="0" w:afterAutospacing="0" w:line="276" w:lineRule="auto"/>
                    <w:ind w:left="0" w:leftChars="0" w:right="0" w:rightChars="0"/>
                    <w:jc w:val="center"/>
                    <w:rPr>
                      <w:rFonts w:hint="default" w:cs="Times New Roman"/>
                      <w:color w:val="auto"/>
                      <w:sz w:val="21"/>
                      <w:szCs w:val="21"/>
                      <w:highlight w:val="none"/>
                      <w:vertAlign w:val="baseline"/>
                      <w:lang w:val="en-US" w:eastAsia="zh-CN"/>
                    </w:rPr>
                  </w:pPr>
                  <w:r>
                    <w:rPr>
                      <w:rFonts w:hint="eastAsia"/>
                      <w:color w:val="auto"/>
                      <w:szCs w:val="21"/>
                      <w:highlight w:val="none"/>
                      <w:lang w:val="en-US" w:eastAsia="zh-CN"/>
                    </w:rPr>
                    <w:t>11.111</w:t>
                  </w:r>
                </w:p>
              </w:tc>
              <w:tc>
                <w:tcPr>
                  <w:tcW w:w="967" w:type="dxa"/>
                  <w:tcBorders>
                    <w:tl2br w:val="nil"/>
                    <w:tr2bl w:val="nil"/>
                  </w:tcBorders>
                  <w:shd w:val="clear" w:color="auto" w:fill="auto"/>
                  <w:vAlign w:val="center"/>
                </w:tcPr>
                <w:p w14:paraId="5AF1CF7A">
                  <w:pPr>
                    <w:keepNext w:val="0"/>
                    <w:keepLines w:val="0"/>
                    <w:suppressLineNumbers w:val="0"/>
                    <w:spacing w:before="0" w:beforeAutospacing="0" w:after="0" w:afterAutospacing="0" w:line="276" w:lineRule="auto"/>
                    <w:ind w:left="0" w:leftChars="0" w:right="0" w:rightChars="0"/>
                    <w:jc w:val="center"/>
                    <w:rPr>
                      <w:rFonts w:hint="default" w:cs="Times New Roman"/>
                      <w:color w:val="auto"/>
                      <w:kern w:val="2"/>
                      <w:sz w:val="21"/>
                      <w:szCs w:val="21"/>
                      <w:highlight w:val="none"/>
                      <w:vertAlign w:val="baseline"/>
                      <w:lang w:val="en-US" w:eastAsia="zh-CN" w:bidi="ar-SA"/>
                    </w:rPr>
                  </w:pPr>
                  <w:r>
                    <w:rPr>
                      <w:rFonts w:hint="eastAsia"/>
                      <w:color w:val="auto"/>
                      <w:szCs w:val="21"/>
                      <w:highlight w:val="none"/>
                      <w:lang w:val="en-US" w:eastAsia="zh-CN"/>
                    </w:rPr>
                    <w:t>0.100</w:t>
                  </w:r>
                </w:p>
              </w:tc>
              <w:tc>
                <w:tcPr>
                  <w:tcW w:w="701" w:type="dxa"/>
                  <w:tcBorders>
                    <w:tl2br w:val="nil"/>
                    <w:tr2bl w:val="nil"/>
                  </w:tcBorders>
                  <w:vAlign w:val="center"/>
                </w:tcPr>
                <w:p w14:paraId="4E34F3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20</w:t>
                  </w:r>
                </w:p>
              </w:tc>
              <w:tc>
                <w:tcPr>
                  <w:tcW w:w="547" w:type="dxa"/>
                  <w:tcBorders>
                    <w:tl2br w:val="nil"/>
                    <w:tr2bl w:val="nil"/>
                  </w:tcBorders>
                  <w:vAlign w:val="center"/>
                </w:tcPr>
                <w:p w14:paraId="758422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w:t>
                  </w:r>
                </w:p>
              </w:tc>
              <w:tc>
                <w:tcPr>
                  <w:tcW w:w="392" w:type="dxa"/>
                  <w:tcBorders>
                    <w:tl2br w:val="nil"/>
                    <w:tr2bl w:val="nil"/>
                  </w:tcBorders>
                  <w:vAlign w:val="center"/>
                </w:tcPr>
                <w:p w14:paraId="2935F0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是</w:t>
                  </w:r>
                </w:p>
              </w:tc>
            </w:tr>
          </w:tbl>
          <w:p w14:paraId="69562EF2">
            <w:pPr>
              <w:keepNext w:val="0"/>
              <w:keepLines w:val="0"/>
              <w:suppressLineNumbers w:val="0"/>
              <w:spacing w:before="0" w:beforeAutospacing="0" w:after="0" w:afterAutospacing="0" w:line="360" w:lineRule="auto"/>
              <w:ind w:left="0" w:right="0" w:firstLine="482" w:firstLineChars="200"/>
              <w:rPr>
                <w:rFonts w:hint="default"/>
                <w:b/>
                <w:color w:val="auto"/>
                <w:sz w:val="24"/>
              </w:rPr>
            </w:pPr>
            <w:r>
              <w:rPr>
                <w:rFonts w:hint="default"/>
                <w:b/>
                <w:color w:val="auto"/>
                <w:sz w:val="24"/>
              </w:rPr>
              <w:t>2</w:t>
            </w:r>
            <w:r>
              <w:rPr>
                <w:rFonts w:hint="eastAsia"/>
                <w:b/>
                <w:color w:val="auto"/>
                <w:sz w:val="24"/>
                <w:lang w:val="en-US" w:eastAsia="zh-CN"/>
              </w:rPr>
              <w:t>.</w:t>
            </w:r>
            <w:r>
              <w:rPr>
                <w:rFonts w:hint="eastAsia"/>
                <w:b/>
                <w:color w:val="auto"/>
                <w:sz w:val="24"/>
              </w:rPr>
              <w:t>非正常工况</w:t>
            </w:r>
          </w:p>
          <w:p w14:paraId="0AD37CEA">
            <w:pPr>
              <w:keepNext w:val="0"/>
              <w:keepLines w:val="0"/>
              <w:suppressLineNumbers w:val="0"/>
              <w:spacing w:before="0" w:beforeAutospacing="0" w:after="0" w:afterAutospacing="0" w:line="360" w:lineRule="auto"/>
              <w:ind w:left="0" w:right="0" w:firstLine="480" w:firstLineChars="200"/>
              <w:jc w:val="left"/>
              <w:rPr>
                <w:rFonts w:hint="eastAsia"/>
                <w:bCs/>
                <w:color w:val="auto"/>
                <w:sz w:val="24"/>
                <w:szCs w:val="24"/>
              </w:rPr>
            </w:pPr>
            <w:r>
              <w:rPr>
                <w:rFonts w:hint="eastAsia"/>
                <w:bCs/>
                <w:color w:val="auto"/>
                <w:sz w:val="24"/>
                <w:szCs w:val="24"/>
              </w:rPr>
              <w:t>非正常</w:t>
            </w:r>
            <w:r>
              <w:rPr>
                <w:rFonts w:hint="eastAsia"/>
                <w:bCs/>
                <w:color w:val="auto"/>
                <w:sz w:val="24"/>
                <w:szCs w:val="24"/>
                <w:lang w:val="en-US" w:eastAsia="zh-CN"/>
              </w:rPr>
              <w:t>工况下，本项目废气</w:t>
            </w:r>
            <w:r>
              <w:rPr>
                <w:rFonts w:hint="eastAsia"/>
                <w:bCs/>
                <w:color w:val="auto"/>
                <w:sz w:val="24"/>
                <w:szCs w:val="24"/>
              </w:rPr>
              <w:t>排放考虑</w:t>
            </w:r>
            <w:r>
              <w:rPr>
                <w:rFonts w:hint="eastAsia"/>
                <w:bCs/>
                <w:color w:val="auto"/>
                <w:sz w:val="24"/>
                <w:szCs w:val="24"/>
                <w:lang w:val="en-US" w:eastAsia="zh-CN"/>
              </w:rPr>
              <w:t>注塑</w:t>
            </w:r>
            <w:r>
              <w:rPr>
                <w:rFonts w:hint="eastAsia"/>
                <w:bCs/>
                <w:color w:val="auto"/>
                <w:sz w:val="24"/>
                <w:szCs w:val="24"/>
              </w:rPr>
              <w:t>废气处理装置</w:t>
            </w:r>
            <w:r>
              <w:rPr>
                <w:rFonts w:hint="eastAsia"/>
                <w:bCs/>
                <w:color w:val="auto"/>
                <w:sz w:val="24"/>
                <w:szCs w:val="24"/>
                <w:lang w:eastAsia="zh-CN"/>
              </w:rPr>
              <w:t>（</w:t>
            </w:r>
            <w:r>
              <w:rPr>
                <w:rFonts w:hint="eastAsia"/>
                <w:bCs/>
                <w:color w:val="auto"/>
                <w:sz w:val="24"/>
                <w:szCs w:val="24"/>
                <w:lang w:val="en-US" w:eastAsia="zh-CN"/>
              </w:rPr>
              <w:t>二级活性炭吸附装置</w:t>
            </w:r>
            <w:r>
              <w:rPr>
                <w:rFonts w:hint="eastAsia"/>
                <w:bCs/>
                <w:color w:val="auto"/>
                <w:sz w:val="24"/>
                <w:szCs w:val="24"/>
                <w:lang w:eastAsia="zh-CN"/>
              </w:rPr>
              <w:t>）</w:t>
            </w:r>
            <w:r>
              <w:rPr>
                <w:rFonts w:hint="eastAsia"/>
                <w:bCs/>
                <w:color w:val="auto"/>
                <w:sz w:val="24"/>
                <w:szCs w:val="24"/>
                <w:lang w:val="en-US" w:eastAsia="zh-CN"/>
              </w:rPr>
              <w:t>内部分活性炭失效，</w:t>
            </w:r>
            <w:r>
              <w:rPr>
                <w:rFonts w:hint="eastAsia"/>
                <w:bCs/>
                <w:color w:val="auto"/>
                <w:sz w:val="24"/>
                <w:szCs w:val="24"/>
              </w:rPr>
              <w:t>达不到应有效率，</w:t>
            </w:r>
            <w:r>
              <w:rPr>
                <w:rFonts w:hint="eastAsia"/>
                <w:bCs/>
                <w:color w:val="auto"/>
                <w:sz w:val="24"/>
                <w:szCs w:val="24"/>
                <w:lang w:val="en-US" w:eastAsia="zh-CN"/>
              </w:rPr>
              <w:t>二级活性炭处理装置的</w:t>
            </w:r>
            <w:r>
              <w:rPr>
                <w:rFonts w:hint="eastAsia"/>
                <w:bCs/>
                <w:color w:val="auto"/>
                <w:sz w:val="24"/>
                <w:szCs w:val="24"/>
              </w:rPr>
              <w:t>处理效率降低至65%</w:t>
            </w:r>
            <w:r>
              <w:rPr>
                <w:rFonts w:hint="eastAsia"/>
                <w:bCs/>
                <w:color w:val="auto"/>
                <w:sz w:val="24"/>
                <w:szCs w:val="24"/>
                <w:lang w:eastAsia="zh-CN"/>
              </w:rPr>
              <w:t>；</w:t>
            </w:r>
            <w:r>
              <w:rPr>
                <w:rFonts w:hint="eastAsia"/>
                <w:bCs/>
                <w:color w:val="auto"/>
                <w:sz w:val="24"/>
                <w:szCs w:val="24"/>
                <w:lang w:val="en-US" w:eastAsia="zh-CN"/>
              </w:rPr>
              <w:t>以及粉碎粉尘处理装置（布袋除尘器），未及时清灰，粉尘附着滤袋表面形成致密灰层，导致滤袋堵塞，处理效率降低至80%，</w:t>
            </w:r>
            <w:r>
              <w:rPr>
                <w:rFonts w:hint="eastAsia"/>
                <w:bCs/>
                <w:color w:val="auto"/>
                <w:sz w:val="24"/>
                <w:szCs w:val="24"/>
              </w:rPr>
              <w:t>从而发生非正常排放，一般事故的非正常排放效率约每年</w:t>
            </w:r>
            <w:r>
              <w:rPr>
                <w:rFonts w:hint="default"/>
                <w:bCs/>
                <w:color w:val="auto"/>
                <w:sz w:val="24"/>
                <w:szCs w:val="24"/>
              </w:rPr>
              <w:t>1</w:t>
            </w:r>
            <w:r>
              <w:rPr>
                <w:rFonts w:hint="eastAsia"/>
                <w:bCs/>
                <w:color w:val="auto"/>
                <w:sz w:val="24"/>
                <w:szCs w:val="24"/>
                <w:lang w:val="en-US" w:eastAsia="zh-CN"/>
              </w:rPr>
              <w:t>~</w:t>
            </w:r>
            <w:r>
              <w:rPr>
                <w:rFonts w:hint="default"/>
                <w:bCs/>
                <w:color w:val="auto"/>
                <w:sz w:val="24"/>
                <w:szCs w:val="24"/>
              </w:rPr>
              <w:t>3</w:t>
            </w:r>
            <w:r>
              <w:rPr>
                <w:rFonts w:hint="eastAsia"/>
                <w:bCs/>
                <w:color w:val="auto"/>
                <w:sz w:val="24"/>
                <w:szCs w:val="24"/>
              </w:rPr>
              <w:t>次，为小概率事件。本次评价取</w:t>
            </w:r>
            <w:r>
              <w:rPr>
                <w:rFonts w:hint="default"/>
                <w:bCs/>
                <w:color w:val="auto"/>
                <w:sz w:val="24"/>
                <w:szCs w:val="24"/>
              </w:rPr>
              <w:t>2</w:t>
            </w:r>
            <w:r>
              <w:rPr>
                <w:rFonts w:hint="eastAsia"/>
                <w:bCs/>
                <w:color w:val="auto"/>
                <w:sz w:val="24"/>
                <w:szCs w:val="24"/>
              </w:rPr>
              <w:t>次</w:t>
            </w:r>
            <w:r>
              <w:rPr>
                <w:rFonts w:hint="default"/>
                <w:bCs/>
                <w:color w:val="auto"/>
                <w:sz w:val="24"/>
                <w:szCs w:val="24"/>
              </w:rPr>
              <w:t>/</w:t>
            </w:r>
            <w:r>
              <w:rPr>
                <w:rFonts w:hint="eastAsia"/>
                <w:bCs/>
                <w:color w:val="auto"/>
                <w:sz w:val="24"/>
                <w:szCs w:val="24"/>
              </w:rPr>
              <w:t>年，每次持续时间</w:t>
            </w:r>
            <w:r>
              <w:rPr>
                <w:rFonts w:hint="default"/>
                <w:bCs/>
                <w:color w:val="auto"/>
                <w:sz w:val="24"/>
                <w:szCs w:val="24"/>
              </w:rPr>
              <w:t>30</w:t>
            </w:r>
            <w:r>
              <w:rPr>
                <w:rFonts w:hint="eastAsia"/>
                <w:bCs/>
                <w:color w:val="auto"/>
                <w:sz w:val="24"/>
                <w:szCs w:val="24"/>
              </w:rPr>
              <w:t>分钟。根据污染源核算中的污染物产生情况，本项目非正常排放源强</w:t>
            </w:r>
            <w:r>
              <w:rPr>
                <w:rFonts w:hint="eastAsia"/>
                <w:bCs/>
                <w:color w:val="auto"/>
                <w:sz w:val="24"/>
                <w:szCs w:val="24"/>
                <w:lang w:val="en-US" w:eastAsia="zh-CN"/>
              </w:rPr>
              <w:t>如</w:t>
            </w:r>
            <w:r>
              <w:rPr>
                <w:rFonts w:hint="eastAsia"/>
                <w:bCs/>
                <w:color w:val="auto"/>
                <w:sz w:val="24"/>
                <w:szCs w:val="24"/>
              </w:rPr>
              <w:t>下表所示：</w:t>
            </w:r>
          </w:p>
          <w:p w14:paraId="3920A20E">
            <w:pPr>
              <w:keepNext w:val="0"/>
              <w:keepLines w:val="0"/>
              <w:suppressLineNumbers w:val="0"/>
              <w:spacing w:before="0" w:beforeAutospacing="0" w:after="0" w:afterAutospacing="0" w:line="360" w:lineRule="auto"/>
              <w:ind w:left="0" w:right="0"/>
              <w:jc w:val="center"/>
              <w:rPr>
                <w:rFonts w:hint="default"/>
                <w:color w:val="auto"/>
                <w:szCs w:val="21"/>
              </w:rPr>
            </w:pPr>
            <w:r>
              <w:rPr>
                <w:rFonts w:hint="eastAsia" w:hAnsi="黑体" w:eastAsia="黑体"/>
                <w:color w:val="auto"/>
                <w:sz w:val="24"/>
                <w:szCs w:val="24"/>
              </w:rPr>
              <w:t>表</w:t>
            </w:r>
            <w:r>
              <w:rPr>
                <w:rFonts w:hint="eastAsia" w:hAnsi="黑体" w:eastAsia="黑体"/>
                <w:color w:val="auto"/>
                <w:sz w:val="24"/>
                <w:szCs w:val="24"/>
                <w:lang w:val="en-US" w:eastAsia="zh-CN"/>
              </w:rPr>
              <w:t>4-6</w:t>
            </w:r>
            <w:r>
              <w:rPr>
                <w:rFonts w:hint="eastAsia" w:hAnsi="黑体" w:eastAsia="黑体"/>
                <w:color w:val="auto"/>
                <w:sz w:val="24"/>
                <w:szCs w:val="24"/>
              </w:rPr>
              <w:t xml:space="preserve"> </w:t>
            </w:r>
            <w:r>
              <w:rPr>
                <w:rFonts w:hint="eastAsia" w:hAnsi="黑体" w:eastAsia="黑体"/>
                <w:color w:val="auto"/>
                <w:sz w:val="24"/>
                <w:szCs w:val="24"/>
                <w:lang w:val="en-US" w:eastAsia="zh-CN"/>
              </w:rPr>
              <w:t>本</w:t>
            </w:r>
            <w:r>
              <w:rPr>
                <w:rFonts w:hint="eastAsia" w:hAnsi="黑体" w:eastAsia="黑体"/>
                <w:color w:val="auto"/>
                <w:sz w:val="24"/>
                <w:szCs w:val="24"/>
              </w:rPr>
              <w:t>项目非正常工况</w:t>
            </w:r>
            <w:r>
              <w:rPr>
                <w:rFonts w:hint="eastAsia" w:hAnsi="黑体" w:eastAsia="黑体"/>
                <w:color w:val="auto"/>
                <w:sz w:val="24"/>
                <w:szCs w:val="24"/>
                <w:lang w:val="en-US" w:eastAsia="zh-CN"/>
              </w:rPr>
              <w:t>废气</w:t>
            </w:r>
            <w:r>
              <w:rPr>
                <w:rFonts w:hint="eastAsia" w:hAnsi="黑体" w:eastAsia="黑体"/>
                <w:color w:val="auto"/>
                <w:sz w:val="24"/>
                <w:szCs w:val="24"/>
              </w:rPr>
              <w:t>排放参数表</w:t>
            </w:r>
          </w:p>
          <w:tbl>
            <w:tblPr>
              <w:tblStyle w:val="37"/>
              <w:tblW w:w="499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9"/>
              <w:gridCol w:w="965"/>
              <w:gridCol w:w="961"/>
              <w:gridCol w:w="862"/>
              <w:gridCol w:w="1061"/>
              <w:gridCol w:w="1326"/>
              <w:gridCol w:w="962"/>
              <w:gridCol w:w="945"/>
            </w:tblGrid>
            <w:tr w14:paraId="7F8C03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57" w:type="pct"/>
                  <w:vAlign w:val="center"/>
                </w:tcPr>
                <w:p w14:paraId="08D108A6">
                  <w:pPr>
                    <w:keepNext w:val="0"/>
                    <w:keepLines w:val="0"/>
                    <w:widowControl/>
                    <w:suppressLineNumbers w:val="0"/>
                    <w:spacing w:before="0" w:beforeAutospacing="0" w:after="0" w:afterAutospacing="0" w:line="276" w:lineRule="auto"/>
                    <w:ind w:left="0" w:right="0"/>
                    <w:jc w:val="center"/>
                    <w:rPr>
                      <w:rFonts w:hint="default"/>
                      <w:b/>
                      <w:color w:val="auto"/>
                      <w:szCs w:val="21"/>
                    </w:rPr>
                  </w:pPr>
                  <w:r>
                    <w:rPr>
                      <w:rFonts w:hint="eastAsia" w:hAnsi="宋体"/>
                      <w:b/>
                      <w:color w:val="auto"/>
                      <w:szCs w:val="21"/>
                    </w:rPr>
                    <w:t>非正常排放源</w:t>
                  </w:r>
                </w:p>
              </w:tc>
              <w:tc>
                <w:tcPr>
                  <w:tcW w:w="605" w:type="pct"/>
                  <w:vAlign w:val="center"/>
                </w:tcPr>
                <w:p w14:paraId="41B82855">
                  <w:pPr>
                    <w:keepNext w:val="0"/>
                    <w:keepLines w:val="0"/>
                    <w:widowControl/>
                    <w:suppressLineNumbers w:val="0"/>
                    <w:spacing w:before="0" w:beforeAutospacing="0" w:after="0" w:afterAutospacing="0" w:line="276" w:lineRule="auto"/>
                    <w:ind w:left="0" w:right="0"/>
                    <w:jc w:val="center"/>
                    <w:rPr>
                      <w:rFonts w:hint="default"/>
                      <w:b/>
                      <w:color w:val="auto"/>
                      <w:szCs w:val="21"/>
                    </w:rPr>
                  </w:pPr>
                  <w:r>
                    <w:rPr>
                      <w:rFonts w:hint="eastAsia" w:hAnsi="宋体"/>
                      <w:b/>
                      <w:color w:val="auto"/>
                      <w:szCs w:val="21"/>
                    </w:rPr>
                    <w:t>非正常排放原因</w:t>
                  </w:r>
                </w:p>
              </w:tc>
              <w:tc>
                <w:tcPr>
                  <w:tcW w:w="602" w:type="pct"/>
                  <w:vAlign w:val="center"/>
                </w:tcPr>
                <w:p w14:paraId="4A3C7639">
                  <w:pPr>
                    <w:keepNext w:val="0"/>
                    <w:keepLines w:val="0"/>
                    <w:widowControl/>
                    <w:suppressLineNumbers w:val="0"/>
                    <w:spacing w:before="0" w:beforeAutospacing="0" w:after="0" w:afterAutospacing="0" w:line="276" w:lineRule="auto"/>
                    <w:ind w:left="0" w:right="0"/>
                    <w:jc w:val="center"/>
                    <w:rPr>
                      <w:rFonts w:hint="default"/>
                      <w:b/>
                      <w:color w:val="auto"/>
                      <w:szCs w:val="21"/>
                    </w:rPr>
                  </w:pPr>
                  <w:r>
                    <w:rPr>
                      <w:rFonts w:hint="eastAsia" w:hAnsi="宋体"/>
                      <w:b/>
                      <w:color w:val="auto"/>
                      <w:szCs w:val="21"/>
                    </w:rPr>
                    <w:t>污染物</w:t>
                  </w:r>
                </w:p>
              </w:tc>
              <w:tc>
                <w:tcPr>
                  <w:tcW w:w="540" w:type="pct"/>
                  <w:vAlign w:val="center"/>
                </w:tcPr>
                <w:p w14:paraId="5F2535F1">
                  <w:pPr>
                    <w:keepNext w:val="0"/>
                    <w:keepLines w:val="0"/>
                    <w:widowControl/>
                    <w:suppressLineNumbers w:val="0"/>
                    <w:spacing w:before="0" w:beforeAutospacing="0" w:after="0" w:afterAutospacing="0" w:line="276" w:lineRule="auto"/>
                    <w:ind w:left="0" w:right="0"/>
                    <w:jc w:val="center"/>
                    <w:rPr>
                      <w:rFonts w:hint="default"/>
                      <w:b/>
                      <w:color w:val="auto"/>
                      <w:szCs w:val="21"/>
                    </w:rPr>
                  </w:pPr>
                  <w:r>
                    <w:rPr>
                      <w:rFonts w:hint="eastAsia" w:hAnsi="宋体"/>
                      <w:b/>
                      <w:color w:val="auto"/>
                      <w:szCs w:val="21"/>
                    </w:rPr>
                    <w:t>单次持续时间</w:t>
                  </w:r>
                  <w:r>
                    <w:rPr>
                      <w:rFonts w:hint="eastAsia"/>
                      <w:b/>
                      <w:color w:val="auto"/>
                      <w:szCs w:val="21"/>
                    </w:rPr>
                    <w:t>（</w:t>
                  </w:r>
                  <w:r>
                    <w:rPr>
                      <w:rFonts w:hint="default"/>
                      <w:b/>
                      <w:color w:val="auto"/>
                      <w:szCs w:val="21"/>
                    </w:rPr>
                    <w:t>h</w:t>
                  </w:r>
                  <w:r>
                    <w:rPr>
                      <w:rFonts w:hint="eastAsia"/>
                      <w:b/>
                      <w:color w:val="auto"/>
                      <w:szCs w:val="21"/>
                    </w:rPr>
                    <w:t>）</w:t>
                  </w:r>
                </w:p>
              </w:tc>
              <w:tc>
                <w:tcPr>
                  <w:tcW w:w="665" w:type="pct"/>
                  <w:vAlign w:val="center"/>
                </w:tcPr>
                <w:p w14:paraId="672198DA">
                  <w:pPr>
                    <w:keepNext w:val="0"/>
                    <w:keepLines w:val="0"/>
                    <w:widowControl/>
                    <w:suppressLineNumbers w:val="0"/>
                    <w:spacing w:before="0" w:beforeAutospacing="0" w:after="0" w:afterAutospacing="0" w:line="276" w:lineRule="auto"/>
                    <w:ind w:left="0" w:right="0"/>
                    <w:jc w:val="center"/>
                    <w:rPr>
                      <w:rFonts w:hint="default"/>
                      <w:b/>
                      <w:color w:val="auto"/>
                      <w:szCs w:val="21"/>
                    </w:rPr>
                  </w:pPr>
                  <w:r>
                    <w:rPr>
                      <w:rFonts w:hint="eastAsia" w:hAnsi="宋体"/>
                      <w:b/>
                      <w:color w:val="auto"/>
                      <w:szCs w:val="21"/>
                    </w:rPr>
                    <w:t>非正常排放速率（</w:t>
                  </w:r>
                  <w:r>
                    <w:rPr>
                      <w:rFonts w:hint="default"/>
                      <w:b/>
                      <w:color w:val="auto"/>
                      <w:szCs w:val="21"/>
                    </w:rPr>
                    <w:t>kg/h</w:t>
                  </w:r>
                  <w:r>
                    <w:rPr>
                      <w:rFonts w:hint="eastAsia" w:hAnsi="宋体"/>
                      <w:b/>
                      <w:color w:val="auto"/>
                      <w:szCs w:val="21"/>
                    </w:rPr>
                    <w:t>）</w:t>
                  </w:r>
                </w:p>
              </w:tc>
              <w:tc>
                <w:tcPr>
                  <w:tcW w:w="831" w:type="pct"/>
                  <w:vAlign w:val="center"/>
                </w:tcPr>
                <w:p w14:paraId="6E2FD8A9">
                  <w:pPr>
                    <w:keepNext w:val="0"/>
                    <w:keepLines w:val="0"/>
                    <w:widowControl/>
                    <w:suppressLineNumbers w:val="0"/>
                    <w:spacing w:before="0" w:beforeAutospacing="0" w:after="0" w:afterAutospacing="0" w:line="276" w:lineRule="auto"/>
                    <w:ind w:left="0" w:right="0"/>
                    <w:jc w:val="center"/>
                    <w:rPr>
                      <w:rFonts w:hint="default"/>
                      <w:b/>
                      <w:color w:val="auto"/>
                      <w:szCs w:val="21"/>
                    </w:rPr>
                  </w:pPr>
                  <w:r>
                    <w:rPr>
                      <w:rFonts w:hint="eastAsia" w:hAnsi="宋体"/>
                      <w:b/>
                      <w:color w:val="auto"/>
                      <w:szCs w:val="21"/>
                    </w:rPr>
                    <w:t>非正常排放浓度（</w:t>
                  </w:r>
                  <w:r>
                    <w:rPr>
                      <w:rFonts w:hint="default"/>
                      <w:b/>
                      <w:color w:val="auto"/>
                      <w:szCs w:val="21"/>
                    </w:rPr>
                    <w:t>mg/m</w:t>
                  </w:r>
                  <w:r>
                    <w:rPr>
                      <w:rFonts w:hint="default"/>
                      <w:b/>
                      <w:color w:val="auto"/>
                      <w:szCs w:val="21"/>
                      <w:vertAlign w:val="superscript"/>
                    </w:rPr>
                    <w:t>3</w:t>
                  </w:r>
                  <w:r>
                    <w:rPr>
                      <w:rFonts w:hint="eastAsia" w:hAnsi="宋体"/>
                      <w:b/>
                      <w:color w:val="auto"/>
                      <w:szCs w:val="21"/>
                    </w:rPr>
                    <w:t>）</w:t>
                  </w:r>
                </w:p>
              </w:tc>
              <w:tc>
                <w:tcPr>
                  <w:tcW w:w="603" w:type="pct"/>
                  <w:vAlign w:val="center"/>
                </w:tcPr>
                <w:p w14:paraId="087B626F">
                  <w:pPr>
                    <w:keepNext w:val="0"/>
                    <w:keepLines w:val="0"/>
                    <w:widowControl/>
                    <w:suppressLineNumbers w:val="0"/>
                    <w:spacing w:before="0" w:beforeAutospacing="0" w:after="0" w:afterAutospacing="0" w:line="276" w:lineRule="auto"/>
                    <w:ind w:left="0" w:right="0"/>
                    <w:jc w:val="center"/>
                    <w:rPr>
                      <w:rFonts w:hint="default" w:hAnsi="宋体" w:eastAsia="宋体"/>
                      <w:b/>
                      <w:color w:val="auto"/>
                      <w:szCs w:val="21"/>
                      <w:lang w:val="en-US" w:eastAsia="zh-CN"/>
                    </w:rPr>
                  </w:pPr>
                  <w:r>
                    <w:rPr>
                      <w:rFonts w:hint="eastAsia" w:hAnsi="宋体"/>
                      <w:b/>
                      <w:color w:val="auto"/>
                      <w:szCs w:val="21"/>
                      <w:lang w:val="en-US" w:eastAsia="zh-CN"/>
                    </w:rPr>
                    <w:t>非正常排放量（t/次）</w:t>
                  </w:r>
                </w:p>
              </w:tc>
              <w:tc>
                <w:tcPr>
                  <w:tcW w:w="592" w:type="pct"/>
                  <w:vAlign w:val="center"/>
                </w:tcPr>
                <w:p w14:paraId="29E69BE1">
                  <w:pPr>
                    <w:keepNext w:val="0"/>
                    <w:keepLines w:val="0"/>
                    <w:widowControl/>
                    <w:suppressLineNumbers w:val="0"/>
                    <w:spacing w:before="0" w:beforeAutospacing="0" w:after="0" w:afterAutospacing="0" w:line="276" w:lineRule="auto"/>
                    <w:ind w:left="0" w:right="0"/>
                    <w:jc w:val="center"/>
                    <w:rPr>
                      <w:rFonts w:hint="default"/>
                      <w:b/>
                      <w:color w:val="auto"/>
                      <w:szCs w:val="21"/>
                    </w:rPr>
                  </w:pPr>
                  <w:r>
                    <w:rPr>
                      <w:rFonts w:hint="eastAsia" w:hAnsi="宋体"/>
                      <w:b/>
                      <w:color w:val="auto"/>
                      <w:szCs w:val="21"/>
                    </w:rPr>
                    <w:t>年发生频次（次）</w:t>
                  </w:r>
                </w:p>
              </w:tc>
            </w:tr>
            <w:tr w14:paraId="5A83F1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557" w:type="pct"/>
                  <w:vMerge w:val="restart"/>
                  <w:vAlign w:val="center"/>
                </w:tcPr>
                <w:p w14:paraId="133EEF34">
                  <w:pPr>
                    <w:keepNext w:val="0"/>
                    <w:keepLines w:val="0"/>
                    <w:widowControl/>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DA001</w:t>
                  </w:r>
                </w:p>
              </w:tc>
              <w:tc>
                <w:tcPr>
                  <w:tcW w:w="605" w:type="pct"/>
                  <w:vMerge w:val="restart"/>
                  <w:vAlign w:val="center"/>
                </w:tcPr>
                <w:p w14:paraId="54425980">
                  <w:pPr>
                    <w:keepNext w:val="0"/>
                    <w:keepLines w:val="0"/>
                    <w:widowControl/>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部分活性炭失效</w:t>
                  </w:r>
                </w:p>
              </w:tc>
              <w:tc>
                <w:tcPr>
                  <w:tcW w:w="602" w:type="pct"/>
                  <w:shd w:val="clear" w:color="auto" w:fill="auto"/>
                  <w:vAlign w:val="center"/>
                </w:tcPr>
                <w:p w14:paraId="60E388A7">
                  <w:pPr>
                    <w:keepNext w:val="0"/>
                    <w:keepLines w:val="0"/>
                    <w:suppressLineNumbers w:val="0"/>
                    <w:wordWrap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非甲烷总烃</w:t>
                  </w:r>
                </w:p>
              </w:tc>
              <w:tc>
                <w:tcPr>
                  <w:tcW w:w="540" w:type="pct"/>
                  <w:vAlign w:val="center"/>
                </w:tcPr>
                <w:p w14:paraId="5DAFAF4A">
                  <w:pPr>
                    <w:keepNext w:val="0"/>
                    <w:keepLines w:val="0"/>
                    <w:widowControl/>
                    <w:suppressLineNumbers w:val="0"/>
                    <w:spacing w:before="0" w:beforeAutospacing="0" w:after="0" w:afterAutospacing="0" w:line="276" w:lineRule="auto"/>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0.5</w:t>
                  </w:r>
                </w:p>
              </w:tc>
              <w:tc>
                <w:tcPr>
                  <w:tcW w:w="665" w:type="pct"/>
                  <w:vAlign w:val="center"/>
                </w:tcPr>
                <w:p w14:paraId="5C21DD27">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0.144</w:t>
                  </w:r>
                </w:p>
              </w:tc>
              <w:tc>
                <w:tcPr>
                  <w:tcW w:w="831" w:type="pct"/>
                  <w:vAlign w:val="center"/>
                </w:tcPr>
                <w:p w14:paraId="0F779662">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6.0</w:t>
                  </w:r>
                </w:p>
              </w:tc>
              <w:tc>
                <w:tcPr>
                  <w:tcW w:w="603" w:type="pct"/>
                  <w:vAlign w:val="center"/>
                </w:tcPr>
                <w:p w14:paraId="67A4E083">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7.2×10</w:t>
                  </w:r>
                  <w:r>
                    <w:rPr>
                      <w:rFonts w:hint="eastAsia"/>
                      <w:color w:val="auto"/>
                      <w:szCs w:val="21"/>
                      <w:highlight w:val="none"/>
                      <w:vertAlign w:val="superscript"/>
                      <w:lang w:val="en-US" w:eastAsia="zh-CN"/>
                    </w:rPr>
                    <w:t>-5</w:t>
                  </w:r>
                </w:p>
              </w:tc>
              <w:tc>
                <w:tcPr>
                  <w:tcW w:w="592" w:type="pct"/>
                  <w:vAlign w:val="center"/>
                </w:tcPr>
                <w:p w14:paraId="6387EA44">
                  <w:pPr>
                    <w:keepNext w:val="0"/>
                    <w:keepLines w:val="0"/>
                    <w:widowControl/>
                    <w:suppressLineNumbers w:val="0"/>
                    <w:spacing w:before="0" w:beforeAutospacing="0" w:after="0" w:afterAutospacing="0" w:line="276" w:lineRule="auto"/>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2</w:t>
                  </w:r>
                </w:p>
              </w:tc>
            </w:tr>
            <w:tr w14:paraId="361244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557" w:type="pct"/>
                  <w:vMerge w:val="continue"/>
                  <w:vAlign w:val="center"/>
                </w:tcPr>
                <w:p w14:paraId="4111057F">
                  <w:pPr>
                    <w:keepNext w:val="0"/>
                    <w:keepLines w:val="0"/>
                    <w:widowControl/>
                    <w:suppressLineNumbers w:val="0"/>
                    <w:spacing w:before="0" w:beforeAutospacing="0" w:after="0" w:afterAutospacing="0" w:line="276" w:lineRule="auto"/>
                    <w:ind w:left="0" w:right="0"/>
                    <w:jc w:val="center"/>
                    <w:rPr>
                      <w:rFonts w:hint="default"/>
                      <w:color w:val="auto"/>
                      <w:szCs w:val="21"/>
                    </w:rPr>
                  </w:pPr>
                </w:p>
              </w:tc>
              <w:tc>
                <w:tcPr>
                  <w:tcW w:w="605" w:type="pct"/>
                  <w:vMerge w:val="continue"/>
                  <w:vAlign w:val="center"/>
                </w:tcPr>
                <w:p w14:paraId="18331112">
                  <w:pPr>
                    <w:keepNext w:val="0"/>
                    <w:keepLines w:val="0"/>
                    <w:widowControl/>
                    <w:suppressLineNumbers w:val="0"/>
                    <w:spacing w:before="0" w:beforeAutospacing="0" w:after="0" w:afterAutospacing="0" w:line="276" w:lineRule="auto"/>
                    <w:ind w:left="0" w:right="0"/>
                    <w:jc w:val="center"/>
                    <w:rPr>
                      <w:rFonts w:hint="eastAsia"/>
                      <w:color w:val="auto"/>
                      <w:szCs w:val="21"/>
                    </w:rPr>
                  </w:pPr>
                </w:p>
              </w:tc>
              <w:tc>
                <w:tcPr>
                  <w:tcW w:w="602" w:type="pct"/>
                  <w:shd w:val="clear" w:color="auto" w:fill="auto"/>
                  <w:vAlign w:val="center"/>
                </w:tcPr>
                <w:p w14:paraId="398F0FA0">
                  <w:pPr>
                    <w:keepNext w:val="0"/>
                    <w:keepLines w:val="0"/>
                    <w:suppressLineNumbers w:val="0"/>
                    <w:wordWrap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甲苯</w:t>
                  </w:r>
                </w:p>
              </w:tc>
              <w:tc>
                <w:tcPr>
                  <w:tcW w:w="540" w:type="pct"/>
                  <w:vAlign w:val="center"/>
                </w:tcPr>
                <w:p w14:paraId="6DEB1C2B">
                  <w:pPr>
                    <w:keepNext w:val="0"/>
                    <w:keepLines w:val="0"/>
                    <w:widowControl/>
                    <w:suppressLineNumbers w:val="0"/>
                    <w:spacing w:before="0" w:beforeAutospacing="0" w:after="0" w:afterAutospacing="0" w:line="276" w:lineRule="auto"/>
                    <w:ind w:left="0" w:right="0"/>
                    <w:jc w:val="center"/>
                    <w:rPr>
                      <w:rFonts w:hint="eastAsia"/>
                      <w:color w:val="auto"/>
                      <w:szCs w:val="21"/>
                      <w:highlight w:val="none"/>
                    </w:rPr>
                  </w:pPr>
                  <w:r>
                    <w:rPr>
                      <w:rFonts w:hint="eastAsia"/>
                      <w:color w:val="auto"/>
                      <w:szCs w:val="21"/>
                      <w:highlight w:val="none"/>
                      <w:lang w:val="en-US" w:eastAsia="zh-CN"/>
                    </w:rPr>
                    <w:t>0.5</w:t>
                  </w:r>
                </w:p>
              </w:tc>
              <w:tc>
                <w:tcPr>
                  <w:tcW w:w="1061" w:type="dxa"/>
                  <w:vAlign w:val="center"/>
                </w:tcPr>
                <w:p w14:paraId="547E6EED">
                  <w:pPr>
                    <w:keepNext w:val="0"/>
                    <w:keepLines w:val="0"/>
                    <w:suppressLineNumbers w:val="0"/>
                    <w:spacing w:before="0" w:beforeAutospacing="0" w:after="0" w:afterAutospacing="0" w:line="276" w:lineRule="auto"/>
                    <w:ind w:left="0" w:leftChars="0" w:right="0" w:rightChars="0"/>
                    <w:jc w:val="center"/>
                    <w:rPr>
                      <w:rFonts w:hint="default"/>
                      <w:color w:val="auto"/>
                      <w:szCs w:val="21"/>
                      <w:highlight w:val="none"/>
                      <w:lang w:val="en-US" w:eastAsia="zh-CN"/>
                    </w:rPr>
                  </w:pPr>
                  <w:r>
                    <w:rPr>
                      <w:rFonts w:hint="eastAsia" w:cs="Times New Roman"/>
                      <w:color w:val="auto"/>
                      <w:sz w:val="21"/>
                      <w:szCs w:val="21"/>
                      <w:lang w:val="en-US" w:eastAsia="zh-CN"/>
                    </w:rPr>
                    <w:t>2.05×10</w:t>
                  </w:r>
                  <w:r>
                    <w:rPr>
                      <w:rFonts w:hint="eastAsia" w:cs="Times New Roman"/>
                      <w:color w:val="auto"/>
                      <w:sz w:val="21"/>
                      <w:szCs w:val="21"/>
                      <w:vertAlign w:val="superscript"/>
                      <w:lang w:val="en-US" w:eastAsia="zh-CN"/>
                    </w:rPr>
                    <w:t>-6</w:t>
                  </w:r>
                </w:p>
              </w:tc>
              <w:tc>
                <w:tcPr>
                  <w:tcW w:w="1326" w:type="dxa"/>
                  <w:vAlign w:val="center"/>
                </w:tcPr>
                <w:p w14:paraId="68B2F36E">
                  <w:pPr>
                    <w:keepNext w:val="0"/>
                    <w:keepLines w:val="0"/>
                    <w:suppressLineNumbers w:val="0"/>
                    <w:spacing w:before="0" w:beforeAutospacing="0" w:after="0" w:afterAutospacing="0" w:line="276" w:lineRule="auto"/>
                    <w:ind w:left="0" w:leftChars="0" w:right="0" w:rightChars="0"/>
                    <w:jc w:val="center"/>
                    <w:rPr>
                      <w:rFonts w:hint="default"/>
                      <w:color w:val="auto"/>
                      <w:szCs w:val="21"/>
                      <w:highlight w:val="none"/>
                      <w:lang w:val="en-US" w:eastAsia="zh-CN"/>
                    </w:rPr>
                  </w:pPr>
                  <w:r>
                    <w:rPr>
                      <w:rFonts w:hint="eastAsia" w:cs="Times New Roman"/>
                      <w:color w:val="auto"/>
                      <w:sz w:val="21"/>
                      <w:szCs w:val="21"/>
                      <w:lang w:val="en-US" w:eastAsia="zh-CN"/>
                    </w:rPr>
                    <w:t>8.56×10</w:t>
                  </w:r>
                  <w:r>
                    <w:rPr>
                      <w:rFonts w:hint="eastAsia" w:cs="Times New Roman"/>
                      <w:color w:val="auto"/>
                      <w:sz w:val="21"/>
                      <w:szCs w:val="21"/>
                      <w:vertAlign w:val="superscript"/>
                      <w:lang w:val="en-US" w:eastAsia="zh-CN"/>
                    </w:rPr>
                    <w:t>-5</w:t>
                  </w:r>
                </w:p>
              </w:tc>
              <w:tc>
                <w:tcPr>
                  <w:tcW w:w="962" w:type="dxa"/>
                  <w:vAlign w:val="center"/>
                </w:tcPr>
                <w:p w14:paraId="7CEFD338">
                  <w:pPr>
                    <w:keepNext w:val="0"/>
                    <w:keepLines w:val="0"/>
                    <w:suppressLineNumbers w:val="0"/>
                    <w:spacing w:before="0" w:beforeAutospacing="0" w:after="0" w:afterAutospacing="0" w:line="276" w:lineRule="auto"/>
                    <w:ind w:left="0" w:leftChars="0" w:right="0" w:rightChars="0"/>
                    <w:jc w:val="center"/>
                    <w:rPr>
                      <w:rFonts w:hint="default"/>
                      <w:color w:val="auto"/>
                      <w:szCs w:val="21"/>
                      <w:highlight w:val="none"/>
                      <w:lang w:val="en-US" w:eastAsia="zh-CN"/>
                    </w:rPr>
                  </w:pPr>
                  <w:r>
                    <w:rPr>
                      <w:rFonts w:hint="eastAsia" w:cs="Times New Roman"/>
                      <w:color w:val="auto"/>
                      <w:sz w:val="21"/>
                      <w:szCs w:val="21"/>
                      <w:lang w:val="en-US" w:eastAsia="zh-CN"/>
                    </w:rPr>
                    <w:t>6.16×10</w:t>
                  </w:r>
                  <w:r>
                    <w:rPr>
                      <w:rFonts w:hint="eastAsia" w:cs="Times New Roman"/>
                      <w:color w:val="auto"/>
                      <w:sz w:val="21"/>
                      <w:szCs w:val="21"/>
                      <w:vertAlign w:val="superscript"/>
                      <w:lang w:val="en-US" w:eastAsia="zh-CN"/>
                    </w:rPr>
                    <w:t>-6</w:t>
                  </w:r>
                </w:p>
              </w:tc>
              <w:tc>
                <w:tcPr>
                  <w:tcW w:w="592" w:type="pct"/>
                  <w:vAlign w:val="center"/>
                </w:tcPr>
                <w:p w14:paraId="6DFF52CB">
                  <w:pPr>
                    <w:keepNext w:val="0"/>
                    <w:keepLines w:val="0"/>
                    <w:widowControl/>
                    <w:suppressLineNumbers w:val="0"/>
                    <w:spacing w:before="0" w:beforeAutospacing="0" w:after="0" w:afterAutospacing="0" w:line="276" w:lineRule="auto"/>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2</w:t>
                  </w:r>
                </w:p>
              </w:tc>
            </w:tr>
            <w:tr w14:paraId="4EEE06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557" w:type="pct"/>
                  <w:vMerge w:val="continue"/>
                  <w:vAlign w:val="center"/>
                </w:tcPr>
                <w:p w14:paraId="58FA3851">
                  <w:pPr>
                    <w:keepNext w:val="0"/>
                    <w:keepLines w:val="0"/>
                    <w:widowControl/>
                    <w:suppressLineNumbers w:val="0"/>
                    <w:spacing w:before="0" w:beforeAutospacing="0" w:after="0" w:afterAutospacing="0" w:line="276" w:lineRule="auto"/>
                    <w:ind w:left="0" w:right="0"/>
                    <w:jc w:val="center"/>
                    <w:rPr>
                      <w:rFonts w:hint="default"/>
                      <w:color w:val="auto"/>
                      <w:szCs w:val="21"/>
                    </w:rPr>
                  </w:pPr>
                </w:p>
              </w:tc>
              <w:tc>
                <w:tcPr>
                  <w:tcW w:w="605" w:type="pct"/>
                  <w:vMerge w:val="continue"/>
                  <w:vAlign w:val="center"/>
                </w:tcPr>
                <w:p w14:paraId="2F923587">
                  <w:pPr>
                    <w:keepNext w:val="0"/>
                    <w:keepLines w:val="0"/>
                    <w:widowControl/>
                    <w:suppressLineNumbers w:val="0"/>
                    <w:spacing w:before="0" w:beforeAutospacing="0" w:after="0" w:afterAutospacing="0" w:line="276" w:lineRule="auto"/>
                    <w:ind w:left="0" w:right="0"/>
                    <w:jc w:val="center"/>
                    <w:rPr>
                      <w:rFonts w:hint="eastAsia"/>
                      <w:color w:val="auto"/>
                      <w:szCs w:val="21"/>
                    </w:rPr>
                  </w:pPr>
                </w:p>
              </w:tc>
              <w:tc>
                <w:tcPr>
                  <w:tcW w:w="602" w:type="pct"/>
                  <w:shd w:val="clear" w:color="auto" w:fill="auto"/>
                  <w:vAlign w:val="center"/>
                </w:tcPr>
                <w:p w14:paraId="6C876C3D">
                  <w:pPr>
                    <w:keepNext w:val="0"/>
                    <w:keepLines w:val="0"/>
                    <w:suppressLineNumbers w:val="0"/>
                    <w:wordWrap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乙苯</w:t>
                  </w:r>
                </w:p>
              </w:tc>
              <w:tc>
                <w:tcPr>
                  <w:tcW w:w="540" w:type="pct"/>
                  <w:vAlign w:val="center"/>
                </w:tcPr>
                <w:p w14:paraId="5BDACC35">
                  <w:pPr>
                    <w:keepNext w:val="0"/>
                    <w:keepLines w:val="0"/>
                    <w:widowControl/>
                    <w:suppressLineNumbers w:val="0"/>
                    <w:spacing w:before="0" w:beforeAutospacing="0" w:after="0" w:afterAutospacing="0" w:line="276" w:lineRule="auto"/>
                    <w:ind w:left="0" w:right="0"/>
                    <w:jc w:val="center"/>
                    <w:rPr>
                      <w:rFonts w:hint="eastAsia"/>
                      <w:color w:val="auto"/>
                      <w:szCs w:val="21"/>
                      <w:highlight w:val="none"/>
                    </w:rPr>
                  </w:pPr>
                  <w:r>
                    <w:rPr>
                      <w:rFonts w:hint="eastAsia"/>
                      <w:color w:val="auto"/>
                      <w:szCs w:val="21"/>
                      <w:highlight w:val="none"/>
                      <w:lang w:val="en-US" w:eastAsia="zh-CN"/>
                    </w:rPr>
                    <w:t>0.5</w:t>
                  </w:r>
                </w:p>
              </w:tc>
              <w:tc>
                <w:tcPr>
                  <w:tcW w:w="1061" w:type="dxa"/>
                  <w:vAlign w:val="center"/>
                </w:tcPr>
                <w:p w14:paraId="0842684A">
                  <w:pPr>
                    <w:keepNext w:val="0"/>
                    <w:keepLines w:val="0"/>
                    <w:suppressLineNumbers w:val="0"/>
                    <w:spacing w:before="0" w:beforeAutospacing="0" w:after="0" w:afterAutospacing="0" w:line="276" w:lineRule="auto"/>
                    <w:ind w:left="0" w:leftChars="0" w:right="0" w:rightChars="0"/>
                    <w:jc w:val="center"/>
                    <w:rPr>
                      <w:rFonts w:hint="default"/>
                      <w:color w:val="auto"/>
                      <w:szCs w:val="21"/>
                      <w:highlight w:val="none"/>
                      <w:lang w:val="en-US" w:eastAsia="zh-CN"/>
                    </w:rPr>
                  </w:pPr>
                  <w:r>
                    <w:rPr>
                      <w:rFonts w:hint="eastAsia" w:cs="Times New Roman"/>
                      <w:color w:val="auto"/>
                      <w:sz w:val="21"/>
                      <w:szCs w:val="21"/>
                      <w:lang w:val="en-US" w:eastAsia="zh-CN"/>
                    </w:rPr>
                    <w:t>9.53×10</w:t>
                  </w:r>
                  <w:r>
                    <w:rPr>
                      <w:rFonts w:hint="eastAsia" w:cs="Times New Roman"/>
                      <w:color w:val="auto"/>
                      <w:sz w:val="21"/>
                      <w:szCs w:val="21"/>
                      <w:vertAlign w:val="superscript"/>
                      <w:lang w:val="en-US" w:eastAsia="zh-CN"/>
                    </w:rPr>
                    <w:t>-7</w:t>
                  </w:r>
                </w:p>
              </w:tc>
              <w:tc>
                <w:tcPr>
                  <w:tcW w:w="1326" w:type="dxa"/>
                  <w:vAlign w:val="center"/>
                </w:tcPr>
                <w:p w14:paraId="43997BA3">
                  <w:pPr>
                    <w:keepNext w:val="0"/>
                    <w:keepLines w:val="0"/>
                    <w:suppressLineNumbers w:val="0"/>
                    <w:spacing w:before="0" w:beforeAutospacing="0" w:after="0" w:afterAutospacing="0" w:line="276" w:lineRule="auto"/>
                    <w:ind w:left="0" w:leftChars="0" w:right="0" w:rightChars="0"/>
                    <w:jc w:val="center"/>
                    <w:rPr>
                      <w:rFonts w:hint="default"/>
                      <w:color w:val="auto"/>
                      <w:szCs w:val="21"/>
                      <w:highlight w:val="none"/>
                      <w:lang w:val="en-US" w:eastAsia="zh-CN"/>
                    </w:rPr>
                  </w:pPr>
                  <w:r>
                    <w:rPr>
                      <w:rFonts w:hint="eastAsia" w:cs="Times New Roman"/>
                      <w:color w:val="auto"/>
                      <w:sz w:val="21"/>
                      <w:szCs w:val="21"/>
                      <w:lang w:val="en-US" w:eastAsia="zh-CN"/>
                    </w:rPr>
                    <w:t>3.97×10</w:t>
                  </w:r>
                  <w:r>
                    <w:rPr>
                      <w:rFonts w:hint="eastAsia" w:cs="Times New Roman"/>
                      <w:color w:val="auto"/>
                      <w:sz w:val="21"/>
                      <w:szCs w:val="21"/>
                      <w:vertAlign w:val="superscript"/>
                      <w:lang w:val="en-US" w:eastAsia="zh-CN"/>
                    </w:rPr>
                    <w:t>-5</w:t>
                  </w:r>
                </w:p>
              </w:tc>
              <w:tc>
                <w:tcPr>
                  <w:tcW w:w="962" w:type="dxa"/>
                  <w:vAlign w:val="center"/>
                </w:tcPr>
                <w:p w14:paraId="2D349D5A">
                  <w:pPr>
                    <w:keepNext w:val="0"/>
                    <w:keepLines w:val="0"/>
                    <w:suppressLineNumbers w:val="0"/>
                    <w:spacing w:before="0" w:beforeAutospacing="0" w:after="0" w:afterAutospacing="0" w:line="276" w:lineRule="auto"/>
                    <w:ind w:left="0" w:leftChars="0" w:right="0" w:rightChars="0"/>
                    <w:jc w:val="center"/>
                    <w:rPr>
                      <w:rFonts w:hint="default"/>
                      <w:color w:val="auto"/>
                      <w:szCs w:val="21"/>
                      <w:highlight w:val="none"/>
                      <w:lang w:val="en-US" w:eastAsia="zh-CN"/>
                    </w:rPr>
                  </w:pPr>
                  <w:r>
                    <w:rPr>
                      <w:rFonts w:hint="eastAsia" w:cs="Times New Roman"/>
                      <w:color w:val="auto"/>
                      <w:sz w:val="21"/>
                      <w:szCs w:val="21"/>
                      <w:lang w:val="en-US" w:eastAsia="zh-CN"/>
                    </w:rPr>
                    <w:t>2.86×10</w:t>
                  </w:r>
                  <w:r>
                    <w:rPr>
                      <w:rFonts w:hint="eastAsia" w:cs="Times New Roman"/>
                      <w:color w:val="auto"/>
                      <w:sz w:val="21"/>
                      <w:szCs w:val="21"/>
                      <w:vertAlign w:val="superscript"/>
                      <w:lang w:val="en-US" w:eastAsia="zh-CN"/>
                    </w:rPr>
                    <w:t>-6</w:t>
                  </w:r>
                </w:p>
              </w:tc>
              <w:tc>
                <w:tcPr>
                  <w:tcW w:w="592" w:type="pct"/>
                  <w:vAlign w:val="center"/>
                </w:tcPr>
                <w:p w14:paraId="323B18FB">
                  <w:pPr>
                    <w:keepNext w:val="0"/>
                    <w:keepLines w:val="0"/>
                    <w:widowControl/>
                    <w:suppressLineNumbers w:val="0"/>
                    <w:spacing w:before="0" w:beforeAutospacing="0" w:after="0" w:afterAutospacing="0" w:line="276" w:lineRule="auto"/>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2</w:t>
                  </w:r>
                </w:p>
              </w:tc>
            </w:tr>
            <w:tr w14:paraId="09B4C5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557" w:type="pct"/>
                  <w:vMerge w:val="continue"/>
                  <w:vAlign w:val="center"/>
                </w:tcPr>
                <w:p w14:paraId="7582A9AE">
                  <w:pPr>
                    <w:keepNext w:val="0"/>
                    <w:keepLines w:val="0"/>
                    <w:widowControl/>
                    <w:suppressLineNumbers w:val="0"/>
                    <w:spacing w:before="0" w:beforeAutospacing="0" w:after="0" w:afterAutospacing="0" w:line="276" w:lineRule="auto"/>
                    <w:ind w:left="0" w:right="0"/>
                    <w:jc w:val="center"/>
                    <w:rPr>
                      <w:rFonts w:hint="default"/>
                      <w:color w:val="auto"/>
                      <w:szCs w:val="21"/>
                    </w:rPr>
                  </w:pPr>
                </w:p>
              </w:tc>
              <w:tc>
                <w:tcPr>
                  <w:tcW w:w="605" w:type="pct"/>
                  <w:vMerge w:val="continue"/>
                  <w:vAlign w:val="center"/>
                </w:tcPr>
                <w:p w14:paraId="3A5A681A">
                  <w:pPr>
                    <w:keepNext w:val="0"/>
                    <w:keepLines w:val="0"/>
                    <w:widowControl/>
                    <w:suppressLineNumbers w:val="0"/>
                    <w:spacing w:before="0" w:beforeAutospacing="0" w:after="0" w:afterAutospacing="0" w:line="276" w:lineRule="auto"/>
                    <w:ind w:left="0" w:right="0"/>
                    <w:jc w:val="center"/>
                    <w:rPr>
                      <w:rFonts w:hint="eastAsia"/>
                      <w:color w:val="auto"/>
                      <w:szCs w:val="21"/>
                    </w:rPr>
                  </w:pPr>
                </w:p>
              </w:tc>
              <w:tc>
                <w:tcPr>
                  <w:tcW w:w="602" w:type="pct"/>
                  <w:shd w:val="clear" w:color="auto" w:fill="auto"/>
                  <w:vAlign w:val="center"/>
                </w:tcPr>
                <w:p w14:paraId="76BBBDC6">
                  <w:pPr>
                    <w:keepNext w:val="0"/>
                    <w:keepLines w:val="0"/>
                    <w:suppressLineNumbers w:val="0"/>
                    <w:wordWrap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苯乙烯</w:t>
                  </w:r>
                </w:p>
              </w:tc>
              <w:tc>
                <w:tcPr>
                  <w:tcW w:w="540" w:type="pct"/>
                  <w:vAlign w:val="center"/>
                </w:tcPr>
                <w:p w14:paraId="29C1593D">
                  <w:pPr>
                    <w:keepNext w:val="0"/>
                    <w:keepLines w:val="0"/>
                    <w:widowControl/>
                    <w:suppressLineNumbers w:val="0"/>
                    <w:spacing w:before="0" w:beforeAutospacing="0" w:after="0" w:afterAutospacing="0" w:line="276" w:lineRule="auto"/>
                    <w:ind w:left="0" w:right="0"/>
                    <w:jc w:val="center"/>
                    <w:rPr>
                      <w:rFonts w:hint="eastAsia"/>
                      <w:color w:val="auto"/>
                      <w:szCs w:val="21"/>
                      <w:highlight w:val="none"/>
                    </w:rPr>
                  </w:pPr>
                  <w:r>
                    <w:rPr>
                      <w:rFonts w:hint="eastAsia"/>
                      <w:color w:val="auto"/>
                      <w:szCs w:val="21"/>
                      <w:highlight w:val="none"/>
                      <w:lang w:val="en-US" w:eastAsia="zh-CN"/>
                    </w:rPr>
                    <w:t>0.5</w:t>
                  </w:r>
                </w:p>
              </w:tc>
              <w:tc>
                <w:tcPr>
                  <w:tcW w:w="1061" w:type="dxa"/>
                  <w:vAlign w:val="center"/>
                </w:tcPr>
                <w:p w14:paraId="077F9E30">
                  <w:pPr>
                    <w:keepNext w:val="0"/>
                    <w:keepLines w:val="0"/>
                    <w:suppressLineNumbers w:val="0"/>
                    <w:spacing w:before="0" w:beforeAutospacing="0" w:after="0" w:afterAutospacing="0" w:line="276" w:lineRule="auto"/>
                    <w:ind w:left="0" w:leftChars="0" w:right="0" w:rightChars="0"/>
                    <w:jc w:val="center"/>
                    <w:rPr>
                      <w:rFonts w:hint="default"/>
                      <w:color w:val="auto"/>
                      <w:szCs w:val="21"/>
                      <w:highlight w:val="none"/>
                      <w:lang w:val="en-US" w:eastAsia="zh-CN"/>
                    </w:rPr>
                  </w:pPr>
                  <w:r>
                    <w:rPr>
                      <w:rFonts w:hint="eastAsia" w:cs="Times New Roman"/>
                      <w:color w:val="auto"/>
                      <w:sz w:val="21"/>
                      <w:szCs w:val="21"/>
                      <w:lang w:val="en-US" w:eastAsia="zh-CN"/>
                    </w:rPr>
                    <w:t>5.77×10</w:t>
                  </w:r>
                  <w:r>
                    <w:rPr>
                      <w:rFonts w:hint="eastAsia" w:cs="Times New Roman"/>
                      <w:color w:val="auto"/>
                      <w:sz w:val="21"/>
                      <w:szCs w:val="21"/>
                      <w:vertAlign w:val="superscript"/>
                      <w:lang w:val="en-US" w:eastAsia="zh-CN"/>
                    </w:rPr>
                    <w:t>-7</w:t>
                  </w:r>
                </w:p>
              </w:tc>
              <w:tc>
                <w:tcPr>
                  <w:tcW w:w="1326" w:type="dxa"/>
                  <w:vAlign w:val="center"/>
                </w:tcPr>
                <w:p w14:paraId="6221C16B">
                  <w:pPr>
                    <w:keepNext w:val="0"/>
                    <w:keepLines w:val="0"/>
                    <w:suppressLineNumbers w:val="0"/>
                    <w:spacing w:before="0" w:beforeAutospacing="0" w:after="0" w:afterAutospacing="0" w:line="276" w:lineRule="auto"/>
                    <w:ind w:left="0" w:leftChars="0" w:right="0" w:rightChars="0"/>
                    <w:jc w:val="center"/>
                    <w:rPr>
                      <w:rFonts w:hint="default"/>
                      <w:color w:val="auto"/>
                      <w:szCs w:val="21"/>
                      <w:highlight w:val="none"/>
                      <w:lang w:val="en-US" w:eastAsia="zh-CN"/>
                    </w:rPr>
                  </w:pPr>
                  <w:r>
                    <w:rPr>
                      <w:rFonts w:hint="eastAsia" w:cs="Times New Roman"/>
                      <w:color w:val="auto"/>
                      <w:sz w:val="21"/>
                      <w:szCs w:val="21"/>
                      <w:lang w:val="en-US" w:eastAsia="zh-CN"/>
                    </w:rPr>
                    <w:t>2.40×10</w:t>
                  </w:r>
                  <w:r>
                    <w:rPr>
                      <w:rFonts w:hint="eastAsia" w:cs="Times New Roman"/>
                      <w:color w:val="auto"/>
                      <w:sz w:val="21"/>
                      <w:szCs w:val="21"/>
                      <w:vertAlign w:val="superscript"/>
                      <w:lang w:val="en-US" w:eastAsia="zh-CN"/>
                    </w:rPr>
                    <w:t>-5</w:t>
                  </w:r>
                </w:p>
              </w:tc>
              <w:tc>
                <w:tcPr>
                  <w:tcW w:w="962" w:type="dxa"/>
                  <w:vAlign w:val="center"/>
                </w:tcPr>
                <w:p w14:paraId="184731D4">
                  <w:pPr>
                    <w:keepNext w:val="0"/>
                    <w:keepLines w:val="0"/>
                    <w:suppressLineNumbers w:val="0"/>
                    <w:spacing w:before="0" w:beforeAutospacing="0" w:after="0" w:afterAutospacing="0" w:line="276" w:lineRule="auto"/>
                    <w:ind w:left="0" w:leftChars="0" w:right="0" w:rightChars="0"/>
                    <w:jc w:val="center"/>
                    <w:rPr>
                      <w:rFonts w:hint="default"/>
                      <w:color w:val="auto"/>
                      <w:szCs w:val="21"/>
                      <w:highlight w:val="none"/>
                      <w:lang w:val="en-US" w:eastAsia="zh-CN"/>
                    </w:rPr>
                  </w:pPr>
                  <w:r>
                    <w:rPr>
                      <w:rFonts w:hint="eastAsia" w:cs="Times New Roman"/>
                      <w:color w:val="auto"/>
                      <w:sz w:val="21"/>
                      <w:szCs w:val="21"/>
                      <w:lang w:val="en-US" w:eastAsia="zh-CN"/>
                    </w:rPr>
                    <w:t>1.73×10</w:t>
                  </w:r>
                  <w:r>
                    <w:rPr>
                      <w:rFonts w:hint="eastAsia" w:cs="Times New Roman"/>
                      <w:color w:val="auto"/>
                      <w:sz w:val="21"/>
                      <w:szCs w:val="21"/>
                      <w:vertAlign w:val="superscript"/>
                      <w:lang w:val="en-US" w:eastAsia="zh-CN"/>
                    </w:rPr>
                    <w:t>-6</w:t>
                  </w:r>
                </w:p>
              </w:tc>
              <w:tc>
                <w:tcPr>
                  <w:tcW w:w="592" w:type="pct"/>
                  <w:vAlign w:val="center"/>
                </w:tcPr>
                <w:p w14:paraId="19ACF227">
                  <w:pPr>
                    <w:keepNext w:val="0"/>
                    <w:keepLines w:val="0"/>
                    <w:widowControl/>
                    <w:suppressLineNumbers w:val="0"/>
                    <w:spacing w:before="0" w:beforeAutospacing="0" w:after="0" w:afterAutospacing="0" w:line="276" w:lineRule="auto"/>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2</w:t>
                  </w:r>
                </w:p>
              </w:tc>
            </w:tr>
            <w:tr w14:paraId="08EF47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557" w:type="pct"/>
                  <w:vMerge w:val="continue"/>
                  <w:vAlign w:val="center"/>
                </w:tcPr>
                <w:p w14:paraId="71D7C479">
                  <w:pPr>
                    <w:keepNext w:val="0"/>
                    <w:keepLines w:val="0"/>
                    <w:widowControl/>
                    <w:suppressLineNumbers w:val="0"/>
                    <w:spacing w:before="0" w:beforeAutospacing="0" w:after="0" w:afterAutospacing="0" w:line="276" w:lineRule="auto"/>
                    <w:ind w:left="0" w:right="0"/>
                    <w:jc w:val="center"/>
                    <w:rPr>
                      <w:rFonts w:hint="default"/>
                      <w:color w:val="auto"/>
                      <w:szCs w:val="21"/>
                    </w:rPr>
                  </w:pPr>
                </w:p>
              </w:tc>
              <w:tc>
                <w:tcPr>
                  <w:tcW w:w="605" w:type="pct"/>
                  <w:vMerge w:val="continue"/>
                  <w:vAlign w:val="center"/>
                </w:tcPr>
                <w:p w14:paraId="0A0B18B9">
                  <w:pPr>
                    <w:keepNext w:val="0"/>
                    <w:keepLines w:val="0"/>
                    <w:widowControl/>
                    <w:suppressLineNumbers w:val="0"/>
                    <w:spacing w:before="0" w:beforeAutospacing="0" w:after="0" w:afterAutospacing="0" w:line="276" w:lineRule="auto"/>
                    <w:ind w:left="0" w:right="0"/>
                    <w:jc w:val="center"/>
                    <w:rPr>
                      <w:rFonts w:hint="eastAsia"/>
                      <w:color w:val="auto"/>
                      <w:szCs w:val="21"/>
                    </w:rPr>
                  </w:pPr>
                </w:p>
              </w:tc>
              <w:tc>
                <w:tcPr>
                  <w:tcW w:w="602" w:type="pct"/>
                  <w:shd w:val="clear" w:color="auto" w:fill="auto"/>
                  <w:vAlign w:val="center"/>
                </w:tcPr>
                <w:p w14:paraId="15024C4E">
                  <w:pPr>
                    <w:keepNext w:val="0"/>
                    <w:keepLines w:val="0"/>
                    <w:suppressLineNumbers w:val="0"/>
                    <w:wordWrap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苯</w:t>
                  </w:r>
                </w:p>
              </w:tc>
              <w:tc>
                <w:tcPr>
                  <w:tcW w:w="540" w:type="pct"/>
                  <w:vAlign w:val="center"/>
                </w:tcPr>
                <w:p w14:paraId="187571F2">
                  <w:pPr>
                    <w:keepNext w:val="0"/>
                    <w:keepLines w:val="0"/>
                    <w:widowControl/>
                    <w:suppressLineNumbers w:val="0"/>
                    <w:spacing w:before="0" w:beforeAutospacing="0" w:after="0" w:afterAutospacing="0" w:line="276" w:lineRule="auto"/>
                    <w:ind w:left="0" w:right="0"/>
                    <w:jc w:val="center"/>
                    <w:rPr>
                      <w:rFonts w:hint="eastAsia"/>
                      <w:color w:val="auto"/>
                      <w:szCs w:val="21"/>
                      <w:highlight w:val="none"/>
                    </w:rPr>
                  </w:pPr>
                  <w:r>
                    <w:rPr>
                      <w:rFonts w:hint="eastAsia"/>
                      <w:color w:val="auto"/>
                      <w:szCs w:val="21"/>
                      <w:highlight w:val="none"/>
                      <w:lang w:val="en-US" w:eastAsia="zh-CN"/>
                    </w:rPr>
                    <w:t>0.5</w:t>
                  </w:r>
                </w:p>
              </w:tc>
              <w:tc>
                <w:tcPr>
                  <w:tcW w:w="1061" w:type="dxa"/>
                  <w:vAlign w:val="center"/>
                </w:tcPr>
                <w:p w14:paraId="2400CC46">
                  <w:pPr>
                    <w:keepNext w:val="0"/>
                    <w:keepLines w:val="0"/>
                    <w:suppressLineNumbers w:val="0"/>
                    <w:spacing w:before="0" w:beforeAutospacing="0" w:after="0" w:afterAutospacing="0" w:line="276" w:lineRule="auto"/>
                    <w:ind w:left="0" w:leftChars="0" w:right="0" w:rightChars="0"/>
                    <w:jc w:val="center"/>
                    <w:rPr>
                      <w:rFonts w:hint="default"/>
                      <w:color w:val="auto"/>
                      <w:szCs w:val="21"/>
                      <w:highlight w:val="none"/>
                      <w:lang w:val="en-US" w:eastAsia="zh-CN"/>
                    </w:rPr>
                  </w:pPr>
                  <w:r>
                    <w:rPr>
                      <w:rFonts w:hint="eastAsia" w:cs="Times New Roman"/>
                      <w:color w:val="auto"/>
                      <w:sz w:val="21"/>
                      <w:szCs w:val="21"/>
                      <w:lang w:val="en-US" w:eastAsia="zh-CN"/>
                    </w:rPr>
                    <w:t>3.73×10</w:t>
                  </w:r>
                  <w:r>
                    <w:rPr>
                      <w:rFonts w:hint="eastAsia" w:cs="Times New Roman"/>
                      <w:color w:val="auto"/>
                      <w:sz w:val="21"/>
                      <w:szCs w:val="21"/>
                      <w:vertAlign w:val="superscript"/>
                      <w:lang w:val="en-US" w:eastAsia="zh-CN"/>
                    </w:rPr>
                    <w:t>-6</w:t>
                  </w:r>
                </w:p>
              </w:tc>
              <w:tc>
                <w:tcPr>
                  <w:tcW w:w="1326" w:type="dxa"/>
                  <w:vAlign w:val="center"/>
                </w:tcPr>
                <w:p w14:paraId="58198201">
                  <w:pPr>
                    <w:keepNext w:val="0"/>
                    <w:keepLines w:val="0"/>
                    <w:suppressLineNumbers w:val="0"/>
                    <w:spacing w:before="0" w:beforeAutospacing="0" w:after="0" w:afterAutospacing="0" w:line="276" w:lineRule="auto"/>
                    <w:ind w:left="0" w:leftChars="0" w:right="0" w:rightChars="0"/>
                    <w:jc w:val="center"/>
                    <w:rPr>
                      <w:rFonts w:hint="default"/>
                      <w:color w:val="auto"/>
                      <w:szCs w:val="21"/>
                      <w:highlight w:val="none"/>
                      <w:lang w:val="en-US" w:eastAsia="zh-CN"/>
                    </w:rPr>
                  </w:pPr>
                  <w:r>
                    <w:rPr>
                      <w:rFonts w:hint="eastAsia" w:cs="Times New Roman"/>
                      <w:color w:val="auto"/>
                      <w:sz w:val="21"/>
                      <w:szCs w:val="21"/>
                      <w:lang w:val="en-US" w:eastAsia="zh-CN"/>
                    </w:rPr>
                    <w:t>1.56×10</w:t>
                  </w:r>
                  <w:r>
                    <w:rPr>
                      <w:rFonts w:hint="eastAsia" w:cs="Times New Roman"/>
                      <w:color w:val="auto"/>
                      <w:sz w:val="21"/>
                      <w:szCs w:val="21"/>
                      <w:vertAlign w:val="superscript"/>
                      <w:lang w:val="en-US" w:eastAsia="zh-CN"/>
                    </w:rPr>
                    <w:t>-4</w:t>
                  </w:r>
                </w:p>
              </w:tc>
              <w:tc>
                <w:tcPr>
                  <w:tcW w:w="962" w:type="dxa"/>
                  <w:vAlign w:val="center"/>
                </w:tcPr>
                <w:p w14:paraId="77BF5FBE">
                  <w:pPr>
                    <w:keepNext w:val="0"/>
                    <w:keepLines w:val="0"/>
                    <w:suppressLineNumbers w:val="0"/>
                    <w:spacing w:before="0" w:beforeAutospacing="0" w:after="0" w:afterAutospacing="0" w:line="276" w:lineRule="auto"/>
                    <w:ind w:left="0" w:leftChars="0" w:right="0" w:rightChars="0"/>
                    <w:jc w:val="center"/>
                    <w:rPr>
                      <w:rFonts w:hint="default"/>
                      <w:color w:val="auto"/>
                      <w:szCs w:val="21"/>
                      <w:highlight w:val="none"/>
                      <w:lang w:val="en-US" w:eastAsia="zh-CN"/>
                    </w:rPr>
                  </w:pPr>
                  <w:r>
                    <w:rPr>
                      <w:rFonts w:hint="eastAsia" w:cs="Times New Roman"/>
                      <w:color w:val="auto"/>
                      <w:sz w:val="21"/>
                      <w:szCs w:val="21"/>
                      <w:lang w:val="en-US" w:eastAsia="zh-CN"/>
                    </w:rPr>
                    <w:t>1.12×10</w:t>
                  </w:r>
                  <w:r>
                    <w:rPr>
                      <w:rFonts w:hint="eastAsia" w:cs="Times New Roman"/>
                      <w:color w:val="auto"/>
                      <w:sz w:val="21"/>
                      <w:szCs w:val="21"/>
                      <w:vertAlign w:val="superscript"/>
                      <w:lang w:val="en-US" w:eastAsia="zh-CN"/>
                    </w:rPr>
                    <w:t>-5</w:t>
                  </w:r>
                </w:p>
              </w:tc>
              <w:tc>
                <w:tcPr>
                  <w:tcW w:w="592" w:type="pct"/>
                  <w:vAlign w:val="center"/>
                </w:tcPr>
                <w:p w14:paraId="6C134780">
                  <w:pPr>
                    <w:keepNext w:val="0"/>
                    <w:keepLines w:val="0"/>
                    <w:widowControl/>
                    <w:suppressLineNumbers w:val="0"/>
                    <w:spacing w:before="0" w:beforeAutospacing="0" w:after="0" w:afterAutospacing="0" w:line="276" w:lineRule="auto"/>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2</w:t>
                  </w:r>
                </w:p>
              </w:tc>
            </w:tr>
            <w:tr w14:paraId="2C2B46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557" w:type="pct"/>
                  <w:vMerge w:val="continue"/>
                  <w:vAlign w:val="center"/>
                </w:tcPr>
                <w:p w14:paraId="3D60D7C2">
                  <w:pPr>
                    <w:keepNext w:val="0"/>
                    <w:keepLines w:val="0"/>
                    <w:widowControl/>
                    <w:suppressLineNumbers w:val="0"/>
                    <w:spacing w:before="0" w:beforeAutospacing="0" w:after="0" w:afterAutospacing="0" w:line="276" w:lineRule="auto"/>
                    <w:ind w:left="0" w:right="0"/>
                    <w:jc w:val="center"/>
                    <w:rPr>
                      <w:rFonts w:hint="default"/>
                      <w:color w:val="auto"/>
                      <w:szCs w:val="21"/>
                    </w:rPr>
                  </w:pPr>
                </w:p>
              </w:tc>
              <w:tc>
                <w:tcPr>
                  <w:tcW w:w="605" w:type="pct"/>
                  <w:vMerge w:val="continue"/>
                  <w:vAlign w:val="center"/>
                </w:tcPr>
                <w:p w14:paraId="7D6729AE">
                  <w:pPr>
                    <w:keepNext w:val="0"/>
                    <w:keepLines w:val="0"/>
                    <w:widowControl/>
                    <w:suppressLineNumbers w:val="0"/>
                    <w:spacing w:before="0" w:beforeAutospacing="0" w:after="0" w:afterAutospacing="0" w:line="276" w:lineRule="auto"/>
                    <w:ind w:left="0" w:right="0"/>
                    <w:jc w:val="center"/>
                    <w:rPr>
                      <w:rFonts w:hint="eastAsia"/>
                      <w:color w:val="auto"/>
                      <w:szCs w:val="21"/>
                    </w:rPr>
                  </w:pPr>
                </w:p>
              </w:tc>
              <w:tc>
                <w:tcPr>
                  <w:tcW w:w="602" w:type="pct"/>
                  <w:shd w:val="clear" w:color="auto" w:fill="auto"/>
                  <w:vAlign w:val="center"/>
                </w:tcPr>
                <w:p w14:paraId="5F6C3A03">
                  <w:pPr>
                    <w:keepNext w:val="0"/>
                    <w:keepLines w:val="0"/>
                    <w:suppressLineNumbers w:val="0"/>
                    <w:wordWrap w:val="0"/>
                    <w:spacing w:before="0" w:beforeAutospacing="0" w:after="0" w:afterAutospacing="0" w:line="276" w:lineRule="auto"/>
                    <w:ind w:left="0" w:leftChars="0" w:right="0" w:rightChars="0"/>
                    <w:jc w:val="center"/>
                    <w:rPr>
                      <w:rFonts w:hint="default"/>
                      <w:color w:val="auto"/>
                      <w:szCs w:val="21"/>
                      <w:lang w:val="en-US" w:eastAsia="zh-CN"/>
                    </w:rPr>
                  </w:pPr>
                  <w:r>
                    <w:rPr>
                      <w:rFonts w:hint="eastAsia"/>
                      <w:color w:val="auto"/>
                      <w:szCs w:val="21"/>
                      <w:lang w:val="en-US" w:eastAsia="zh-CN"/>
                    </w:rPr>
                    <w:t>二甲苯</w:t>
                  </w:r>
                </w:p>
              </w:tc>
              <w:tc>
                <w:tcPr>
                  <w:tcW w:w="540" w:type="pct"/>
                  <w:vAlign w:val="center"/>
                </w:tcPr>
                <w:p w14:paraId="166EA47B">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0.5</w:t>
                  </w:r>
                </w:p>
              </w:tc>
              <w:tc>
                <w:tcPr>
                  <w:tcW w:w="1061" w:type="dxa"/>
                  <w:vAlign w:val="center"/>
                </w:tcPr>
                <w:p w14:paraId="4D37C8BD">
                  <w:pPr>
                    <w:keepNext w:val="0"/>
                    <w:keepLines w:val="0"/>
                    <w:suppressLineNumbers w:val="0"/>
                    <w:spacing w:before="0" w:beforeAutospacing="0" w:after="0" w:afterAutospacing="0" w:line="276" w:lineRule="auto"/>
                    <w:ind w:left="0" w:leftChars="0" w:right="0" w:rightChars="0"/>
                    <w:jc w:val="center"/>
                    <w:rPr>
                      <w:rFonts w:hint="eastAsia"/>
                      <w:color w:val="auto"/>
                      <w:szCs w:val="21"/>
                      <w:highlight w:val="none"/>
                      <w:lang w:val="en-US" w:eastAsia="zh-CN"/>
                    </w:rPr>
                  </w:pPr>
                  <w:r>
                    <w:rPr>
                      <w:rFonts w:hint="eastAsia" w:cs="Times New Roman"/>
                      <w:color w:val="auto"/>
                      <w:sz w:val="21"/>
                      <w:szCs w:val="21"/>
                      <w:lang w:val="en-US" w:eastAsia="zh-CN"/>
                    </w:rPr>
                    <w:t>1.42×10</w:t>
                  </w:r>
                  <w:r>
                    <w:rPr>
                      <w:rFonts w:hint="eastAsia" w:cs="Times New Roman"/>
                      <w:color w:val="auto"/>
                      <w:sz w:val="21"/>
                      <w:szCs w:val="21"/>
                      <w:vertAlign w:val="superscript"/>
                      <w:lang w:val="en-US" w:eastAsia="zh-CN"/>
                    </w:rPr>
                    <w:t>-5</w:t>
                  </w:r>
                </w:p>
              </w:tc>
              <w:tc>
                <w:tcPr>
                  <w:tcW w:w="1326" w:type="dxa"/>
                  <w:vAlign w:val="center"/>
                </w:tcPr>
                <w:p w14:paraId="771066F5">
                  <w:pPr>
                    <w:keepNext w:val="0"/>
                    <w:keepLines w:val="0"/>
                    <w:suppressLineNumbers w:val="0"/>
                    <w:spacing w:before="0" w:beforeAutospacing="0" w:after="0" w:afterAutospacing="0" w:line="276" w:lineRule="auto"/>
                    <w:ind w:left="0" w:leftChars="0" w:right="0" w:rightChars="0"/>
                    <w:jc w:val="center"/>
                    <w:rPr>
                      <w:rFonts w:hint="default"/>
                      <w:color w:val="auto"/>
                      <w:szCs w:val="21"/>
                      <w:highlight w:val="none"/>
                      <w:lang w:val="en-US" w:eastAsia="zh-CN"/>
                    </w:rPr>
                  </w:pPr>
                  <w:r>
                    <w:rPr>
                      <w:rFonts w:hint="eastAsia" w:cs="Times New Roman"/>
                      <w:color w:val="auto"/>
                      <w:sz w:val="21"/>
                      <w:szCs w:val="21"/>
                      <w:lang w:val="en-US" w:eastAsia="zh-CN"/>
                    </w:rPr>
                    <w:t>5.90×10</w:t>
                  </w:r>
                  <w:r>
                    <w:rPr>
                      <w:rFonts w:hint="eastAsia" w:cs="Times New Roman"/>
                      <w:color w:val="auto"/>
                      <w:sz w:val="21"/>
                      <w:szCs w:val="21"/>
                      <w:vertAlign w:val="superscript"/>
                      <w:lang w:val="en-US" w:eastAsia="zh-CN"/>
                    </w:rPr>
                    <w:t>-4</w:t>
                  </w:r>
                </w:p>
              </w:tc>
              <w:tc>
                <w:tcPr>
                  <w:tcW w:w="962" w:type="dxa"/>
                  <w:vAlign w:val="center"/>
                </w:tcPr>
                <w:p w14:paraId="0C5DBA7C">
                  <w:pPr>
                    <w:keepNext w:val="0"/>
                    <w:keepLines w:val="0"/>
                    <w:suppressLineNumbers w:val="0"/>
                    <w:spacing w:before="0" w:beforeAutospacing="0" w:after="0" w:afterAutospacing="0" w:line="276" w:lineRule="auto"/>
                    <w:ind w:left="0" w:leftChars="0" w:right="0" w:rightChars="0"/>
                    <w:jc w:val="center"/>
                    <w:rPr>
                      <w:rFonts w:hint="default"/>
                      <w:color w:val="auto"/>
                      <w:szCs w:val="21"/>
                      <w:highlight w:val="none"/>
                      <w:lang w:val="en-US" w:eastAsia="zh-CN"/>
                    </w:rPr>
                  </w:pPr>
                  <w:r>
                    <w:rPr>
                      <w:rFonts w:hint="eastAsia" w:cs="Times New Roman"/>
                      <w:color w:val="auto"/>
                      <w:sz w:val="21"/>
                      <w:szCs w:val="21"/>
                      <w:lang w:val="en-US" w:eastAsia="zh-CN"/>
                    </w:rPr>
                    <w:t>4.25×10</w:t>
                  </w:r>
                  <w:r>
                    <w:rPr>
                      <w:rFonts w:hint="eastAsia" w:cs="Times New Roman"/>
                      <w:color w:val="auto"/>
                      <w:sz w:val="21"/>
                      <w:szCs w:val="21"/>
                      <w:vertAlign w:val="superscript"/>
                      <w:lang w:val="en-US" w:eastAsia="zh-CN"/>
                    </w:rPr>
                    <w:t>-5</w:t>
                  </w:r>
                </w:p>
              </w:tc>
              <w:tc>
                <w:tcPr>
                  <w:tcW w:w="592" w:type="pct"/>
                  <w:vAlign w:val="center"/>
                </w:tcPr>
                <w:p w14:paraId="3FA3F605">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2</w:t>
                  </w:r>
                </w:p>
              </w:tc>
            </w:tr>
            <w:tr w14:paraId="183F91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557" w:type="pct"/>
                  <w:vAlign w:val="center"/>
                </w:tcPr>
                <w:p w14:paraId="5A48F611">
                  <w:pPr>
                    <w:keepNext w:val="0"/>
                    <w:keepLines w:val="0"/>
                    <w:widowControl/>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DA002</w:t>
                  </w:r>
                </w:p>
              </w:tc>
              <w:tc>
                <w:tcPr>
                  <w:tcW w:w="605" w:type="pct"/>
                  <w:shd w:val="clear" w:color="auto" w:fill="auto"/>
                  <w:vAlign w:val="center"/>
                </w:tcPr>
                <w:p w14:paraId="4C84AAC2">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滤袋堵塞，处理效率降低</w:t>
                  </w:r>
                </w:p>
              </w:tc>
              <w:tc>
                <w:tcPr>
                  <w:tcW w:w="602" w:type="pct"/>
                  <w:shd w:val="clear" w:color="auto" w:fill="auto"/>
                  <w:vAlign w:val="center"/>
                </w:tcPr>
                <w:p w14:paraId="77D14ED9">
                  <w:pPr>
                    <w:keepNext w:val="0"/>
                    <w:keepLines w:val="0"/>
                    <w:widowControl/>
                    <w:suppressLineNumbers w:val="0"/>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颗粒物</w:t>
                  </w:r>
                </w:p>
              </w:tc>
              <w:tc>
                <w:tcPr>
                  <w:tcW w:w="540" w:type="pct"/>
                  <w:shd w:val="clear" w:color="auto" w:fill="auto"/>
                  <w:vAlign w:val="center"/>
                </w:tcPr>
                <w:p w14:paraId="2A0AAB0B">
                  <w:pPr>
                    <w:keepNext w:val="0"/>
                    <w:keepLines w:val="0"/>
                    <w:widowControl/>
                    <w:suppressLineNumbers w:val="0"/>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0.5</w:t>
                  </w:r>
                </w:p>
              </w:tc>
              <w:tc>
                <w:tcPr>
                  <w:tcW w:w="665" w:type="pct"/>
                  <w:vAlign w:val="center"/>
                </w:tcPr>
                <w:p w14:paraId="449C4297">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9.93</w:t>
                  </w:r>
                </w:p>
              </w:tc>
              <w:tc>
                <w:tcPr>
                  <w:tcW w:w="831" w:type="pct"/>
                  <w:vAlign w:val="center"/>
                </w:tcPr>
                <w:p w14:paraId="353895F8">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1103</w:t>
                  </w:r>
                </w:p>
              </w:tc>
              <w:tc>
                <w:tcPr>
                  <w:tcW w:w="603" w:type="pct"/>
                  <w:vAlign w:val="center"/>
                </w:tcPr>
                <w:p w14:paraId="39652994">
                  <w:pPr>
                    <w:keepNext w:val="0"/>
                    <w:keepLines w:val="0"/>
                    <w:widowControl/>
                    <w:suppressLineNumbers w:val="0"/>
                    <w:spacing w:before="0" w:beforeAutospacing="0" w:after="0" w:afterAutospacing="0" w:line="276" w:lineRule="auto"/>
                    <w:ind w:left="0" w:right="0"/>
                    <w:jc w:val="center"/>
                    <w:rPr>
                      <w:rFonts w:hint="default"/>
                      <w:color w:val="auto"/>
                      <w:szCs w:val="21"/>
                      <w:highlight w:val="none"/>
                      <w:lang w:val="en-US" w:eastAsia="zh-CN"/>
                    </w:rPr>
                  </w:pPr>
                  <w:r>
                    <w:rPr>
                      <w:rFonts w:hint="eastAsia"/>
                      <w:color w:val="auto"/>
                      <w:szCs w:val="21"/>
                      <w:highlight w:val="none"/>
                      <w:lang w:val="en-US" w:eastAsia="zh-CN"/>
                    </w:rPr>
                    <w:t>0.005</w:t>
                  </w:r>
                </w:p>
              </w:tc>
              <w:tc>
                <w:tcPr>
                  <w:tcW w:w="592" w:type="pct"/>
                  <w:vAlign w:val="center"/>
                </w:tcPr>
                <w:p w14:paraId="0D75D8E5">
                  <w:pPr>
                    <w:keepNext w:val="0"/>
                    <w:keepLines w:val="0"/>
                    <w:widowControl/>
                    <w:suppressLineNumbers w:val="0"/>
                    <w:spacing w:before="0" w:beforeAutospacing="0" w:after="0" w:afterAutospacing="0" w:line="276" w:lineRule="auto"/>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2</w:t>
                  </w:r>
                </w:p>
              </w:tc>
            </w:tr>
          </w:tbl>
          <w:p w14:paraId="57E444F6">
            <w:pPr>
              <w:keepNext w:val="0"/>
              <w:keepLines w:val="0"/>
              <w:suppressLineNumbers w:val="0"/>
              <w:spacing w:before="0" w:beforeAutospacing="0" w:after="0" w:afterAutospacing="0" w:line="360" w:lineRule="auto"/>
              <w:ind w:left="0" w:right="0" w:firstLine="480" w:firstLineChars="200"/>
              <w:jc w:val="left"/>
              <w:rPr>
                <w:rFonts w:hint="default"/>
                <w:bCs/>
                <w:color w:val="auto"/>
                <w:sz w:val="24"/>
                <w:szCs w:val="24"/>
              </w:rPr>
            </w:pPr>
            <w:r>
              <w:rPr>
                <w:rFonts w:hint="eastAsia"/>
                <w:bCs/>
                <w:color w:val="auto"/>
                <w:sz w:val="24"/>
                <w:szCs w:val="24"/>
              </w:rPr>
              <w:t>由上表可知，本项目在污染治理设施非正常运行时，短时间内污染物排放浓度较大，但由于持续时间较短，污染物的排放量不会明显增加。此外，为保证废气治理设施处理效率，应做好以下措施：</w:t>
            </w:r>
          </w:p>
          <w:p w14:paraId="10F5153B">
            <w:pPr>
              <w:keepNext w:val="0"/>
              <w:keepLines w:val="0"/>
              <w:suppressLineNumbers w:val="0"/>
              <w:spacing w:before="0" w:beforeAutospacing="0" w:after="0" w:afterAutospacing="0" w:line="360" w:lineRule="auto"/>
              <w:ind w:left="0" w:right="0" w:firstLine="480" w:firstLineChars="200"/>
              <w:jc w:val="left"/>
              <w:rPr>
                <w:rFonts w:hint="default"/>
                <w:bCs/>
                <w:color w:val="auto"/>
                <w:sz w:val="24"/>
                <w:szCs w:val="24"/>
              </w:rPr>
            </w:pPr>
            <w:r>
              <w:rPr>
                <w:rFonts w:hint="eastAsia"/>
                <w:bCs/>
                <w:color w:val="auto"/>
                <w:sz w:val="24"/>
                <w:szCs w:val="24"/>
              </w:rPr>
              <w:t>①建设单位要定期对废气处理系统等环保设施进行维护和保养，定期更换活性炭</w:t>
            </w:r>
            <w:r>
              <w:rPr>
                <w:rFonts w:hint="eastAsia"/>
                <w:bCs/>
                <w:color w:val="auto"/>
                <w:sz w:val="24"/>
                <w:szCs w:val="24"/>
                <w:lang w:eastAsia="zh-CN"/>
              </w:rPr>
              <w:t>、</w:t>
            </w:r>
            <w:r>
              <w:rPr>
                <w:rFonts w:hint="eastAsia"/>
                <w:bCs/>
                <w:color w:val="auto"/>
                <w:sz w:val="24"/>
                <w:szCs w:val="24"/>
                <w:lang w:val="en-US" w:eastAsia="zh-CN"/>
              </w:rPr>
              <w:t>定期清理除尘器收集粉尘及滤袋附着灰尘</w:t>
            </w:r>
            <w:r>
              <w:rPr>
                <w:rFonts w:hint="eastAsia"/>
                <w:bCs/>
                <w:color w:val="auto"/>
                <w:sz w:val="24"/>
                <w:szCs w:val="24"/>
              </w:rPr>
              <w:t>，一旦发现设施运行异常，应立即停止生产，迅速抢修或更换，待废气处理设施运行正常后恢复生产。</w:t>
            </w:r>
          </w:p>
          <w:p w14:paraId="1314304E">
            <w:pPr>
              <w:keepNext w:val="0"/>
              <w:keepLines w:val="0"/>
              <w:suppressLineNumbers w:val="0"/>
              <w:spacing w:before="0" w:beforeAutospacing="0" w:after="0" w:afterAutospacing="0" w:line="360" w:lineRule="auto"/>
              <w:ind w:left="0" w:right="0" w:firstLine="480" w:firstLineChars="200"/>
              <w:jc w:val="left"/>
              <w:rPr>
                <w:rFonts w:hint="default"/>
                <w:bCs/>
                <w:color w:val="auto"/>
                <w:sz w:val="24"/>
                <w:szCs w:val="24"/>
              </w:rPr>
            </w:pPr>
            <w:r>
              <w:rPr>
                <w:rFonts w:hint="eastAsia"/>
                <w:bCs/>
                <w:color w:val="auto"/>
                <w:sz w:val="24"/>
                <w:szCs w:val="24"/>
              </w:rPr>
              <w:t>②建议设有备用电源、备用处理设备和备用零件，以备停电或设备出现故障时保障及时更换，使废气全部达标排放。</w:t>
            </w:r>
          </w:p>
          <w:p w14:paraId="1818A7FB">
            <w:pPr>
              <w:keepNext w:val="0"/>
              <w:keepLines w:val="0"/>
              <w:suppressLineNumbers w:val="0"/>
              <w:spacing w:before="0" w:beforeAutospacing="0" w:after="0" w:afterAutospacing="0" w:line="360" w:lineRule="auto"/>
              <w:ind w:left="0" w:right="0" w:firstLine="480" w:firstLineChars="200"/>
              <w:jc w:val="left"/>
              <w:rPr>
                <w:rFonts w:hint="default"/>
                <w:bCs/>
                <w:color w:val="auto"/>
                <w:sz w:val="24"/>
                <w:szCs w:val="24"/>
              </w:rPr>
            </w:pPr>
            <w:r>
              <w:rPr>
                <w:rFonts w:hint="eastAsia"/>
                <w:bCs/>
                <w:color w:val="auto"/>
                <w:sz w:val="24"/>
                <w:szCs w:val="24"/>
              </w:rPr>
              <w:t>③对员工进行岗位培训。做好值班记录，实行岗位责任制。</w:t>
            </w:r>
          </w:p>
          <w:p w14:paraId="10ACFE85">
            <w:pPr>
              <w:keepNext w:val="0"/>
              <w:keepLines w:val="0"/>
              <w:suppressLineNumbers w:val="0"/>
              <w:spacing w:before="0" w:beforeAutospacing="0" w:after="0" w:afterAutospacing="0" w:line="360" w:lineRule="auto"/>
              <w:ind w:left="0" w:right="0" w:firstLine="482" w:firstLineChars="200"/>
              <w:jc w:val="left"/>
              <w:rPr>
                <w:rFonts w:hint="eastAsia"/>
                <w:b/>
                <w:color w:val="auto"/>
                <w:sz w:val="24"/>
              </w:rPr>
            </w:pPr>
          </w:p>
          <w:p w14:paraId="453253DA">
            <w:pPr>
              <w:keepNext w:val="0"/>
              <w:keepLines w:val="0"/>
              <w:suppressLineNumbers w:val="0"/>
              <w:spacing w:before="0" w:beforeAutospacing="0" w:after="0" w:afterAutospacing="0" w:line="360" w:lineRule="auto"/>
              <w:ind w:left="0" w:right="0" w:firstLine="482" w:firstLineChars="200"/>
              <w:jc w:val="left"/>
              <w:rPr>
                <w:rFonts w:hint="default"/>
                <w:b/>
                <w:color w:val="auto"/>
                <w:sz w:val="24"/>
              </w:rPr>
            </w:pPr>
            <w:r>
              <w:rPr>
                <w:rFonts w:hint="eastAsia"/>
                <w:b/>
                <w:color w:val="auto"/>
                <w:sz w:val="24"/>
              </w:rPr>
              <w:t>3</w:t>
            </w:r>
            <w:r>
              <w:rPr>
                <w:rFonts w:hint="eastAsia"/>
                <w:b/>
                <w:color w:val="auto"/>
                <w:sz w:val="24"/>
                <w:lang w:val="en-US" w:eastAsia="zh-CN"/>
              </w:rPr>
              <w:t>.</w:t>
            </w:r>
            <w:r>
              <w:rPr>
                <w:rFonts w:hint="eastAsia"/>
                <w:b/>
                <w:color w:val="auto"/>
                <w:sz w:val="24"/>
              </w:rPr>
              <w:t>废气</w:t>
            </w:r>
            <w:r>
              <w:rPr>
                <w:rFonts w:hint="eastAsia"/>
                <w:b/>
                <w:color w:val="auto"/>
                <w:sz w:val="24"/>
                <w:lang w:val="en-US" w:eastAsia="zh-CN"/>
              </w:rPr>
              <w:t>污染治理</w:t>
            </w:r>
            <w:r>
              <w:rPr>
                <w:rFonts w:hint="eastAsia"/>
                <w:b/>
                <w:color w:val="auto"/>
                <w:sz w:val="24"/>
              </w:rPr>
              <w:t>措施可行性分析</w:t>
            </w:r>
          </w:p>
          <w:p w14:paraId="0A8ECC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color w:val="auto"/>
                <w:sz w:val="24"/>
                <w:szCs w:val="24"/>
                <w:lang w:val="en-US" w:eastAsia="zh-CN"/>
              </w:rPr>
            </w:pPr>
            <w:r>
              <w:rPr>
                <w:rFonts w:hint="eastAsia"/>
                <w:color w:val="auto"/>
                <w:sz w:val="24"/>
                <w:szCs w:val="24"/>
                <w:lang w:val="en-US" w:eastAsia="zh-CN"/>
              </w:rPr>
              <w:t>本项目运营期废气收集及治理措施汇总如下：</w:t>
            </w:r>
          </w:p>
          <w:p w14:paraId="61856085">
            <w:pPr>
              <w:keepNext w:val="0"/>
              <w:keepLines w:val="0"/>
              <w:suppressLineNumbers w:val="0"/>
              <w:bidi w:val="0"/>
              <w:spacing w:before="0" w:beforeAutospacing="0" w:after="0" w:afterAutospacing="0"/>
              <w:ind w:left="0" w:right="0"/>
              <w:rPr>
                <w:rFonts w:hint="eastAsia"/>
                <w:color w:val="auto"/>
              </w:rPr>
            </w:pPr>
            <w:r>
              <w:rPr>
                <w:rFonts w:hint="default"/>
                <w:color w:val="auto"/>
              </w:rPr>
              <mc:AlternateContent>
                <mc:Choice Requires="wpc">
                  <w:drawing>
                    <wp:anchor distT="0" distB="0" distL="114300" distR="114300" simplePos="0" relativeHeight="251661312" behindDoc="0" locked="0" layoutInCell="1" allowOverlap="1">
                      <wp:simplePos x="0" y="0"/>
                      <wp:positionH relativeFrom="column">
                        <wp:posOffset>22860</wp:posOffset>
                      </wp:positionH>
                      <wp:positionV relativeFrom="paragraph">
                        <wp:posOffset>23495</wp:posOffset>
                      </wp:positionV>
                      <wp:extent cx="4989195" cy="2167890"/>
                      <wp:effectExtent l="0" t="0" r="0" b="0"/>
                      <wp:wrapNone/>
                      <wp:docPr id="66" name="画布 83576"/>
                      <wp:cNvGraphicFramePr/>
                      <a:graphic xmlns:a="http://schemas.openxmlformats.org/drawingml/2006/main">
                        <a:graphicData uri="http://schemas.microsoft.com/office/word/2010/wordprocessingCanvas">
                          <wpc:wpc>
                            <wpc:bg>
                              <a:noFill/>
                            </wpc:bg>
                            <wpc:whole>
                              <a:ln>
                                <a:noFill/>
                              </a:ln>
                            </wpc:whole>
                            <wps:wsp>
                              <wps:cNvPr id="41" name="矩形 83581"/>
                              <wps:cNvSpPr/>
                              <wps:spPr>
                                <a:xfrm>
                                  <a:off x="167640" y="569595"/>
                                  <a:ext cx="1148080" cy="292100"/>
                                </a:xfrm>
                                <a:prstGeom prst="rect">
                                  <a:avLst/>
                                </a:prstGeom>
                                <a:solidFill>
                                  <a:srgbClr val="FFFFFF"/>
                                </a:solidFill>
                                <a:ln w="9525" cap="flat" cmpd="sng">
                                  <a:solidFill>
                                    <a:srgbClr val="000000"/>
                                  </a:solidFill>
                                  <a:prstDash val="solid"/>
                                  <a:miter/>
                                  <a:headEnd type="none" w="med" len="med"/>
                                  <a:tailEnd type="arrow" w="sm" len="lg"/>
                                </a:ln>
                              </wps:spPr>
                              <wps:txbx>
                                <w:txbxContent>
                                  <w:p w14:paraId="37BCA619">
                                    <w:pPr>
                                      <w:jc w:val="center"/>
                                      <w:rPr>
                                        <w:rFonts w:hint="default" w:ascii="Times New Roman" w:hAnsi="Times New Roman" w:eastAsia="黑体" w:cs="Times New Roman"/>
                                        <w:sz w:val="21"/>
                                        <w:szCs w:val="21"/>
                                        <w:lang w:val="en-US" w:eastAsia="zh-CN"/>
                                      </w:rPr>
                                    </w:pPr>
                                    <w:r>
                                      <w:rPr>
                                        <w:rFonts w:hint="eastAsia" w:eastAsia="黑体" w:cs="Times New Roman"/>
                                        <w:sz w:val="21"/>
                                        <w:szCs w:val="21"/>
                                        <w:lang w:val="en-US" w:eastAsia="zh-CN"/>
                                      </w:rPr>
                                      <w:t>注塑废气</w:t>
                                    </w:r>
                                  </w:p>
                                </w:txbxContent>
                              </wps:txbx>
                              <wps:bodyPr upright="1"/>
                            </wps:wsp>
                            <wps:wsp>
                              <wps:cNvPr id="42" name="矩形 83582"/>
                              <wps:cNvSpPr/>
                              <wps:spPr>
                                <a:xfrm>
                                  <a:off x="2153285" y="487680"/>
                                  <a:ext cx="1041400" cy="495300"/>
                                </a:xfrm>
                                <a:prstGeom prst="rect">
                                  <a:avLst/>
                                </a:prstGeom>
                                <a:solidFill>
                                  <a:srgbClr val="FFFFFF"/>
                                </a:solidFill>
                                <a:ln w="9525" cap="flat" cmpd="sng">
                                  <a:solidFill>
                                    <a:srgbClr val="000000"/>
                                  </a:solidFill>
                                  <a:prstDash val="solid"/>
                                  <a:miter/>
                                  <a:headEnd type="none" w="med" len="med"/>
                                  <a:tailEnd type="arrow" w="sm" len="lg"/>
                                </a:ln>
                              </wps:spPr>
                              <wps:txbx>
                                <w:txbxContent>
                                  <w:p w14:paraId="1205396C">
                                    <w:pPr>
                                      <w:jc w:val="center"/>
                                      <w:rPr>
                                        <w:rFonts w:hint="default" w:ascii="Times New Roman" w:hAnsi="Times New Roman" w:eastAsia="黑体" w:cs="Times New Roman"/>
                                        <w:sz w:val="21"/>
                                        <w:szCs w:val="21"/>
                                        <w:highlight w:val="none"/>
                                        <w:lang w:val="en-US" w:eastAsia="zh-CN"/>
                                      </w:rPr>
                                    </w:pPr>
                                    <w:r>
                                      <w:rPr>
                                        <w:rFonts w:hint="eastAsia" w:eastAsia="黑体" w:cs="Times New Roman"/>
                                        <w:sz w:val="21"/>
                                        <w:szCs w:val="21"/>
                                        <w:highlight w:val="none"/>
                                        <w:lang w:val="en-US" w:eastAsia="zh-CN"/>
                                      </w:rPr>
                                      <w:t>二级活性炭吸附装置</w:t>
                                    </w:r>
                                  </w:p>
                                </w:txbxContent>
                              </wps:txbx>
                              <wps:bodyPr upright="1"/>
                            </wps:wsp>
                            <wps:wsp>
                              <wps:cNvPr id="43" name="矩形 83583"/>
                              <wps:cNvSpPr/>
                              <wps:spPr>
                                <a:xfrm>
                                  <a:off x="3522345" y="490220"/>
                                  <a:ext cx="654050" cy="508000"/>
                                </a:xfrm>
                                <a:prstGeom prst="rect">
                                  <a:avLst/>
                                </a:prstGeom>
                                <a:solidFill>
                                  <a:srgbClr val="FFFFFF"/>
                                </a:solidFill>
                                <a:ln w="9525" cap="flat" cmpd="sng">
                                  <a:solidFill>
                                    <a:srgbClr val="000000"/>
                                  </a:solidFill>
                                  <a:prstDash val="solid"/>
                                  <a:miter/>
                                  <a:headEnd type="none" w="med" len="med"/>
                                  <a:tailEnd type="arrow" w="sm" len="lg"/>
                                </a:ln>
                              </wps:spPr>
                              <wps:txbx>
                                <w:txbxContent>
                                  <w:p w14:paraId="26617060">
                                    <w:pPr>
                                      <w:jc w:val="center"/>
                                      <w:rPr>
                                        <w:rFonts w:hint="eastAsia" w:eastAsia="黑体" w:cs="Times New Roman"/>
                                        <w:sz w:val="21"/>
                                        <w:szCs w:val="21"/>
                                        <w:lang w:val="en-US" w:eastAsia="zh-CN"/>
                                      </w:rPr>
                                    </w:pPr>
                                    <w:r>
                                      <w:rPr>
                                        <w:rFonts w:hint="eastAsia" w:eastAsia="黑体" w:cs="Times New Roman"/>
                                        <w:sz w:val="21"/>
                                        <w:szCs w:val="21"/>
                                        <w:lang w:val="en-US" w:eastAsia="zh-CN"/>
                                      </w:rPr>
                                      <w:t>排气筒</w:t>
                                    </w:r>
                                  </w:p>
                                  <w:p w14:paraId="43DEB9AF">
                                    <w:pPr>
                                      <w:jc w:val="center"/>
                                      <w:rPr>
                                        <w:rFonts w:hint="default" w:ascii="Times New Roman" w:hAnsi="Times New Roman" w:eastAsia="黑体" w:cs="Times New Roman"/>
                                        <w:sz w:val="21"/>
                                        <w:szCs w:val="21"/>
                                        <w:lang w:val="en-US" w:eastAsia="zh-CN"/>
                                      </w:rPr>
                                    </w:pPr>
                                    <w:r>
                                      <w:rPr>
                                        <w:rFonts w:hint="eastAsia" w:eastAsia="黑体" w:cs="Times New Roman"/>
                                        <w:sz w:val="21"/>
                                        <w:szCs w:val="21"/>
                                        <w:lang w:val="en-US" w:eastAsia="zh-CN"/>
                                      </w:rPr>
                                      <w:t>DA001</w:t>
                                    </w:r>
                                  </w:p>
                                </w:txbxContent>
                              </wps:txbx>
                              <wps:bodyPr upright="1"/>
                            </wps:wsp>
                            <wps:wsp>
                              <wps:cNvPr id="44" name="矩形 83584"/>
                              <wps:cNvSpPr/>
                              <wps:spPr>
                                <a:xfrm>
                                  <a:off x="155575" y="1528445"/>
                                  <a:ext cx="1130300" cy="292100"/>
                                </a:xfrm>
                                <a:prstGeom prst="rect">
                                  <a:avLst/>
                                </a:prstGeom>
                                <a:solidFill>
                                  <a:srgbClr val="FFFFFF"/>
                                </a:solidFill>
                                <a:ln w="9525" cap="flat" cmpd="sng">
                                  <a:solidFill>
                                    <a:srgbClr val="000000"/>
                                  </a:solidFill>
                                  <a:prstDash val="solid"/>
                                  <a:miter/>
                                  <a:headEnd type="none" w="med" len="med"/>
                                  <a:tailEnd type="arrow" w="sm" len="lg"/>
                                </a:ln>
                              </wps:spPr>
                              <wps:txbx>
                                <w:txbxContent>
                                  <w:p w14:paraId="60C5974B">
                                    <w:pPr>
                                      <w:jc w:val="center"/>
                                      <w:rPr>
                                        <w:rFonts w:hint="default" w:ascii="Times New Roman" w:hAnsi="Times New Roman" w:eastAsia="黑体" w:cs="Times New Roman"/>
                                        <w:sz w:val="21"/>
                                        <w:szCs w:val="21"/>
                                        <w:lang w:val="en-US" w:eastAsia="zh-CN"/>
                                      </w:rPr>
                                    </w:pPr>
                                    <w:r>
                                      <w:rPr>
                                        <w:rFonts w:hint="eastAsia" w:eastAsia="黑体" w:cs="Times New Roman"/>
                                        <w:sz w:val="21"/>
                                        <w:szCs w:val="21"/>
                                        <w:lang w:val="en-US" w:eastAsia="zh-CN"/>
                                      </w:rPr>
                                      <w:t>粉碎粉尘</w:t>
                                    </w:r>
                                  </w:p>
                                </w:txbxContent>
                              </wps:txbx>
                              <wps:bodyPr upright="1"/>
                            </wps:wsp>
                            <wps:wsp>
                              <wps:cNvPr id="48" name="矩形 83588"/>
                              <wps:cNvSpPr/>
                              <wps:spPr>
                                <a:xfrm>
                                  <a:off x="2146300" y="1502410"/>
                                  <a:ext cx="1069340" cy="327025"/>
                                </a:xfrm>
                                <a:prstGeom prst="rect">
                                  <a:avLst/>
                                </a:prstGeom>
                                <a:solidFill>
                                  <a:srgbClr val="FFFFFF"/>
                                </a:solidFill>
                                <a:ln w="9525" cap="flat" cmpd="sng">
                                  <a:solidFill>
                                    <a:srgbClr val="000000"/>
                                  </a:solidFill>
                                  <a:prstDash val="solid"/>
                                  <a:miter/>
                                  <a:headEnd type="none" w="med" len="med"/>
                                  <a:tailEnd type="arrow" w="sm" len="lg"/>
                                </a:ln>
                              </wps:spPr>
                              <wps:txbx>
                                <w:txbxContent>
                                  <w:p w14:paraId="12DD88BA">
                                    <w:pPr>
                                      <w:jc w:val="center"/>
                                      <w:rPr>
                                        <w:rFonts w:hint="default" w:ascii="Times New Roman" w:hAnsi="Times New Roman" w:eastAsia="黑体" w:cs="Times New Roman"/>
                                        <w:sz w:val="21"/>
                                        <w:szCs w:val="21"/>
                                        <w:lang w:val="en-US" w:eastAsia="zh-CN"/>
                                      </w:rPr>
                                    </w:pPr>
                                    <w:r>
                                      <w:rPr>
                                        <w:rFonts w:hint="eastAsia" w:eastAsia="黑体" w:cs="Times New Roman"/>
                                        <w:sz w:val="21"/>
                                        <w:szCs w:val="21"/>
                                        <w:lang w:val="en-US" w:eastAsia="zh-CN"/>
                                      </w:rPr>
                                      <w:t>布袋除尘器</w:t>
                                    </w:r>
                                  </w:p>
                                </w:txbxContent>
                              </wps:txbx>
                              <wps:bodyPr upright="1"/>
                            </wps:wsp>
                            <wps:wsp>
                              <wps:cNvPr id="51" name="直线 83592"/>
                              <wps:cNvCnPr/>
                              <wps:spPr>
                                <a:xfrm>
                                  <a:off x="1310640" y="727075"/>
                                  <a:ext cx="850900" cy="0"/>
                                </a:xfrm>
                                <a:prstGeom prst="line">
                                  <a:avLst/>
                                </a:prstGeom>
                                <a:ln w="9525" cap="flat" cmpd="sng">
                                  <a:solidFill>
                                    <a:srgbClr val="000000"/>
                                  </a:solidFill>
                                  <a:prstDash val="solid"/>
                                  <a:headEnd type="none" w="med" len="med"/>
                                  <a:tailEnd type="triangle" w="sm" len="med"/>
                                </a:ln>
                              </wps:spPr>
                              <wps:bodyPr upright="1"/>
                            </wps:wsp>
                            <wps:wsp>
                              <wps:cNvPr id="52" name="文本框 83593"/>
                              <wps:cNvSpPr txBox="1"/>
                              <wps:spPr>
                                <a:xfrm>
                                  <a:off x="1310640" y="485775"/>
                                  <a:ext cx="743585" cy="318770"/>
                                </a:xfrm>
                                <a:prstGeom prst="rect">
                                  <a:avLst/>
                                </a:prstGeom>
                                <a:noFill/>
                                <a:ln>
                                  <a:noFill/>
                                </a:ln>
                              </wps:spPr>
                              <wps:txbx>
                                <w:txbxContent>
                                  <w:p w14:paraId="5F57C082">
                                    <w:pPr>
                                      <w:jc w:val="center"/>
                                      <w:rPr>
                                        <w:rFonts w:hint="default" w:eastAsia="宋体"/>
                                        <w:lang w:val="en-US" w:eastAsia="zh-CN"/>
                                      </w:rPr>
                                    </w:pPr>
                                    <w:r>
                                      <w:rPr>
                                        <w:rFonts w:hint="eastAsia"/>
                                        <w:lang w:val="en-US" w:eastAsia="zh-CN"/>
                                      </w:rPr>
                                      <w:t>集气罩</w:t>
                                    </w:r>
                                  </w:p>
                                </w:txbxContent>
                              </wps:txbx>
                              <wps:bodyPr upright="1"/>
                            </wps:wsp>
                            <wps:wsp>
                              <wps:cNvPr id="53" name="直线 83594"/>
                              <wps:cNvCnPr/>
                              <wps:spPr>
                                <a:xfrm>
                                  <a:off x="1296035" y="1682115"/>
                                  <a:ext cx="850900" cy="0"/>
                                </a:xfrm>
                                <a:prstGeom prst="line">
                                  <a:avLst/>
                                </a:prstGeom>
                                <a:ln w="9525" cap="flat" cmpd="sng">
                                  <a:solidFill>
                                    <a:srgbClr val="000000"/>
                                  </a:solidFill>
                                  <a:prstDash val="solid"/>
                                  <a:headEnd type="none" w="med" len="med"/>
                                  <a:tailEnd type="triangle" w="sm" len="med"/>
                                </a:ln>
                              </wps:spPr>
                              <wps:bodyPr upright="1"/>
                            </wps:wsp>
                            <wps:wsp>
                              <wps:cNvPr id="56" name="文本框 83597"/>
                              <wps:cNvSpPr txBox="1"/>
                              <wps:spPr>
                                <a:xfrm>
                                  <a:off x="1275080" y="1407160"/>
                                  <a:ext cx="876300" cy="276225"/>
                                </a:xfrm>
                                <a:prstGeom prst="rect">
                                  <a:avLst/>
                                </a:prstGeom>
                                <a:noFill/>
                                <a:ln>
                                  <a:noFill/>
                                </a:ln>
                              </wps:spPr>
                              <wps:txbx>
                                <w:txbxContent>
                                  <w:p w14:paraId="57E9D8AE">
                                    <w:pPr>
                                      <w:jc w:val="center"/>
                                      <w:rPr>
                                        <w:rFonts w:hint="default" w:eastAsia="宋体"/>
                                        <w:lang w:val="en-US" w:eastAsia="zh-CN"/>
                                      </w:rPr>
                                    </w:pPr>
                                    <w:r>
                                      <w:rPr>
                                        <w:rFonts w:hint="eastAsia"/>
                                        <w:lang w:val="en-US" w:eastAsia="zh-CN"/>
                                      </w:rPr>
                                      <w:t>集气罩</w:t>
                                    </w:r>
                                  </w:p>
                                </w:txbxContent>
                              </wps:txbx>
                              <wps:bodyPr upright="1"/>
                            </wps:wsp>
                            <wps:wsp>
                              <wps:cNvPr id="65" name="直线 83821"/>
                              <wps:cNvCnPr/>
                              <wps:spPr>
                                <a:xfrm>
                                  <a:off x="3208655" y="741680"/>
                                  <a:ext cx="304800" cy="0"/>
                                </a:xfrm>
                                <a:prstGeom prst="line">
                                  <a:avLst/>
                                </a:prstGeom>
                                <a:ln w="9525" cap="flat" cmpd="sng">
                                  <a:solidFill>
                                    <a:srgbClr val="000000"/>
                                  </a:solidFill>
                                  <a:prstDash val="solid"/>
                                  <a:headEnd type="none" w="med" len="sm"/>
                                  <a:tailEnd type="triangle" w="sm" len="med"/>
                                </a:ln>
                              </wps:spPr>
                              <wps:bodyPr upright="1"/>
                            </wps:wsp>
                            <wps:wsp>
                              <wps:cNvPr id="127" name="矩形 83583"/>
                              <wps:cNvSpPr/>
                              <wps:spPr>
                                <a:xfrm>
                                  <a:off x="3541395" y="1427480"/>
                                  <a:ext cx="654050" cy="508000"/>
                                </a:xfrm>
                                <a:prstGeom prst="rect">
                                  <a:avLst/>
                                </a:prstGeom>
                                <a:solidFill>
                                  <a:srgbClr val="FFFFFF"/>
                                </a:solidFill>
                                <a:ln w="9525" cap="flat" cmpd="sng">
                                  <a:solidFill>
                                    <a:srgbClr val="000000"/>
                                  </a:solidFill>
                                  <a:prstDash val="solid"/>
                                  <a:miter/>
                                  <a:headEnd type="none" w="med" len="med"/>
                                  <a:tailEnd type="arrow" w="sm" len="lg"/>
                                </a:ln>
                              </wps:spPr>
                              <wps:txbx>
                                <w:txbxContent>
                                  <w:p w14:paraId="2184DF1F">
                                    <w:pPr>
                                      <w:jc w:val="center"/>
                                      <w:rPr>
                                        <w:rFonts w:hint="eastAsia" w:eastAsia="黑体" w:cs="Times New Roman"/>
                                        <w:sz w:val="21"/>
                                        <w:szCs w:val="21"/>
                                        <w:lang w:val="en-US" w:eastAsia="zh-CN"/>
                                      </w:rPr>
                                    </w:pPr>
                                    <w:r>
                                      <w:rPr>
                                        <w:rFonts w:hint="eastAsia" w:eastAsia="黑体" w:cs="Times New Roman"/>
                                        <w:sz w:val="21"/>
                                        <w:szCs w:val="21"/>
                                        <w:lang w:val="en-US" w:eastAsia="zh-CN"/>
                                      </w:rPr>
                                      <w:t>排气筒</w:t>
                                    </w:r>
                                  </w:p>
                                  <w:p w14:paraId="34100A50">
                                    <w:pPr>
                                      <w:jc w:val="center"/>
                                      <w:rPr>
                                        <w:rFonts w:hint="default" w:ascii="Times New Roman" w:hAnsi="Times New Roman" w:eastAsia="黑体" w:cs="Times New Roman"/>
                                        <w:sz w:val="21"/>
                                        <w:szCs w:val="21"/>
                                        <w:lang w:val="en-US" w:eastAsia="zh-CN"/>
                                      </w:rPr>
                                    </w:pPr>
                                    <w:r>
                                      <w:rPr>
                                        <w:rFonts w:hint="eastAsia" w:eastAsia="黑体" w:cs="Times New Roman"/>
                                        <w:sz w:val="21"/>
                                        <w:szCs w:val="21"/>
                                        <w:lang w:val="en-US" w:eastAsia="zh-CN"/>
                                      </w:rPr>
                                      <w:t>DA002</w:t>
                                    </w:r>
                                  </w:p>
                                </w:txbxContent>
                              </wps:txbx>
                              <wps:bodyPr upright="1"/>
                            </wps:wsp>
                            <wps:wsp>
                              <wps:cNvPr id="128" name="直线 83821"/>
                              <wps:cNvCnPr/>
                              <wps:spPr>
                                <a:xfrm>
                                  <a:off x="3227705" y="1678940"/>
                                  <a:ext cx="304800" cy="0"/>
                                </a:xfrm>
                                <a:prstGeom prst="line">
                                  <a:avLst/>
                                </a:prstGeom>
                                <a:ln w="9525" cap="flat" cmpd="sng">
                                  <a:solidFill>
                                    <a:srgbClr val="000000"/>
                                  </a:solidFill>
                                  <a:prstDash val="solid"/>
                                  <a:headEnd type="none" w="med" len="sm"/>
                                  <a:tailEnd type="triangle" w="sm" len="med"/>
                                </a:ln>
                              </wps:spPr>
                              <wps:bodyPr upright="1"/>
                            </wps:wsp>
                          </wpc:wpc>
                        </a:graphicData>
                      </a:graphic>
                    </wp:anchor>
                  </w:drawing>
                </mc:Choice>
                <mc:Fallback>
                  <w:pict>
                    <v:group id="画布 83576" o:spid="_x0000_s1026" o:spt="203" style="position:absolute;left:0pt;margin-left:1.8pt;margin-top:1.85pt;height:170.7pt;width:392.85pt;z-index:251661312;mso-width-relative:page;mso-height-relative:page;" coordsize="4989195,2167890" editas="canvas" o:gfxdata="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">
                      <o:lock v:ext="edit" aspectratio="f"/>
                      <v:shape id="画布 83576" o:spid="_x0000_s1026" style="position:absolute;left:0;top:0;height:2167890;width:4989195;" filled="f" stroked="f" coordsize="21600,21600" o:gfxdata="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">
                        <v:fill on="f" focussize="0,0"/>
                        <v:stroke on="f"/>
                        <v:imagedata o:title=""/>
                        <o:lock v:ext="edit" aspectratio="f"/>
                      </v:shape>
                      <v:rect id="矩形 83581" o:spid="_x0000_s1026" o:spt="1" style="position:absolute;left:167640;top:569595;height:292100;width:1148080;" fillcolor="#FFFFFF" filled="t" stroked="t" coordsize="21600,21600" o:gfxdata="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Fci182AAAAAcB&#10;AAAPAAAAAAAAAAEAIAAAACIAAABkcnMvZG93bnJldi54bWxQSwECFAAUAAAACACHTuJA0dSw7xsC&#10;AAA3BAAADgAAAAAAAAABACAAAAAnAQAAZHJzL2Uyb0RvYy54bWxQSwUGAAAAAAYABgBZAQAAtAUA&#10;AAAA&#10;">
                        <v:fill on="t" focussize="0,0"/>
                        <v:stroke color="#000000" joinstyle="miter" endarrow="open" endarrowwidth="narrow" endarrowlength="long"/>
                        <v:imagedata o:title=""/>
                        <o:lock v:ext="edit" aspectratio="f"/>
                        <v:textbox>
                          <w:txbxContent>
                            <w:p w14:paraId="37BCA619">
                              <w:pPr>
                                <w:jc w:val="center"/>
                                <w:rPr>
                                  <w:rFonts w:hint="default" w:ascii="Times New Roman" w:hAnsi="Times New Roman" w:eastAsia="黑体" w:cs="Times New Roman"/>
                                  <w:sz w:val="21"/>
                                  <w:szCs w:val="21"/>
                                  <w:lang w:val="en-US" w:eastAsia="zh-CN"/>
                                </w:rPr>
                              </w:pPr>
                              <w:r>
                                <w:rPr>
                                  <w:rFonts w:hint="eastAsia" w:eastAsia="黑体" w:cs="Times New Roman"/>
                                  <w:sz w:val="21"/>
                                  <w:szCs w:val="21"/>
                                  <w:lang w:val="en-US" w:eastAsia="zh-CN"/>
                                </w:rPr>
                                <w:t>注塑废气</w:t>
                              </w:r>
                            </w:p>
                          </w:txbxContent>
                        </v:textbox>
                      </v:rect>
                      <v:rect id="矩形 83582" o:spid="_x0000_s1026" o:spt="1" style="position:absolute;left:2153285;top:487680;height:495300;width:1041400;" fillcolor="#FFFFFF" filled="t" stroked="t" coordsize="21600,21600" o:gfxdata="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Fci182AAAAAcBAAAP&#10;AAAAAAAAAAEAIAAAACIAAABkcnMvZG93bnJldi54bWxQSwECFAAUAAAACACHTuJAS1QKNBgCAAA4&#10;BAAADgAAAAAAAAABACAAAAAnAQAAZHJzL2Uyb0RvYy54bWxQSwUGAAAAAAYABgBZAQAAsQUAAAAA&#10;">
                        <v:fill on="t" focussize="0,0"/>
                        <v:stroke color="#000000" joinstyle="miter" endarrow="open" endarrowwidth="narrow" endarrowlength="long"/>
                        <v:imagedata o:title=""/>
                        <o:lock v:ext="edit" aspectratio="f"/>
                        <v:textbox>
                          <w:txbxContent>
                            <w:p w14:paraId="1205396C">
                              <w:pPr>
                                <w:jc w:val="center"/>
                                <w:rPr>
                                  <w:rFonts w:hint="default" w:ascii="Times New Roman" w:hAnsi="Times New Roman" w:eastAsia="黑体" w:cs="Times New Roman"/>
                                  <w:sz w:val="21"/>
                                  <w:szCs w:val="21"/>
                                  <w:highlight w:val="none"/>
                                  <w:lang w:val="en-US" w:eastAsia="zh-CN"/>
                                </w:rPr>
                              </w:pPr>
                              <w:r>
                                <w:rPr>
                                  <w:rFonts w:hint="eastAsia" w:eastAsia="黑体" w:cs="Times New Roman"/>
                                  <w:sz w:val="21"/>
                                  <w:szCs w:val="21"/>
                                  <w:highlight w:val="none"/>
                                  <w:lang w:val="en-US" w:eastAsia="zh-CN"/>
                                </w:rPr>
                                <w:t>二级活性炭吸附装置</w:t>
                              </w:r>
                            </w:p>
                          </w:txbxContent>
                        </v:textbox>
                      </v:rect>
                      <v:rect id="矩形 83583" o:spid="_x0000_s1026" o:spt="1" style="position:absolute;left:3522345;top:490220;height:508000;width:654050;" fillcolor="#FFFFFF" filled="t" stroked="t" coordsize="21600,21600" o:gfxdata="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xXItfNgAAAAH&#10;AQAADwAAAAAAAAABACAAAAAiAAAAZHJzL2Rvd25yZXYueG1sUEsBAhQAFAAAAAgAh07iQClskeQc&#10;AgAANwQAAA4AAAAAAAAAAQAgAAAAJwEAAGRycy9lMm9Eb2MueG1sUEsFBgAAAAAGAAYAWQEAALUF&#10;AAAAAA==&#10;">
                        <v:fill on="t" focussize="0,0"/>
                        <v:stroke color="#000000" joinstyle="miter" endarrow="open" endarrowwidth="narrow" endarrowlength="long"/>
                        <v:imagedata o:title=""/>
                        <o:lock v:ext="edit" aspectratio="f"/>
                        <v:textbox>
                          <w:txbxContent>
                            <w:p w14:paraId="26617060">
                              <w:pPr>
                                <w:jc w:val="center"/>
                                <w:rPr>
                                  <w:rFonts w:hint="eastAsia" w:eastAsia="黑体" w:cs="Times New Roman"/>
                                  <w:sz w:val="21"/>
                                  <w:szCs w:val="21"/>
                                  <w:lang w:val="en-US" w:eastAsia="zh-CN"/>
                                </w:rPr>
                              </w:pPr>
                              <w:r>
                                <w:rPr>
                                  <w:rFonts w:hint="eastAsia" w:eastAsia="黑体" w:cs="Times New Roman"/>
                                  <w:sz w:val="21"/>
                                  <w:szCs w:val="21"/>
                                  <w:lang w:val="en-US" w:eastAsia="zh-CN"/>
                                </w:rPr>
                                <w:t>排气筒</w:t>
                              </w:r>
                            </w:p>
                            <w:p w14:paraId="43DEB9AF">
                              <w:pPr>
                                <w:jc w:val="center"/>
                                <w:rPr>
                                  <w:rFonts w:hint="default" w:ascii="Times New Roman" w:hAnsi="Times New Roman" w:eastAsia="黑体" w:cs="Times New Roman"/>
                                  <w:sz w:val="21"/>
                                  <w:szCs w:val="21"/>
                                  <w:lang w:val="en-US" w:eastAsia="zh-CN"/>
                                </w:rPr>
                              </w:pPr>
                              <w:r>
                                <w:rPr>
                                  <w:rFonts w:hint="eastAsia" w:eastAsia="黑体" w:cs="Times New Roman"/>
                                  <w:sz w:val="21"/>
                                  <w:szCs w:val="21"/>
                                  <w:lang w:val="en-US" w:eastAsia="zh-CN"/>
                                </w:rPr>
                                <w:t>DA001</w:t>
                              </w:r>
                            </w:p>
                          </w:txbxContent>
                        </v:textbox>
                      </v:rect>
                      <v:rect id="矩形 83584" o:spid="_x0000_s1026" o:spt="1" style="position:absolute;left:155575;top:1528445;height:292100;width:1130300;" fillcolor="#FFFFFF" filled="t" stroked="t" coordsize="21600,21600" o:gfxdata="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Fci182AAAAAcBAAAP&#10;AAAAAAAAAAEAIAAAACIAAABkcnMvZG93bnJldi54bWxQSwECFAAUAAAACACHTuJAEJouaRgCAAA4&#10;BAAADgAAAAAAAAABACAAAAAnAQAAZHJzL2Uyb0RvYy54bWxQSwUGAAAAAAYABgBZAQAAsQUAAAAA&#10;">
                        <v:fill on="t" focussize="0,0"/>
                        <v:stroke color="#000000" joinstyle="miter" endarrow="open" endarrowwidth="narrow" endarrowlength="long"/>
                        <v:imagedata o:title=""/>
                        <o:lock v:ext="edit" aspectratio="f"/>
                        <v:textbox>
                          <w:txbxContent>
                            <w:p w14:paraId="60C5974B">
                              <w:pPr>
                                <w:jc w:val="center"/>
                                <w:rPr>
                                  <w:rFonts w:hint="default" w:ascii="Times New Roman" w:hAnsi="Times New Roman" w:eastAsia="黑体" w:cs="Times New Roman"/>
                                  <w:sz w:val="21"/>
                                  <w:szCs w:val="21"/>
                                  <w:lang w:val="en-US" w:eastAsia="zh-CN"/>
                                </w:rPr>
                              </w:pPr>
                              <w:r>
                                <w:rPr>
                                  <w:rFonts w:hint="eastAsia" w:eastAsia="黑体" w:cs="Times New Roman"/>
                                  <w:sz w:val="21"/>
                                  <w:szCs w:val="21"/>
                                  <w:lang w:val="en-US" w:eastAsia="zh-CN"/>
                                </w:rPr>
                                <w:t>粉碎粉尘</w:t>
                              </w:r>
                            </w:p>
                          </w:txbxContent>
                        </v:textbox>
                      </v:rect>
                      <v:rect id="矩形 83588" o:spid="_x0000_s1026" o:spt="1" style="position:absolute;left:2146300;top:1502410;height:327025;width:1069340;" fillcolor="#FFFFFF" filled="t" stroked="t" coordsize="21600,21600" o:gfxdata="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MVyLXzYAAAABwEA&#10;AA8AAAAAAAAAAQAgAAAAIgAAAGRycy9kb3ducmV2LnhtbFBLAQIUABQAAAAIAIdO4kBVcv6HGgIA&#10;ADkEAAAOAAAAAAAAAAEAIAAAACcBAABkcnMvZTJvRG9jLnhtbFBLBQYAAAAABgAGAFkBAACzBQAA&#10;AAA=&#10;">
                        <v:fill on="t" focussize="0,0"/>
                        <v:stroke color="#000000" joinstyle="miter" endarrow="open" endarrowwidth="narrow" endarrowlength="long"/>
                        <v:imagedata o:title=""/>
                        <o:lock v:ext="edit" aspectratio="f"/>
                        <v:textbox>
                          <w:txbxContent>
                            <w:p w14:paraId="12DD88BA">
                              <w:pPr>
                                <w:jc w:val="center"/>
                                <w:rPr>
                                  <w:rFonts w:hint="default" w:ascii="Times New Roman" w:hAnsi="Times New Roman" w:eastAsia="黑体" w:cs="Times New Roman"/>
                                  <w:sz w:val="21"/>
                                  <w:szCs w:val="21"/>
                                  <w:lang w:val="en-US" w:eastAsia="zh-CN"/>
                                </w:rPr>
                              </w:pPr>
                              <w:r>
                                <w:rPr>
                                  <w:rFonts w:hint="eastAsia" w:eastAsia="黑体" w:cs="Times New Roman"/>
                                  <w:sz w:val="21"/>
                                  <w:szCs w:val="21"/>
                                  <w:lang w:val="en-US" w:eastAsia="zh-CN"/>
                                </w:rPr>
                                <w:t>布袋除尘器</w:t>
                              </w:r>
                            </w:p>
                          </w:txbxContent>
                        </v:textbox>
                      </v:rect>
                      <v:line id="直线 83592" o:spid="_x0000_s1026" o:spt="20" style="position:absolute;left:1310640;top:727075;height:0;width:850900;" filled="f" stroked="t" coordsize="21600,21600" o:gfxdata="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UyqWR2AAAAAcBAAAPAAAAAAAAAAEAIAAAACIAAABkcnMv&#10;ZG93bnJldi54bWxQSwECFAAUAAAACACHTuJAMhrt+gMCAADtAwAADgAAAAAAAAABACAAAAAnAQAA&#10;ZHJzL2Uyb0RvYy54bWxQSwUGAAAAAAYABgBZAQAAnAUAAAAA&#10;">
                        <v:fill on="f" focussize="0,0"/>
                        <v:stroke color="#000000" joinstyle="round" endarrow="block" endarrowwidth="narrow"/>
                        <v:imagedata o:title=""/>
                        <o:lock v:ext="edit" aspectratio="f"/>
                      </v:line>
                      <v:shape id="文本框 83593" o:spid="_x0000_s1026" o:spt="202" type="#_x0000_t202" style="position:absolute;left:1310640;top:485775;height:318770;width:743585;" filled="f" stroked="f" coordsize="21600,21600" o:gfxdata="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zf6tV0wAAAAcBAAAPAAAAAAAAAAEAIAAAACIAAABkcnMvZG93bnJldi54bWxQSwECFAAU&#10;AAAACACHTuJAmBCyc70BAABdAwAADgAAAAAAAAABACAAAAAiAQAAZHJzL2Uyb0RvYy54bWxQSwUG&#10;AAAAAAYABgBZAQAAUQUAAAAA&#10;">
                        <v:fill on="f" focussize="0,0"/>
                        <v:stroke on="f"/>
                        <v:imagedata o:title=""/>
                        <o:lock v:ext="edit" aspectratio="f"/>
                        <v:textbox>
                          <w:txbxContent>
                            <w:p w14:paraId="5F57C082">
                              <w:pPr>
                                <w:jc w:val="center"/>
                                <w:rPr>
                                  <w:rFonts w:hint="default" w:eastAsia="宋体"/>
                                  <w:lang w:val="en-US" w:eastAsia="zh-CN"/>
                                </w:rPr>
                              </w:pPr>
                              <w:r>
                                <w:rPr>
                                  <w:rFonts w:hint="eastAsia"/>
                                  <w:lang w:val="en-US" w:eastAsia="zh-CN"/>
                                </w:rPr>
                                <w:t>集气罩</w:t>
                              </w:r>
                            </w:p>
                          </w:txbxContent>
                        </v:textbox>
                      </v:shape>
                      <v:line id="直线 83594" o:spid="_x0000_s1026" o:spt="20" style="position:absolute;left:1296035;top:1682115;height:0;width:850900;" filled="f" stroked="t" coordsize="21600,21600" o:gfxdata="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UyqWR2AAAAAcBAAAPAAAAAAAAAAEAIAAAACIAAABkcnMv&#10;ZG93bnJldi54bWxQSwECFAAUAAAACACHTuJATepIGQMCAADuAwAADgAAAAAAAAABACAAAAAnAQAA&#10;ZHJzL2Uyb0RvYy54bWxQSwUGAAAAAAYABgBZAQAAnAUAAAAA&#10;">
                        <v:fill on="f" focussize="0,0"/>
                        <v:stroke color="#000000" joinstyle="round" endarrow="block" endarrowwidth="narrow"/>
                        <v:imagedata o:title=""/>
                        <o:lock v:ext="edit" aspectratio="f"/>
                      </v:line>
                      <v:shape id="文本框 83597" o:spid="_x0000_s1026" o:spt="202" type="#_x0000_t202" style="position:absolute;left:1275080;top:1407160;height:276225;width:876300;" filled="f" stroked="f" coordsize="21600,21600" o:gfxdata="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zf6tV0wAAAAcBAAAPAAAAAAAAAAEAIAAAACIAAABkcnMvZG93bnJldi54bWxQSwECFAAUAAAA&#10;CACHTuJALjGyh7oBAABeAwAADgAAAAAAAAABACAAAAAiAQAAZHJzL2Uyb0RvYy54bWxQSwUGAAAA&#10;AAYABgBZAQAATgUAAAAA&#10;">
                        <v:fill on="f" focussize="0,0"/>
                        <v:stroke on="f"/>
                        <v:imagedata o:title=""/>
                        <o:lock v:ext="edit" aspectratio="f"/>
                        <v:textbox>
                          <w:txbxContent>
                            <w:p w14:paraId="57E9D8AE">
                              <w:pPr>
                                <w:jc w:val="center"/>
                                <w:rPr>
                                  <w:rFonts w:hint="default" w:eastAsia="宋体"/>
                                  <w:lang w:val="en-US" w:eastAsia="zh-CN"/>
                                </w:rPr>
                              </w:pPr>
                              <w:r>
                                <w:rPr>
                                  <w:rFonts w:hint="eastAsia"/>
                                  <w:lang w:val="en-US" w:eastAsia="zh-CN"/>
                                </w:rPr>
                                <w:t>集气罩</w:t>
                              </w:r>
                            </w:p>
                          </w:txbxContent>
                        </v:textbox>
                      </v:shape>
                      <v:line id="直线 83821" o:spid="_x0000_s1026" o:spt="20" style="position:absolute;left:3208655;top:741680;height:0;width:304800;" filled="f" stroked="t" coordsize="21600,21600" o:gfxdata="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9rp8ntUAAAAHAQAADwAAAAAAAAABACAAAAAiAAAAZHJzL2Rvd25y&#10;ZXYueG1sUEsBAhQAFAAAAAgAh07iQPglIgQBAgAA7AMAAA4AAAAAAAAAAQAgAAAAJAEAAGRycy9l&#10;Mm9Eb2MueG1sUEsFBgAAAAAGAAYAWQEAAJcFAAAAAA==&#10;">
                        <v:fill on="f" focussize="0,0"/>
                        <v:stroke color="#000000" joinstyle="round" startarrowlength="short" endarrow="block" endarrowwidth="narrow"/>
                        <v:imagedata o:title=""/>
                        <o:lock v:ext="edit" aspectratio="f"/>
                      </v:line>
                      <v:rect id="矩形 83583" o:spid="_x0000_s1026" o:spt="1" style="position:absolute;left:3541395;top:1427480;height:508000;width:654050;" fillcolor="#FFFFFF" filled="t" stroked="t" coordsize="21600,21600" o:gfxdata="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Fci182AAA&#10;AAcBAAAPAAAAAAAAAAEAIAAAACIAAABkcnMvZG93bnJldi54bWxQSwECFAAUAAAACACHTuJAbtv8&#10;KB4CAAA5BAAADgAAAAAAAAABACAAAAAnAQAAZHJzL2Uyb0RvYy54bWxQSwUGAAAAAAYABgBZAQAA&#10;twUAAAAA&#10;">
                        <v:fill on="t" focussize="0,0"/>
                        <v:stroke color="#000000" joinstyle="miter" endarrow="open" endarrowwidth="narrow" endarrowlength="long"/>
                        <v:imagedata o:title=""/>
                        <o:lock v:ext="edit" aspectratio="f"/>
                        <v:textbox>
                          <w:txbxContent>
                            <w:p w14:paraId="2184DF1F">
                              <w:pPr>
                                <w:jc w:val="center"/>
                                <w:rPr>
                                  <w:rFonts w:hint="eastAsia" w:eastAsia="黑体" w:cs="Times New Roman"/>
                                  <w:sz w:val="21"/>
                                  <w:szCs w:val="21"/>
                                  <w:lang w:val="en-US" w:eastAsia="zh-CN"/>
                                </w:rPr>
                              </w:pPr>
                              <w:r>
                                <w:rPr>
                                  <w:rFonts w:hint="eastAsia" w:eastAsia="黑体" w:cs="Times New Roman"/>
                                  <w:sz w:val="21"/>
                                  <w:szCs w:val="21"/>
                                  <w:lang w:val="en-US" w:eastAsia="zh-CN"/>
                                </w:rPr>
                                <w:t>排气筒</w:t>
                              </w:r>
                            </w:p>
                            <w:p w14:paraId="34100A50">
                              <w:pPr>
                                <w:jc w:val="center"/>
                                <w:rPr>
                                  <w:rFonts w:hint="default" w:ascii="Times New Roman" w:hAnsi="Times New Roman" w:eastAsia="黑体" w:cs="Times New Roman"/>
                                  <w:sz w:val="21"/>
                                  <w:szCs w:val="21"/>
                                  <w:lang w:val="en-US" w:eastAsia="zh-CN"/>
                                </w:rPr>
                              </w:pPr>
                              <w:r>
                                <w:rPr>
                                  <w:rFonts w:hint="eastAsia" w:eastAsia="黑体" w:cs="Times New Roman"/>
                                  <w:sz w:val="21"/>
                                  <w:szCs w:val="21"/>
                                  <w:lang w:val="en-US" w:eastAsia="zh-CN"/>
                                </w:rPr>
                                <w:t>DA002</w:t>
                              </w:r>
                            </w:p>
                          </w:txbxContent>
                        </v:textbox>
                      </v:rect>
                      <v:line id="直线 83821" o:spid="_x0000_s1026" o:spt="20" style="position:absolute;left:3227705;top:1678940;height:0;width:304800;" filled="f" stroked="t" coordsize="21600,21600" o:gfxdata="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a6fJ7VAAAABwEAAA8AAAAAAAAAAQAgAAAAIgAAAGRycy9kb3du&#10;cmV2LnhtbFBLAQIUABQAAAAIAIdO4kBREfcJAgIAAO4DAAAOAAAAAAAAAAEAIAAAACQBAABkcnMv&#10;ZTJvRG9jLnhtbFBLBQYAAAAABgAGAFkBAACYBQAAAAA=&#10;">
                        <v:fill on="f" focussize="0,0"/>
                        <v:stroke color="#000000" joinstyle="round" startarrowlength="short" endarrow="block" endarrowwidth="narrow"/>
                        <v:imagedata o:title=""/>
                        <o:lock v:ext="edit" aspectratio="f"/>
                      </v:line>
                    </v:group>
                  </w:pict>
                </mc:Fallback>
              </mc:AlternateContent>
            </w:r>
          </w:p>
          <w:p w14:paraId="5667B403">
            <w:pPr>
              <w:keepNext w:val="0"/>
              <w:keepLines w:val="0"/>
              <w:suppressLineNumbers w:val="0"/>
              <w:bidi w:val="0"/>
              <w:spacing w:before="0" w:beforeAutospacing="0" w:after="0" w:afterAutospacing="0"/>
              <w:ind w:left="0" w:right="0"/>
              <w:rPr>
                <w:rFonts w:hint="eastAsia"/>
                <w:color w:val="auto"/>
              </w:rPr>
            </w:pPr>
          </w:p>
          <w:p w14:paraId="627C19C6">
            <w:pPr>
              <w:keepNext w:val="0"/>
              <w:keepLines w:val="0"/>
              <w:suppressLineNumbers w:val="0"/>
              <w:bidi w:val="0"/>
              <w:spacing w:before="0" w:beforeAutospacing="0" w:after="0" w:afterAutospacing="0"/>
              <w:ind w:left="0" w:right="0"/>
              <w:rPr>
                <w:rFonts w:hint="eastAsia"/>
                <w:color w:val="auto"/>
              </w:rPr>
            </w:pPr>
          </w:p>
          <w:p w14:paraId="4D080866">
            <w:pPr>
              <w:keepNext w:val="0"/>
              <w:keepLines w:val="0"/>
              <w:suppressLineNumbers w:val="0"/>
              <w:bidi w:val="0"/>
              <w:spacing w:before="0" w:beforeAutospacing="0" w:after="0" w:afterAutospacing="0"/>
              <w:ind w:left="0" w:right="0"/>
              <w:rPr>
                <w:rFonts w:hint="eastAsia"/>
                <w:color w:val="auto"/>
              </w:rPr>
            </w:pPr>
          </w:p>
          <w:p w14:paraId="183767F3">
            <w:pPr>
              <w:keepNext w:val="0"/>
              <w:keepLines w:val="0"/>
              <w:suppressLineNumbers w:val="0"/>
              <w:bidi w:val="0"/>
              <w:spacing w:before="0" w:beforeAutospacing="0" w:after="0" w:afterAutospacing="0"/>
              <w:ind w:left="0" w:right="0"/>
              <w:rPr>
                <w:rFonts w:hint="eastAsia"/>
                <w:color w:val="auto"/>
              </w:rPr>
            </w:pPr>
          </w:p>
          <w:p w14:paraId="22A7E0DD">
            <w:pPr>
              <w:keepNext w:val="0"/>
              <w:keepLines w:val="0"/>
              <w:suppressLineNumbers w:val="0"/>
              <w:bidi w:val="0"/>
              <w:spacing w:before="0" w:beforeAutospacing="0" w:after="0" w:afterAutospacing="0"/>
              <w:ind w:left="0" w:right="0"/>
              <w:rPr>
                <w:rFonts w:hint="eastAsia"/>
                <w:color w:val="auto"/>
              </w:rPr>
            </w:pPr>
          </w:p>
          <w:p w14:paraId="75EE5FFD">
            <w:pPr>
              <w:keepNext w:val="0"/>
              <w:keepLines w:val="0"/>
              <w:suppressLineNumbers w:val="0"/>
              <w:bidi w:val="0"/>
              <w:spacing w:before="0" w:beforeAutospacing="0" w:after="0" w:afterAutospacing="0"/>
              <w:ind w:left="0" w:right="0"/>
              <w:rPr>
                <w:rFonts w:hint="eastAsia"/>
                <w:color w:val="auto"/>
              </w:rPr>
            </w:pPr>
          </w:p>
          <w:p w14:paraId="5FF5D4D5">
            <w:pPr>
              <w:keepNext w:val="0"/>
              <w:keepLines w:val="0"/>
              <w:suppressLineNumbers w:val="0"/>
              <w:bidi w:val="0"/>
              <w:spacing w:before="0" w:beforeAutospacing="0" w:after="0" w:afterAutospacing="0"/>
              <w:ind w:left="0" w:right="0"/>
              <w:rPr>
                <w:rFonts w:hint="default"/>
                <w:color w:val="auto"/>
                <w:lang w:val="en-US" w:eastAsia="zh-CN"/>
              </w:rPr>
            </w:pPr>
          </w:p>
          <w:p w14:paraId="025F02DF">
            <w:pPr>
              <w:keepNext w:val="0"/>
              <w:keepLines w:val="0"/>
              <w:suppressLineNumbers w:val="0"/>
              <w:bidi w:val="0"/>
              <w:spacing w:before="0" w:beforeAutospacing="0" w:after="0" w:afterAutospacing="0"/>
              <w:ind w:left="0" w:right="0"/>
              <w:rPr>
                <w:rFonts w:hint="default"/>
                <w:color w:val="auto"/>
                <w:lang w:val="en-US" w:eastAsia="zh-CN"/>
              </w:rPr>
            </w:pPr>
          </w:p>
          <w:p w14:paraId="20EBEF7A">
            <w:pPr>
              <w:keepNext w:val="0"/>
              <w:keepLines w:val="0"/>
              <w:suppressLineNumbers w:val="0"/>
              <w:bidi w:val="0"/>
              <w:spacing w:before="0" w:beforeAutospacing="0" w:after="0" w:afterAutospacing="0"/>
              <w:ind w:left="0" w:right="0"/>
              <w:rPr>
                <w:rFonts w:hint="default"/>
                <w:color w:val="auto"/>
                <w:lang w:val="en-US" w:eastAsia="zh-CN"/>
              </w:rPr>
            </w:pPr>
          </w:p>
          <w:p w14:paraId="6873A84E">
            <w:pPr>
              <w:keepNext w:val="0"/>
              <w:keepLines w:val="0"/>
              <w:suppressLineNumbers w:val="0"/>
              <w:bidi w:val="0"/>
              <w:spacing w:before="0" w:beforeAutospacing="0" w:after="0" w:afterAutospacing="0"/>
              <w:ind w:left="0" w:right="0"/>
              <w:rPr>
                <w:rFonts w:hint="default"/>
                <w:color w:val="auto"/>
                <w:lang w:val="en-US" w:eastAsia="zh-CN"/>
              </w:rPr>
            </w:pPr>
          </w:p>
          <w:p w14:paraId="2899A7FD">
            <w:pPr>
              <w:keepNext w:val="0"/>
              <w:keepLines w:val="0"/>
              <w:suppressLineNumbers w:val="0"/>
              <w:bidi w:val="0"/>
              <w:spacing w:before="0" w:beforeAutospacing="0" w:after="0" w:afterAutospacing="0"/>
              <w:ind w:left="0" w:right="0"/>
              <w:rPr>
                <w:rFonts w:hint="default"/>
                <w:color w:val="auto"/>
                <w:lang w:val="en-US" w:eastAsia="zh-CN"/>
              </w:rPr>
            </w:pPr>
          </w:p>
          <w:p w14:paraId="781D5D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center"/>
              <w:textAlignment w:val="auto"/>
              <w:rPr>
                <w:rFonts w:hint="eastAsia" w:ascii="黑体" w:hAnsi="黑体" w:eastAsia="黑体" w:cs="黑体"/>
                <w:color w:val="auto"/>
                <w:sz w:val="24"/>
                <w:szCs w:val="24"/>
              </w:rPr>
            </w:pPr>
            <w:r>
              <w:rPr>
                <w:rFonts w:hint="default" w:ascii="Times New Roman" w:hAnsi="Times New Roman" w:eastAsia="黑体" w:cs="Times New Roman"/>
                <w:color w:val="auto"/>
                <w:sz w:val="24"/>
                <w:szCs w:val="24"/>
                <w:lang w:val="en-US" w:eastAsia="zh-CN"/>
              </w:rPr>
              <w:t>图</w:t>
            </w:r>
            <w:r>
              <w:rPr>
                <w:rFonts w:hint="eastAsia" w:eastAsia="黑体" w:cs="Times New Roman"/>
                <w:color w:val="auto"/>
                <w:sz w:val="24"/>
                <w:szCs w:val="24"/>
                <w:lang w:val="en-US" w:eastAsia="zh-CN"/>
              </w:rPr>
              <w:t>4-1</w:t>
            </w:r>
            <w:r>
              <w:rPr>
                <w:rFonts w:hint="default" w:ascii="Times New Roman" w:hAnsi="Times New Roman" w:eastAsia="黑体" w:cs="Times New Roman"/>
                <w:color w:val="auto"/>
                <w:sz w:val="24"/>
                <w:szCs w:val="24"/>
                <w:lang w:val="en-US" w:eastAsia="zh-CN"/>
              </w:rPr>
              <w:t xml:space="preserve"> </w:t>
            </w:r>
            <w:r>
              <w:rPr>
                <w:rFonts w:hint="eastAsia" w:ascii="黑体" w:hAnsi="黑体" w:eastAsia="黑体" w:cs="黑体"/>
                <w:color w:val="auto"/>
                <w:sz w:val="24"/>
                <w:szCs w:val="24"/>
                <w:lang w:val="en-US" w:eastAsia="zh-CN"/>
              </w:rPr>
              <w:t>废气收集及污染治理措施示意图</w:t>
            </w:r>
          </w:p>
          <w:p w14:paraId="4DEA4F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auto"/>
                <w:sz w:val="24"/>
                <w:szCs w:val="24"/>
              </w:rPr>
            </w:pPr>
            <w:r>
              <w:rPr>
                <w:rFonts w:hint="eastAsia"/>
                <w:color w:val="auto"/>
                <w:sz w:val="24"/>
                <w:szCs w:val="24"/>
              </w:rPr>
              <w:t>（</w:t>
            </w:r>
            <w:r>
              <w:rPr>
                <w:rFonts w:hint="eastAsia"/>
                <w:color w:val="auto"/>
                <w:sz w:val="24"/>
                <w:szCs w:val="24"/>
                <w:lang w:val="en-US" w:eastAsia="zh-CN"/>
              </w:rPr>
              <w:t>1</w:t>
            </w:r>
            <w:r>
              <w:rPr>
                <w:rFonts w:hint="eastAsia"/>
                <w:color w:val="auto"/>
                <w:sz w:val="24"/>
                <w:szCs w:val="24"/>
              </w:rPr>
              <w:t>）技术可行性分析</w:t>
            </w:r>
          </w:p>
          <w:p w14:paraId="1C3E76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auto"/>
                <w:sz w:val="24"/>
                <w:szCs w:val="24"/>
              </w:rPr>
            </w:pPr>
            <w:r>
              <w:rPr>
                <w:rFonts w:hint="eastAsia"/>
                <w:color w:val="auto"/>
                <w:sz w:val="24"/>
                <w:szCs w:val="24"/>
                <w:lang w:val="en-US" w:eastAsia="zh-CN"/>
              </w:rPr>
              <w:t>根据</w:t>
            </w:r>
            <w:r>
              <w:rPr>
                <w:rFonts w:hint="default"/>
                <w:color w:val="auto"/>
                <w:sz w:val="24"/>
                <w:szCs w:val="24"/>
              </w:rPr>
              <w:t>《排污许可证申请与核发技术规范</w:t>
            </w:r>
            <w:r>
              <w:rPr>
                <w:rFonts w:hint="eastAsia"/>
                <w:color w:val="auto"/>
                <w:sz w:val="24"/>
                <w:szCs w:val="24"/>
              </w:rPr>
              <w:t xml:space="preserve"> </w:t>
            </w:r>
            <w:r>
              <w:rPr>
                <w:rFonts w:hint="eastAsia"/>
                <w:color w:val="auto"/>
                <w:sz w:val="24"/>
                <w:szCs w:val="24"/>
                <w:lang w:val="en-US" w:eastAsia="zh-CN"/>
              </w:rPr>
              <w:t>塑料和橡胶制品工业</w:t>
            </w:r>
            <w:r>
              <w:rPr>
                <w:rFonts w:hint="default"/>
                <w:color w:val="auto"/>
                <w:sz w:val="24"/>
                <w:szCs w:val="24"/>
              </w:rPr>
              <w:t>》（</w:t>
            </w:r>
            <w:r>
              <w:rPr>
                <w:rFonts w:hint="eastAsia"/>
                <w:color w:val="auto"/>
                <w:sz w:val="24"/>
                <w:szCs w:val="24"/>
              </w:rPr>
              <w:t>HJ</w:t>
            </w:r>
            <w:r>
              <w:rPr>
                <w:rFonts w:hint="eastAsia"/>
                <w:color w:val="auto"/>
                <w:sz w:val="24"/>
                <w:szCs w:val="24"/>
                <w:lang w:val="en-US" w:eastAsia="zh-CN"/>
              </w:rPr>
              <w:t>1122</w:t>
            </w:r>
            <w:r>
              <w:rPr>
                <w:rFonts w:hint="eastAsia"/>
                <w:color w:val="auto"/>
                <w:sz w:val="24"/>
                <w:szCs w:val="24"/>
              </w:rPr>
              <w:t>-20</w:t>
            </w:r>
            <w:r>
              <w:rPr>
                <w:rFonts w:hint="eastAsia"/>
                <w:color w:val="auto"/>
                <w:sz w:val="24"/>
                <w:szCs w:val="24"/>
                <w:lang w:val="en-US" w:eastAsia="zh-CN"/>
              </w:rPr>
              <w:t>20</w:t>
            </w:r>
            <w:r>
              <w:rPr>
                <w:rFonts w:hint="default"/>
                <w:color w:val="auto"/>
                <w:sz w:val="24"/>
                <w:szCs w:val="24"/>
              </w:rPr>
              <w:t>）</w:t>
            </w:r>
            <w:r>
              <w:rPr>
                <w:rFonts w:hint="eastAsia"/>
                <w:color w:val="auto"/>
                <w:sz w:val="24"/>
                <w:szCs w:val="24"/>
                <w:lang w:eastAsia="zh-CN"/>
              </w:rPr>
              <w:t>“</w:t>
            </w:r>
            <w:r>
              <w:rPr>
                <w:rFonts w:hint="eastAsia"/>
                <w:color w:val="auto"/>
                <w:sz w:val="24"/>
                <w:szCs w:val="24"/>
                <w:lang w:val="en-US" w:eastAsia="zh-CN"/>
              </w:rPr>
              <w:t>第二部分塑料制品工业</w:t>
            </w:r>
            <w:r>
              <w:rPr>
                <w:rFonts w:hint="eastAsia"/>
                <w:color w:val="auto"/>
                <w:sz w:val="24"/>
                <w:szCs w:val="24"/>
                <w:lang w:eastAsia="zh-CN"/>
              </w:rPr>
              <w:t>”</w:t>
            </w:r>
            <w:r>
              <w:rPr>
                <w:rFonts w:hint="eastAsia"/>
                <w:color w:val="auto"/>
                <w:sz w:val="24"/>
                <w:szCs w:val="24"/>
                <w:lang w:val="en-US" w:eastAsia="zh-CN"/>
              </w:rPr>
              <w:t>表7</w:t>
            </w:r>
            <w:r>
              <w:rPr>
                <w:rFonts w:hint="default"/>
                <w:color w:val="auto"/>
                <w:sz w:val="24"/>
                <w:szCs w:val="24"/>
              </w:rPr>
              <w:t>中</w:t>
            </w:r>
            <w:r>
              <w:rPr>
                <w:rFonts w:hint="eastAsia"/>
                <w:color w:val="auto"/>
                <w:sz w:val="24"/>
                <w:szCs w:val="24"/>
                <w:lang w:val="en-US" w:eastAsia="zh-CN"/>
              </w:rPr>
              <w:t>“日用塑料制品制造”中相关</w:t>
            </w:r>
            <w:r>
              <w:rPr>
                <w:rFonts w:hint="default"/>
                <w:color w:val="auto"/>
                <w:sz w:val="24"/>
                <w:szCs w:val="24"/>
              </w:rPr>
              <w:t>废气污染防治可行技术</w:t>
            </w:r>
            <w:r>
              <w:rPr>
                <w:rFonts w:hint="eastAsia"/>
                <w:color w:val="auto"/>
                <w:sz w:val="24"/>
                <w:szCs w:val="24"/>
                <w:lang w:eastAsia="zh-CN"/>
              </w:rPr>
              <w:t>，</w:t>
            </w:r>
            <w:r>
              <w:rPr>
                <w:rFonts w:hint="eastAsia"/>
                <w:color w:val="auto"/>
                <w:sz w:val="24"/>
                <w:szCs w:val="24"/>
                <w:lang w:val="en-US" w:eastAsia="zh-CN"/>
              </w:rPr>
              <w:t>结合</w:t>
            </w:r>
            <w:r>
              <w:rPr>
                <w:rFonts w:hint="default"/>
                <w:color w:val="auto"/>
                <w:sz w:val="24"/>
                <w:szCs w:val="24"/>
              </w:rPr>
              <w:t>《挥发性有机物（</w:t>
            </w:r>
            <w:r>
              <w:rPr>
                <w:rFonts w:hint="eastAsia"/>
                <w:color w:val="auto"/>
                <w:sz w:val="24"/>
                <w:szCs w:val="24"/>
              </w:rPr>
              <w:t>VOCs</w:t>
            </w:r>
            <w:r>
              <w:rPr>
                <w:rFonts w:hint="default"/>
                <w:color w:val="auto"/>
                <w:sz w:val="24"/>
                <w:szCs w:val="24"/>
              </w:rPr>
              <w:t>）污染防治技术政策》（公告</w:t>
            </w:r>
            <w:r>
              <w:rPr>
                <w:rFonts w:hint="eastAsia"/>
                <w:color w:val="auto"/>
                <w:sz w:val="24"/>
                <w:szCs w:val="24"/>
              </w:rPr>
              <w:t>2013年第31号）</w:t>
            </w:r>
            <w:r>
              <w:rPr>
                <w:rFonts w:hint="eastAsia"/>
                <w:color w:val="auto"/>
                <w:sz w:val="24"/>
                <w:szCs w:val="24"/>
                <w:lang w:eastAsia="zh-CN"/>
              </w:rPr>
              <w:t>，</w:t>
            </w:r>
            <w:r>
              <w:rPr>
                <w:rFonts w:hint="eastAsia"/>
                <w:color w:val="auto"/>
                <w:sz w:val="24"/>
                <w:szCs w:val="24"/>
                <w:lang w:val="en-US" w:eastAsia="zh-CN"/>
              </w:rPr>
              <w:t>并</w:t>
            </w:r>
            <w:r>
              <w:rPr>
                <w:rFonts w:hint="eastAsia"/>
                <w:color w:val="auto"/>
                <w:sz w:val="24"/>
                <w:szCs w:val="24"/>
              </w:rPr>
              <w:t>参照</w:t>
            </w:r>
            <w:r>
              <w:rPr>
                <w:rFonts w:hint="eastAsia"/>
                <w:color w:val="auto"/>
                <w:sz w:val="24"/>
                <w:szCs w:val="24"/>
                <w:lang w:eastAsia="zh-CN"/>
              </w:rPr>
              <w:t>《</w:t>
            </w:r>
            <w:r>
              <w:rPr>
                <w:rFonts w:hint="default"/>
                <w:color w:val="auto"/>
                <w:sz w:val="24"/>
                <w:szCs w:val="24"/>
              </w:rPr>
              <w:t>排污许可证申请与核发技术规范</w:t>
            </w:r>
            <w:r>
              <w:rPr>
                <w:rFonts w:hint="eastAsia"/>
                <w:color w:val="auto"/>
                <w:sz w:val="24"/>
                <w:szCs w:val="24"/>
              </w:rPr>
              <w:t xml:space="preserve"> </w:t>
            </w:r>
            <w:r>
              <w:rPr>
                <w:rFonts w:hint="eastAsia"/>
                <w:color w:val="auto"/>
                <w:sz w:val="24"/>
                <w:szCs w:val="24"/>
                <w:lang w:val="en-US" w:eastAsia="zh-CN"/>
              </w:rPr>
              <w:t>废弃资源加工工</w:t>
            </w:r>
            <w:r>
              <w:rPr>
                <w:rFonts w:hint="eastAsia"/>
                <w:color w:val="auto"/>
                <w:sz w:val="24"/>
                <w:szCs w:val="24"/>
              </w:rPr>
              <w:t>业</w:t>
            </w:r>
            <w:r>
              <w:rPr>
                <w:rFonts w:hint="eastAsia"/>
                <w:color w:val="auto"/>
                <w:sz w:val="24"/>
                <w:szCs w:val="24"/>
                <w:lang w:eastAsia="zh-CN"/>
              </w:rPr>
              <w:t>》（</w:t>
            </w:r>
            <w:r>
              <w:rPr>
                <w:rFonts w:hint="eastAsia"/>
                <w:color w:val="auto"/>
                <w:sz w:val="24"/>
                <w:szCs w:val="24"/>
                <w:lang w:val="en-US" w:eastAsia="zh-CN"/>
              </w:rPr>
              <w:t>HJ1034-2019</w:t>
            </w:r>
            <w:r>
              <w:rPr>
                <w:rFonts w:hint="eastAsia"/>
                <w:color w:val="auto"/>
                <w:sz w:val="24"/>
                <w:szCs w:val="24"/>
                <w:lang w:eastAsia="zh-CN"/>
              </w:rPr>
              <w:t>）</w:t>
            </w:r>
            <w:r>
              <w:rPr>
                <w:rFonts w:hint="default"/>
                <w:color w:val="auto"/>
                <w:sz w:val="24"/>
                <w:szCs w:val="24"/>
              </w:rPr>
              <w:t>中废气污染防治可行技术</w:t>
            </w:r>
            <w:r>
              <w:rPr>
                <w:rFonts w:hint="eastAsia"/>
                <w:color w:val="auto"/>
                <w:sz w:val="24"/>
                <w:szCs w:val="24"/>
              </w:rPr>
              <w:t>，项目</w:t>
            </w:r>
            <w:r>
              <w:rPr>
                <w:rFonts w:hint="eastAsia"/>
                <w:color w:val="auto"/>
                <w:sz w:val="24"/>
                <w:szCs w:val="24"/>
                <w:lang w:val="en-US" w:eastAsia="zh-CN"/>
              </w:rPr>
              <w:t>塑料制品生产区域注塑工艺废气处理装置以及粉碎粉尘</w:t>
            </w:r>
            <w:r>
              <w:rPr>
                <w:rFonts w:hint="eastAsia"/>
                <w:color w:val="auto"/>
                <w:sz w:val="24"/>
                <w:szCs w:val="24"/>
              </w:rPr>
              <w:t>处理装置</w:t>
            </w:r>
            <w:r>
              <w:rPr>
                <w:rFonts w:hint="eastAsia"/>
                <w:color w:val="auto"/>
                <w:sz w:val="24"/>
                <w:szCs w:val="24"/>
                <w:lang w:eastAsia="zh-CN"/>
              </w:rPr>
              <w:t>，</w:t>
            </w:r>
            <w:r>
              <w:rPr>
                <w:rFonts w:hint="eastAsia"/>
                <w:color w:val="auto"/>
                <w:sz w:val="24"/>
                <w:szCs w:val="24"/>
                <w:lang w:val="en-US" w:eastAsia="zh-CN"/>
              </w:rPr>
              <w:t>均</w:t>
            </w:r>
            <w:r>
              <w:rPr>
                <w:rFonts w:hint="eastAsia"/>
                <w:color w:val="auto"/>
                <w:sz w:val="24"/>
                <w:szCs w:val="24"/>
              </w:rPr>
              <w:t>为可行技术，且</w:t>
            </w:r>
            <w:r>
              <w:rPr>
                <w:rFonts w:hint="default"/>
                <w:color w:val="auto"/>
                <w:sz w:val="24"/>
                <w:szCs w:val="24"/>
              </w:rPr>
              <w:t>不属于</w:t>
            </w:r>
            <w:r>
              <w:rPr>
                <w:rFonts w:hint="eastAsia"/>
                <w:color w:val="auto"/>
                <w:sz w:val="24"/>
                <w:szCs w:val="24"/>
                <w:lang w:val="en-US" w:eastAsia="zh-CN"/>
              </w:rPr>
              <w:t>2025年《国家污染防治技术指导目录》</w:t>
            </w:r>
            <w:r>
              <w:rPr>
                <w:rFonts w:hint="default"/>
                <w:color w:val="auto"/>
                <w:sz w:val="24"/>
                <w:szCs w:val="24"/>
              </w:rPr>
              <w:t>中限制类、淘汰类。</w:t>
            </w:r>
          </w:p>
          <w:p w14:paraId="3E32BBDF">
            <w:pPr>
              <w:keepNext w:val="0"/>
              <w:keepLines w:val="0"/>
              <w:suppressLineNumbers w:val="0"/>
              <w:bidi w:val="0"/>
              <w:spacing w:before="0" w:beforeAutospacing="0" w:after="0" w:afterAutospacing="0" w:line="360" w:lineRule="auto"/>
              <w:ind w:left="0" w:right="0"/>
              <w:jc w:val="center"/>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表</w:t>
            </w:r>
            <w:r>
              <w:rPr>
                <w:rFonts w:hint="eastAsia" w:eastAsia="黑体" w:cs="Times New Roman"/>
                <w:color w:val="auto"/>
                <w:sz w:val="24"/>
                <w:szCs w:val="24"/>
                <w:lang w:val="en-US" w:eastAsia="zh-CN"/>
              </w:rPr>
              <w:t xml:space="preserve">4-7 </w:t>
            </w:r>
            <w:r>
              <w:rPr>
                <w:rFonts w:hint="default" w:ascii="Times New Roman" w:hAnsi="Times New Roman" w:eastAsia="黑体" w:cs="Times New Roman"/>
                <w:color w:val="auto"/>
                <w:sz w:val="24"/>
                <w:szCs w:val="24"/>
              </w:rPr>
              <w:t>废气污染防治可行技术参考表</w:t>
            </w:r>
          </w:p>
          <w:tbl>
            <w:tblPr>
              <w:tblStyle w:val="37"/>
              <w:tblW w:w="4996"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738"/>
              <w:gridCol w:w="738"/>
              <w:gridCol w:w="1071"/>
              <w:gridCol w:w="1382"/>
              <w:gridCol w:w="1350"/>
              <w:gridCol w:w="1635"/>
              <w:gridCol w:w="1060"/>
            </w:tblGrid>
            <w:tr w14:paraId="6076341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329" w:hRule="atLeast"/>
                <w:jc w:val="center"/>
              </w:trPr>
              <w:tc>
                <w:tcPr>
                  <w:tcW w:w="925" w:type="pct"/>
                  <w:gridSpan w:val="2"/>
                  <w:vAlign w:val="center"/>
                </w:tcPr>
                <w:p w14:paraId="637265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b/>
                      <w:bCs/>
                      <w:color w:val="auto"/>
                      <w:sz w:val="21"/>
                      <w:szCs w:val="21"/>
                      <w:lang w:eastAsia="zh-CN"/>
                    </w:rPr>
                  </w:pPr>
                  <w:r>
                    <w:rPr>
                      <w:rFonts w:hint="eastAsia"/>
                      <w:b/>
                      <w:bCs/>
                      <w:color w:val="auto"/>
                      <w:sz w:val="21"/>
                      <w:szCs w:val="21"/>
                    </w:rPr>
                    <w:t>生产</w:t>
                  </w:r>
                  <w:r>
                    <w:rPr>
                      <w:rFonts w:hint="eastAsia"/>
                      <w:b/>
                      <w:bCs/>
                      <w:color w:val="auto"/>
                      <w:sz w:val="21"/>
                      <w:szCs w:val="21"/>
                      <w:lang w:val="en-US" w:eastAsia="zh-CN"/>
                    </w:rPr>
                    <w:t>工序</w:t>
                  </w:r>
                </w:p>
              </w:tc>
              <w:tc>
                <w:tcPr>
                  <w:tcW w:w="671" w:type="pct"/>
                  <w:vAlign w:val="center"/>
                </w:tcPr>
                <w:p w14:paraId="5BF259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eastAsia="宋体"/>
                      <w:b/>
                      <w:bCs/>
                      <w:color w:val="auto"/>
                      <w:sz w:val="21"/>
                      <w:szCs w:val="21"/>
                      <w:lang w:val="en-US" w:eastAsia="zh-CN"/>
                    </w:rPr>
                  </w:pPr>
                  <w:r>
                    <w:rPr>
                      <w:rFonts w:hint="eastAsia"/>
                      <w:b/>
                      <w:bCs/>
                      <w:color w:val="auto"/>
                      <w:sz w:val="21"/>
                      <w:szCs w:val="21"/>
                      <w:lang w:val="en-US" w:eastAsia="zh-CN"/>
                    </w:rPr>
                    <w:t>产污环节</w:t>
                  </w:r>
                </w:p>
              </w:tc>
              <w:tc>
                <w:tcPr>
                  <w:tcW w:w="866" w:type="pct"/>
                  <w:vAlign w:val="center"/>
                </w:tcPr>
                <w:p w14:paraId="2B587A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eastAsia="宋体"/>
                      <w:b/>
                      <w:bCs/>
                      <w:color w:val="auto"/>
                      <w:sz w:val="21"/>
                      <w:szCs w:val="21"/>
                      <w:lang w:val="en-US" w:eastAsia="zh-CN"/>
                    </w:rPr>
                  </w:pPr>
                  <w:r>
                    <w:rPr>
                      <w:rFonts w:hint="eastAsia"/>
                      <w:b/>
                      <w:bCs/>
                      <w:color w:val="auto"/>
                      <w:sz w:val="21"/>
                      <w:szCs w:val="21"/>
                    </w:rPr>
                    <w:t>污染</w:t>
                  </w:r>
                  <w:r>
                    <w:rPr>
                      <w:rFonts w:hint="eastAsia"/>
                      <w:b/>
                      <w:bCs/>
                      <w:color w:val="auto"/>
                      <w:sz w:val="21"/>
                      <w:szCs w:val="21"/>
                      <w:lang w:val="en-US" w:eastAsia="zh-CN"/>
                    </w:rPr>
                    <w:t>物种类</w:t>
                  </w:r>
                </w:p>
              </w:tc>
              <w:tc>
                <w:tcPr>
                  <w:tcW w:w="846" w:type="pct"/>
                  <w:vAlign w:val="center"/>
                </w:tcPr>
                <w:p w14:paraId="503DAE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eastAsia"/>
                      <w:b/>
                      <w:bCs/>
                      <w:color w:val="auto"/>
                      <w:sz w:val="21"/>
                      <w:szCs w:val="21"/>
                    </w:rPr>
                    <w:t>规范中</w:t>
                  </w:r>
                  <w:r>
                    <w:rPr>
                      <w:rFonts w:hint="eastAsia"/>
                      <w:b/>
                      <w:bCs/>
                      <w:color w:val="auto"/>
                      <w:sz w:val="21"/>
                      <w:szCs w:val="21"/>
                      <w:lang w:val="en-US" w:eastAsia="zh-CN"/>
                    </w:rPr>
                    <w:t>所列</w:t>
                  </w:r>
                  <w:r>
                    <w:rPr>
                      <w:rFonts w:hint="eastAsia"/>
                      <w:b/>
                      <w:bCs/>
                      <w:color w:val="auto"/>
                      <w:sz w:val="21"/>
                      <w:szCs w:val="21"/>
                    </w:rPr>
                    <w:t>可行性</w:t>
                  </w:r>
                  <w:r>
                    <w:rPr>
                      <w:rFonts w:hint="eastAsia"/>
                      <w:b/>
                      <w:bCs/>
                      <w:color w:val="auto"/>
                      <w:sz w:val="21"/>
                      <w:szCs w:val="21"/>
                      <w:lang w:val="en-US" w:eastAsia="zh-CN"/>
                    </w:rPr>
                    <w:t>治理</w:t>
                  </w:r>
                  <w:r>
                    <w:rPr>
                      <w:rFonts w:hint="eastAsia"/>
                      <w:b/>
                      <w:bCs/>
                      <w:color w:val="auto"/>
                      <w:sz w:val="21"/>
                      <w:szCs w:val="21"/>
                    </w:rPr>
                    <w:t>技术</w:t>
                  </w:r>
                </w:p>
              </w:tc>
              <w:tc>
                <w:tcPr>
                  <w:tcW w:w="1025" w:type="pct"/>
                  <w:vAlign w:val="center"/>
                </w:tcPr>
                <w:p w14:paraId="0DEC15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eastAsia"/>
                      <w:b/>
                      <w:bCs/>
                      <w:color w:val="auto"/>
                      <w:sz w:val="21"/>
                      <w:szCs w:val="21"/>
                    </w:rPr>
                    <w:t>本项目情况</w:t>
                  </w:r>
                </w:p>
              </w:tc>
              <w:tc>
                <w:tcPr>
                  <w:tcW w:w="664" w:type="pct"/>
                  <w:vAlign w:val="center"/>
                </w:tcPr>
                <w:p w14:paraId="169944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b/>
                      <w:bCs/>
                      <w:color w:val="auto"/>
                      <w:sz w:val="21"/>
                      <w:szCs w:val="21"/>
                      <w:lang w:val="en-US" w:eastAsia="zh-CN"/>
                    </w:rPr>
                  </w:pPr>
                  <w:r>
                    <w:rPr>
                      <w:rFonts w:hint="eastAsia"/>
                      <w:b/>
                      <w:bCs/>
                      <w:color w:val="auto"/>
                      <w:sz w:val="21"/>
                      <w:szCs w:val="21"/>
                    </w:rPr>
                    <w:t>是否</w:t>
                  </w:r>
                  <w:r>
                    <w:rPr>
                      <w:rFonts w:hint="eastAsia"/>
                      <w:b/>
                      <w:bCs/>
                      <w:color w:val="auto"/>
                      <w:sz w:val="21"/>
                      <w:szCs w:val="21"/>
                      <w:lang w:val="en-US" w:eastAsia="zh-CN"/>
                    </w:rPr>
                    <w:t>为</w:t>
                  </w:r>
                </w:p>
                <w:p w14:paraId="4FA35C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eastAsia"/>
                      <w:b/>
                      <w:bCs/>
                      <w:color w:val="auto"/>
                      <w:sz w:val="21"/>
                      <w:szCs w:val="21"/>
                    </w:rPr>
                    <w:t>可行技术</w:t>
                  </w:r>
                </w:p>
              </w:tc>
            </w:tr>
            <w:tr w14:paraId="64F8AA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259" w:hRule="atLeast"/>
                <w:jc w:val="center"/>
              </w:trPr>
              <w:tc>
                <w:tcPr>
                  <w:tcW w:w="462" w:type="pct"/>
                  <w:vMerge w:val="restart"/>
                  <w:vAlign w:val="center"/>
                </w:tcPr>
                <w:p w14:paraId="4FE7F4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塑料制品生产</w:t>
                  </w:r>
                </w:p>
              </w:tc>
              <w:tc>
                <w:tcPr>
                  <w:tcW w:w="462" w:type="pct"/>
                  <w:shd w:val="clear" w:color="auto" w:fill="auto"/>
                  <w:vAlign w:val="center"/>
                </w:tcPr>
                <w:p w14:paraId="12B1F7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注塑</w:t>
                  </w:r>
                </w:p>
              </w:tc>
              <w:tc>
                <w:tcPr>
                  <w:tcW w:w="671" w:type="pct"/>
                  <w:shd w:val="clear" w:color="auto" w:fill="auto"/>
                  <w:vAlign w:val="center"/>
                </w:tcPr>
                <w:p w14:paraId="6F489F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注塑废气</w:t>
                  </w:r>
                </w:p>
              </w:tc>
              <w:tc>
                <w:tcPr>
                  <w:tcW w:w="866" w:type="pct"/>
                  <w:shd w:val="clear" w:color="auto" w:fill="auto"/>
                  <w:vAlign w:val="center"/>
                </w:tcPr>
                <w:p w14:paraId="77965D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zh-CN"/>
                    </w:rPr>
                    <w:t>非甲烷总烃、甲苯、乙苯、苯乙烯、</w:t>
                  </w:r>
                  <w:r>
                    <w:rPr>
                      <w:rFonts w:hint="eastAsia"/>
                      <w:color w:val="auto"/>
                      <w:sz w:val="21"/>
                      <w:szCs w:val="21"/>
                      <w:lang w:val="en-US" w:eastAsia="zh-CN"/>
                    </w:rPr>
                    <w:t>苯、二甲苯</w:t>
                  </w:r>
                </w:p>
              </w:tc>
              <w:tc>
                <w:tcPr>
                  <w:tcW w:w="846" w:type="pct"/>
                  <w:shd w:val="clear" w:color="auto" w:fill="auto"/>
                  <w:vAlign w:val="center"/>
                </w:tcPr>
                <w:p w14:paraId="4103A3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除尘喷淋、吸附、热力燃烧、催化燃烧、低温等离子体、UV光氧化/光催化、生物法、以上组合技术</w:t>
                  </w:r>
                </w:p>
              </w:tc>
              <w:tc>
                <w:tcPr>
                  <w:tcW w:w="1025" w:type="pct"/>
                  <w:shd w:val="clear" w:color="auto" w:fill="auto"/>
                  <w:vAlign w:val="center"/>
                </w:tcPr>
                <w:p w14:paraId="5ECDCB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经集气罩收集后通过二级活性炭吸附装置处理，处理达标后由排气筒排放</w:t>
                  </w:r>
                </w:p>
              </w:tc>
              <w:tc>
                <w:tcPr>
                  <w:tcW w:w="664" w:type="pct"/>
                  <w:shd w:val="clear" w:color="auto" w:fill="auto"/>
                  <w:vAlign w:val="center"/>
                </w:tcPr>
                <w:p w14:paraId="637F4C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是</w:t>
                  </w:r>
                </w:p>
              </w:tc>
            </w:tr>
            <w:tr w14:paraId="3908DF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34" w:hRule="atLeast"/>
                <w:jc w:val="center"/>
              </w:trPr>
              <w:tc>
                <w:tcPr>
                  <w:tcW w:w="462" w:type="pct"/>
                  <w:vMerge w:val="continue"/>
                  <w:vAlign w:val="center"/>
                </w:tcPr>
                <w:p w14:paraId="1B2FDD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462" w:type="pct"/>
                  <w:shd w:val="clear" w:color="auto" w:fill="auto"/>
                  <w:vAlign w:val="center"/>
                </w:tcPr>
                <w:p w14:paraId="21CB7F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粉碎</w:t>
                  </w:r>
                </w:p>
              </w:tc>
              <w:tc>
                <w:tcPr>
                  <w:tcW w:w="671" w:type="pct"/>
                  <w:shd w:val="clear" w:color="auto" w:fill="auto"/>
                  <w:vAlign w:val="center"/>
                </w:tcPr>
                <w:p w14:paraId="205322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粉碎粉尘</w:t>
                  </w:r>
                </w:p>
              </w:tc>
              <w:tc>
                <w:tcPr>
                  <w:tcW w:w="866" w:type="pct"/>
                  <w:shd w:val="clear" w:color="auto" w:fill="auto"/>
                  <w:vAlign w:val="center"/>
                </w:tcPr>
                <w:p w14:paraId="0B1521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颗粒物</w:t>
                  </w:r>
                </w:p>
              </w:tc>
              <w:tc>
                <w:tcPr>
                  <w:tcW w:w="846" w:type="pct"/>
                  <w:shd w:val="clear" w:color="auto" w:fill="auto"/>
                  <w:vAlign w:val="center"/>
                </w:tcPr>
                <w:p w14:paraId="238A82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喷淋降尘、布袋除尘，其他</w:t>
                  </w:r>
                </w:p>
              </w:tc>
              <w:tc>
                <w:tcPr>
                  <w:tcW w:w="1025" w:type="pct"/>
                  <w:shd w:val="clear" w:color="auto" w:fill="auto"/>
                  <w:vAlign w:val="center"/>
                </w:tcPr>
                <w:p w14:paraId="23B71F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经集气罩收集后，通过布袋除尘器处理，处理达标后由排气筒排放</w:t>
                  </w:r>
                </w:p>
              </w:tc>
              <w:tc>
                <w:tcPr>
                  <w:tcW w:w="664" w:type="pct"/>
                  <w:shd w:val="clear" w:color="auto" w:fill="auto"/>
                  <w:vAlign w:val="center"/>
                </w:tcPr>
                <w:p w14:paraId="762C51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是</w:t>
                  </w:r>
                </w:p>
              </w:tc>
            </w:tr>
          </w:tbl>
          <w:p w14:paraId="0FAB6E4C">
            <w:pPr>
              <w:keepNext w:val="0"/>
              <w:keepLines w:val="0"/>
              <w:suppressLineNumbers w:val="0"/>
              <w:spacing w:before="0" w:beforeAutospacing="0" w:after="0" w:afterAutospacing="0" w:line="360" w:lineRule="auto"/>
              <w:ind w:left="0" w:right="0" w:firstLine="480" w:firstLineChars="200"/>
              <w:jc w:val="left"/>
              <w:rPr>
                <w:rFonts w:hint="default" w:eastAsia="宋体"/>
                <w:color w:val="auto"/>
                <w:sz w:val="24"/>
                <w:szCs w:val="28"/>
                <w:lang w:val="en-US" w:eastAsia="zh-CN"/>
              </w:rPr>
            </w:pPr>
            <w:r>
              <w:rPr>
                <w:rFonts w:hint="eastAsia"/>
                <w:color w:val="auto"/>
                <w:sz w:val="24"/>
                <w:szCs w:val="28"/>
                <w:lang w:val="en-US" w:eastAsia="zh-CN"/>
              </w:rPr>
              <w:t>注塑废气由1套“二级活性炭吸附装置”处理达标后由1根23m高排气筒DA001排放。</w:t>
            </w:r>
          </w:p>
          <w:p w14:paraId="13CD6A8B">
            <w:pPr>
              <w:keepNext w:val="0"/>
              <w:keepLines w:val="0"/>
              <w:suppressLineNumbers w:val="0"/>
              <w:spacing w:before="0" w:beforeAutospacing="0" w:after="0" w:afterAutospacing="0" w:line="360" w:lineRule="auto"/>
              <w:ind w:left="0" w:right="0" w:firstLine="480" w:firstLineChars="200"/>
              <w:jc w:val="left"/>
              <w:rPr>
                <w:rFonts w:hint="eastAsia"/>
                <w:color w:val="auto"/>
                <w:sz w:val="24"/>
                <w:szCs w:val="28"/>
                <w:highlight w:val="none"/>
              </w:rPr>
            </w:pPr>
            <w:r>
              <w:rPr>
                <w:rFonts w:hint="eastAsia"/>
                <w:color w:val="auto"/>
                <w:sz w:val="24"/>
                <w:szCs w:val="28"/>
                <w:lang w:val="en-US" w:eastAsia="zh-CN"/>
              </w:rPr>
              <w:t>参照</w:t>
            </w:r>
            <w:r>
              <w:rPr>
                <w:rFonts w:hint="eastAsia"/>
                <w:color w:val="auto"/>
                <w:sz w:val="24"/>
                <w:szCs w:val="28"/>
              </w:rPr>
              <w:t>《吸附法工业有机废气治理工程技术规范》（HJ2026-2013）的规定：本项目拟采用蜂窝状固定吸附床来吸附非甲烷总烃，</w:t>
            </w:r>
            <w:r>
              <w:rPr>
                <w:rFonts w:hint="eastAsia"/>
                <w:color w:val="auto"/>
                <w:sz w:val="24"/>
                <w:szCs w:val="28"/>
                <w:highlight w:val="none"/>
              </w:rPr>
              <w:t>在吸附装置内气体流速宜低于1.20m/s。</w:t>
            </w:r>
            <w:r>
              <w:rPr>
                <w:rFonts w:hint="eastAsia"/>
                <w:color w:val="auto"/>
                <w:sz w:val="24"/>
                <w:szCs w:val="28"/>
                <w:highlight w:val="none"/>
                <w:lang w:val="en-US" w:eastAsia="zh-CN"/>
              </w:rPr>
              <w:t>注塑废气处理总风量为24000</w:t>
            </w:r>
            <w:r>
              <w:rPr>
                <w:rFonts w:hint="eastAsia"/>
                <w:color w:val="auto"/>
                <w:sz w:val="24"/>
                <w:szCs w:val="28"/>
                <w:highlight w:val="none"/>
              </w:rPr>
              <w:t>m</w:t>
            </w:r>
            <w:r>
              <w:rPr>
                <w:rFonts w:hint="eastAsia"/>
                <w:color w:val="auto"/>
                <w:sz w:val="24"/>
                <w:szCs w:val="28"/>
                <w:highlight w:val="none"/>
                <w:vertAlign w:val="superscript"/>
              </w:rPr>
              <w:t>3</w:t>
            </w:r>
            <w:r>
              <w:rPr>
                <w:rFonts w:hint="eastAsia"/>
                <w:color w:val="auto"/>
                <w:sz w:val="24"/>
                <w:szCs w:val="28"/>
                <w:highlight w:val="none"/>
              </w:rPr>
              <w:t>/h，其单级过滤面积为</w:t>
            </w:r>
            <w:r>
              <w:rPr>
                <w:rFonts w:hint="eastAsia"/>
                <w:color w:val="auto"/>
                <w:sz w:val="24"/>
                <w:szCs w:val="28"/>
                <w:highlight w:val="none"/>
                <w:lang w:val="en-US" w:eastAsia="zh-CN"/>
              </w:rPr>
              <w:t>6.0</w:t>
            </w:r>
            <w:r>
              <w:rPr>
                <w:rFonts w:hint="eastAsia"/>
                <w:color w:val="auto"/>
                <w:sz w:val="24"/>
                <w:szCs w:val="28"/>
                <w:highlight w:val="none"/>
              </w:rPr>
              <w:t>m</w:t>
            </w:r>
            <w:r>
              <w:rPr>
                <w:rFonts w:hint="eastAsia"/>
                <w:color w:val="auto"/>
                <w:sz w:val="24"/>
                <w:szCs w:val="28"/>
                <w:highlight w:val="none"/>
                <w:vertAlign w:val="superscript"/>
              </w:rPr>
              <w:t>2</w:t>
            </w:r>
            <w:r>
              <w:rPr>
                <w:rFonts w:hint="eastAsia"/>
                <w:color w:val="auto"/>
                <w:sz w:val="24"/>
                <w:szCs w:val="28"/>
                <w:highlight w:val="none"/>
              </w:rPr>
              <w:t>，则气体流速为</w:t>
            </w:r>
            <w:r>
              <w:rPr>
                <w:rFonts w:hint="eastAsia"/>
                <w:color w:val="auto"/>
                <w:sz w:val="24"/>
                <w:szCs w:val="28"/>
                <w:highlight w:val="none"/>
                <w:lang w:val="en-US" w:eastAsia="zh-CN"/>
              </w:rPr>
              <w:t>1.11</w:t>
            </w:r>
            <w:r>
              <w:rPr>
                <w:rFonts w:hint="eastAsia"/>
                <w:color w:val="auto"/>
                <w:sz w:val="24"/>
                <w:szCs w:val="28"/>
                <w:highlight w:val="none"/>
              </w:rPr>
              <w:t>m/s</w:t>
            </w:r>
            <w:r>
              <w:rPr>
                <w:rFonts w:hint="eastAsia"/>
                <w:color w:val="auto"/>
                <w:sz w:val="24"/>
                <w:szCs w:val="28"/>
                <w:highlight w:val="none"/>
                <w:lang w:eastAsia="zh-CN"/>
              </w:rPr>
              <w:t>，</w:t>
            </w:r>
            <w:r>
              <w:rPr>
                <w:rFonts w:hint="eastAsia"/>
                <w:color w:val="auto"/>
                <w:sz w:val="24"/>
                <w:szCs w:val="28"/>
                <w:highlight w:val="none"/>
                <w:lang w:val="en-US" w:eastAsia="zh-CN"/>
              </w:rPr>
              <w:t>流速</w:t>
            </w:r>
            <w:r>
              <w:rPr>
                <w:rFonts w:hint="eastAsia"/>
                <w:color w:val="auto"/>
                <w:sz w:val="24"/>
                <w:szCs w:val="28"/>
                <w:highlight w:val="none"/>
              </w:rPr>
              <w:t>满足《吸附法工业有机废气治理工程技术规范》（HJ2026-2013）中要求。</w:t>
            </w:r>
          </w:p>
          <w:p w14:paraId="6AB6F9CE">
            <w:pPr>
              <w:keepNext w:val="0"/>
              <w:keepLines w:val="0"/>
              <w:suppressLineNumbers w:val="0"/>
              <w:spacing w:before="0" w:beforeAutospacing="0" w:after="0" w:afterAutospacing="0" w:line="360" w:lineRule="auto"/>
              <w:ind w:left="0" w:right="0" w:firstLine="480" w:firstLineChars="200"/>
              <w:jc w:val="left"/>
              <w:rPr>
                <w:rFonts w:hint="eastAsia"/>
                <w:color w:val="auto"/>
                <w:sz w:val="24"/>
                <w:szCs w:val="28"/>
              </w:rPr>
            </w:pPr>
            <w:r>
              <w:rPr>
                <w:rFonts w:hint="eastAsia"/>
                <w:color w:val="auto"/>
                <w:sz w:val="24"/>
                <w:szCs w:val="28"/>
              </w:rPr>
              <w:t>根据《吸附法工业有机废气治理工程技术规范》（HJ2026-2013），进入吸附装置的废气温度宜低于</w:t>
            </w:r>
            <w:r>
              <w:rPr>
                <w:rFonts w:hint="default" w:ascii="Times New Roman" w:hAnsi="Times New Roman" w:cs="Times New Roman"/>
                <w:color w:val="auto"/>
                <w:sz w:val="24"/>
                <w:szCs w:val="28"/>
              </w:rPr>
              <w:t>40℃</w:t>
            </w:r>
            <w:r>
              <w:rPr>
                <w:rFonts w:hint="eastAsia"/>
                <w:color w:val="auto"/>
                <w:sz w:val="24"/>
                <w:szCs w:val="28"/>
              </w:rPr>
              <w:t>，</w:t>
            </w:r>
            <w:r>
              <w:rPr>
                <w:rFonts w:hint="eastAsia"/>
                <w:color w:val="auto"/>
                <w:sz w:val="24"/>
                <w:szCs w:val="28"/>
                <w:lang w:val="en-US" w:eastAsia="zh-CN"/>
              </w:rPr>
              <w:t>注塑废气经管道输送至放置于厂房屋顶的二级活性炭装置时可达</w:t>
            </w:r>
            <w:r>
              <w:rPr>
                <w:rFonts w:hint="eastAsia"/>
                <w:color w:val="auto"/>
                <w:sz w:val="24"/>
                <w:szCs w:val="28"/>
              </w:rPr>
              <w:t>室温</w:t>
            </w:r>
            <w:r>
              <w:rPr>
                <w:rFonts w:hint="eastAsia"/>
                <w:color w:val="auto"/>
                <w:sz w:val="24"/>
                <w:szCs w:val="28"/>
                <w:lang w:eastAsia="zh-CN"/>
              </w:rPr>
              <w:t>，</w:t>
            </w:r>
            <w:r>
              <w:rPr>
                <w:rFonts w:hint="eastAsia"/>
                <w:color w:val="auto"/>
                <w:sz w:val="24"/>
                <w:szCs w:val="28"/>
                <w:lang w:val="en-US" w:eastAsia="zh-CN"/>
              </w:rPr>
              <w:t>可</w:t>
            </w:r>
            <w:r>
              <w:rPr>
                <w:rFonts w:hint="eastAsia"/>
                <w:color w:val="auto"/>
                <w:sz w:val="24"/>
                <w:szCs w:val="28"/>
              </w:rPr>
              <w:t>满足《吸附法工业有机废气治理工程技术规范》中要求。</w:t>
            </w:r>
          </w:p>
          <w:p w14:paraId="7862F7F5">
            <w:pPr>
              <w:keepNext w:val="0"/>
              <w:keepLines w:val="0"/>
              <w:suppressLineNumbers w:val="0"/>
              <w:spacing w:before="0" w:beforeAutospacing="0" w:after="0" w:afterAutospacing="0" w:line="360" w:lineRule="auto"/>
              <w:ind w:left="0" w:right="0" w:firstLine="480" w:firstLineChars="200"/>
              <w:jc w:val="left"/>
              <w:rPr>
                <w:rFonts w:hint="eastAsia"/>
                <w:color w:val="auto"/>
                <w:sz w:val="24"/>
                <w:szCs w:val="28"/>
                <w:lang w:val="en-US" w:eastAsia="zh-CN"/>
              </w:rPr>
            </w:pPr>
            <w:r>
              <w:rPr>
                <w:rFonts w:hint="eastAsia"/>
                <w:color w:val="auto"/>
                <w:sz w:val="24"/>
                <w:szCs w:val="28"/>
                <w:lang w:val="en-US" w:eastAsia="zh-CN"/>
              </w:rPr>
              <w:t>类比同类型行业，本项目采用碘值不低于800mg/g的蜂窝状活性炭。</w:t>
            </w:r>
          </w:p>
          <w:p w14:paraId="23ADF91C">
            <w:pPr>
              <w:keepNext w:val="0"/>
              <w:keepLines w:val="0"/>
              <w:suppressLineNumbers w:val="0"/>
              <w:spacing w:before="0" w:beforeAutospacing="0" w:after="0" w:afterAutospacing="0" w:line="360" w:lineRule="auto"/>
              <w:ind w:left="0" w:right="0" w:firstLine="480" w:firstLineChars="200"/>
              <w:jc w:val="left"/>
              <w:rPr>
                <w:rFonts w:hint="eastAsia"/>
                <w:color w:val="auto"/>
                <w:sz w:val="24"/>
                <w:szCs w:val="28"/>
                <w:lang w:val="en-US" w:eastAsia="zh-CN"/>
              </w:rPr>
            </w:pPr>
            <w:r>
              <w:rPr>
                <w:rFonts w:hint="eastAsia"/>
                <w:color w:val="auto"/>
                <w:sz w:val="24"/>
                <w:szCs w:val="28"/>
                <w:lang w:val="en-US" w:eastAsia="zh-CN"/>
              </w:rPr>
              <w:t>注塑废气处理装置</w:t>
            </w:r>
            <w:r>
              <w:rPr>
                <w:rFonts w:hint="eastAsia"/>
                <w:color w:val="auto"/>
                <w:sz w:val="24"/>
                <w:szCs w:val="28"/>
              </w:rPr>
              <w:t>风量为</w:t>
            </w:r>
            <w:r>
              <w:rPr>
                <w:rFonts w:hint="eastAsia"/>
                <w:color w:val="auto"/>
                <w:sz w:val="24"/>
                <w:szCs w:val="28"/>
                <w:lang w:val="en-US" w:eastAsia="zh-CN"/>
              </w:rPr>
              <w:t>24000</w:t>
            </w:r>
            <w:r>
              <w:rPr>
                <w:rFonts w:hint="eastAsia"/>
                <w:color w:val="auto"/>
                <w:sz w:val="24"/>
                <w:szCs w:val="28"/>
              </w:rPr>
              <w:t>m</w:t>
            </w:r>
            <w:r>
              <w:rPr>
                <w:rFonts w:hint="eastAsia"/>
                <w:color w:val="auto"/>
                <w:sz w:val="24"/>
                <w:szCs w:val="28"/>
                <w:vertAlign w:val="superscript"/>
              </w:rPr>
              <w:t>3</w:t>
            </w:r>
            <w:r>
              <w:rPr>
                <w:rFonts w:hint="eastAsia"/>
                <w:color w:val="auto"/>
                <w:sz w:val="24"/>
                <w:szCs w:val="28"/>
              </w:rPr>
              <w:t>/h，</w:t>
            </w:r>
            <w:r>
              <w:rPr>
                <w:rFonts w:hint="eastAsia"/>
                <w:color w:val="auto"/>
                <w:sz w:val="24"/>
                <w:szCs w:val="28"/>
                <w:lang w:val="en-US" w:eastAsia="zh-CN"/>
              </w:rPr>
              <w:t>单个活性炭箱流速控制为1.11m/s，满足《大气污染治理工程技术导则》（HJ2000-2010）中“采用蜂窝状活性炭时，宜取0.7~1.2m/s”的要求。单个活性炭箱活性炭分2层进行叠装装填，总装填厚度为600mm，蜂窝状活性炭密度约为350kg/m</w:t>
            </w:r>
            <w:r>
              <w:rPr>
                <w:rFonts w:hint="eastAsia"/>
                <w:color w:val="auto"/>
                <w:sz w:val="24"/>
                <w:szCs w:val="28"/>
                <w:vertAlign w:val="superscript"/>
                <w:lang w:val="en-US" w:eastAsia="zh-CN"/>
              </w:rPr>
              <w:t>3</w:t>
            </w:r>
            <w:r>
              <w:rPr>
                <w:rFonts w:hint="eastAsia"/>
                <w:color w:val="auto"/>
                <w:sz w:val="24"/>
                <w:szCs w:val="28"/>
                <w:lang w:val="en-US" w:eastAsia="zh-CN"/>
              </w:rPr>
              <w:t>，单个活性炭箱填充量为24000m</w:t>
            </w:r>
            <w:r>
              <w:rPr>
                <w:rFonts w:hint="eastAsia"/>
                <w:color w:val="auto"/>
                <w:sz w:val="24"/>
                <w:szCs w:val="28"/>
                <w:vertAlign w:val="superscript"/>
                <w:lang w:val="en-US" w:eastAsia="zh-CN"/>
              </w:rPr>
              <w:t>3</w:t>
            </w:r>
            <w:r>
              <w:rPr>
                <w:rFonts w:hint="eastAsia"/>
                <w:color w:val="auto"/>
                <w:sz w:val="24"/>
                <w:szCs w:val="28"/>
                <w:lang w:val="en-US" w:eastAsia="zh-CN"/>
              </w:rPr>
              <w:t>/h÷3600s/h÷1.11m/s×600mm×350kg/m</w:t>
            </w:r>
            <w:r>
              <w:rPr>
                <w:rFonts w:hint="eastAsia"/>
                <w:color w:val="auto"/>
                <w:sz w:val="24"/>
                <w:szCs w:val="28"/>
                <w:vertAlign w:val="superscript"/>
                <w:lang w:val="en-US" w:eastAsia="zh-CN"/>
              </w:rPr>
              <w:t>3</w:t>
            </w:r>
            <w:r>
              <w:rPr>
                <w:rFonts w:hint="eastAsia"/>
                <w:color w:val="auto"/>
                <w:sz w:val="24"/>
                <w:szCs w:val="28"/>
                <w:lang w:val="en-US" w:eastAsia="zh-CN"/>
              </w:rPr>
              <w:t>≈1.261t，则2个箱体填充活性炭约2.522t，活性炭使用一段时间后会吸附饱和，按每年更换4次进行定期更换，更换量约10.088t/a。根据工程分析，活性炭吸附有机废气量约1.11t/a。</w:t>
            </w:r>
          </w:p>
          <w:p w14:paraId="70745E03">
            <w:pPr>
              <w:keepNext w:val="0"/>
              <w:keepLines w:val="0"/>
              <w:suppressLineNumbers w:val="0"/>
              <w:spacing w:before="0" w:beforeAutospacing="0" w:after="0" w:afterAutospacing="0" w:line="360" w:lineRule="auto"/>
              <w:ind w:left="0" w:right="0" w:firstLine="480" w:firstLineChars="200"/>
              <w:jc w:val="left"/>
              <w:rPr>
                <w:rFonts w:hint="default"/>
                <w:color w:val="auto"/>
                <w:sz w:val="24"/>
                <w:szCs w:val="28"/>
                <w:lang w:val="en-US" w:eastAsia="zh-CN"/>
              </w:rPr>
            </w:pPr>
            <w:r>
              <w:rPr>
                <w:rFonts w:hint="eastAsia"/>
                <w:color w:val="auto"/>
                <w:sz w:val="24"/>
                <w:szCs w:val="28"/>
                <w:lang w:val="en-US" w:eastAsia="zh-CN"/>
              </w:rPr>
              <w:t>根据同类工程调查，废活性炭为被吸附的污染物量和活性炭本身的用量之和，本项目废活性炭的产生量约11.198t/a。</w:t>
            </w:r>
          </w:p>
          <w:p w14:paraId="1A8FAC56">
            <w:pPr>
              <w:keepNext w:val="0"/>
              <w:keepLines w:val="0"/>
              <w:suppressLineNumbers w:val="0"/>
              <w:spacing w:before="0" w:beforeAutospacing="0" w:after="0" w:afterAutospacing="0" w:line="360" w:lineRule="auto"/>
              <w:ind w:left="0" w:right="0" w:firstLine="480" w:firstLineChars="200"/>
              <w:jc w:val="left"/>
              <w:rPr>
                <w:rFonts w:hint="eastAsia"/>
                <w:color w:val="auto"/>
                <w:sz w:val="24"/>
                <w:szCs w:val="28"/>
              </w:rPr>
            </w:pPr>
            <w:r>
              <w:rPr>
                <w:rFonts w:hint="eastAsia"/>
                <w:color w:val="auto"/>
                <w:sz w:val="24"/>
                <w:szCs w:val="28"/>
              </w:rPr>
              <w:t>根据《国家危险废物名录（2025年版）》，废活性炭属于危险废物，危废类别为HW49其他废物：烟气、VOCs治理过程（不包括餐饮行业油烟治理过程）产生的废活性炭，危废代码为900-039-49。</w:t>
            </w:r>
          </w:p>
          <w:p w14:paraId="62B441D8">
            <w:pPr>
              <w:keepNext w:val="0"/>
              <w:keepLines w:val="0"/>
              <w:suppressLineNumbers w:val="0"/>
              <w:spacing w:before="0" w:beforeAutospacing="0" w:after="0" w:afterAutospacing="0" w:line="360" w:lineRule="auto"/>
              <w:ind w:left="0" w:right="0" w:firstLine="480" w:firstLineChars="200"/>
              <w:jc w:val="left"/>
              <w:rPr>
                <w:rFonts w:hint="default"/>
                <w:color w:val="auto"/>
                <w:sz w:val="24"/>
                <w:szCs w:val="28"/>
              </w:rPr>
            </w:pPr>
            <w:r>
              <w:rPr>
                <w:rFonts w:hint="eastAsia"/>
                <w:color w:val="auto"/>
                <w:sz w:val="24"/>
                <w:szCs w:val="28"/>
              </w:rPr>
              <w:t>（</w:t>
            </w:r>
            <w:r>
              <w:rPr>
                <w:rFonts w:hint="eastAsia"/>
                <w:color w:val="auto"/>
                <w:sz w:val="24"/>
                <w:szCs w:val="28"/>
                <w:lang w:val="en-US" w:eastAsia="zh-CN"/>
              </w:rPr>
              <w:t>2</w:t>
            </w:r>
            <w:r>
              <w:rPr>
                <w:rFonts w:hint="eastAsia"/>
                <w:color w:val="auto"/>
                <w:sz w:val="24"/>
                <w:szCs w:val="28"/>
              </w:rPr>
              <w:t>）排气筒高度设置合理性分析</w:t>
            </w:r>
          </w:p>
          <w:p w14:paraId="159B7606">
            <w:pPr>
              <w:keepNext w:val="0"/>
              <w:keepLines w:val="0"/>
              <w:suppressLineNumbers w:val="0"/>
              <w:spacing w:before="0" w:beforeAutospacing="0" w:after="0" w:afterAutospacing="0" w:line="360" w:lineRule="auto"/>
              <w:ind w:left="0" w:right="0" w:firstLine="480" w:firstLineChars="200"/>
              <w:jc w:val="left"/>
              <w:rPr>
                <w:rFonts w:hint="default"/>
                <w:color w:val="auto"/>
                <w:sz w:val="24"/>
                <w:szCs w:val="28"/>
              </w:rPr>
            </w:pPr>
            <w:r>
              <w:rPr>
                <w:rFonts w:hint="eastAsia"/>
                <w:color w:val="auto"/>
                <w:sz w:val="24"/>
                <w:szCs w:val="28"/>
              </w:rPr>
              <w:t>本项目</w:t>
            </w:r>
            <w:r>
              <w:rPr>
                <w:rFonts w:hint="eastAsia"/>
                <w:color w:val="auto"/>
                <w:sz w:val="24"/>
                <w:szCs w:val="28"/>
                <w:lang w:val="en-US" w:eastAsia="zh-CN"/>
              </w:rPr>
              <w:t>DA001</w:t>
            </w:r>
            <w:r>
              <w:rPr>
                <w:rFonts w:hint="eastAsia"/>
                <w:color w:val="auto"/>
                <w:sz w:val="24"/>
                <w:szCs w:val="28"/>
              </w:rPr>
              <w:t>排气筒设置高度依据安徽省《固定源挥发性有机物综合排放标准 第6部分：其他行业</w:t>
            </w:r>
            <w:r>
              <w:rPr>
                <w:rFonts w:hint="eastAsia"/>
                <w:color w:val="auto"/>
                <w:sz w:val="24"/>
              </w:rPr>
              <w:t>》（DB34/4812.6-2024）中4.13之规定：排气筒高度不低于15m（因安全考虑或有特殊工艺要求的除外），具体高度以及与周围建筑物的相对高度关系应根据环境影响评价文件确定</w:t>
            </w:r>
            <w:r>
              <w:rPr>
                <w:rFonts w:hint="eastAsia"/>
                <w:color w:val="auto"/>
                <w:sz w:val="24"/>
                <w:lang w:eastAsia="zh-CN"/>
              </w:rPr>
              <w:t>；</w:t>
            </w:r>
            <w:r>
              <w:rPr>
                <w:rFonts w:hint="eastAsia"/>
                <w:color w:val="auto"/>
                <w:sz w:val="24"/>
                <w:lang w:val="en-US" w:eastAsia="zh-CN"/>
              </w:rPr>
              <w:t>项目所在厂房</w:t>
            </w:r>
            <w:r>
              <w:rPr>
                <w:rFonts w:hint="eastAsia"/>
                <w:color w:val="auto"/>
                <w:sz w:val="24"/>
              </w:rPr>
              <w:t>建筑高度为</w:t>
            </w:r>
            <w:r>
              <w:rPr>
                <w:rFonts w:hint="eastAsia"/>
                <w:color w:val="auto"/>
                <w:sz w:val="24"/>
                <w:lang w:val="en-US" w:eastAsia="zh-CN"/>
              </w:rPr>
              <w:t>20</w:t>
            </w:r>
            <w:r>
              <w:rPr>
                <w:rFonts w:hint="eastAsia"/>
                <w:color w:val="auto"/>
                <w:sz w:val="24"/>
              </w:rPr>
              <w:t>m，</w:t>
            </w:r>
            <w:r>
              <w:rPr>
                <w:rFonts w:hint="eastAsia"/>
                <w:color w:val="auto"/>
                <w:sz w:val="24"/>
                <w:lang w:val="en-US" w:eastAsia="zh-CN"/>
              </w:rPr>
              <w:t>DA002排气筒设置高度为23m，同时符合《大气污染物综合排放标准》（GB16297-1996）“7.4新污染源的排气筒一般不应低于15m”要求</w:t>
            </w:r>
            <w:r>
              <w:rPr>
                <w:rFonts w:hint="eastAsia"/>
                <w:color w:val="auto"/>
                <w:sz w:val="24"/>
              </w:rPr>
              <w:t>。</w:t>
            </w:r>
          </w:p>
          <w:p w14:paraId="0A4BAF24">
            <w:pPr>
              <w:keepNext w:val="0"/>
              <w:keepLines w:val="0"/>
              <w:suppressLineNumbers w:val="0"/>
              <w:spacing w:before="0" w:beforeAutospacing="0" w:after="0" w:afterAutospacing="0" w:line="360" w:lineRule="auto"/>
              <w:ind w:left="0" w:right="0" w:firstLine="480" w:firstLineChars="200"/>
              <w:jc w:val="left"/>
              <w:rPr>
                <w:rFonts w:hint="default"/>
                <w:b/>
                <w:color w:val="auto"/>
                <w:sz w:val="24"/>
              </w:rPr>
            </w:pPr>
            <w:r>
              <w:rPr>
                <w:rFonts w:hint="eastAsia"/>
                <w:color w:val="auto"/>
                <w:sz w:val="24"/>
                <w:szCs w:val="28"/>
              </w:rPr>
              <w:t>综上所述，本项目废气排放技术可行性及污染物排放可达性要求，由此可以得出，该项目的废气处理方案是合理的。</w:t>
            </w:r>
          </w:p>
          <w:p w14:paraId="1512678C">
            <w:pPr>
              <w:keepNext w:val="0"/>
              <w:keepLines w:val="0"/>
              <w:suppressLineNumbers w:val="0"/>
              <w:spacing w:before="0" w:beforeAutospacing="0" w:after="0" w:afterAutospacing="0" w:line="360" w:lineRule="auto"/>
              <w:ind w:left="0" w:right="0" w:firstLine="482" w:firstLineChars="200"/>
              <w:jc w:val="left"/>
              <w:rPr>
                <w:rFonts w:hint="eastAsia"/>
                <w:b/>
                <w:bCs/>
                <w:color w:val="auto"/>
                <w:sz w:val="24"/>
                <w:szCs w:val="28"/>
                <w:lang w:val="en-US" w:eastAsia="zh-CN"/>
              </w:rPr>
            </w:pPr>
            <w:r>
              <w:rPr>
                <w:rFonts w:hint="eastAsia"/>
                <w:b/>
                <w:bCs/>
                <w:color w:val="auto"/>
                <w:sz w:val="24"/>
                <w:szCs w:val="28"/>
                <w:lang w:val="en-US" w:eastAsia="zh-CN"/>
              </w:rPr>
              <w:t>4.环境监测计划</w:t>
            </w:r>
          </w:p>
          <w:p w14:paraId="275EAD44">
            <w:pPr>
              <w:keepNext w:val="0"/>
              <w:keepLines w:val="0"/>
              <w:suppressLineNumbers w:val="0"/>
              <w:spacing w:before="0" w:beforeAutospacing="0" w:after="0" w:afterAutospacing="0" w:line="360" w:lineRule="auto"/>
              <w:ind w:left="0" w:right="0" w:firstLine="480" w:firstLineChars="200"/>
              <w:jc w:val="left"/>
              <w:rPr>
                <w:rFonts w:hint="eastAsia"/>
                <w:color w:val="auto"/>
                <w:sz w:val="24"/>
                <w:szCs w:val="28"/>
                <w:lang w:val="en-US" w:eastAsia="zh-CN"/>
              </w:rPr>
            </w:pPr>
            <w:r>
              <w:rPr>
                <w:rFonts w:hint="eastAsia"/>
                <w:sz w:val="24"/>
                <w:szCs w:val="24"/>
                <w:lang w:val="en-US" w:eastAsia="zh-CN"/>
              </w:rPr>
              <w:t>本项目排污许可类别为登记管理，无需开展自行监测，本评价制定如下监测计划仅供建设单位运营期环境管理及监测参考。</w:t>
            </w:r>
            <w:r>
              <w:rPr>
                <w:rFonts w:hint="eastAsia"/>
                <w:color w:val="auto"/>
                <w:sz w:val="24"/>
                <w:szCs w:val="28"/>
                <w:lang w:val="en-US" w:eastAsia="zh-CN"/>
              </w:rPr>
              <w:t>项目废气监测频次参照《排污单位自行监测技术指南 总则》（HJ819-2017）及《排污单位自行监测技术指南 橡胶和塑料制品》（HJ1207-2021）中规定执行。</w:t>
            </w:r>
          </w:p>
          <w:p w14:paraId="1C04BA85">
            <w:pPr>
              <w:keepNext w:val="0"/>
              <w:keepLines w:val="0"/>
              <w:suppressLineNumbers w:val="0"/>
              <w:spacing w:before="0" w:beforeAutospacing="0" w:after="0" w:afterAutospacing="0" w:line="360" w:lineRule="auto"/>
              <w:ind w:left="0" w:right="0"/>
              <w:jc w:val="center"/>
              <w:rPr>
                <w:rFonts w:hint="default"/>
                <w:b/>
                <w:color w:val="auto"/>
                <w:szCs w:val="21"/>
              </w:rPr>
            </w:pPr>
            <w:r>
              <w:rPr>
                <w:rFonts w:hint="eastAsia" w:hAnsi="黑体" w:eastAsia="黑体"/>
                <w:color w:val="auto"/>
                <w:sz w:val="24"/>
                <w:szCs w:val="24"/>
              </w:rPr>
              <w:t>表</w:t>
            </w:r>
            <w:r>
              <w:rPr>
                <w:rFonts w:hint="eastAsia" w:hAnsi="黑体" w:eastAsia="黑体"/>
                <w:color w:val="auto"/>
                <w:sz w:val="24"/>
                <w:szCs w:val="24"/>
                <w:lang w:val="en-US" w:eastAsia="zh-CN"/>
              </w:rPr>
              <w:t xml:space="preserve">4-8 </w:t>
            </w:r>
            <w:r>
              <w:rPr>
                <w:rFonts w:hint="eastAsia" w:hAnsi="黑体" w:eastAsia="黑体"/>
                <w:color w:val="auto"/>
                <w:sz w:val="24"/>
                <w:szCs w:val="24"/>
              </w:rPr>
              <w:t>大气污染物自行监测计划一览表</w:t>
            </w:r>
          </w:p>
          <w:tbl>
            <w:tblPr>
              <w:tblStyle w:val="3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196"/>
              <w:gridCol w:w="1368"/>
              <w:gridCol w:w="1189"/>
              <w:gridCol w:w="3490"/>
            </w:tblGrid>
            <w:tr w14:paraId="346CAE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1" w:type="pct"/>
                  <w:vAlign w:val="center"/>
                </w:tcPr>
                <w:p w14:paraId="5D775D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eastAsia"/>
                      <w:b/>
                      <w:bCs/>
                      <w:color w:val="auto"/>
                      <w:sz w:val="21"/>
                      <w:szCs w:val="21"/>
                    </w:rPr>
                    <w:t>类别</w:t>
                  </w:r>
                </w:p>
              </w:tc>
              <w:tc>
                <w:tcPr>
                  <w:tcW w:w="749" w:type="pct"/>
                  <w:vAlign w:val="center"/>
                </w:tcPr>
                <w:p w14:paraId="68F22D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eastAsia"/>
                      <w:b/>
                      <w:bCs/>
                      <w:color w:val="auto"/>
                      <w:sz w:val="21"/>
                      <w:szCs w:val="21"/>
                    </w:rPr>
                    <w:t>监测点位</w:t>
                  </w:r>
                </w:p>
              </w:tc>
              <w:tc>
                <w:tcPr>
                  <w:tcW w:w="857" w:type="pct"/>
                  <w:vAlign w:val="center"/>
                </w:tcPr>
                <w:p w14:paraId="7D934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eastAsia"/>
                      <w:b/>
                      <w:bCs/>
                      <w:color w:val="auto"/>
                      <w:sz w:val="21"/>
                      <w:szCs w:val="21"/>
                    </w:rPr>
                    <w:t>监测因子</w:t>
                  </w:r>
                </w:p>
              </w:tc>
              <w:tc>
                <w:tcPr>
                  <w:tcW w:w="745" w:type="pct"/>
                  <w:vAlign w:val="center"/>
                </w:tcPr>
                <w:p w14:paraId="70ECA8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eastAsia"/>
                      <w:b/>
                      <w:bCs/>
                      <w:color w:val="auto"/>
                      <w:sz w:val="21"/>
                      <w:szCs w:val="21"/>
                    </w:rPr>
                    <w:t>监测频次</w:t>
                  </w:r>
                </w:p>
              </w:tc>
              <w:tc>
                <w:tcPr>
                  <w:tcW w:w="2186" w:type="pct"/>
                  <w:vAlign w:val="center"/>
                </w:tcPr>
                <w:p w14:paraId="3F2D32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eastAsia"/>
                      <w:b/>
                      <w:bCs/>
                      <w:color w:val="auto"/>
                      <w:sz w:val="21"/>
                      <w:szCs w:val="21"/>
                    </w:rPr>
                    <w:t>执行排放标准</w:t>
                  </w:r>
                </w:p>
              </w:tc>
            </w:tr>
            <w:tr w14:paraId="69ECDF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1" w:type="pct"/>
                  <w:vMerge w:val="restart"/>
                  <w:vAlign w:val="center"/>
                </w:tcPr>
                <w:p w14:paraId="14E10A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lang w:val="en-US" w:eastAsia="zh-CN"/>
                    </w:rPr>
                    <w:t>有组织</w:t>
                  </w:r>
                </w:p>
              </w:tc>
              <w:tc>
                <w:tcPr>
                  <w:tcW w:w="749" w:type="pct"/>
                  <w:vMerge w:val="restart"/>
                  <w:shd w:val="clear" w:color="auto" w:fill="auto"/>
                  <w:vAlign w:val="center"/>
                </w:tcPr>
                <w:p w14:paraId="0016D7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排气筒DA001</w:t>
                  </w:r>
                </w:p>
              </w:tc>
              <w:tc>
                <w:tcPr>
                  <w:tcW w:w="857" w:type="pct"/>
                  <w:shd w:val="clear" w:color="auto" w:fill="auto"/>
                  <w:vAlign w:val="center"/>
                </w:tcPr>
                <w:p w14:paraId="396130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lang w:val="en-US" w:eastAsia="zh-CN"/>
                    </w:rPr>
                    <w:t>非甲烷总烃</w:t>
                  </w:r>
                </w:p>
              </w:tc>
              <w:tc>
                <w:tcPr>
                  <w:tcW w:w="745" w:type="pct"/>
                  <w:shd w:val="clear" w:color="auto" w:fill="auto"/>
                  <w:vAlign w:val="center"/>
                </w:tcPr>
                <w:p w14:paraId="3E7E51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lang w:val="en-US" w:eastAsia="zh-CN"/>
                    </w:rPr>
                    <w:t>1次/半年</w:t>
                  </w:r>
                </w:p>
              </w:tc>
              <w:tc>
                <w:tcPr>
                  <w:tcW w:w="2186" w:type="pct"/>
                  <w:vMerge w:val="restart"/>
                  <w:vAlign w:val="center"/>
                </w:tcPr>
                <w:p w14:paraId="66A40E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rPr>
                    <w:t>安徽省《固定源挥发性有机物综合排放标准 第6部分：其他行业》（DB34/4812.6-2024）</w:t>
                  </w:r>
                </w:p>
              </w:tc>
            </w:tr>
            <w:tr w14:paraId="070E27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1" w:type="pct"/>
                  <w:vMerge w:val="continue"/>
                  <w:vAlign w:val="center"/>
                </w:tcPr>
                <w:p w14:paraId="549E84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749" w:type="pct"/>
                  <w:vMerge w:val="continue"/>
                  <w:shd w:val="clear" w:color="auto" w:fill="auto"/>
                  <w:vAlign w:val="center"/>
                </w:tcPr>
                <w:p w14:paraId="6C09C3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857" w:type="pct"/>
                  <w:shd w:val="clear" w:color="auto" w:fill="auto"/>
                  <w:vAlign w:val="center"/>
                </w:tcPr>
                <w:p w14:paraId="2B568B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二甲苯</w:t>
                  </w:r>
                </w:p>
              </w:tc>
              <w:tc>
                <w:tcPr>
                  <w:tcW w:w="745" w:type="pct"/>
                  <w:shd w:val="clear" w:color="auto" w:fill="auto"/>
                  <w:vAlign w:val="center"/>
                </w:tcPr>
                <w:p w14:paraId="075DB0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lang w:val="en-US" w:eastAsia="zh-CN"/>
                    </w:rPr>
                    <w:t>1次/年</w:t>
                  </w:r>
                </w:p>
              </w:tc>
              <w:tc>
                <w:tcPr>
                  <w:tcW w:w="2186" w:type="pct"/>
                  <w:vMerge w:val="continue"/>
                  <w:vAlign w:val="center"/>
                </w:tcPr>
                <w:p w14:paraId="5D37F0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rPr>
                  </w:pPr>
                </w:p>
              </w:tc>
            </w:tr>
            <w:tr w14:paraId="2A97C4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1" w:type="pct"/>
                  <w:vMerge w:val="continue"/>
                  <w:vAlign w:val="center"/>
                </w:tcPr>
                <w:p w14:paraId="4E26FD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749" w:type="pct"/>
                  <w:vMerge w:val="continue"/>
                  <w:shd w:val="clear" w:color="auto" w:fill="auto"/>
                  <w:vAlign w:val="center"/>
                </w:tcPr>
                <w:p w14:paraId="17D8CA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rPr>
                  </w:pPr>
                </w:p>
              </w:tc>
              <w:tc>
                <w:tcPr>
                  <w:tcW w:w="857" w:type="pct"/>
                  <w:shd w:val="clear" w:color="auto" w:fill="auto"/>
                  <w:vAlign w:val="center"/>
                </w:tcPr>
                <w:p w14:paraId="779FAD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lang w:val="en-US" w:eastAsia="zh-CN"/>
                    </w:rPr>
                    <w:t>甲苯</w:t>
                  </w:r>
                </w:p>
              </w:tc>
              <w:tc>
                <w:tcPr>
                  <w:tcW w:w="745" w:type="pct"/>
                  <w:shd w:val="clear" w:color="auto" w:fill="auto"/>
                  <w:vAlign w:val="center"/>
                </w:tcPr>
                <w:p w14:paraId="78BD49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rPr>
                  </w:pPr>
                  <w:r>
                    <w:rPr>
                      <w:rFonts w:hint="eastAsia"/>
                      <w:color w:val="auto"/>
                      <w:sz w:val="21"/>
                      <w:szCs w:val="21"/>
                      <w:lang w:val="en-US" w:eastAsia="zh-CN"/>
                    </w:rPr>
                    <w:t>1次/年</w:t>
                  </w:r>
                </w:p>
              </w:tc>
              <w:tc>
                <w:tcPr>
                  <w:tcW w:w="2186" w:type="pct"/>
                  <w:vMerge w:val="restart"/>
                  <w:vAlign w:val="center"/>
                </w:tcPr>
                <w:p w14:paraId="0AF39F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rPr>
                    <w:t>《合成树脂工业污染物排放标准》（GB31572-2015</w:t>
                  </w:r>
                  <w:r>
                    <w:rPr>
                      <w:rFonts w:hint="eastAsia"/>
                      <w:color w:val="auto"/>
                      <w:sz w:val="21"/>
                      <w:szCs w:val="21"/>
                      <w:lang w:eastAsia="zh-CN"/>
                    </w:rPr>
                    <w:t>，含2024年修改单）</w:t>
                  </w:r>
                </w:p>
              </w:tc>
            </w:tr>
            <w:tr w14:paraId="334D76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1" w:type="pct"/>
                  <w:vMerge w:val="continue"/>
                  <w:vAlign w:val="center"/>
                </w:tcPr>
                <w:p w14:paraId="282ACC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749" w:type="pct"/>
                  <w:vMerge w:val="continue"/>
                  <w:shd w:val="clear" w:color="auto" w:fill="auto"/>
                  <w:vAlign w:val="center"/>
                </w:tcPr>
                <w:p w14:paraId="3AAADA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rPr>
                  </w:pPr>
                </w:p>
              </w:tc>
              <w:tc>
                <w:tcPr>
                  <w:tcW w:w="857" w:type="pct"/>
                  <w:shd w:val="clear" w:color="auto" w:fill="auto"/>
                  <w:vAlign w:val="center"/>
                </w:tcPr>
                <w:p w14:paraId="0B4275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lang w:val="en-US" w:eastAsia="zh-CN"/>
                    </w:rPr>
                    <w:t>苯乙烯</w:t>
                  </w:r>
                </w:p>
              </w:tc>
              <w:tc>
                <w:tcPr>
                  <w:tcW w:w="745" w:type="pct"/>
                  <w:shd w:val="clear" w:color="auto" w:fill="auto"/>
                  <w:vAlign w:val="center"/>
                </w:tcPr>
                <w:p w14:paraId="0F1697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rPr>
                  </w:pPr>
                  <w:r>
                    <w:rPr>
                      <w:rFonts w:hint="eastAsia"/>
                      <w:color w:val="auto"/>
                      <w:sz w:val="21"/>
                      <w:szCs w:val="21"/>
                      <w:lang w:val="en-US" w:eastAsia="zh-CN"/>
                    </w:rPr>
                    <w:t>1次/年</w:t>
                  </w:r>
                </w:p>
              </w:tc>
              <w:tc>
                <w:tcPr>
                  <w:tcW w:w="2186" w:type="pct"/>
                  <w:vMerge w:val="continue"/>
                  <w:vAlign w:val="center"/>
                </w:tcPr>
                <w:p w14:paraId="1753BF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r>
            <w:tr w14:paraId="630E22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1" w:type="pct"/>
                  <w:vMerge w:val="continue"/>
                  <w:vAlign w:val="center"/>
                </w:tcPr>
                <w:p w14:paraId="295E74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749" w:type="pct"/>
                  <w:vMerge w:val="continue"/>
                  <w:shd w:val="clear" w:color="auto" w:fill="auto"/>
                  <w:vAlign w:val="center"/>
                </w:tcPr>
                <w:p w14:paraId="603135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rPr>
                  </w:pPr>
                </w:p>
              </w:tc>
              <w:tc>
                <w:tcPr>
                  <w:tcW w:w="857" w:type="pct"/>
                  <w:shd w:val="clear" w:color="auto" w:fill="auto"/>
                  <w:vAlign w:val="center"/>
                </w:tcPr>
                <w:p w14:paraId="64FFB5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lang w:val="en-US" w:eastAsia="zh-CN"/>
                    </w:rPr>
                    <w:t>苯</w:t>
                  </w:r>
                </w:p>
              </w:tc>
              <w:tc>
                <w:tcPr>
                  <w:tcW w:w="745" w:type="pct"/>
                  <w:shd w:val="clear" w:color="auto" w:fill="auto"/>
                  <w:vAlign w:val="center"/>
                </w:tcPr>
                <w:p w14:paraId="6F60A4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rPr>
                  </w:pPr>
                  <w:r>
                    <w:rPr>
                      <w:rFonts w:hint="eastAsia"/>
                      <w:color w:val="auto"/>
                      <w:sz w:val="21"/>
                      <w:szCs w:val="21"/>
                      <w:lang w:val="en-US" w:eastAsia="zh-CN"/>
                    </w:rPr>
                    <w:t>1次/年</w:t>
                  </w:r>
                </w:p>
              </w:tc>
              <w:tc>
                <w:tcPr>
                  <w:tcW w:w="2186" w:type="pct"/>
                  <w:vMerge w:val="continue"/>
                  <w:vAlign w:val="center"/>
                </w:tcPr>
                <w:p w14:paraId="56A33F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r>
            <w:tr w14:paraId="240132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1" w:type="pct"/>
                  <w:vMerge w:val="continue"/>
                  <w:vAlign w:val="center"/>
                </w:tcPr>
                <w:p w14:paraId="477171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749" w:type="pct"/>
                  <w:vMerge w:val="continue"/>
                  <w:shd w:val="clear" w:color="auto" w:fill="auto"/>
                  <w:vAlign w:val="center"/>
                </w:tcPr>
                <w:p w14:paraId="717741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rPr>
                  </w:pPr>
                </w:p>
              </w:tc>
              <w:tc>
                <w:tcPr>
                  <w:tcW w:w="857" w:type="pct"/>
                  <w:shd w:val="clear" w:color="auto" w:fill="auto"/>
                  <w:vAlign w:val="center"/>
                </w:tcPr>
                <w:p w14:paraId="26F166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乙苯</w:t>
                  </w:r>
                </w:p>
              </w:tc>
              <w:tc>
                <w:tcPr>
                  <w:tcW w:w="745" w:type="pct"/>
                  <w:shd w:val="clear" w:color="auto" w:fill="auto"/>
                  <w:vAlign w:val="center"/>
                </w:tcPr>
                <w:p w14:paraId="0F0AAF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1次/年</w:t>
                  </w:r>
                </w:p>
              </w:tc>
              <w:tc>
                <w:tcPr>
                  <w:tcW w:w="2186" w:type="pct"/>
                  <w:vMerge w:val="continue"/>
                  <w:vAlign w:val="center"/>
                </w:tcPr>
                <w:p w14:paraId="57CBDB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r>
            <w:tr w14:paraId="05D7A6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1" w:type="pct"/>
                  <w:vMerge w:val="continue"/>
                  <w:vAlign w:val="center"/>
                </w:tcPr>
                <w:p w14:paraId="6CC6DF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749" w:type="pct"/>
                  <w:vMerge w:val="continue"/>
                  <w:shd w:val="clear" w:color="auto" w:fill="auto"/>
                  <w:vAlign w:val="center"/>
                </w:tcPr>
                <w:p w14:paraId="220057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rPr>
                  </w:pPr>
                </w:p>
              </w:tc>
              <w:tc>
                <w:tcPr>
                  <w:tcW w:w="857" w:type="pct"/>
                  <w:shd w:val="clear" w:color="auto" w:fill="auto"/>
                  <w:vAlign w:val="center"/>
                </w:tcPr>
                <w:p w14:paraId="1B4D16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color w:val="auto"/>
                      <w:sz w:val="21"/>
                      <w:szCs w:val="21"/>
                      <w:lang w:val="en-US" w:eastAsia="zh-CN"/>
                    </w:rPr>
                  </w:pPr>
                  <w:r>
                    <w:rPr>
                      <w:rFonts w:hint="eastAsia"/>
                      <w:color w:val="auto"/>
                      <w:sz w:val="21"/>
                      <w:szCs w:val="21"/>
                      <w:lang w:val="en-US" w:eastAsia="zh-CN"/>
                    </w:rPr>
                    <w:t>臭气浓度</w:t>
                  </w:r>
                </w:p>
              </w:tc>
              <w:tc>
                <w:tcPr>
                  <w:tcW w:w="745" w:type="pct"/>
                  <w:shd w:val="clear" w:color="auto" w:fill="auto"/>
                  <w:vAlign w:val="center"/>
                </w:tcPr>
                <w:p w14:paraId="2E9677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eastAsia"/>
                      <w:color w:val="auto"/>
                      <w:sz w:val="21"/>
                      <w:szCs w:val="21"/>
                      <w:lang w:val="en-US" w:eastAsia="zh-CN"/>
                    </w:rPr>
                  </w:pPr>
                  <w:r>
                    <w:rPr>
                      <w:rFonts w:hint="eastAsia"/>
                      <w:color w:val="auto"/>
                      <w:sz w:val="21"/>
                      <w:szCs w:val="21"/>
                      <w:lang w:val="en-US" w:eastAsia="zh-CN"/>
                    </w:rPr>
                    <w:t>1次/年</w:t>
                  </w:r>
                </w:p>
              </w:tc>
              <w:tc>
                <w:tcPr>
                  <w:tcW w:w="2186" w:type="pct"/>
                  <w:vAlign w:val="center"/>
                </w:tcPr>
                <w:p w14:paraId="65E15D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lang w:val="en-US" w:eastAsia="zh-CN"/>
                    </w:rPr>
                    <w:t>《恶臭污染物排放标准》（GB14554-93）</w:t>
                  </w:r>
                </w:p>
              </w:tc>
            </w:tr>
            <w:tr w14:paraId="582324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1" w:type="pct"/>
                  <w:vMerge w:val="continue"/>
                  <w:vAlign w:val="center"/>
                </w:tcPr>
                <w:p w14:paraId="1B2BDF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749" w:type="pct"/>
                  <w:shd w:val="clear" w:color="auto" w:fill="auto"/>
                  <w:vAlign w:val="center"/>
                </w:tcPr>
                <w:p w14:paraId="5A8A8D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排气筒DA002</w:t>
                  </w:r>
                </w:p>
              </w:tc>
              <w:tc>
                <w:tcPr>
                  <w:tcW w:w="857" w:type="pct"/>
                  <w:shd w:val="clear" w:color="auto" w:fill="auto"/>
                  <w:vAlign w:val="center"/>
                </w:tcPr>
                <w:p w14:paraId="0F3EBB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颗粒物</w:t>
                  </w:r>
                </w:p>
              </w:tc>
              <w:tc>
                <w:tcPr>
                  <w:tcW w:w="745" w:type="pct"/>
                  <w:shd w:val="clear" w:color="auto" w:fill="auto"/>
                  <w:vAlign w:val="center"/>
                </w:tcPr>
                <w:p w14:paraId="6606C4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rPr>
                  </w:pPr>
                  <w:r>
                    <w:rPr>
                      <w:rFonts w:hint="eastAsia"/>
                      <w:color w:val="auto"/>
                      <w:sz w:val="21"/>
                      <w:szCs w:val="21"/>
                      <w:lang w:val="en-US" w:eastAsia="zh-CN"/>
                    </w:rPr>
                    <w:t>1次/年</w:t>
                  </w:r>
                </w:p>
              </w:tc>
              <w:tc>
                <w:tcPr>
                  <w:tcW w:w="2186" w:type="pct"/>
                  <w:vAlign w:val="center"/>
                </w:tcPr>
                <w:p w14:paraId="065CAB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rPr>
                    <w:t>《合成树脂工业污染物排放标准》（GB31572-2015</w:t>
                  </w:r>
                  <w:r>
                    <w:rPr>
                      <w:rFonts w:hint="eastAsia"/>
                      <w:color w:val="auto"/>
                      <w:sz w:val="21"/>
                      <w:szCs w:val="21"/>
                      <w:lang w:eastAsia="zh-CN"/>
                    </w:rPr>
                    <w:t>，含2024年修改单）</w:t>
                  </w:r>
                </w:p>
              </w:tc>
            </w:tr>
            <w:tr w14:paraId="2C275B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1" w:type="pct"/>
                  <w:vMerge w:val="restart"/>
                  <w:vAlign w:val="center"/>
                </w:tcPr>
                <w:p w14:paraId="7DC265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r>
                    <w:rPr>
                      <w:rFonts w:hint="default"/>
                      <w:color w:val="auto"/>
                      <w:sz w:val="21"/>
                      <w:szCs w:val="21"/>
                    </w:rPr>
                    <w:t>无组织</w:t>
                  </w:r>
                </w:p>
              </w:tc>
              <w:tc>
                <w:tcPr>
                  <w:tcW w:w="749" w:type="pct"/>
                  <w:vMerge w:val="restart"/>
                  <w:vAlign w:val="center"/>
                </w:tcPr>
                <w:p w14:paraId="1C74B4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r>
                    <w:rPr>
                      <w:rFonts w:hint="eastAsia"/>
                      <w:color w:val="auto"/>
                      <w:sz w:val="21"/>
                      <w:szCs w:val="21"/>
                    </w:rPr>
                    <w:t>厂界</w:t>
                  </w:r>
                </w:p>
              </w:tc>
              <w:tc>
                <w:tcPr>
                  <w:tcW w:w="857" w:type="pct"/>
                  <w:vAlign w:val="center"/>
                </w:tcPr>
                <w:p w14:paraId="143352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rPr>
                    <w:t>非甲烷总烃、</w:t>
                  </w:r>
                  <w:r>
                    <w:rPr>
                      <w:rFonts w:hint="eastAsia"/>
                      <w:color w:val="auto"/>
                      <w:sz w:val="21"/>
                      <w:szCs w:val="21"/>
                      <w:lang w:val="en-US" w:eastAsia="zh-CN"/>
                    </w:rPr>
                    <w:t>甲苯</w:t>
                  </w:r>
                </w:p>
              </w:tc>
              <w:tc>
                <w:tcPr>
                  <w:tcW w:w="745" w:type="pct"/>
                  <w:vAlign w:val="center"/>
                </w:tcPr>
                <w:p w14:paraId="4A9479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r>
                    <w:rPr>
                      <w:rFonts w:hint="eastAsia"/>
                      <w:color w:val="auto"/>
                      <w:sz w:val="21"/>
                      <w:szCs w:val="21"/>
                    </w:rPr>
                    <w:t>1次/年</w:t>
                  </w:r>
                </w:p>
              </w:tc>
              <w:tc>
                <w:tcPr>
                  <w:tcW w:w="2186" w:type="pct"/>
                  <w:vAlign w:val="center"/>
                </w:tcPr>
                <w:p w14:paraId="580187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eastAsia="zh-CN"/>
                    </w:rPr>
                  </w:pPr>
                  <w:r>
                    <w:rPr>
                      <w:rFonts w:hint="eastAsia"/>
                      <w:color w:val="auto"/>
                      <w:sz w:val="21"/>
                      <w:szCs w:val="21"/>
                      <w:lang w:eastAsia="zh-CN"/>
                    </w:rPr>
                    <w:t>《合成树脂工业污染物排放标准》（GB31572-2015）表</w:t>
                  </w:r>
                  <w:r>
                    <w:rPr>
                      <w:rFonts w:hint="eastAsia"/>
                      <w:color w:val="auto"/>
                      <w:sz w:val="21"/>
                      <w:szCs w:val="21"/>
                      <w:lang w:val="en-US" w:eastAsia="zh-CN"/>
                    </w:rPr>
                    <w:t>9企业边界大气污染物</w:t>
                  </w:r>
                  <w:r>
                    <w:rPr>
                      <w:rFonts w:hint="eastAsia"/>
                      <w:color w:val="auto"/>
                      <w:sz w:val="21"/>
                      <w:szCs w:val="21"/>
                      <w:lang w:eastAsia="zh-CN"/>
                    </w:rPr>
                    <w:t>排放限值</w:t>
                  </w:r>
                </w:p>
              </w:tc>
            </w:tr>
            <w:tr w14:paraId="586360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1" w:type="pct"/>
                  <w:vMerge w:val="continue"/>
                  <w:vAlign w:val="center"/>
                </w:tcPr>
                <w:p w14:paraId="7DBFD0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749" w:type="pct"/>
                  <w:vMerge w:val="continue"/>
                  <w:vAlign w:val="center"/>
                </w:tcPr>
                <w:p w14:paraId="083D5E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rPr>
                  </w:pPr>
                </w:p>
              </w:tc>
              <w:tc>
                <w:tcPr>
                  <w:tcW w:w="857" w:type="pct"/>
                  <w:vAlign w:val="center"/>
                </w:tcPr>
                <w:p w14:paraId="6BF96A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eastAsia="宋体"/>
                      <w:color w:val="auto"/>
                      <w:sz w:val="21"/>
                      <w:szCs w:val="21"/>
                      <w:lang w:val="en-US" w:eastAsia="zh-CN"/>
                    </w:rPr>
                  </w:pPr>
                  <w:r>
                    <w:rPr>
                      <w:rFonts w:hint="eastAsia"/>
                      <w:color w:val="auto"/>
                      <w:sz w:val="21"/>
                      <w:szCs w:val="21"/>
                      <w:lang w:val="en-US" w:eastAsia="zh-CN"/>
                    </w:rPr>
                    <w:t>颗粒物</w:t>
                  </w:r>
                </w:p>
              </w:tc>
              <w:tc>
                <w:tcPr>
                  <w:tcW w:w="745" w:type="pct"/>
                  <w:vAlign w:val="center"/>
                </w:tcPr>
                <w:p w14:paraId="4F318A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eastAsia="宋体"/>
                      <w:color w:val="auto"/>
                      <w:sz w:val="21"/>
                      <w:szCs w:val="21"/>
                      <w:lang w:val="en-US" w:eastAsia="zh-CN"/>
                    </w:rPr>
                  </w:pPr>
                  <w:r>
                    <w:rPr>
                      <w:rFonts w:hint="eastAsia"/>
                      <w:color w:val="auto"/>
                      <w:sz w:val="21"/>
                      <w:szCs w:val="21"/>
                      <w:lang w:val="en-US" w:eastAsia="zh-CN"/>
                    </w:rPr>
                    <w:t>1次/年</w:t>
                  </w:r>
                </w:p>
              </w:tc>
              <w:tc>
                <w:tcPr>
                  <w:tcW w:w="2186" w:type="pct"/>
                  <w:vAlign w:val="center"/>
                </w:tcPr>
                <w:p w14:paraId="30A14D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eastAsia="zh-CN"/>
                    </w:rPr>
                  </w:pPr>
                  <w:r>
                    <w:rPr>
                      <w:rFonts w:hint="eastAsia"/>
                      <w:color w:val="auto"/>
                      <w:sz w:val="21"/>
                      <w:szCs w:val="21"/>
                      <w:lang w:eastAsia="zh-CN"/>
                    </w:rPr>
                    <w:t>《合成树脂工业污染物排放标准》（GB31572-2015）表</w:t>
                  </w:r>
                  <w:r>
                    <w:rPr>
                      <w:rFonts w:hint="eastAsia"/>
                      <w:color w:val="auto"/>
                      <w:sz w:val="21"/>
                      <w:szCs w:val="21"/>
                      <w:lang w:val="en-US" w:eastAsia="zh-CN"/>
                    </w:rPr>
                    <w:t>9企业边界大气污染物</w:t>
                  </w:r>
                  <w:r>
                    <w:rPr>
                      <w:rFonts w:hint="eastAsia"/>
                      <w:color w:val="auto"/>
                      <w:sz w:val="21"/>
                      <w:szCs w:val="21"/>
                      <w:lang w:eastAsia="zh-CN"/>
                    </w:rPr>
                    <w:t>排放限值</w:t>
                  </w:r>
                </w:p>
              </w:tc>
            </w:tr>
            <w:tr w14:paraId="286E4C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1" w:type="pct"/>
                  <w:vMerge w:val="continue"/>
                  <w:vAlign w:val="center"/>
                </w:tcPr>
                <w:p w14:paraId="7D97D7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749" w:type="pct"/>
                  <w:vMerge w:val="continue"/>
                  <w:vAlign w:val="center"/>
                </w:tcPr>
                <w:p w14:paraId="560D52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p>
              </w:tc>
              <w:tc>
                <w:tcPr>
                  <w:tcW w:w="857" w:type="pct"/>
                  <w:vAlign w:val="center"/>
                </w:tcPr>
                <w:p w14:paraId="173E5D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乙苯、苯</w:t>
                  </w:r>
                </w:p>
              </w:tc>
              <w:tc>
                <w:tcPr>
                  <w:tcW w:w="745" w:type="pct"/>
                  <w:vAlign w:val="center"/>
                </w:tcPr>
                <w:p w14:paraId="155F91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rPr>
                  </w:pPr>
                  <w:r>
                    <w:rPr>
                      <w:rFonts w:hint="eastAsia"/>
                      <w:color w:val="auto"/>
                      <w:sz w:val="21"/>
                      <w:szCs w:val="21"/>
                    </w:rPr>
                    <w:t>1次/年</w:t>
                  </w:r>
                </w:p>
              </w:tc>
              <w:tc>
                <w:tcPr>
                  <w:tcW w:w="2186" w:type="pct"/>
                  <w:vAlign w:val="center"/>
                </w:tcPr>
                <w:p w14:paraId="4F1EB4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eastAsia="zh-CN"/>
                    </w:rPr>
                  </w:pPr>
                  <w:r>
                    <w:rPr>
                      <w:rFonts w:hint="eastAsia"/>
                      <w:color w:val="auto"/>
                      <w:sz w:val="21"/>
                      <w:szCs w:val="21"/>
                    </w:rPr>
                    <w:t>安徽省《固定源挥发性有机物综合排放标准 第6部分：其他行业》（DB34/4812.6-2024）</w:t>
                  </w:r>
                </w:p>
              </w:tc>
            </w:tr>
            <w:tr w14:paraId="2BE85D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1" w:type="pct"/>
                  <w:vMerge w:val="continue"/>
                  <w:vAlign w:val="center"/>
                </w:tcPr>
                <w:p w14:paraId="5E7BD0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749" w:type="pct"/>
                  <w:vMerge w:val="continue"/>
                  <w:vAlign w:val="center"/>
                </w:tcPr>
                <w:p w14:paraId="0DE486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p>
              </w:tc>
              <w:tc>
                <w:tcPr>
                  <w:tcW w:w="857" w:type="pct"/>
                  <w:vAlign w:val="center"/>
                </w:tcPr>
                <w:p w14:paraId="39BCE8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苯乙烯、臭气浓度</w:t>
                  </w:r>
                </w:p>
              </w:tc>
              <w:tc>
                <w:tcPr>
                  <w:tcW w:w="745" w:type="pct"/>
                  <w:vAlign w:val="center"/>
                </w:tcPr>
                <w:p w14:paraId="09659F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rPr>
                  </w:pPr>
                  <w:r>
                    <w:rPr>
                      <w:rFonts w:hint="eastAsia"/>
                      <w:color w:val="auto"/>
                      <w:sz w:val="21"/>
                      <w:szCs w:val="21"/>
                    </w:rPr>
                    <w:t>1次/年</w:t>
                  </w:r>
                </w:p>
              </w:tc>
              <w:tc>
                <w:tcPr>
                  <w:tcW w:w="2186" w:type="pct"/>
                  <w:vAlign w:val="center"/>
                </w:tcPr>
                <w:p w14:paraId="3BE756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rPr>
                  </w:pPr>
                  <w:r>
                    <w:rPr>
                      <w:rFonts w:hint="eastAsia"/>
                      <w:color w:val="auto"/>
                      <w:sz w:val="21"/>
                      <w:szCs w:val="21"/>
                      <w:lang w:val="en-US" w:eastAsia="zh-CN"/>
                    </w:rPr>
                    <w:t>《恶臭污染物排放标准》（GB14554-93）</w:t>
                  </w:r>
                </w:p>
              </w:tc>
            </w:tr>
            <w:tr w14:paraId="72BABD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61" w:type="pct"/>
                  <w:vMerge w:val="continue"/>
                  <w:vAlign w:val="center"/>
                </w:tcPr>
                <w:p w14:paraId="63D233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749" w:type="pct"/>
                  <w:vAlign w:val="center"/>
                </w:tcPr>
                <w:p w14:paraId="1A46D6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r>
                    <w:rPr>
                      <w:rFonts w:hint="eastAsia"/>
                      <w:color w:val="auto"/>
                      <w:sz w:val="21"/>
                      <w:szCs w:val="21"/>
                      <w:lang w:val="en-US" w:eastAsia="zh-CN"/>
                    </w:rPr>
                    <w:t>厂区内（</w:t>
                  </w:r>
                  <w:r>
                    <w:rPr>
                      <w:rFonts w:hint="eastAsia"/>
                      <w:color w:val="auto"/>
                      <w:sz w:val="21"/>
                      <w:szCs w:val="21"/>
                    </w:rPr>
                    <w:t>厂房外</w:t>
                  </w:r>
                  <w:r>
                    <w:rPr>
                      <w:rFonts w:hint="eastAsia"/>
                      <w:color w:val="auto"/>
                      <w:sz w:val="21"/>
                      <w:szCs w:val="21"/>
                      <w:lang w:val="en-US" w:eastAsia="zh-CN"/>
                    </w:rPr>
                    <w:t>）</w:t>
                  </w:r>
                </w:p>
              </w:tc>
              <w:tc>
                <w:tcPr>
                  <w:tcW w:w="857" w:type="pct"/>
                  <w:vAlign w:val="center"/>
                </w:tcPr>
                <w:p w14:paraId="2D66EF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r>
                    <w:rPr>
                      <w:rFonts w:hint="eastAsia"/>
                      <w:color w:val="auto"/>
                      <w:sz w:val="21"/>
                      <w:szCs w:val="21"/>
                    </w:rPr>
                    <w:t>非甲烷总烃</w:t>
                  </w:r>
                </w:p>
              </w:tc>
              <w:tc>
                <w:tcPr>
                  <w:tcW w:w="745" w:type="pct"/>
                  <w:vAlign w:val="center"/>
                </w:tcPr>
                <w:p w14:paraId="3A2D36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r>
                    <w:rPr>
                      <w:rFonts w:hint="eastAsia"/>
                      <w:color w:val="auto"/>
                      <w:sz w:val="21"/>
                      <w:szCs w:val="21"/>
                    </w:rPr>
                    <w:t>1次/年</w:t>
                  </w:r>
                </w:p>
              </w:tc>
              <w:tc>
                <w:tcPr>
                  <w:tcW w:w="2186" w:type="pct"/>
                  <w:vAlign w:val="center"/>
                </w:tcPr>
                <w:p w14:paraId="4A4C4B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r>
                    <w:rPr>
                      <w:rFonts w:hint="eastAsia"/>
                      <w:color w:val="auto"/>
                      <w:sz w:val="21"/>
                      <w:szCs w:val="21"/>
                    </w:rPr>
                    <w:t>安徽省《固定源挥发性有机物综合排放标准 第6部分：其他行业》（DB34/4812.6-2024）表4中排放限值</w:t>
                  </w:r>
                </w:p>
              </w:tc>
            </w:tr>
          </w:tbl>
          <w:p w14:paraId="043EE9CE">
            <w:pPr>
              <w:keepNext w:val="0"/>
              <w:keepLines w:val="0"/>
              <w:suppressLineNumbers w:val="0"/>
              <w:spacing w:before="0" w:beforeAutospacing="0" w:after="0" w:afterAutospacing="0" w:line="360" w:lineRule="auto"/>
              <w:ind w:left="0" w:right="0" w:firstLine="482" w:firstLineChars="200"/>
              <w:jc w:val="left"/>
              <w:rPr>
                <w:rFonts w:hint="default"/>
                <w:b/>
                <w:color w:val="auto"/>
                <w:sz w:val="24"/>
              </w:rPr>
            </w:pPr>
            <w:r>
              <w:rPr>
                <w:rFonts w:hint="eastAsia"/>
                <w:b/>
                <w:bCs/>
                <w:color w:val="auto"/>
                <w:sz w:val="24"/>
                <w:szCs w:val="28"/>
              </w:rPr>
              <w:t>二、废水污染源强及环境影响和保护措施</w:t>
            </w:r>
          </w:p>
          <w:p w14:paraId="004C588F">
            <w:pPr>
              <w:keepNext w:val="0"/>
              <w:keepLines w:val="0"/>
              <w:widowControl/>
              <w:suppressLineNumbers w:val="0"/>
              <w:spacing w:before="0" w:beforeAutospacing="0" w:after="0" w:afterAutospacing="0" w:line="360" w:lineRule="auto"/>
              <w:ind w:left="0" w:right="0" w:firstLine="482" w:firstLineChars="200"/>
              <w:jc w:val="left"/>
              <w:outlineLvl w:val="0"/>
              <w:rPr>
                <w:rFonts w:hint="default" w:eastAsia="宋体"/>
                <w:b/>
                <w:bCs/>
                <w:color w:val="auto"/>
                <w:sz w:val="24"/>
                <w:lang w:val="en-US" w:eastAsia="zh-CN"/>
              </w:rPr>
            </w:pPr>
            <w:r>
              <w:rPr>
                <w:rFonts w:hint="eastAsia"/>
                <w:b/>
                <w:bCs/>
                <w:color w:val="auto"/>
                <w:sz w:val="24"/>
                <w:lang w:val="en-US" w:eastAsia="zh-CN"/>
              </w:rPr>
              <w:t>1.废水污染源分析</w:t>
            </w:r>
          </w:p>
          <w:p w14:paraId="695AF1FE">
            <w:pPr>
              <w:keepNext w:val="0"/>
              <w:keepLines w:val="0"/>
              <w:widowControl/>
              <w:suppressLineNumbers w:val="0"/>
              <w:spacing w:before="0" w:beforeAutospacing="0" w:after="0" w:afterAutospacing="0" w:line="360" w:lineRule="auto"/>
              <w:ind w:left="0" w:right="0" w:firstLine="480" w:firstLineChars="200"/>
              <w:jc w:val="left"/>
              <w:outlineLvl w:val="0"/>
              <w:rPr>
                <w:rFonts w:hint="default"/>
                <w:color w:val="auto"/>
                <w:sz w:val="24"/>
              </w:rPr>
            </w:pPr>
            <w:r>
              <w:rPr>
                <w:rFonts w:hint="eastAsia"/>
                <w:color w:val="auto"/>
                <w:sz w:val="24"/>
              </w:rPr>
              <w:t>根据建设项目工程分析内容，本</w:t>
            </w:r>
            <w:r>
              <w:rPr>
                <w:rFonts w:hint="eastAsia"/>
                <w:color w:val="auto"/>
                <w:sz w:val="24"/>
                <w:lang w:val="en-US" w:eastAsia="zh-CN"/>
              </w:rPr>
              <w:t>项目废水主要循环冷却系统排水及生活污水，生活污水经化粪池预处理后，与循环冷却系统排水一并经厂区废水总排口接管至凤台县污水处理厂深度处理</w:t>
            </w:r>
            <w:r>
              <w:rPr>
                <w:rFonts w:hint="eastAsia"/>
                <w:color w:val="auto"/>
                <w:sz w:val="24"/>
              </w:rPr>
              <w:t>。</w:t>
            </w:r>
          </w:p>
          <w:p w14:paraId="51228356">
            <w:pPr>
              <w:keepNext w:val="0"/>
              <w:keepLines w:val="0"/>
              <w:widowControl/>
              <w:suppressLineNumbers w:val="0"/>
              <w:spacing w:before="0" w:beforeAutospacing="0" w:after="0" w:afterAutospacing="0" w:line="360" w:lineRule="auto"/>
              <w:ind w:left="0" w:right="0" w:firstLine="480" w:firstLineChars="200"/>
              <w:jc w:val="left"/>
              <w:outlineLvl w:val="0"/>
              <w:rPr>
                <w:rFonts w:hint="default"/>
                <w:color w:val="auto"/>
                <w:sz w:val="24"/>
                <w:lang w:val="en-US" w:eastAsia="zh-CN"/>
              </w:rPr>
            </w:pPr>
            <w:r>
              <w:rPr>
                <w:rFonts w:hint="eastAsia"/>
                <w:color w:val="auto"/>
                <w:sz w:val="24"/>
                <w:lang w:eastAsia="zh-CN"/>
              </w:rPr>
              <w:t>（</w:t>
            </w:r>
            <w:r>
              <w:rPr>
                <w:rFonts w:hint="eastAsia"/>
                <w:color w:val="auto"/>
                <w:sz w:val="24"/>
                <w:lang w:val="en-US" w:eastAsia="zh-CN"/>
              </w:rPr>
              <w:t>1</w:t>
            </w:r>
            <w:r>
              <w:rPr>
                <w:rFonts w:hint="eastAsia"/>
                <w:color w:val="auto"/>
                <w:sz w:val="24"/>
                <w:lang w:eastAsia="zh-CN"/>
              </w:rPr>
              <w:t>）</w:t>
            </w:r>
            <w:r>
              <w:rPr>
                <w:rFonts w:hint="eastAsia"/>
                <w:color w:val="auto"/>
                <w:sz w:val="24"/>
                <w:lang w:val="en-US" w:eastAsia="zh-CN"/>
              </w:rPr>
              <w:t>循环冷却系统排水W</w:t>
            </w:r>
            <w:r>
              <w:rPr>
                <w:rFonts w:hint="eastAsia"/>
                <w:color w:val="auto"/>
                <w:sz w:val="24"/>
                <w:vertAlign w:val="subscript"/>
                <w:lang w:val="en-US" w:eastAsia="zh-CN"/>
              </w:rPr>
              <w:t>1</w:t>
            </w:r>
          </w:p>
          <w:p w14:paraId="7F435D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项目循环冷却水对水质无特殊要求，但随着生产的不断进行，循环水质会逐渐恶化，长时间使用会影响产品的质量，根据企业提供的资料，循环水</w:t>
            </w:r>
            <w:r>
              <w:rPr>
                <w:rFonts w:hint="eastAsia" w:cs="Times New Roman"/>
                <w:color w:val="auto"/>
                <w:sz w:val="24"/>
                <w:szCs w:val="24"/>
                <w:lang w:val="en-US" w:eastAsia="zh-CN"/>
              </w:rPr>
              <w:t>每月</w:t>
            </w:r>
            <w:r>
              <w:rPr>
                <w:rFonts w:hint="eastAsia" w:ascii="Times New Roman" w:hAnsi="Times New Roman" w:eastAsia="宋体" w:cs="Times New Roman"/>
                <w:color w:val="auto"/>
                <w:sz w:val="24"/>
                <w:szCs w:val="24"/>
              </w:rPr>
              <w:t>更换一次，一次排放量约为</w:t>
            </w:r>
            <w:r>
              <w:rPr>
                <w:rFonts w:hint="eastAsia" w:cs="Times New Roman"/>
                <w:color w:val="auto"/>
                <w:sz w:val="24"/>
                <w:szCs w:val="24"/>
                <w:lang w:val="en-US" w:eastAsia="zh-CN"/>
              </w:rPr>
              <w:t>2.0</w:t>
            </w:r>
            <w:r>
              <w:rPr>
                <w:rFonts w:hint="eastAsia" w:ascii="Times New Roman" w:hAnsi="Times New Roman" w:eastAsia="宋体" w:cs="Times New Roman"/>
                <w:color w:val="auto"/>
                <w:sz w:val="24"/>
                <w:szCs w:val="24"/>
              </w:rPr>
              <w:t>m</w:t>
            </w:r>
            <w:r>
              <w:rPr>
                <w:rFonts w:hint="eastAsia" w:ascii="Times New Roman" w:hAnsi="Times New Roman" w:eastAsia="宋体" w:cs="Times New Roman"/>
                <w:color w:val="auto"/>
                <w:sz w:val="24"/>
                <w:szCs w:val="24"/>
                <w:vertAlign w:val="superscript"/>
              </w:rPr>
              <w:t>3</w:t>
            </w:r>
            <w:r>
              <w:rPr>
                <w:rFonts w:hint="eastAsia" w:ascii="Times New Roman" w:hAnsi="Times New Roman" w:eastAsia="宋体" w:cs="Times New Roman"/>
                <w:color w:val="auto"/>
                <w:sz w:val="24"/>
                <w:szCs w:val="24"/>
              </w:rPr>
              <w:t>/次，</w:t>
            </w:r>
            <w:r>
              <w:rPr>
                <w:rFonts w:hint="eastAsia" w:cs="Times New Roman"/>
                <w:color w:val="auto"/>
                <w:sz w:val="24"/>
                <w:szCs w:val="24"/>
                <w:lang w:val="en-US" w:eastAsia="zh-CN"/>
              </w:rPr>
              <w:t>年排放量约24</w:t>
            </w:r>
            <w:r>
              <w:rPr>
                <w:rFonts w:hint="eastAsia" w:ascii="Times New Roman" w:hAnsi="Times New Roman" w:eastAsia="宋体" w:cs="Times New Roman"/>
                <w:color w:val="auto"/>
                <w:sz w:val="24"/>
                <w:szCs w:val="24"/>
              </w:rPr>
              <w:t>m</w:t>
            </w:r>
            <w:r>
              <w:rPr>
                <w:rFonts w:hint="eastAsia" w:ascii="Times New Roman" w:hAnsi="Times New Roman" w:eastAsia="宋体" w:cs="Times New Roman"/>
                <w:color w:val="auto"/>
                <w:sz w:val="24"/>
                <w:szCs w:val="24"/>
                <w:vertAlign w:val="superscript"/>
              </w:rPr>
              <w:t>3</w:t>
            </w:r>
            <w:r>
              <w:rPr>
                <w:rFonts w:hint="eastAsia" w:cs="Times New Roman"/>
                <w:color w:val="auto"/>
                <w:sz w:val="24"/>
                <w:szCs w:val="24"/>
                <w:vertAlign w:val="baseline"/>
                <w:lang w:eastAsia="zh-CN"/>
              </w:rPr>
              <w:t>，</w:t>
            </w:r>
            <w:r>
              <w:rPr>
                <w:rFonts w:hint="eastAsia" w:cs="Times New Roman"/>
                <w:color w:val="auto"/>
                <w:sz w:val="24"/>
                <w:szCs w:val="24"/>
                <w:lang w:val="en-US" w:eastAsia="zh-CN"/>
              </w:rPr>
              <w:t>更换后产生的循环冷却系统排水经厂区废水总排口接管至凤台县污水处理厂深度处理</w:t>
            </w:r>
            <w:r>
              <w:rPr>
                <w:rFonts w:hint="eastAsia" w:ascii="Times New Roman" w:hAnsi="Times New Roman" w:eastAsia="宋体" w:cs="Times New Roman"/>
                <w:color w:val="auto"/>
                <w:sz w:val="24"/>
                <w:szCs w:val="24"/>
              </w:rPr>
              <w:t>。</w:t>
            </w:r>
          </w:p>
          <w:p w14:paraId="01BD25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宋体"/>
                <w:bCs/>
                <w:color w:val="auto"/>
                <w:sz w:val="24"/>
                <w:lang w:val="en-US" w:eastAsia="zh-CN"/>
              </w:rPr>
            </w:pPr>
            <w:r>
              <w:rPr>
                <w:rFonts w:hint="eastAsia" w:ascii="Times New Roman" w:hAnsi="Times New Roman" w:eastAsia="宋体" w:cs="Times New Roman"/>
                <w:color w:val="auto"/>
                <w:sz w:val="24"/>
                <w:szCs w:val="24"/>
              </w:rPr>
              <w:t>参考《工业循环冷却水处理设计规范》(GB/T50050-2017)中“表</w:t>
            </w:r>
            <w:r>
              <w:rPr>
                <w:rFonts w:hint="eastAsia" w:cs="Times New Roman"/>
                <w:color w:val="auto"/>
                <w:sz w:val="24"/>
                <w:szCs w:val="24"/>
                <w:lang w:val="en-US" w:eastAsia="zh-CN"/>
              </w:rPr>
              <w:t>6.1.3</w:t>
            </w:r>
            <w:r>
              <w:rPr>
                <w:rFonts w:hint="eastAsia" w:ascii="Times New Roman" w:hAnsi="Times New Roman" w:eastAsia="宋体" w:cs="Times New Roman"/>
                <w:color w:val="auto"/>
                <w:sz w:val="24"/>
                <w:szCs w:val="24"/>
              </w:rPr>
              <w:t>再生水用于间冷开式循环冷却水系统补充水的水质指标”给出的指标，结合本项目的特点，本项目循环冷却水主要污染物的排放浓度取值为COD</w:t>
            </w:r>
            <w:r>
              <w:rPr>
                <w:rFonts w:hint="eastAsia" w:cs="Times New Roman"/>
                <w:color w:val="auto"/>
                <w:sz w:val="24"/>
                <w:szCs w:val="24"/>
                <w:vertAlign w:val="subscript"/>
                <w:lang w:val="en-US" w:eastAsia="zh-CN"/>
              </w:rPr>
              <w:t>Cr</w:t>
            </w:r>
            <w:r>
              <w:rPr>
                <w:rFonts w:hint="eastAsia" w:ascii="Times New Roman" w:hAnsi="Times New Roman" w:eastAsia="宋体" w:cs="Times New Roman"/>
                <w:color w:val="auto"/>
                <w:sz w:val="24"/>
                <w:szCs w:val="24"/>
              </w:rPr>
              <w:t>60</w:t>
            </w:r>
            <w:r>
              <w:rPr>
                <w:rFonts w:hint="eastAsia" w:ascii="Times New Roman" w:hAnsi="Times New Roman" w:eastAsia="宋体" w:cs="Times New Roman"/>
                <w:color w:val="auto"/>
                <w:sz w:val="24"/>
                <w:szCs w:val="28"/>
              </w:rPr>
              <w:t>mg/L</w:t>
            </w:r>
            <w:r>
              <w:rPr>
                <w:rFonts w:hint="eastAsia" w:ascii="Times New Roman" w:hAnsi="Times New Roman" w:eastAsia="宋体" w:cs="Times New Roman"/>
                <w:color w:val="auto"/>
                <w:sz w:val="24"/>
                <w:szCs w:val="24"/>
              </w:rPr>
              <w:t>、BOD</w:t>
            </w:r>
            <w:r>
              <w:rPr>
                <w:rFonts w:hint="eastAsia" w:ascii="Times New Roman" w:hAnsi="Times New Roman" w:eastAsia="宋体" w:cs="Times New Roman"/>
                <w:color w:val="auto"/>
                <w:sz w:val="24"/>
                <w:szCs w:val="24"/>
                <w:vertAlign w:val="subscript"/>
              </w:rPr>
              <w:t>5</w:t>
            </w:r>
            <w:r>
              <w:rPr>
                <w:rFonts w:hint="eastAsia" w:ascii="Times New Roman" w:hAnsi="Times New Roman" w:eastAsia="宋体" w:cs="Times New Roman"/>
                <w:color w:val="auto"/>
                <w:sz w:val="24"/>
                <w:szCs w:val="24"/>
              </w:rPr>
              <w:t>10</w:t>
            </w:r>
            <w:r>
              <w:rPr>
                <w:rFonts w:hint="eastAsia" w:ascii="Times New Roman" w:hAnsi="Times New Roman" w:eastAsia="宋体" w:cs="Times New Roman"/>
                <w:color w:val="auto"/>
                <w:sz w:val="24"/>
                <w:szCs w:val="28"/>
              </w:rPr>
              <w:t>mg/L</w:t>
            </w:r>
            <w:r>
              <w:rPr>
                <w:rFonts w:hint="eastAsia" w:ascii="Times New Roman" w:hAnsi="Times New Roman" w:eastAsia="宋体" w:cs="Times New Roman"/>
                <w:color w:val="auto"/>
                <w:sz w:val="24"/>
                <w:szCs w:val="24"/>
              </w:rPr>
              <w:t>、SS10</w:t>
            </w:r>
            <w:r>
              <w:rPr>
                <w:rFonts w:hint="eastAsia" w:ascii="Times New Roman" w:hAnsi="Times New Roman" w:eastAsia="宋体" w:cs="Times New Roman"/>
                <w:color w:val="auto"/>
                <w:sz w:val="24"/>
                <w:szCs w:val="28"/>
              </w:rPr>
              <w:t>mg/L</w:t>
            </w:r>
            <w:r>
              <w:rPr>
                <w:rFonts w:hint="eastAsia" w:ascii="Times New Roman" w:hAnsi="Times New Roman" w:eastAsia="宋体" w:cs="Times New Roman"/>
                <w:color w:val="auto"/>
                <w:sz w:val="24"/>
                <w:szCs w:val="24"/>
              </w:rPr>
              <w:t>、氨氮20</w:t>
            </w:r>
            <w:r>
              <w:rPr>
                <w:rFonts w:hint="eastAsia" w:ascii="Times New Roman" w:hAnsi="Times New Roman" w:eastAsia="宋体" w:cs="Times New Roman"/>
                <w:color w:val="auto"/>
                <w:sz w:val="24"/>
                <w:szCs w:val="28"/>
              </w:rPr>
              <w:t>mg/L</w:t>
            </w:r>
            <w:r>
              <w:rPr>
                <w:rFonts w:hint="eastAsia" w:ascii="Times New Roman" w:hAnsi="Times New Roman" w:eastAsia="宋体" w:cs="Times New Roman"/>
                <w:color w:val="auto"/>
                <w:sz w:val="24"/>
                <w:szCs w:val="24"/>
              </w:rPr>
              <w:t>。</w:t>
            </w:r>
          </w:p>
          <w:p w14:paraId="3A7EB441">
            <w:pPr>
              <w:keepNext w:val="0"/>
              <w:keepLines w:val="0"/>
              <w:widowControl/>
              <w:suppressLineNumbers w:val="0"/>
              <w:spacing w:before="0" w:beforeAutospacing="0" w:after="0" w:afterAutospacing="0" w:line="360" w:lineRule="auto"/>
              <w:ind w:left="0" w:right="0" w:firstLine="480" w:firstLineChars="200"/>
              <w:jc w:val="left"/>
              <w:outlineLvl w:val="0"/>
              <w:rPr>
                <w:rFonts w:hint="default"/>
                <w:color w:val="auto"/>
                <w:sz w:val="24"/>
                <w:lang w:val="en-US" w:eastAsia="zh-CN"/>
              </w:rPr>
            </w:pPr>
            <w:r>
              <w:rPr>
                <w:rFonts w:hint="eastAsia"/>
                <w:color w:val="auto"/>
                <w:sz w:val="24"/>
                <w:lang w:eastAsia="zh-CN"/>
              </w:rPr>
              <w:t>（</w:t>
            </w:r>
            <w:r>
              <w:rPr>
                <w:rFonts w:hint="eastAsia"/>
                <w:color w:val="auto"/>
                <w:sz w:val="24"/>
                <w:lang w:val="en-US" w:eastAsia="zh-CN"/>
              </w:rPr>
              <w:t>2</w:t>
            </w:r>
            <w:r>
              <w:rPr>
                <w:rFonts w:hint="eastAsia"/>
                <w:color w:val="auto"/>
                <w:sz w:val="24"/>
                <w:lang w:eastAsia="zh-CN"/>
              </w:rPr>
              <w:t>）</w:t>
            </w:r>
            <w:r>
              <w:rPr>
                <w:rFonts w:hint="eastAsia"/>
                <w:color w:val="auto"/>
                <w:sz w:val="24"/>
                <w:lang w:val="en-US" w:eastAsia="zh-CN"/>
              </w:rPr>
              <w:t>生活污水W</w:t>
            </w:r>
            <w:r>
              <w:rPr>
                <w:rFonts w:hint="eastAsia"/>
                <w:color w:val="auto"/>
                <w:sz w:val="24"/>
                <w:vertAlign w:val="subscript"/>
                <w:lang w:val="en-US" w:eastAsia="zh-CN"/>
              </w:rPr>
              <w:t>2</w:t>
            </w:r>
          </w:p>
          <w:p w14:paraId="58DF3C92">
            <w:pPr>
              <w:keepNext w:val="0"/>
              <w:keepLines w:val="0"/>
              <w:widowControl/>
              <w:suppressLineNumbers w:val="0"/>
              <w:spacing w:before="0" w:beforeAutospacing="0" w:after="0" w:afterAutospacing="0" w:line="360" w:lineRule="auto"/>
              <w:ind w:left="0" w:right="0" w:firstLine="480" w:firstLineChars="200"/>
              <w:jc w:val="left"/>
              <w:outlineLvl w:val="0"/>
              <w:rPr>
                <w:rFonts w:hint="eastAsia"/>
                <w:color w:val="auto"/>
                <w:sz w:val="24"/>
                <w:lang w:eastAsia="zh-CN"/>
              </w:rPr>
            </w:pPr>
            <w:r>
              <w:rPr>
                <w:rFonts w:hint="eastAsia"/>
                <w:bCs/>
                <w:color w:val="auto"/>
                <w:sz w:val="24"/>
                <w:lang w:val="en-US" w:eastAsia="zh-CN"/>
              </w:rPr>
              <w:t>项目劳动定员50人，厂区内不设食堂和职工宿舍。</w:t>
            </w:r>
            <w:r>
              <w:rPr>
                <w:rFonts w:hint="default" w:ascii="Times New Roman" w:hAnsi="Times New Roman" w:eastAsia="宋体" w:cs="Times New Roman"/>
                <w:color w:val="auto"/>
                <w:sz w:val="24"/>
                <w:szCs w:val="28"/>
              </w:rPr>
              <w:t>根据《安徽省行业用水定额》（</w:t>
            </w:r>
            <w:r>
              <w:rPr>
                <w:rFonts w:hint="eastAsia" w:cs="Times New Roman"/>
                <w:color w:val="auto"/>
                <w:sz w:val="24"/>
                <w:szCs w:val="28"/>
                <w:lang w:val="en-US" w:eastAsia="zh-CN"/>
              </w:rPr>
              <w:t>DB</w:t>
            </w:r>
            <w:r>
              <w:rPr>
                <w:rFonts w:hint="default" w:ascii="Times New Roman" w:hAnsi="Times New Roman" w:eastAsia="宋体" w:cs="Times New Roman"/>
                <w:color w:val="auto"/>
                <w:sz w:val="24"/>
                <w:szCs w:val="28"/>
              </w:rPr>
              <w:t>34/T679-</w:t>
            </w:r>
            <w:r>
              <w:rPr>
                <w:rFonts w:hint="eastAsia" w:ascii="Times New Roman" w:hAnsi="Times New Roman" w:eastAsia="宋体" w:cs="Times New Roman"/>
                <w:color w:val="auto"/>
                <w:sz w:val="24"/>
                <w:szCs w:val="28"/>
              </w:rPr>
              <w:t>2025</w:t>
            </w:r>
            <w:r>
              <w:rPr>
                <w:rFonts w:hint="default" w:ascii="Times New Roman" w:hAnsi="Times New Roman" w:eastAsia="宋体" w:cs="Times New Roman"/>
                <w:color w:val="auto"/>
                <w:sz w:val="24"/>
                <w:szCs w:val="28"/>
              </w:rPr>
              <w:t>），</w:t>
            </w:r>
            <w:r>
              <w:rPr>
                <w:rFonts w:hint="eastAsia" w:cs="Times New Roman"/>
                <w:color w:val="auto"/>
                <w:sz w:val="24"/>
                <w:szCs w:val="28"/>
                <w:lang w:val="en-US" w:eastAsia="zh-CN"/>
              </w:rPr>
              <w:t>办公</w:t>
            </w:r>
            <w:r>
              <w:rPr>
                <w:rFonts w:hint="eastAsia" w:ascii="Times New Roman" w:hAnsi="Times New Roman" w:eastAsia="宋体" w:cs="Times New Roman"/>
                <w:color w:val="auto"/>
                <w:sz w:val="24"/>
                <w:szCs w:val="28"/>
              </w:rPr>
              <w:t>生活</w:t>
            </w:r>
            <w:r>
              <w:rPr>
                <w:rFonts w:hint="default" w:ascii="Times New Roman" w:hAnsi="Times New Roman" w:eastAsia="宋体" w:cs="Times New Roman"/>
                <w:color w:val="auto"/>
                <w:sz w:val="24"/>
                <w:szCs w:val="28"/>
              </w:rPr>
              <w:t>用水量以</w:t>
            </w:r>
            <w:r>
              <w:rPr>
                <w:rFonts w:hint="eastAsia" w:ascii="Times New Roman" w:hAnsi="Times New Roman" w:eastAsia="宋体" w:cs="Times New Roman"/>
                <w:color w:val="auto"/>
                <w:sz w:val="24"/>
                <w:szCs w:val="28"/>
                <w:lang w:val="en-US" w:eastAsia="zh-CN"/>
              </w:rPr>
              <w:t>15</w:t>
            </w:r>
            <w:r>
              <w:rPr>
                <w:rFonts w:hint="default" w:ascii="Times New Roman" w:hAnsi="Times New Roman" w:eastAsia="宋体" w:cs="Times New Roman"/>
                <w:color w:val="auto"/>
                <w:sz w:val="24"/>
                <w:szCs w:val="28"/>
              </w:rPr>
              <w:t>m</w:t>
            </w:r>
            <w:r>
              <w:rPr>
                <w:rFonts w:hint="default" w:ascii="Times New Roman" w:hAnsi="Times New Roman" w:eastAsia="宋体" w:cs="Times New Roman"/>
                <w:color w:val="auto"/>
                <w:sz w:val="24"/>
                <w:szCs w:val="28"/>
                <w:vertAlign w:val="superscript"/>
              </w:rPr>
              <w:t>3</w:t>
            </w:r>
            <w:r>
              <w:rPr>
                <w:rFonts w:hint="default" w:ascii="Times New Roman" w:hAnsi="Times New Roman" w:eastAsia="宋体" w:cs="Times New Roman"/>
                <w:color w:val="auto"/>
                <w:sz w:val="24"/>
                <w:szCs w:val="28"/>
              </w:rPr>
              <w:t>/（人·</w:t>
            </w:r>
            <w:r>
              <w:rPr>
                <w:rFonts w:hint="eastAsia" w:ascii="Times New Roman" w:hAnsi="Times New Roman" w:eastAsia="宋体" w:cs="Times New Roman"/>
                <w:color w:val="auto"/>
                <w:sz w:val="24"/>
                <w:szCs w:val="28"/>
              </w:rPr>
              <w:t>a</w:t>
            </w:r>
            <w:r>
              <w:rPr>
                <w:rFonts w:hint="default" w:ascii="Times New Roman" w:hAnsi="Times New Roman" w:eastAsia="宋体" w:cs="Times New Roman"/>
                <w:color w:val="auto"/>
                <w:sz w:val="24"/>
                <w:szCs w:val="28"/>
              </w:rPr>
              <w:t>）计</w:t>
            </w:r>
            <w:r>
              <w:rPr>
                <w:rFonts w:hint="eastAsia" w:cs="Times New Roman"/>
                <w:color w:val="auto"/>
                <w:sz w:val="24"/>
                <w:szCs w:val="28"/>
                <w:lang w:eastAsia="zh-CN"/>
              </w:rPr>
              <w:t>，</w:t>
            </w:r>
            <w:r>
              <w:rPr>
                <w:rFonts w:hint="eastAsia" w:cs="Times New Roman"/>
                <w:color w:val="auto"/>
                <w:sz w:val="24"/>
                <w:szCs w:val="28"/>
                <w:lang w:val="en-US" w:eastAsia="zh-CN"/>
              </w:rPr>
              <w:t>用水量为750</w:t>
            </w:r>
            <w:r>
              <w:rPr>
                <w:rFonts w:hint="default" w:ascii="Times New Roman" w:hAnsi="Times New Roman" w:eastAsia="宋体" w:cs="Times New Roman"/>
                <w:color w:val="auto"/>
                <w:sz w:val="24"/>
                <w:szCs w:val="28"/>
              </w:rPr>
              <w:t>m</w:t>
            </w:r>
            <w:r>
              <w:rPr>
                <w:rFonts w:hint="default" w:ascii="Times New Roman" w:hAnsi="Times New Roman" w:eastAsia="宋体" w:cs="Times New Roman"/>
                <w:color w:val="auto"/>
                <w:sz w:val="24"/>
                <w:szCs w:val="28"/>
                <w:vertAlign w:val="superscript"/>
              </w:rPr>
              <w:t>3</w:t>
            </w:r>
            <w:r>
              <w:rPr>
                <w:rFonts w:hint="eastAsia" w:cs="Times New Roman"/>
                <w:color w:val="auto"/>
                <w:sz w:val="24"/>
                <w:szCs w:val="28"/>
                <w:vertAlign w:val="baseline"/>
                <w:lang w:val="en-US" w:eastAsia="zh-CN"/>
              </w:rPr>
              <w:t>/</w:t>
            </w:r>
            <w:r>
              <w:rPr>
                <w:rFonts w:hint="eastAsia" w:ascii="Times New Roman" w:hAnsi="Times New Roman" w:eastAsia="宋体" w:cs="Times New Roman"/>
                <w:color w:val="auto"/>
                <w:sz w:val="24"/>
                <w:szCs w:val="28"/>
              </w:rPr>
              <w:t>a</w:t>
            </w:r>
            <w:r>
              <w:rPr>
                <w:rFonts w:hint="eastAsia" w:cs="Times New Roman"/>
                <w:color w:val="auto"/>
                <w:sz w:val="24"/>
                <w:szCs w:val="28"/>
                <w:lang w:eastAsia="zh-CN"/>
              </w:rPr>
              <w:t>（</w:t>
            </w:r>
            <w:r>
              <w:rPr>
                <w:rFonts w:hint="eastAsia" w:cs="Times New Roman"/>
                <w:color w:val="auto"/>
                <w:sz w:val="24"/>
                <w:szCs w:val="28"/>
                <w:lang w:val="en-US" w:eastAsia="zh-CN"/>
              </w:rPr>
              <w:t>3</w:t>
            </w:r>
            <w:r>
              <w:rPr>
                <w:rFonts w:hint="default" w:ascii="Times New Roman" w:hAnsi="Times New Roman" w:eastAsia="宋体" w:cs="Times New Roman"/>
                <w:color w:val="auto"/>
                <w:sz w:val="24"/>
                <w:szCs w:val="28"/>
              </w:rPr>
              <w:t>m</w:t>
            </w:r>
            <w:r>
              <w:rPr>
                <w:rFonts w:hint="default" w:ascii="Times New Roman" w:hAnsi="Times New Roman" w:eastAsia="宋体" w:cs="Times New Roman"/>
                <w:color w:val="auto"/>
                <w:sz w:val="24"/>
                <w:szCs w:val="28"/>
                <w:vertAlign w:val="superscript"/>
              </w:rPr>
              <w:t>3</w:t>
            </w:r>
            <w:r>
              <w:rPr>
                <w:rFonts w:hint="eastAsia" w:cs="Times New Roman"/>
                <w:color w:val="auto"/>
                <w:sz w:val="24"/>
                <w:szCs w:val="28"/>
                <w:vertAlign w:val="baseline"/>
                <w:lang w:val="en-US" w:eastAsia="zh-CN"/>
              </w:rPr>
              <w:t>/d</w:t>
            </w:r>
            <w:r>
              <w:rPr>
                <w:rFonts w:hint="eastAsia" w:cs="Times New Roman"/>
                <w:color w:val="auto"/>
                <w:sz w:val="24"/>
                <w:szCs w:val="28"/>
                <w:lang w:eastAsia="zh-CN"/>
              </w:rPr>
              <w:t>）。</w:t>
            </w:r>
          </w:p>
          <w:p w14:paraId="2F33DFDD">
            <w:pPr>
              <w:keepNext w:val="0"/>
              <w:keepLines w:val="0"/>
              <w:suppressLineNumbers w:val="0"/>
              <w:bidi w:val="0"/>
              <w:spacing w:before="0" w:beforeAutospacing="0" w:after="0" w:afterAutospacing="0" w:line="360" w:lineRule="auto"/>
              <w:ind w:left="0" w:right="0" w:firstLine="480" w:firstLineChars="200"/>
              <w:rPr>
                <w:rFonts w:hint="eastAsia"/>
                <w:color w:val="auto"/>
                <w:sz w:val="24"/>
                <w:szCs w:val="24"/>
                <w:lang w:eastAsia="zh-CN"/>
              </w:rPr>
            </w:pPr>
            <w:r>
              <w:rPr>
                <w:rFonts w:hint="eastAsia"/>
                <w:color w:val="auto"/>
                <w:sz w:val="24"/>
                <w:szCs w:val="24"/>
                <w:lang w:val="en-US" w:eastAsia="zh-CN"/>
              </w:rPr>
              <w:t>根据</w:t>
            </w:r>
            <w:r>
              <w:rPr>
                <w:rFonts w:hint="default"/>
                <w:color w:val="auto"/>
                <w:sz w:val="24"/>
                <w:szCs w:val="24"/>
              </w:rPr>
              <w:t>《</w:t>
            </w:r>
            <w:r>
              <w:rPr>
                <w:rFonts w:hint="eastAsia"/>
                <w:color w:val="auto"/>
                <w:sz w:val="24"/>
                <w:szCs w:val="24"/>
              </w:rPr>
              <w:t>排放源</w:t>
            </w:r>
            <w:r>
              <w:rPr>
                <w:rFonts w:hint="default"/>
                <w:color w:val="auto"/>
                <w:sz w:val="24"/>
                <w:szCs w:val="24"/>
              </w:rPr>
              <w:t>统计调查产排污核算方法和系数手册》（公告</w:t>
            </w:r>
            <w:r>
              <w:rPr>
                <w:rFonts w:hint="eastAsia"/>
                <w:color w:val="auto"/>
                <w:sz w:val="24"/>
                <w:szCs w:val="24"/>
              </w:rPr>
              <w:t>2021年第24号</w:t>
            </w:r>
            <w:r>
              <w:rPr>
                <w:rFonts w:hint="default"/>
                <w:color w:val="auto"/>
                <w:sz w:val="24"/>
                <w:szCs w:val="24"/>
              </w:rPr>
              <w:t>）中生活源产排污核算方法和系数手册，生活污水的产生量</w:t>
            </w:r>
            <w:r>
              <w:rPr>
                <w:rFonts w:hint="eastAsia"/>
                <w:color w:val="auto"/>
                <w:sz w:val="24"/>
                <w:szCs w:val="24"/>
                <w:lang w:val="en-US" w:eastAsia="zh-CN"/>
              </w:rPr>
              <w:t>以</w:t>
            </w:r>
            <w:r>
              <w:rPr>
                <w:rFonts w:hint="default"/>
                <w:color w:val="auto"/>
                <w:sz w:val="24"/>
                <w:szCs w:val="24"/>
              </w:rPr>
              <w:t>用水量的8</w:t>
            </w:r>
            <w:r>
              <w:rPr>
                <w:rFonts w:hint="eastAsia"/>
                <w:color w:val="auto"/>
                <w:sz w:val="24"/>
                <w:szCs w:val="24"/>
              </w:rPr>
              <w:t>5</w:t>
            </w:r>
            <w:r>
              <w:rPr>
                <w:rFonts w:hint="default"/>
                <w:color w:val="auto"/>
                <w:sz w:val="24"/>
                <w:szCs w:val="24"/>
              </w:rPr>
              <w:t>%</w:t>
            </w:r>
            <w:r>
              <w:rPr>
                <w:rFonts w:hint="eastAsia"/>
                <w:color w:val="auto"/>
                <w:sz w:val="24"/>
                <w:szCs w:val="24"/>
                <w:lang w:val="en-US" w:eastAsia="zh-CN"/>
              </w:rPr>
              <w:t>计</w:t>
            </w:r>
            <w:r>
              <w:rPr>
                <w:rFonts w:hint="default"/>
                <w:color w:val="auto"/>
                <w:sz w:val="24"/>
                <w:szCs w:val="24"/>
              </w:rPr>
              <w:t>，则生活污水产生量约为</w:t>
            </w:r>
            <w:r>
              <w:rPr>
                <w:rFonts w:hint="eastAsia"/>
                <w:color w:val="auto"/>
                <w:sz w:val="24"/>
                <w:szCs w:val="24"/>
                <w:lang w:val="en-US" w:eastAsia="zh-CN"/>
              </w:rPr>
              <w:t>2.55</w:t>
            </w:r>
            <w:r>
              <w:rPr>
                <w:rFonts w:hint="default"/>
                <w:color w:val="auto"/>
                <w:sz w:val="24"/>
                <w:szCs w:val="24"/>
              </w:rPr>
              <w:t>m</w:t>
            </w:r>
            <w:r>
              <w:rPr>
                <w:rFonts w:hint="default"/>
                <w:color w:val="auto"/>
                <w:sz w:val="24"/>
                <w:szCs w:val="24"/>
                <w:vertAlign w:val="superscript"/>
              </w:rPr>
              <w:t>3</w:t>
            </w:r>
            <w:r>
              <w:rPr>
                <w:rFonts w:hint="default"/>
                <w:color w:val="auto"/>
                <w:sz w:val="24"/>
                <w:szCs w:val="24"/>
              </w:rPr>
              <w:t>/d（</w:t>
            </w:r>
            <w:r>
              <w:rPr>
                <w:rFonts w:hint="eastAsia"/>
                <w:color w:val="auto"/>
                <w:sz w:val="24"/>
                <w:szCs w:val="24"/>
                <w:lang w:val="en-US" w:eastAsia="zh-CN"/>
              </w:rPr>
              <w:t>637.5</w:t>
            </w:r>
            <w:r>
              <w:rPr>
                <w:rFonts w:hint="default"/>
                <w:color w:val="auto"/>
                <w:sz w:val="24"/>
                <w:szCs w:val="24"/>
              </w:rPr>
              <w:t>m</w:t>
            </w:r>
            <w:r>
              <w:rPr>
                <w:rFonts w:hint="default"/>
                <w:color w:val="auto"/>
                <w:sz w:val="24"/>
                <w:szCs w:val="24"/>
                <w:vertAlign w:val="superscript"/>
              </w:rPr>
              <w:t>3</w:t>
            </w:r>
            <w:r>
              <w:rPr>
                <w:rFonts w:hint="default"/>
                <w:color w:val="auto"/>
                <w:sz w:val="24"/>
                <w:szCs w:val="24"/>
              </w:rPr>
              <w:t>/a）</w:t>
            </w:r>
            <w:r>
              <w:rPr>
                <w:rFonts w:hint="eastAsia"/>
                <w:color w:val="auto"/>
                <w:sz w:val="24"/>
                <w:szCs w:val="24"/>
                <w:lang w:eastAsia="zh-CN"/>
              </w:rPr>
              <w:t>。</w:t>
            </w:r>
          </w:p>
          <w:p w14:paraId="74D95320">
            <w:pPr>
              <w:keepNext w:val="0"/>
              <w:keepLines w:val="0"/>
              <w:suppressLineNumbers w:val="0"/>
              <w:bidi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8"/>
              </w:rPr>
            </w:pPr>
            <w:r>
              <w:rPr>
                <w:rFonts w:hint="eastAsia"/>
                <w:color w:val="auto"/>
                <w:sz w:val="24"/>
                <w:szCs w:val="24"/>
                <w:lang w:val="en-US" w:eastAsia="zh-CN"/>
              </w:rPr>
              <w:t>四区城镇生活源污染因子及平均浓度为：</w:t>
            </w:r>
            <w:r>
              <w:rPr>
                <w:rFonts w:hint="eastAsia" w:ascii="Times New Roman" w:hAnsi="Times New Roman" w:eastAsia="宋体" w:cs="Times New Roman"/>
                <w:color w:val="auto"/>
                <w:sz w:val="24"/>
                <w:szCs w:val="24"/>
              </w:rPr>
              <w:t>COD</w:t>
            </w:r>
            <w:r>
              <w:rPr>
                <w:rFonts w:hint="eastAsia" w:cs="Times New Roman"/>
                <w:color w:val="auto"/>
                <w:sz w:val="24"/>
                <w:szCs w:val="24"/>
                <w:vertAlign w:val="subscript"/>
                <w:lang w:val="en-US" w:eastAsia="zh-CN"/>
              </w:rPr>
              <w:t>Cr</w:t>
            </w:r>
            <w:r>
              <w:rPr>
                <w:rFonts w:hint="eastAsia"/>
                <w:color w:val="auto"/>
                <w:sz w:val="24"/>
                <w:szCs w:val="24"/>
                <w:lang w:val="en-US" w:eastAsia="zh-CN"/>
              </w:rPr>
              <w:t>340</w:t>
            </w:r>
            <w:r>
              <w:rPr>
                <w:rFonts w:hint="default"/>
                <w:color w:val="auto"/>
                <w:sz w:val="24"/>
                <w:szCs w:val="24"/>
                <w:lang w:val="en-US" w:eastAsia="zh-CN"/>
              </w:rPr>
              <w:t>mg/L，</w:t>
            </w:r>
            <w:r>
              <w:rPr>
                <w:rFonts w:hint="eastAsia" w:ascii="Times New Roman" w:hAnsi="Times New Roman" w:eastAsia="宋体" w:cs="Times New Roman"/>
                <w:color w:val="auto"/>
                <w:sz w:val="24"/>
                <w:szCs w:val="28"/>
              </w:rPr>
              <w:t>BOD</w:t>
            </w:r>
            <w:r>
              <w:rPr>
                <w:rFonts w:hint="eastAsia" w:cs="Times New Roman"/>
                <w:color w:val="auto"/>
                <w:sz w:val="24"/>
                <w:szCs w:val="28"/>
                <w:vertAlign w:val="subscript"/>
                <w:lang w:val="en-US" w:eastAsia="zh-CN"/>
              </w:rPr>
              <w:t>5</w:t>
            </w:r>
            <w:r>
              <w:rPr>
                <w:rFonts w:hint="eastAsia" w:ascii="Times New Roman" w:hAnsi="Times New Roman" w:eastAsia="宋体" w:cs="Times New Roman"/>
                <w:color w:val="auto"/>
                <w:sz w:val="24"/>
                <w:szCs w:val="28"/>
              </w:rPr>
              <w:t>：100mg/L，SS150mg/L</w:t>
            </w:r>
            <w:r>
              <w:rPr>
                <w:rFonts w:hint="eastAsia" w:ascii="Times New Roman" w:hAnsi="Times New Roman" w:eastAsia="宋体" w:cs="Times New Roman"/>
                <w:color w:val="auto"/>
                <w:sz w:val="24"/>
                <w:szCs w:val="28"/>
                <w:lang w:eastAsia="zh-CN"/>
              </w:rPr>
              <w:t>，</w:t>
            </w:r>
            <w:r>
              <w:rPr>
                <w:rFonts w:hint="default"/>
                <w:color w:val="auto"/>
                <w:sz w:val="24"/>
                <w:szCs w:val="24"/>
                <w:lang w:val="en-US" w:eastAsia="zh-CN"/>
              </w:rPr>
              <w:t>NH</w:t>
            </w:r>
            <w:r>
              <w:rPr>
                <w:rFonts w:hint="default"/>
                <w:color w:val="auto"/>
                <w:sz w:val="24"/>
                <w:szCs w:val="24"/>
                <w:vertAlign w:val="subscript"/>
                <w:lang w:val="en-US" w:eastAsia="zh-CN"/>
              </w:rPr>
              <w:t>3</w:t>
            </w:r>
            <w:r>
              <w:rPr>
                <w:rFonts w:hint="default"/>
                <w:color w:val="auto"/>
                <w:sz w:val="24"/>
                <w:szCs w:val="24"/>
                <w:lang w:val="en-US" w:eastAsia="zh-CN"/>
              </w:rPr>
              <w:t>-N</w:t>
            </w:r>
            <w:r>
              <w:rPr>
                <w:rFonts w:hint="eastAsia"/>
                <w:color w:val="auto"/>
                <w:sz w:val="24"/>
                <w:szCs w:val="24"/>
                <w:lang w:val="en-US" w:eastAsia="zh-CN"/>
              </w:rPr>
              <w:t>32.6</w:t>
            </w:r>
            <w:r>
              <w:rPr>
                <w:rFonts w:hint="default"/>
                <w:color w:val="auto"/>
                <w:sz w:val="24"/>
                <w:szCs w:val="24"/>
                <w:lang w:val="en-US" w:eastAsia="zh-CN"/>
              </w:rPr>
              <w:t>mg/L</w:t>
            </w:r>
            <w:r>
              <w:rPr>
                <w:rFonts w:hint="eastAsia" w:ascii="Times New Roman" w:hAnsi="Times New Roman" w:eastAsia="宋体" w:cs="Times New Roman"/>
                <w:color w:val="auto"/>
                <w:sz w:val="24"/>
                <w:szCs w:val="28"/>
              </w:rPr>
              <w:t>，</w:t>
            </w:r>
            <w:r>
              <w:rPr>
                <w:rFonts w:hint="eastAsia" w:ascii="Times New Roman" w:hAnsi="Times New Roman" w:eastAsia="宋体" w:cs="Times New Roman"/>
                <w:color w:val="auto"/>
                <w:sz w:val="24"/>
                <w:szCs w:val="28"/>
                <w:lang w:val="en-US" w:eastAsia="zh-CN"/>
              </w:rPr>
              <w:t>TN34.8</w:t>
            </w:r>
            <w:r>
              <w:rPr>
                <w:rFonts w:hint="eastAsia" w:ascii="Times New Roman" w:hAnsi="Times New Roman" w:eastAsia="宋体" w:cs="Times New Roman"/>
                <w:color w:val="auto"/>
                <w:sz w:val="24"/>
                <w:szCs w:val="28"/>
              </w:rPr>
              <w:t>mg/L</w:t>
            </w:r>
            <w:r>
              <w:rPr>
                <w:rFonts w:hint="eastAsia" w:ascii="Times New Roman" w:hAnsi="Times New Roman" w:eastAsia="宋体" w:cs="Times New Roman"/>
                <w:color w:val="auto"/>
                <w:sz w:val="24"/>
                <w:szCs w:val="28"/>
                <w:lang w:eastAsia="zh-CN"/>
              </w:rPr>
              <w:t>，</w:t>
            </w:r>
            <w:r>
              <w:rPr>
                <w:rFonts w:hint="eastAsia" w:ascii="Times New Roman" w:hAnsi="Times New Roman" w:eastAsia="宋体" w:cs="Times New Roman"/>
                <w:color w:val="auto"/>
                <w:sz w:val="24"/>
                <w:szCs w:val="28"/>
                <w:lang w:val="en-US" w:eastAsia="zh-CN"/>
              </w:rPr>
              <w:t>TP3.5</w:t>
            </w:r>
            <w:r>
              <w:rPr>
                <w:rFonts w:hint="eastAsia" w:ascii="Times New Roman" w:hAnsi="Times New Roman" w:eastAsia="宋体" w:cs="Times New Roman"/>
                <w:color w:val="auto"/>
                <w:sz w:val="24"/>
                <w:szCs w:val="28"/>
              </w:rPr>
              <w:t>mg/L</w:t>
            </w:r>
            <w:r>
              <w:rPr>
                <w:rFonts w:hint="default" w:ascii="Times New Roman" w:hAnsi="Times New Roman" w:eastAsia="宋体" w:cs="Times New Roman"/>
                <w:color w:val="auto"/>
                <w:sz w:val="24"/>
                <w:szCs w:val="28"/>
              </w:rPr>
              <w:t>。</w:t>
            </w:r>
          </w:p>
          <w:p w14:paraId="0E0C6766">
            <w:pPr>
              <w:keepNext w:val="0"/>
              <w:keepLines w:val="0"/>
              <w:suppressLineNumbers w:val="0"/>
              <w:bidi w:val="0"/>
              <w:spacing w:before="0" w:beforeAutospacing="0" w:after="0" w:afterAutospacing="0" w:line="360" w:lineRule="auto"/>
              <w:ind w:left="0" w:right="0" w:firstLine="480" w:firstLineChars="200"/>
              <w:rPr>
                <w:rFonts w:hint="eastAsia" w:cs="Times New Roman"/>
                <w:color w:val="auto"/>
                <w:szCs w:val="28"/>
                <w:lang w:eastAsia="zh-CN"/>
              </w:rPr>
            </w:pPr>
            <w:r>
              <w:rPr>
                <w:rFonts w:hint="eastAsia"/>
                <w:color w:val="auto"/>
                <w:sz w:val="24"/>
                <w:szCs w:val="24"/>
                <w:lang w:val="en-US" w:eastAsia="zh-CN"/>
              </w:rPr>
              <w:t>本项目生活污水经厂区</w:t>
            </w:r>
            <w:r>
              <w:rPr>
                <w:rFonts w:hint="default"/>
                <w:color w:val="auto"/>
                <w:sz w:val="24"/>
                <w:szCs w:val="24"/>
                <w:lang w:val="en-US" w:eastAsia="zh-CN"/>
              </w:rPr>
              <w:t>化粪池</w:t>
            </w:r>
            <w:r>
              <w:rPr>
                <w:rFonts w:hint="eastAsia"/>
                <w:color w:val="auto"/>
                <w:sz w:val="24"/>
                <w:szCs w:val="24"/>
                <w:lang w:val="en-US" w:eastAsia="zh-CN"/>
              </w:rPr>
              <w:t>预处理达到凤台县污水处理厂接管限值后，通过厂区废水总排口接管至凤台县污水处理厂深度处理。</w:t>
            </w:r>
          </w:p>
          <w:p w14:paraId="36FA5DBE">
            <w:pPr>
              <w:pStyle w:val="11"/>
              <w:keepNext w:val="0"/>
              <w:keepLines w:val="0"/>
              <w:suppressLineNumbers w:val="0"/>
              <w:spacing w:before="0" w:beforeAutospacing="0" w:afterAutospacing="0"/>
              <w:ind w:left="0" w:right="0"/>
              <w:rPr>
                <w:rFonts w:hint="default"/>
                <w:color w:val="auto"/>
                <w:lang w:val="en-US" w:eastAsia="zh-CN"/>
              </w:rPr>
            </w:pPr>
          </w:p>
          <w:p w14:paraId="6F8DCCA2">
            <w:pPr>
              <w:pStyle w:val="11"/>
              <w:keepNext w:val="0"/>
              <w:keepLines w:val="0"/>
              <w:suppressLineNumbers w:val="0"/>
              <w:spacing w:before="0" w:beforeAutospacing="0" w:afterAutospacing="0"/>
              <w:ind w:left="0" w:right="0"/>
              <w:rPr>
                <w:rFonts w:hint="default"/>
                <w:color w:val="auto"/>
                <w:lang w:val="en-US" w:eastAsia="zh-CN"/>
              </w:rPr>
            </w:pPr>
          </w:p>
          <w:p w14:paraId="5FE68823">
            <w:pPr>
              <w:pStyle w:val="11"/>
              <w:keepNext w:val="0"/>
              <w:keepLines w:val="0"/>
              <w:suppressLineNumbers w:val="0"/>
              <w:spacing w:before="0" w:beforeAutospacing="0" w:afterAutospacing="0"/>
              <w:ind w:left="0" w:right="0"/>
              <w:rPr>
                <w:rFonts w:hint="default"/>
                <w:color w:val="auto"/>
                <w:lang w:val="en-US" w:eastAsia="zh-CN"/>
              </w:rPr>
            </w:pPr>
          </w:p>
          <w:p w14:paraId="46822797">
            <w:pPr>
              <w:pStyle w:val="11"/>
              <w:keepNext w:val="0"/>
              <w:keepLines w:val="0"/>
              <w:suppressLineNumbers w:val="0"/>
              <w:spacing w:before="0" w:beforeAutospacing="0" w:afterAutospacing="0"/>
              <w:ind w:left="0" w:right="0"/>
              <w:rPr>
                <w:rFonts w:hint="default"/>
                <w:color w:val="auto"/>
                <w:lang w:val="en-US" w:eastAsia="zh-CN"/>
              </w:rPr>
            </w:pPr>
          </w:p>
          <w:p w14:paraId="5731EF4E">
            <w:pPr>
              <w:pStyle w:val="11"/>
              <w:keepNext w:val="0"/>
              <w:keepLines w:val="0"/>
              <w:suppressLineNumbers w:val="0"/>
              <w:spacing w:before="0" w:beforeAutospacing="0" w:afterAutospacing="0"/>
              <w:ind w:left="0" w:right="0"/>
              <w:rPr>
                <w:rFonts w:hint="default"/>
                <w:color w:val="auto"/>
                <w:lang w:val="en-US" w:eastAsia="zh-CN"/>
              </w:rPr>
            </w:pPr>
          </w:p>
          <w:p w14:paraId="785B57C3">
            <w:pPr>
              <w:pStyle w:val="11"/>
              <w:keepNext w:val="0"/>
              <w:keepLines w:val="0"/>
              <w:suppressLineNumbers w:val="0"/>
              <w:spacing w:before="0" w:beforeAutospacing="0" w:afterAutospacing="0"/>
              <w:ind w:left="0" w:right="0"/>
              <w:rPr>
                <w:rFonts w:hint="default"/>
                <w:color w:val="auto"/>
                <w:lang w:val="en-US" w:eastAsia="zh-CN"/>
              </w:rPr>
            </w:pPr>
          </w:p>
          <w:p w14:paraId="7B6CBAD1">
            <w:pPr>
              <w:pStyle w:val="11"/>
              <w:keepNext w:val="0"/>
              <w:keepLines w:val="0"/>
              <w:suppressLineNumbers w:val="0"/>
              <w:spacing w:before="0" w:beforeAutospacing="0" w:afterAutospacing="0"/>
              <w:ind w:left="0" w:right="0"/>
              <w:rPr>
                <w:rFonts w:hint="default"/>
                <w:color w:val="auto"/>
                <w:lang w:val="en-US" w:eastAsia="zh-CN"/>
              </w:rPr>
            </w:pPr>
          </w:p>
          <w:p w14:paraId="4EF262DF">
            <w:pPr>
              <w:pStyle w:val="11"/>
              <w:keepNext w:val="0"/>
              <w:keepLines w:val="0"/>
              <w:suppressLineNumbers w:val="0"/>
              <w:spacing w:before="0" w:beforeAutospacing="0" w:afterAutospacing="0"/>
              <w:ind w:left="0" w:right="0"/>
              <w:rPr>
                <w:rFonts w:hint="default"/>
                <w:color w:val="auto"/>
                <w:lang w:val="en-US" w:eastAsia="zh-CN"/>
              </w:rPr>
            </w:pPr>
          </w:p>
          <w:p w14:paraId="11FCAC69">
            <w:pPr>
              <w:pStyle w:val="11"/>
              <w:keepNext w:val="0"/>
              <w:keepLines w:val="0"/>
              <w:suppressLineNumbers w:val="0"/>
              <w:spacing w:before="0" w:beforeAutospacing="0" w:afterAutospacing="0"/>
              <w:ind w:left="0" w:right="0"/>
              <w:rPr>
                <w:rFonts w:hint="default"/>
                <w:color w:val="auto"/>
                <w:lang w:val="en-US" w:eastAsia="zh-CN"/>
              </w:rPr>
            </w:pPr>
          </w:p>
          <w:p w14:paraId="67F6AAF3">
            <w:pPr>
              <w:pStyle w:val="11"/>
              <w:keepNext w:val="0"/>
              <w:keepLines w:val="0"/>
              <w:suppressLineNumbers w:val="0"/>
              <w:spacing w:before="0" w:beforeAutospacing="0" w:afterAutospacing="0"/>
              <w:ind w:left="0" w:right="0"/>
              <w:rPr>
                <w:rFonts w:hint="default"/>
                <w:color w:val="auto"/>
                <w:lang w:val="en-US" w:eastAsia="zh-CN"/>
              </w:rPr>
            </w:pPr>
          </w:p>
          <w:p w14:paraId="72E423BD">
            <w:pPr>
              <w:pStyle w:val="11"/>
              <w:keepNext w:val="0"/>
              <w:keepLines w:val="0"/>
              <w:suppressLineNumbers w:val="0"/>
              <w:spacing w:before="0" w:beforeAutospacing="0" w:afterAutospacing="0"/>
              <w:ind w:left="0" w:right="0"/>
              <w:rPr>
                <w:rFonts w:hint="default"/>
                <w:color w:val="auto"/>
                <w:lang w:val="en-US" w:eastAsia="zh-CN"/>
              </w:rPr>
            </w:pPr>
          </w:p>
          <w:p w14:paraId="75FFEBC6">
            <w:pPr>
              <w:pStyle w:val="11"/>
              <w:keepNext w:val="0"/>
              <w:keepLines w:val="0"/>
              <w:suppressLineNumbers w:val="0"/>
              <w:spacing w:before="0" w:beforeAutospacing="0" w:afterAutospacing="0"/>
              <w:ind w:left="0" w:right="0"/>
              <w:rPr>
                <w:rFonts w:hint="default"/>
                <w:color w:val="auto"/>
                <w:lang w:val="en-US" w:eastAsia="zh-CN"/>
              </w:rPr>
            </w:pPr>
          </w:p>
          <w:p w14:paraId="44D1BDE7">
            <w:pPr>
              <w:pStyle w:val="11"/>
              <w:keepNext w:val="0"/>
              <w:keepLines w:val="0"/>
              <w:suppressLineNumbers w:val="0"/>
              <w:spacing w:before="0" w:beforeAutospacing="0" w:afterAutospacing="0"/>
              <w:ind w:left="0" w:right="0"/>
              <w:rPr>
                <w:rFonts w:hint="default"/>
                <w:color w:val="auto"/>
                <w:lang w:val="en-US" w:eastAsia="zh-CN"/>
              </w:rPr>
            </w:pPr>
          </w:p>
          <w:p w14:paraId="1ED2CA9E">
            <w:pPr>
              <w:pStyle w:val="11"/>
              <w:keepNext w:val="0"/>
              <w:keepLines w:val="0"/>
              <w:suppressLineNumbers w:val="0"/>
              <w:spacing w:before="0" w:beforeAutospacing="0" w:afterAutospacing="0"/>
              <w:ind w:left="0" w:right="0"/>
              <w:rPr>
                <w:rFonts w:hint="default"/>
                <w:color w:val="auto"/>
                <w:lang w:val="en-US" w:eastAsia="zh-CN"/>
              </w:rPr>
            </w:pPr>
          </w:p>
          <w:p w14:paraId="293D9F06">
            <w:pPr>
              <w:pStyle w:val="11"/>
              <w:keepNext w:val="0"/>
              <w:keepLines w:val="0"/>
              <w:suppressLineNumbers w:val="0"/>
              <w:spacing w:before="0" w:beforeAutospacing="0" w:afterAutospacing="0"/>
              <w:ind w:left="0" w:right="0"/>
              <w:rPr>
                <w:rFonts w:hint="default"/>
                <w:color w:val="auto"/>
                <w:lang w:val="en-US" w:eastAsia="zh-CN"/>
              </w:rPr>
            </w:pPr>
          </w:p>
          <w:p w14:paraId="7EB6F526">
            <w:pPr>
              <w:pStyle w:val="11"/>
              <w:keepNext w:val="0"/>
              <w:keepLines w:val="0"/>
              <w:suppressLineNumbers w:val="0"/>
              <w:spacing w:before="0" w:beforeAutospacing="0" w:afterAutospacing="0"/>
              <w:ind w:left="0" w:right="0"/>
              <w:rPr>
                <w:rFonts w:hint="default"/>
                <w:color w:val="auto"/>
                <w:lang w:val="en-US" w:eastAsia="zh-CN"/>
              </w:rPr>
            </w:pPr>
          </w:p>
          <w:p w14:paraId="3811FB65">
            <w:pPr>
              <w:pStyle w:val="11"/>
              <w:keepNext w:val="0"/>
              <w:keepLines w:val="0"/>
              <w:suppressLineNumbers w:val="0"/>
              <w:spacing w:before="0" w:beforeAutospacing="0" w:afterAutospacing="0"/>
              <w:ind w:left="0" w:right="0"/>
              <w:rPr>
                <w:rFonts w:hint="default"/>
                <w:color w:val="auto"/>
                <w:lang w:val="en-US" w:eastAsia="zh-CN"/>
              </w:rPr>
            </w:pPr>
          </w:p>
          <w:p w14:paraId="69F0E169">
            <w:pPr>
              <w:pStyle w:val="11"/>
              <w:keepNext w:val="0"/>
              <w:keepLines w:val="0"/>
              <w:suppressLineNumbers w:val="0"/>
              <w:spacing w:before="0" w:beforeAutospacing="0" w:afterAutospacing="0"/>
              <w:ind w:left="0" w:right="0"/>
              <w:rPr>
                <w:rFonts w:hint="default"/>
                <w:color w:val="auto"/>
                <w:lang w:val="en-US" w:eastAsia="zh-CN"/>
              </w:rPr>
            </w:pPr>
          </w:p>
          <w:p w14:paraId="516C8FEE">
            <w:pPr>
              <w:pStyle w:val="11"/>
              <w:keepNext w:val="0"/>
              <w:keepLines w:val="0"/>
              <w:suppressLineNumbers w:val="0"/>
              <w:spacing w:before="0" w:beforeAutospacing="0" w:afterAutospacing="0"/>
              <w:ind w:left="0" w:right="0"/>
              <w:rPr>
                <w:rFonts w:hint="default"/>
                <w:color w:val="auto"/>
                <w:lang w:val="en-US" w:eastAsia="zh-CN"/>
              </w:rPr>
            </w:pPr>
          </w:p>
          <w:p w14:paraId="4D631F1D">
            <w:pPr>
              <w:pStyle w:val="11"/>
              <w:keepNext w:val="0"/>
              <w:keepLines w:val="0"/>
              <w:suppressLineNumbers w:val="0"/>
              <w:spacing w:before="0" w:beforeAutospacing="0" w:afterAutospacing="0"/>
              <w:ind w:left="0" w:right="0"/>
              <w:rPr>
                <w:rFonts w:hint="default"/>
                <w:color w:val="auto"/>
                <w:lang w:val="en-US" w:eastAsia="zh-CN"/>
              </w:rPr>
            </w:pPr>
          </w:p>
          <w:p w14:paraId="76B160CF">
            <w:pPr>
              <w:pStyle w:val="11"/>
              <w:keepNext w:val="0"/>
              <w:keepLines w:val="0"/>
              <w:suppressLineNumbers w:val="0"/>
              <w:spacing w:before="0" w:beforeAutospacing="0" w:afterAutospacing="0"/>
              <w:ind w:left="0" w:right="0"/>
              <w:rPr>
                <w:rFonts w:hint="default"/>
                <w:color w:val="auto"/>
                <w:lang w:val="en-US" w:eastAsia="zh-CN"/>
              </w:rPr>
            </w:pPr>
          </w:p>
          <w:p w14:paraId="4005365F">
            <w:pPr>
              <w:pStyle w:val="11"/>
              <w:keepNext w:val="0"/>
              <w:keepLines w:val="0"/>
              <w:suppressLineNumbers w:val="0"/>
              <w:spacing w:before="0" w:beforeAutospacing="0" w:afterAutospacing="0"/>
              <w:ind w:left="0" w:right="0"/>
              <w:rPr>
                <w:rFonts w:hint="default"/>
                <w:color w:val="auto"/>
                <w:lang w:val="en-US" w:eastAsia="zh-CN"/>
              </w:rPr>
            </w:pPr>
          </w:p>
          <w:p w14:paraId="0A13E887">
            <w:pPr>
              <w:pStyle w:val="11"/>
              <w:keepNext w:val="0"/>
              <w:keepLines w:val="0"/>
              <w:suppressLineNumbers w:val="0"/>
              <w:spacing w:before="0" w:beforeAutospacing="0" w:afterAutospacing="0"/>
              <w:ind w:left="0" w:right="0"/>
              <w:rPr>
                <w:rFonts w:hint="default"/>
                <w:color w:val="auto"/>
                <w:lang w:val="en-US" w:eastAsia="zh-CN"/>
              </w:rPr>
            </w:pPr>
          </w:p>
          <w:p w14:paraId="719EF2CF">
            <w:pPr>
              <w:pStyle w:val="11"/>
              <w:keepNext w:val="0"/>
              <w:keepLines w:val="0"/>
              <w:suppressLineNumbers w:val="0"/>
              <w:spacing w:before="0" w:beforeAutospacing="0" w:afterAutospacing="0"/>
              <w:ind w:left="0" w:right="0"/>
              <w:rPr>
                <w:rFonts w:hint="default"/>
                <w:color w:val="auto"/>
                <w:lang w:val="en-US" w:eastAsia="zh-CN"/>
              </w:rPr>
            </w:pPr>
          </w:p>
          <w:p w14:paraId="412DE46F">
            <w:pPr>
              <w:pStyle w:val="11"/>
              <w:keepNext w:val="0"/>
              <w:keepLines w:val="0"/>
              <w:suppressLineNumbers w:val="0"/>
              <w:spacing w:before="0" w:beforeAutospacing="0" w:afterAutospacing="0"/>
              <w:ind w:left="0" w:right="0"/>
              <w:rPr>
                <w:rFonts w:hint="default"/>
                <w:color w:val="auto"/>
                <w:lang w:val="en-US" w:eastAsia="zh-CN"/>
              </w:rPr>
            </w:pPr>
          </w:p>
        </w:tc>
      </w:tr>
    </w:tbl>
    <w:p w14:paraId="30A8D9F7">
      <w:pPr>
        <w:widowControl/>
        <w:outlineLvl w:val="0"/>
        <w:rPr>
          <w:rFonts w:ascii="宋体" w:hAnsi="宋体"/>
          <w:b/>
          <w:bCs/>
          <w:color w:val="auto"/>
          <w:kern w:val="0"/>
          <w:sz w:val="30"/>
          <w:szCs w:val="30"/>
        </w:rPr>
        <w:sectPr>
          <w:footerReference r:id="rId7" w:type="default"/>
          <w:pgSz w:w="11906" w:h="16838"/>
          <w:pgMar w:top="1440" w:right="1508" w:bottom="1440" w:left="1797" w:header="851" w:footer="992" w:gutter="0"/>
          <w:pgBorders>
            <w:top w:val="none" w:sz="0" w:space="0"/>
            <w:left w:val="none" w:sz="0" w:space="0"/>
            <w:bottom w:val="none" w:sz="0" w:space="0"/>
            <w:right w:val="none" w:sz="0" w:space="0"/>
          </w:pgBorders>
          <w:cols w:space="720" w:num="1"/>
          <w:docGrid w:type="lines" w:linePitch="312" w:charSpace="0"/>
        </w:sectPr>
      </w:pPr>
    </w:p>
    <w:tbl>
      <w:tblPr>
        <w:tblStyle w:val="3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3635"/>
      </w:tblGrid>
      <w:tr w14:paraId="10E98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9" w:hRule="atLeast"/>
          <w:jc w:val="center"/>
        </w:trPr>
        <w:tc>
          <w:tcPr>
            <w:tcW w:w="189" w:type="pct"/>
            <w:vAlign w:val="center"/>
          </w:tcPr>
          <w:p w14:paraId="49DA937D">
            <w:pPr>
              <w:keepNext w:val="0"/>
              <w:keepLines w:val="0"/>
              <w:widowControl/>
              <w:suppressLineNumbers w:val="0"/>
              <w:spacing w:before="0" w:beforeAutospacing="0" w:after="0" w:afterAutospacing="0" w:line="360" w:lineRule="auto"/>
              <w:ind w:left="0" w:right="0"/>
              <w:jc w:val="center"/>
              <w:outlineLvl w:val="0"/>
              <w:rPr>
                <w:rFonts w:hint="default" w:ascii="宋体" w:hAnsi="宋体"/>
                <w:b/>
                <w:bCs/>
                <w:color w:val="auto"/>
                <w:kern w:val="0"/>
                <w:sz w:val="24"/>
                <w:szCs w:val="24"/>
                <w:highlight w:val="none"/>
                <w:vertAlign w:val="baseline"/>
              </w:rPr>
            </w:pPr>
            <w:r>
              <w:rPr>
                <w:rFonts w:hint="eastAsia" w:hAnsi="宋体"/>
                <w:color w:val="auto"/>
                <w:kern w:val="0"/>
                <w:sz w:val="24"/>
                <w:szCs w:val="24"/>
                <w:highlight w:val="none"/>
              </w:rPr>
              <w:t>运营期环境影响和保护措施</w:t>
            </w:r>
          </w:p>
        </w:tc>
        <w:tc>
          <w:tcPr>
            <w:tcW w:w="4810" w:type="pct"/>
          </w:tcPr>
          <w:p w14:paraId="3DBBD30F">
            <w:pPr>
              <w:keepNext w:val="0"/>
              <w:keepLines w:val="0"/>
              <w:suppressLineNumbers w:val="0"/>
              <w:bidi w:val="0"/>
              <w:spacing w:before="0" w:beforeAutospacing="0" w:after="0" w:afterAutospacing="0" w:line="360" w:lineRule="auto"/>
              <w:ind w:left="0" w:right="0"/>
              <w:jc w:val="center"/>
              <w:rPr>
                <w:rFonts w:hint="default" w:eastAsia="黑体"/>
                <w:color w:val="auto"/>
                <w:highlight w:val="none"/>
                <w:lang w:val="en-US" w:eastAsia="zh-CN"/>
              </w:rPr>
            </w:pPr>
            <w:r>
              <w:rPr>
                <w:rFonts w:hint="eastAsia" w:hAnsi="黑体" w:eastAsia="黑体"/>
                <w:color w:val="auto"/>
                <w:sz w:val="24"/>
                <w:szCs w:val="24"/>
                <w:highlight w:val="none"/>
              </w:rPr>
              <w:t>表</w:t>
            </w:r>
            <w:r>
              <w:rPr>
                <w:rFonts w:hint="eastAsia" w:hAnsi="黑体" w:eastAsia="黑体"/>
                <w:color w:val="auto"/>
                <w:sz w:val="24"/>
                <w:szCs w:val="24"/>
                <w:highlight w:val="none"/>
                <w:lang w:val="en-US" w:eastAsia="zh-CN"/>
              </w:rPr>
              <w:t>4-9 本项目废水产生及排放情况一览表</w:t>
            </w:r>
          </w:p>
          <w:tbl>
            <w:tblPr>
              <w:tblStyle w:val="37"/>
              <w:tblW w:w="4982"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6"/>
              <w:gridCol w:w="679"/>
              <w:gridCol w:w="1222"/>
              <w:gridCol w:w="971"/>
              <w:gridCol w:w="1222"/>
              <w:gridCol w:w="908"/>
              <w:gridCol w:w="842"/>
              <w:gridCol w:w="984"/>
              <w:gridCol w:w="795"/>
              <w:gridCol w:w="794"/>
              <w:gridCol w:w="851"/>
              <w:gridCol w:w="1222"/>
              <w:gridCol w:w="829"/>
              <w:gridCol w:w="753"/>
              <w:gridCol w:w="873"/>
            </w:tblGrid>
            <w:tr w14:paraId="71855F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9" w:type="pct"/>
                  <w:vMerge w:val="restart"/>
                  <w:tcBorders>
                    <w:tl2br w:val="nil"/>
                    <w:tr2bl w:val="nil"/>
                  </w:tcBorders>
                  <w:noWrap w:val="0"/>
                  <w:vAlign w:val="center"/>
                </w:tcPr>
                <w:p w14:paraId="5A81E7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产排污环节</w:t>
                  </w:r>
                </w:p>
              </w:tc>
              <w:tc>
                <w:tcPr>
                  <w:tcW w:w="253" w:type="pct"/>
                  <w:vMerge w:val="restart"/>
                  <w:tcBorders>
                    <w:tl2br w:val="nil"/>
                    <w:tr2bl w:val="nil"/>
                  </w:tcBorders>
                  <w:noWrap w:val="0"/>
                  <w:vAlign w:val="center"/>
                </w:tcPr>
                <w:p w14:paraId="5AF905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废水</w:t>
                  </w:r>
                </w:p>
                <w:p w14:paraId="3AFEAE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类别</w:t>
                  </w:r>
                </w:p>
              </w:tc>
              <w:tc>
                <w:tcPr>
                  <w:tcW w:w="456" w:type="pct"/>
                  <w:vMerge w:val="restart"/>
                  <w:tcBorders>
                    <w:tl2br w:val="nil"/>
                    <w:tr2bl w:val="nil"/>
                  </w:tcBorders>
                  <w:noWrap w:val="0"/>
                  <w:vAlign w:val="center"/>
                </w:tcPr>
                <w:p w14:paraId="06BF11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废水</w:t>
                  </w:r>
                </w:p>
                <w:p w14:paraId="392FEC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产生量</w:t>
                  </w:r>
                </w:p>
                <w:p w14:paraId="687986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（t/</w:t>
                  </w:r>
                  <w:r>
                    <w:rPr>
                      <w:rFonts w:hint="eastAsia" w:cs="Times New Roman"/>
                      <w:b/>
                      <w:color w:val="auto"/>
                      <w:sz w:val="21"/>
                      <w:szCs w:val="21"/>
                      <w:highlight w:val="none"/>
                      <w:lang w:val="en-US" w:eastAsia="zh-CN"/>
                    </w:rPr>
                    <w:t>d</w:t>
                  </w:r>
                  <w:r>
                    <w:rPr>
                      <w:rFonts w:hint="default" w:ascii="Times New Roman" w:hAnsi="Times New Roman" w:cs="Times New Roman"/>
                      <w:b/>
                      <w:color w:val="auto"/>
                      <w:sz w:val="21"/>
                      <w:szCs w:val="21"/>
                      <w:highlight w:val="none"/>
                    </w:rPr>
                    <w:t>）</w:t>
                  </w:r>
                </w:p>
              </w:tc>
              <w:tc>
                <w:tcPr>
                  <w:tcW w:w="363" w:type="pct"/>
                  <w:vMerge w:val="restart"/>
                  <w:tcBorders>
                    <w:tl2br w:val="nil"/>
                    <w:tr2bl w:val="nil"/>
                  </w:tcBorders>
                  <w:noWrap w:val="0"/>
                  <w:vAlign w:val="center"/>
                </w:tcPr>
                <w:p w14:paraId="5E5C77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污染物</w:t>
                  </w:r>
                </w:p>
                <w:p w14:paraId="6386F9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种类</w:t>
                  </w:r>
                </w:p>
              </w:tc>
              <w:tc>
                <w:tcPr>
                  <w:tcW w:w="796" w:type="pct"/>
                  <w:gridSpan w:val="2"/>
                  <w:tcBorders>
                    <w:tl2br w:val="nil"/>
                    <w:tr2bl w:val="nil"/>
                  </w:tcBorders>
                  <w:noWrap w:val="0"/>
                  <w:vAlign w:val="center"/>
                </w:tcPr>
                <w:p w14:paraId="2A33E1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污染物产生情况</w:t>
                  </w:r>
                </w:p>
              </w:tc>
              <w:tc>
                <w:tcPr>
                  <w:tcW w:w="1277" w:type="pct"/>
                  <w:gridSpan w:val="4"/>
                  <w:tcBorders>
                    <w:tl2br w:val="nil"/>
                    <w:tr2bl w:val="nil"/>
                  </w:tcBorders>
                  <w:noWrap w:val="0"/>
                  <w:vAlign w:val="center"/>
                </w:tcPr>
                <w:p w14:paraId="656BFB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治理设施</w:t>
                  </w:r>
                </w:p>
              </w:tc>
              <w:tc>
                <w:tcPr>
                  <w:tcW w:w="318" w:type="pct"/>
                  <w:vMerge w:val="restart"/>
                  <w:tcBorders>
                    <w:tl2br w:val="nil"/>
                    <w:tr2bl w:val="nil"/>
                  </w:tcBorders>
                  <w:noWrap w:val="0"/>
                  <w:vAlign w:val="center"/>
                </w:tcPr>
                <w:p w14:paraId="13BA7D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废水</w:t>
                  </w:r>
                </w:p>
                <w:p w14:paraId="446CDF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排放量</w:t>
                  </w:r>
                </w:p>
                <w:p w14:paraId="255642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（t/</w:t>
                  </w:r>
                  <w:r>
                    <w:rPr>
                      <w:rFonts w:hint="eastAsia" w:cs="Times New Roman"/>
                      <w:b/>
                      <w:color w:val="auto"/>
                      <w:sz w:val="21"/>
                      <w:szCs w:val="21"/>
                      <w:highlight w:val="none"/>
                      <w:lang w:val="en-US" w:eastAsia="zh-CN"/>
                    </w:rPr>
                    <w:t>d</w:t>
                  </w:r>
                  <w:r>
                    <w:rPr>
                      <w:rFonts w:hint="default" w:ascii="Times New Roman" w:hAnsi="Times New Roman" w:cs="Times New Roman"/>
                      <w:b/>
                      <w:color w:val="auto"/>
                      <w:sz w:val="21"/>
                      <w:szCs w:val="21"/>
                      <w:highlight w:val="none"/>
                    </w:rPr>
                    <w:t>）</w:t>
                  </w:r>
                </w:p>
              </w:tc>
              <w:tc>
                <w:tcPr>
                  <w:tcW w:w="766" w:type="pct"/>
                  <w:gridSpan w:val="2"/>
                  <w:tcBorders>
                    <w:tl2br w:val="nil"/>
                    <w:tr2bl w:val="nil"/>
                  </w:tcBorders>
                  <w:noWrap w:val="0"/>
                  <w:vAlign w:val="center"/>
                </w:tcPr>
                <w:p w14:paraId="293956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污染物排放情况</w:t>
                  </w:r>
                </w:p>
              </w:tc>
              <w:tc>
                <w:tcPr>
                  <w:tcW w:w="281" w:type="pct"/>
                  <w:vMerge w:val="restart"/>
                  <w:tcBorders>
                    <w:tl2br w:val="nil"/>
                    <w:tr2bl w:val="nil"/>
                  </w:tcBorders>
                  <w:noWrap w:val="0"/>
                  <w:vAlign w:val="center"/>
                </w:tcPr>
                <w:p w14:paraId="459672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排放</w:t>
                  </w:r>
                </w:p>
                <w:p w14:paraId="52EEB2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方式</w:t>
                  </w:r>
                </w:p>
              </w:tc>
              <w:tc>
                <w:tcPr>
                  <w:tcW w:w="326" w:type="pct"/>
                  <w:vMerge w:val="restart"/>
                  <w:tcBorders>
                    <w:tl2br w:val="nil"/>
                    <w:tr2bl w:val="nil"/>
                  </w:tcBorders>
                  <w:noWrap w:val="0"/>
                  <w:vAlign w:val="center"/>
                </w:tcPr>
                <w:p w14:paraId="6E31E2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排放</w:t>
                  </w:r>
                </w:p>
                <w:p w14:paraId="0AF1A3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去向</w:t>
                  </w:r>
                </w:p>
              </w:tc>
            </w:tr>
            <w:tr w14:paraId="26B5EA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9" w:type="pct"/>
                  <w:vMerge w:val="continue"/>
                  <w:tcBorders>
                    <w:tl2br w:val="nil"/>
                    <w:tr2bl w:val="nil"/>
                  </w:tcBorders>
                  <w:noWrap w:val="0"/>
                  <w:vAlign w:val="center"/>
                </w:tcPr>
                <w:p w14:paraId="34090F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p>
              </w:tc>
              <w:tc>
                <w:tcPr>
                  <w:tcW w:w="253" w:type="pct"/>
                  <w:vMerge w:val="continue"/>
                  <w:tcBorders>
                    <w:tl2br w:val="nil"/>
                    <w:tr2bl w:val="nil"/>
                  </w:tcBorders>
                  <w:noWrap w:val="0"/>
                  <w:vAlign w:val="center"/>
                </w:tcPr>
                <w:p w14:paraId="1C88D6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p>
              </w:tc>
              <w:tc>
                <w:tcPr>
                  <w:tcW w:w="456" w:type="pct"/>
                  <w:vMerge w:val="continue"/>
                  <w:tcBorders>
                    <w:tl2br w:val="nil"/>
                    <w:tr2bl w:val="nil"/>
                  </w:tcBorders>
                  <w:noWrap w:val="0"/>
                  <w:vAlign w:val="center"/>
                </w:tcPr>
                <w:p w14:paraId="6B72ED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p>
              </w:tc>
              <w:tc>
                <w:tcPr>
                  <w:tcW w:w="363" w:type="pct"/>
                  <w:vMerge w:val="continue"/>
                  <w:tcBorders>
                    <w:tl2br w:val="nil"/>
                    <w:tr2bl w:val="nil"/>
                  </w:tcBorders>
                  <w:noWrap w:val="0"/>
                  <w:vAlign w:val="center"/>
                </w:tcPr>
                <w:p w14:paraId="414CEC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p>
              </w:tc>
              <w:tc>
                <w:tcPr>
                  <w:tcW w:w="456" w:type="pct"/>
                  <w:tcBorders>
                    <w:tl2br w:val="nil"/>
                    <w:tr2bl w:val="nil"/>
                  </w:tcBorders>
                  <w:noWrap w:val="0"/>
                  <w:vAlign w:val="center"/>
                </w:tcPr>
                <w:p w14:paraId="628D6F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产生浓度</w:t>
                  </w:r>
                </w:p>
                <w:p w14:paraId="1E87F1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（mg/L）</w:t>
                  </w:r>
                </w:p>
              </w:tc>
              <w:tc>
                <w:tcPr>
                  <w:tcW w:w="339" w:type="pct"/>
                  <w:tcBorders>
                    <w:tl2br w:val="nil"/>
                    <w:tr2bl w:val="nil"/>
                  </w:tcBorders>
                  <w:noWrap w:val="0"/>
                  <w:vAlign w:val="center"/>
                </w:tcPr>
                <w:p w14:paraId="3F2AEC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产生量</w:t>
                  </w:r>
                </w:p>
                <w:p w14:paraId="36129A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（t/a）</w:t>
                  </w:r>
                </w:p>
              </w:tc>
              <w:tc>
                <w:tcPr>
                  <w:tcW w:w="314" w:type="pct"/>
                  <w:tcBorders>
                    <w:tl2br w:val="nil"/>
                    <w:tr2bl w:val="nil"/>
                  </w:tcBorders>
                  <w:noWrap w:val="0"/>
                  <w:vAlign w:val="center"/>
                </w:tcPr>
                <w:p w14:paraId="7E57A5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治理设施名称及工艺</w:t>
                  </w:r>
                </w:p>
              </w:tc>
              <w:tc>
                <w:tcPr>
                  <w:tcW w:w="367" w:type="pct"/>
                  <w:tcBorders>
                    <w:tl2br w:val="nil"/>
                    <w:tr2bl w:val="nil"/>
                  </w:tcBorders>
                  <w:noWrap w:val="0"/>
                  <w:vAlign w:val="center"/>
                </w:tcPr>
                <w:p w14:paraId="491011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处理</w:t>
                  </w:r>
                </w:p>
                <w:p w14:paraId="4BE511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能力（m</w:t>
                  </w:r>
                  <w:r>
                    <w:rPr>
                      <w:rFonts w:hint="default" w:ascii="Times New Roman" w:hAnsi="Times New Roman" w:cs="Times New Roman"/>
                      <w:b/>
                      <w:color w:val="auto"/>
                      <w:sz w:val="21"/>
                      <w:szCs w:val="21"/>
                      <w:highlight w:val="none"/>
                      <w:vertAlign w:val="superscript"/>
                    </w:rPr>
                    <w:t>3</w:t>
                  </w:r>
                  <w:r>
                    <w:rPr>
                      <w:rFonts w:hint="default" w:ascii="Times New Roman" w:hAnsi="Times New Roman" w:cs="Times New Roman"/>
                      <w:b/>
                      <w:color w:val="auto"/>
                      <w:sz w:val="21"/>
                      <w:szCs w:val="21"/>
                      <w:highlight w:val="none"/>
                    </w:rPr>
                    <w:t>/d）</w:t>
                  </w:r>
                </w:p>
              </w:tc>
              <w:tc>
                <w:tcPr>
                  <w:tcW w:w="297" w:type="pct"/>
                  <w:tcBorders>
                    <w:tl2br w:val="nil"/>
                    <w:tr2bl w:val="nil"/>
                  </w:tcBorders>
                  <w:noWrap w:val="0"/>
                  <w:vAlign w:val="center"/>
                </w:tcPr>
                <w:p w14:paraId="40CB28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治理</w:t>
                  </w:r>
                </w:p>
                <w:p w14:paraId="74B683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效率</w:t>
                  </w:r>
                </w:p>
                <w:p w14:paraId="5BB258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w:t>
                  </w:r>
                </w:p>
              </w:tc>
              <w:tc>
                <w:tcPr>
                  <w:tcW w:w="296" w:type="pct"/>
                  <w:tcBorders>
                    <w:tl2br w:val="nil"/>
                    <w:tr2bl w:val="nil"/>
                  </w:tcBorders>
                  <w:noWrap w:val="0"/>
                  <w:vAlign w:val="center"/>
                </w:tcPr>
                <w:p w14:paraId="70D83F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是否为可行技术</w:t>
                  </w:r>
                </w:p>
              </w:tc>
              <w:tc>
                <w:tcPr>
                  <w:tcW w:w="318" w:type="pct"/>
                  <w:vMerge w:val="continue"/>
                  <w:tcBorders>
                    <w:tl2br w:val="nil"/>
                    <w:tr2bl w:val="nil"/>
                  </w:tcBorders>
                  <w:noWrap w:val="0"/>
                  <w:vAlign w:val="center"/>
                </w:tcPr>
                <w:p w14:paraId="2A62D7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p>
              </w:tc>
              <w:tc>
                <w:tcPr>
                  <w:tcW w:w="456" w:type="pct"/>
                  <w:tcBorders>
                    <w:tl2br w:val="nil"/>
                    <w:tr2bl w:val="nil"/>
                  </w:tcBorders>
                  <w:noWrap w:val="0"/>
                  <w:vAlign w:val="center"/>
                </w:tcPr>
                <w:p w14:paraId="29E076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排放浓度</w:t>
                  </w:r>
                </w:p>
                <w:p w14:paraId="621C9A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（mg/L）</w:t>
                  </w:r>
                </w:p>
              </w:tc>
              <w:tc>
                <w:tcPr>
                  <w:tcW w:w="309" w:type="pct"/>
                  <w:tcBorders>
                    <w:tl2br w:val="nil"/>
                    <w:tr2bl w:val="nil"/>
                  </w:tcBorders>
                  <w:noWrap w:val="0"/>
                  <w:vAlign w:val="center"/>
                </w:tcPr>
                <w:p w14:paraId="3CA05B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排放量</w:t>
                  </w:r>
                </w:p>
                <w:p w14:paraId="3009DE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（t/</w:t>
                  </w:r>
                  <w:r>
                    <w:rPr>
                      <w:rFonts w:hint="eastAsia" w:cs="Times New Roman"/>
                      <w:b/>
                      <w:color w:val="auto"/>
                      <w:sz w:val="21"/>
                      <w:szCs w:val="21"/>
                      <w:highlight w:val="none"/>
                      <w:lang w:val="en-US" w:eastAsia="zh-CN"/>
                    </w:rPr>
                    <w:t>a</w:t>
                  </w:r>
                  <w:r>
                    <w:rPr>
                      <w:rFonts w:hint="default" w:ascii="Times New Roman" w:hAnsi="Times New Roman" w:cs="Times New Roman"/>
                      <w:b/>
                      <w:color w:val="auto"/>
                      <w:sz w:val="21"/>
                      <w:szCs w:val="21"/>
                      <w:highlight w:val="none"/>
                    </w:rPr>
                    <w:t>）</w:t>
                  </w:r>
                </w:p>
              </w:tc>
              <w:tc>
                <w:tcPr>
                  <w:tcW w:w="281" w:type="pct"/>
                  <w:vMerge w:val="continue"/>
                  <w:tcBorders>
                    <w:tl2br w:val="nil"/>
                    <w:tr2bl w:val="nil"/>
                  </w:tcBorders>
                  <w:noWrap w:val="0"/>
                  <w:vAlign w:val="center"/>
                </w:tcPr>
                <w:p w14:paraId="215033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p>
              </w:tc>
              <w:tc>
                <w:tcPr>
                  <w:tcW w:w="326" w:type="pct"/>
                  <w:vMerge w:val="continue"/>
                  <w:tcBorders>
                    <w:tl2br w:val="nil"/>
                    <w:tr2bl w:val="nil"/>
                  </w:tcBorders>
                  <w:noWrap w:val="0"/>
                  <w:vAlign w:val="center"/>
                </w:tcPr>
                <w:p w14:paraId="18D16B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 w:val="21"/>
                      <w:szCs w:val="21"/>
                      <w:highlight w:val="none"/>
                    </w:rPr>
                  </w:pPr>
                </w:p>
              </w:tc>
            </w:tr>
            <w:tr w14:paraId="47DE99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 w:type="pct"/>
                  <w:vMerge w:val="restart"/>
                  <w:tcBorders>
                    <w:tl2br w:val="nil"/>
                    <w:tr2bl w:val="nil"/>
                  </w:tcBorders>
                  <w:shd w:val="clear" w:color="auto" w:fill="auto"/>
                  <w:noWrap w:val="0"/>
                  <w:vAlign w:val="center"/>
                </w:tcPr>
                <w:p w14:paraId="6E529D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循环冷却系统</w:t>
                  </w:r>
                </w:p>
              </w:tc>
              <w:tc>
                <w:tcPr>
                  <w:tcW w:w="253" w:type="pct"/>
                  <w:vMerge w:val="restart"/>
                  <w:tcBorders>
                    <w:tl2br w:val="nil"/>
                    <w:tr2bl w:val="nil"/>
                  </w:tcBorders>
                  <w:shd w:val="clear" w:color="auto" w:fill="auto"/>
                  <w:noWrap w:val="0"/>
                  <w:vAlign w:val="center"/>
                </w:tcPr>
                <w:p w14:paraId="1E0E53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循环冷却系统排水W</w:t>
                  </w:r>
                  <w:r>
                    <w:rPr>
                      <w:rFonts w:hint="eastAsia"/>
                      <w:color w:val="auto"/>
                      <w:sz w:val="21"/>
                      <w:szCs w:val="21"/>
                      <w:highlight w:val="none"/>
                      <w:vertAlign w:val="subscript"/>
                      <w:lang w:val="en-US" w:eastAsia="zh-CN"/>
                    </w:rPr>
                    <w:t>1</w:t>
                  </w:r>
                </w:p>
              </w:tc>
              <w:tc>
                <w:tcPr>
                  <w:tcW w:w="456" w:type="pct"/>
                  <w:vMerge w:val="restart"/>
                  <w:tcBorders>
                    <w:tl2br w:val="nil"/>
                    <w:tr2bl w:val="nil"/>
                  </w:tcBorders>
                  <w:shd w:val="clear" w:color="auto" w:fill="auto"/>
                  <w:noWrap w:val="0"/>
                  <w:vAlign w:val="center"/>
                </w:tcPr>
                <w:p w14:paraId="434F3A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2.0</w:t>
                  </w:r>
                </w:p>
                <w:p w14:paraId="0B2207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（24m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/a）</w:t>
                  </w:r>
                </w:p>
              </w:tc>
              <w:tc>
                <w:tcPr>
                  <w:tcW w:w="363" w:type="pct"/>
                  <w:tcBorders>
                    <w:tl2br w:val="nil"/>
                    <w:tr2bl w:val="nil"/>
                  </w:tcBorders>
                  <w:noWrap w:val="0"/>
                  <w:vAlign w:val="center"/>
                </w:tcPr>
                <w:p w14:paraId="0D12C6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pH</w:t>
                  </w:r>
                </w:p>
              </w:tc>
              <w:tc>
                <w:tcPr>
                  <w:tcW w:w="456" w:type="pct"/>
                  <w:tcBorders>
                    <w:tl2br w:val="nil"/>
                    <w:tr2bl w:val="nil"/>
                  </w:tcBorders>
                  <w:shd w:val="clear" w:color="auto" w:fill="auto"/>
                  <w:noWrap w:val="0"/>
                  <w:vAlign w:val="center"/>
                </w:tcPr>
                <w:p w14:paraId="2EC159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6~9</w:t>
                  </w:r>
                </w:p>
                <w:p w14:paraId="3CDC06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（无量纲）</w:t>
                  </w:r>
                </w:p>
              </w:tc>
              <w:tc>
                <w:tcPr>
                  <w:tcW w:w="339" w:type="pct"/>
                  <w:tcBorders>
                    <w:tl2br w:val="nil"/>
                    <w:tr2bl w:val="nil"/>
                  </w:tcBorders>
                  <w:shd w:val="clear" w:color="auto" w:fill="auto"/>
                  <w:noWrap w:val="0"/>
                  <w:vAlign w:val="center"/>
                </w:tcPr>
                <w:p w14:paraId="6D4D39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314" w:type="pct"/>
                  <w:tcBorders>
                    <w:tl2br w:val="nil"/>
                    <w:tr2bl w:val="nil"/>
                  </w:tcBorders>
                  <w:noWrap w:val="0"/>
                  <w:vAlign w:val="center"/>
                </w:tcPr>
                <w:p w14:paraId="439166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67" w:type="pct"/>
                  <w:tcBorders>
                    <w:tl2br w:val="nil"/>
                    <w:tr2bl w:val="nil"/>
                  </w:tcBorders>
                  <w:noWrap w:val="0"/>
                  <w:vAlign w:val="center"/>
                </w:tcPr>
                <w:p w14:paraId="178A7B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97" w:type="pct"/>
                  <w:tcBorders>
                    <w:tl2br w:val="nil"/>
                    <w:tr2bl w:val="nil"/>
                  </w:tcBorders>
                  <w:noWrap w:val="0"/>
                  <w:vAlign w:val="center"/>
                </w:tcPr>
                <w:p w14:paraId="150F66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96" w:type="pct"/>
                  <w:tcBorders>
                    <w:tl2br w:val="nil"/>
                    <w:tr2bl w:val="nil"/>
                  </w:tcBorders>
                  <w:noWrap w:val="0"/>
                  <w:vAlign w:val="center"/>
                </w:tcPr>
                <w:p w14:paraId="6F681E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8" w:type="pct"/>
                  <w:vMerge w:val="restart"/>
                  <w:tcBorders>
                    <w:tl2br w:val="nil"/>
                    <w:tr2bl w:val="nil"/>
                  </w:tcBorders>
                  <w:noWrap w:val="0"/>
                  <w:vAlign w:val="center"/>
                </w:tcPr>
                <w:p w14:paraId="7E8400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2.0</w:t>
                  </w:r>
                </w:p>
              </w:tc>
              <w:tc>
                <w:tcPr>
                  <w:tcW w:w="456" w:type="pct"/>
                  <w:tcBorders>
                    <w:tl2br w:val="nil"/>
                    <w:tr2bl w:val="nil"/>
                  </w:tcBorders>
                  <w:shd w:val="clear" w:color="auto" w:fill="auto"/>
                  <w:noWrap w:val="0"/>
                  <w:vAlign w:val="center"/>
                </w:tcPr>
                <w:p w14:paraId="095B44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6~9</w:t>
                  </w:r>
                </w:p>
                <w:p w14:paraId="6B04D3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（无量纲）</w:t>
                  </w:r>
                </w:p>
              </w:tc>
              <w:tc>
                <w:tcPr>
                  <w:tcW w:w="309" w:type="pct"/>
                  <w:tcBorders>
                    <w:tl2br w:val="nil"/>
                    <w:tr2bl w:val="nil"/>
                  </w:tcBorders>
                  <w:shd w:val="clear" w:color="auto" w:fill="auto"/>
                  <w:noWrap w:val="0"/>
                  <w:vAlign w:val="center"/>
                </w:tcPr>
                <w:p w14:paraId="555359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281" w:type="pct"/>
                  <w:vMerge w:val="restart"/>
                  <w:tcBorders>
                    <w:tl2br w:val="nil"/>
                    <w:tr2bl w:val="nil"/>
                  </w:tcBorders>
                  <w:noWrap w:val="0"/>
                  <w:vAlign w:val="center"/>
                </w:tcPr>
                <w:p w14:paraId="246D3D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间歇排放</w:t>
                  </w:r>
                </w:p>
              </w:tc>
              <w:tc>
                <w:tcPr>
                  <w:tcW w:w="326" w:type="pct"/>
                  <w:vMerge w:val="restart"/>
                  <w:tcBorders>
                    <w:tl2br w:val="nil"/>
                    <w:tr2bl w:val="nil"/>
                  </w:tcBorders>
                  <w:noWrap w:val="0"/>
                  <w:vAlign w:val="center"/>
                </w:tcPr>
                <w:p w14:paraId="4B8D65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接管至凤台县污水处理厂</w:t>
                  </w:r>
                </w:p>
              </w:tc>
            </w:tr>
            <w:tr w14:paraId="3E5BBD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9" w:type="pct"/>
                  <w:vMerge w:val="continue"/>
                  <w:tcBorders>
                    <w:tl2br w:val="nil"/>
                    <w:tr2bl w:val="nil"/>
                  </w:tcBorders>
                  <w:noWrap w:val="0"/>
                  <w:vAlign w:val="center"/>
                </w:tcPr>
                <w:p w14:paraId="40B2BE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p>
              </w:tc>
              <w:tc>
                <w:tcPr>
                  <w:tcW w:w="253" w:type="pct"/>
                  <w:vMerge w:val="continue"/>
                  <w:tcBorders>
                    <w:tl2br w:val="nil"/>
                    <w:tr2bl w:val="nil"/>
                  </w:tcBorders>
                  <w:noWrap w:val="0"/>
                  <w:vAlign w:val="center"/>
                </w:tcPr>
                <w:p w14:paraId="2F6E09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lang w:val="en-US" w:eastAsia="zh-CN"/>
                    </w:rPr>
                  </w:pPr>
                </w:p>
              </w:tc>
              <w:tc>
                <w:tcPr>
                  <w:tcW w:w="456" w:type="pct"/>
                  <w:vMerge w:val="continue"/>
                  <w:tcBorders>
                    <w:tl2br w:val="nil"/>
                    <w:tr2bl w:val="nil"/>
                  </w:tcBorders>
                  <w:noWrap w:val="0"/>
                  <w:vAlign w:val="center"/>
                </w:tcPr>
                <w:p w14:paraId="5B2B58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p>
              </w:tc>
              <w:tc>
                <w:tcPr>
                  <w:tcW w:w="363" w:type="pct"/>
                  <w:tcBorders>
                    <w:tl2br w:val="nil"/>
                    <w:tr2bl w:val="nil"/>
                  </w:tcBorders>
                  <w:noWrap w:val="0"/>
                  <w:vAlign w:val="center"/>
                </w:tcPr>
                <w:p w14:paraId="5A5FDA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COD</w:t>
                  </w:r>
                  <w:r>
                    <w:rPr>
                      <w:rFonts w:hint="eastAsia"/>
                      <w:color w:val="auto"/>
                      <w:sz w:val="21"/>
                      <w:szCs w:val="21"/>
                      <w:highlight w:val="none"/>
                      <w:vertAlign w:val="subscript"/>
                      <w:lang w:val="en-US" w:eastAsia="zh-CN"/>
                    </w:rPr>
                    <w:t>Cr</w:t>
                  </w:r>
                </w:p>
              </w:tc>
              <w:tc>
                <w:tcPr>
                  <w:tcW w:w="456" w:type="pct"/>
                  <w:tcBorders>
                    <w:tl2br w:val="nil"/>
                    <w:tr2bl w:val="nil"/>
                  </w:tcBorders>
                  <w:noWrap w:val="0"/>
                  <w:vAlign w:val="center"/>
                </w:tcPr>
                <w:p w14:paraId="12913C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60</w:t>
                  </w:r>
                </w:p>
              </w:tc>
              <w:tc>
                <w:tcPr>
                  <w:tcW w:w="339" w:type="pct"/>
                  <w:tcBorders>
                    <w:tl2br w:val="nil"/>
                    <w:tr2bl w:val="nil"/>
                  </w:tcBorders>
                  <w:noWrap w:val="0"/>
                  <w:vAlign w:val="center"/>
                </w:tcPr>
                <w:p w14:paraId="373256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0.001</w:t>
                  </w:r>
                </w:p>
              </w:tc>
              <w:tc>
                <w:tcPr>
                  <w:tcW w:w="314" w:type="pct"/>
                  <w:tcBorders>
                    <w:tl2br w:val="nil"/>
                    <w:tr2bl w:val="nil"/>
                  </w:tcBorders>
                  <w:noWrap w:val="0"/>
                  <w:vAlign w:val="center"/>
                </w:tcPr>
                <w:p w14:paraId="7E3971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67" w:type="pct"/>
                  <w:tcBorders>
                    <w:tl2br w:val="nil"/>
                    <w:tr2bl w:val="nil"/>
                  </w:tcBorders>
                  <w:noWrap w:val="0"/>
                  <w:vAlign w:val="center"/>
                </w:tcPr>
                <w:p w14:paraId="02EE21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97" w:type="pct"/>
                  <w:tcBorders>
                    <w:tl2br w:val="nil"/>
                    <w:tr2bl w:val="nil"/>
                  </w:tcBorders>
                  <w:noWrap w:val="0"/>
                  <w:vAlign w:val="center"/>
                </w:tcPr>
                <w:p w14:paraId="5BC839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96" w:type="pct"/>
                  <w:tcBorders>
                    <w:tl2br w:val="nil"/>
                    <w:tr2bl w:val="nil"/>
                  </w:tcBorders>
                  <w:noWrap w:val="0"/>
                  <w:vAlign w:val="center"/>
                </w:tcPr>
                <w:p w14:paraId="1EC71B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8" w:type="pct"/>
                  <w:vMerge w:val="continue"/>
                  <w:tcBorders>
                    <w:tl2br w:val="nil"/>
                    <w:tr2bl w:val="nil"/>
                  </w:tcBorders>
                  <w:noWrap w:val="0"/>
                  <w:vAlign w:val="center"/>
                </w:tcPr>
                <w:p w14:paraId="56BCC7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456" w:type="pct"/>
                  <w:tcBorders>
                    <w:tl2br w:val="nil"/>
                    <w:tr2bl w:val="nil"/>
                  </w:tcBorders>
                  <w:shd w:val="clear" w:color="auto" w:fill="auto"/>
                  <w:noWrap w:val="0"/>
                  <w:vAlign w:val="center"/>
                </w:tcPr>
                <w:p w14:paraId="37DF9B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60</w:t>
                  </w:r>
                </w:p>
              </w:tc>
              <w:tc>
                <w:tcPr>
                  <w:tcW w:w="309" w:type="pct"/>
                  <w:tcBorders>
                    <w:tl2br w:val="nil"/>
                    <w:tr2bl w:val="nil"/>
                  </w:tcBorders>
                  <w:shd w:val="clear" w:color="auto" w:fill="auto"/>
                  <w:noWrap w:val="0"/>
                  <w:vAlign w:val="center"/>
                </w:tcPr>
                <w:p w14:paraId="07BAA5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0.001</w:t>
                  </w:r>
                </w:p>
              </w:tc>
              <w:tc>
                <w:tcPr>
                  <w:tcW w:w="281" w:type="pct"/>
                  <w:vMerge w:val="continue"/>
                  <w:tcBorders>
                    <w:tl2br w:val="nil"/>
                    <w:tr2bl w:val="nil"/>
                  </w:tcBorders>
                  <w:noWrap w:val="0"/>
                  <w:vAlign w:val="center"/>
                </w:tcPr>
                <w:p w14:paraId="57589D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26" w:type="pct"/>
                  <w:vMerge w:val="continue"/>
                  <w:tcBorders>
                    <w:tl2br w:val="nil"/>
                    <w:tr2bl w:val="nil"/>
                  </w:tcBorders>
                  <w:noWrap w:val="0"/>
                  <w:vAlign w:val="center"/>
                </w:tcPr>
                <w:p w14:paraId="18A028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r>
            <w:tr w14:paraId="39BE2F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 w:type="pct"/>
                  <w:vMerge w:val="continue"/>
                  <w:tcBorders>
                    <w:tl2br w:val="nil"/>
                    <w:tr2bl w:val="nil"/>
                  </w:tcBorders>
                  <w:noWrap w:val="0"/>
                  <w:vAlign w:val="center"/>
                </w:tcPr>
                <w:p w14:paraId="070F44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253" w:type="pct"/>
                  <w:vMerge w:val="continue"/>
                  <w:tcBorders>
                    <w:tl2br w:val="nil"/>
                    <w:tr2bl w:val="nil"/>
                  </w:tcBorders>
                  <w:noWrap w:val="0"/>
                  <w:vAlign w:val="center"/>
                </w:tcPr>
                <w:p w14:paraId="38C210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olor w:val="auto"/>
                      <w:sz w:val="21"/>
                      <w:szCs w:val="21"/>
                      <w:highlight w:val="none"/>
                      <w:lang w:val="en-US" w:eastAsia="zh-CN"/>
                    </w:rPr>
                  </w:pPr>
                </w:p>
              </w:tc>
              <w:tc>
                <w:tcPr>
                  <w:tcW w:w="456" w:type="pct"/>
                  <w:vMerge w:val="continue"/>
                  <w:tcBorders>
                    <w:tl2br w:val="nil"/>
                    <w:tr2bl w:val="nil"/>
                  </w:tcBorders>
                  <w:noWrap w:val="0"/>
                  <w:vAlign w:val="center"/>
                </w:tcPr>
                <w:p w14:paraId="6427A9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63" w:type="pct"/>
                  <w:tcBorders>
                    <w:tl2br w:val="nil"/>
                    <w:tr2bl w:val="nil"/>
                  </w:tcBorders>
                  <w:noWrap w:val="0"/>
                  <w:vAlign w:val="center"/>
                </w:tcPr>
                <w:p w14:paraId="5C73D6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BOD</w:t>
                  </w:r>
                  <w:r>
                    <w:rPr>
                      <w:rFonts w:hint="eastAsia"/>
                      <w:color w:val="auto"/>
                      <w:sz w:val="21"/>
                      <w:szCs w:val="21"/>
                      <w:highlight w:val="none"/>
                      <w:vertAlign w:val="subscript"/>
                      <w:lang w:val="en-US" w:eastAsia="zh-CN"/>
                    </w:rPr>
                    <w:t>5</w:t>
                  </w:r>
                </w:p>
              </w:tc>
              <w:tc>
                <w:tcPr>
                  <w:tcW w:w="456" w:type="pct"/>
                  <w:tcBorders>
                    <w:tl2br w:val="nil"/>
                    <w:tr2bl w:val="nil"/>
                  </w:tcBorders>
                  <w:noWrap w:val="0"/>
                  <w:vAlign w:val="center"/>
                </w:tcPr>
                <w:p w14:paraId="6F15AA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10</w:t>
                  </w:r>
                </w:p>
              </w:tc>
              <w:tc>
                <w:tcPr>
                  <w:tcW w:w="339" w:type="pct"/>
                  <w:tcBorders>
                    <w:tl2br w:val="nil"/>
                    <w:tr2bl w:val="nil"/>
                  </w:tcBorders>
                  <w:noWrap w:val="0"/>
                  <w:vAlign w:val="center"/>
                </w:tcPr>
                <w:p w14:paraId="52901C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0.0002</w:t>
                  </w:r>
                </w:p>
              </w:tc>
              <w:tc>
                <w:tcPr>
                  <w:tcW w:w="314" w:type="pct"/>
                  <w:tcBorders>
                    <w:tl2br w:val="nil"/>
                    <w:tr2bl w:val="nil"/>
                  </w:tcBorders>
                  <w:noWrap w:val="0"/>
                  <w:vAlign w:val="center"/>
                </w:tcPr>
                <w:p w14:paraId="48A453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67" w:type="pct"/>
                  <w:tcBorders>
                    <w:tl2br w:val="nil"/>
                    <w:tr2bl w:val="nil"/>
                  </w:tcBorders>
                  <w:noWrap w:val="0"/>
                  <w:vAlign w:val="center"/>
                </w:tcPr>
                <w:p w14:paraId="2ECF80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97" w:type="pct"/>
                  <w:tcBorders>
                    <w:tl2br w:val="nil"/>
                    <w:tr2bl w:val="nil"/>
                  </w:tcBorders>
                  <w:noWrap w:val="0"/>
                  <w:vAlign w:val="center"/>
                </w:tcPr>
                <w:p w14:paraId="2D1C34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96" w:type="pct"/>
                  <w:tcBorders>
                    <w:tl2br w:val="nil"/>
                    <w:tr2bl w:val="nil"/>
                  </w:tcBorders>
                  <w:noWrap w:val="0"/>
                  <w:vAlign w:val="center"/>
                </w:tcPr>
                <w:p w14:paraId="03C067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8" w:type="pct"/>
                  <w:vMerge w:val="continue"/>
                  <w:tcBorders>
                    <w:tl2br w:val="nil"/>
                    <w:tr2bl w:val="nil"/>
                  </w:tcBorders>
                  <w:noWrap w:val="0"/>
                  <w:vAlign w:val="center"/>
                </w:tcPr>
                <w:p w14:paraId="13D378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456" w:type="pct"/>
                  <w:tcBorders>
                    <w:tl2br w:val="nil"/>
                    <w:tr2bl w:val="nil"/>
                  </w:tcBorders>
                  <w:shd w:val="clear" w:color="auto" w:fill="auto"/>
                  <w:noWrap w:val="0"/>
                  <w:vAlign w:val="center"/>
                </w:tcPr>
                <w:p w14:paraId="13467F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10</w:t>
                  </w:r>
                </w:p>
              </w:tc>
              <w:tc>
                <w:tcPr>
                  <w:tcW w:w="309" w:type="pct"/>
                  <w:tcBorders>
                    <w:tl2br w:val="nil"/>
                    <w:tr2bl w:val="nil"/>
                  </w:tcBorders>
                  <w:shd w:val="clear" w:color="auto" w:fill="auto"/>
                  <w:noWrap w:val="0"/>
                  <w:vAlign w:val="center"/>
                </w:tcPr>
                <w:p w14:paraId="7549B8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0.0002</w:t>
                  </w:r>
                </w:p>
              </w:tc>
              <w:tc>
                <w:tcPr>
                  <w:tcW w:w="281" w:type="pct"/>
                  <w:vMerge w:val="continue"/>
                  <w:tcBorders>
                    <w:tl2br w:val="nil"/>
                    <w:tr2bl w:val="nil"/>
                  </w:tcBorders>
                  <w:noWrap w:val="0"/>
                  <w:vAlign w:val="center"/>
                </w:tcPr>
                <w:p w14:paraId="01B4F1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26" w:type="pct"/>
                  <w:vMerge w:val="continue"/>
                  <w:tcBorders>
                    <w:tl2br w:val="nil"/>
                    <w:tr2bl w:val="nil"/>
                  </w:tcBorders>
                  <w:noWrap w:val="0"/>
                  <w:vAlign w:val="center"/>
                </w:tcPr>
                <w:p w14:paraId="547580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r>
            <w:tr w14:paraId="0514A1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 w:type="pct"/>
                  <w:vMerge w:val="continue"/>
                  <w:tcBorders>
                    <w:tl2br w:val="nil"/>
                    <w:tr2bl w:val="nil"/>
                  </w:tcBorders>
                  <w:noWrap w:val="0"/>
                  <w:vAlign w:val="center"/>
                </w:tcPr>
                <w:p w14:paraId="1DDBB4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253" w:type="pct"/>
                  <w:vMerge w:val="continue"/>
                  <w:tcBorders>
                    <w:tl2br w:val="nil"/>
                    <w:tr2bl w:val="nil"/>
                  </w:tcBorders>
                  <w:noWrap w:val="0"/>
                  <w:vAlign w:val="center"/>
                </w:tcPr>
                <w:p w14:paraId="296FBB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olor w:val="auto"/>
                      <w:sz w:val="21"/>
                      <w:szCs w:val="21"/>
                      <w:highlight w:val="none"/>
                      <w:lang w:val="en-US" w:eastAsia="zh-CN"/>
                    </w:rPr>
                  </w:pPr>
                </w:p>
              </w:tc>
              <w:tc>
                <w:tcPr>
                  <w:tcW w:w="456" w:type="pct"/>
                  <w:vMerge w:val="continue"/>
                  <w:tcBorders>
                    <w:tl2br w:val="nil"/>
                    <w:tr2bl w:val="nil"/>
                  </w:tcBorders>
                  <w:noWrap w:val="0"/>
                  <w:vAlign w:val="center"/>
                </w:tcPr>
                <w:p w14:paraId="29A362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63" w:type="pct"/>
                  <w:tcBorders>
                    <w:tl2br w:val="nil"/>
                    <w:tr2bl w:val="nil"/>
                  </w:tcBorders>
                  <w:noWrap w:val="0"/>
                  <w:vAlign w:val="center"/>
                </w:tcPr>
                <w:p w14:paraId="31092A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SS</w:t>
                  </w:r>
                </w:p>
              </w:tc>
              <w:tc>
                <w:tcPr>
                  <w:tcW w:w="456" w:type="pct"/>
                  <w:tcBorders>
                    <w:tl2br w:val="nil"/>
                    <w:tr2bl w:val="nil"/>
                  </w:tcBorders>
                  <w:noWrap w:val="0"/>
                  <w:vAlign w:val="center"/>
                </w:tcPr>
                <w:p w14:paraId="5C6DB6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10</w:t>
                  </w:r>
                </w:p>
              </w:tc>
              <w:tc>
                <w:tcPr>
                  <w:tcW w:w="339" w:type="pct"/>
                  <w:tcBorders>
                    <w:tl2br w:val="nil"/>
                    <w:tr2bl w:val="nil"/>
                  </w:tcBorders>
                  <w:noWrap w:val="0"/>
                  <w:vAlign w:val="center"/>
                </w:tcPr>
                <w:p w14:paraId="2AC9A1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0.0002</w:t>
                  </w:r>
                </w:p>
              </w:tc>
              <w:tc>
                <w:tcPr>
                  <w:tcW w:w="314" w:type="pct"/>
                  <w:tcBorders>
                    <w:tl2br w:val="nil"/>
                    <w:tr2bl w:val="nil"/>
                  </w:tcBorders>
                  <w:noWrap w:val="0"/>
                  <w:vAlign w:val="center"/>
                </w:tcPr>
                <w:p w14:paraId="02702C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67" w:type="pct"/>
                  <w:tcBorders>
                    <w:tl2br w:val="nil"/>
                    <w:tr2bl w:val="nil"/>
                  </w:tcBorders>
                  <w:noWrap w:val="0"/>
                  <w:vAlign w:val="center"/>
                </w:tcPr>
                <w:p w14:paraId="0ADC3E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97" w:type="pct"/>
                  <w:tcBorders>
                    <w:tl2br w:val="nil"/>
                    <w:tr2bl w:val="nil"/>
                  </w:tcBorders>
                  <w:noWrap w:val="0"/>
                  <w:vAlign w:val="center"/>
                </w:tcPr>
                <w:p w14:paraId="5BFC49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96" w:type="pct"/>
                  <w:tcBorders>
                    <w:tl2br w:val="nil"/>
                    <w:tr2bl w:val="nil"/>
                  </w:tcBorders>
                  <w:noWrap w:val="0"/>
                  <w:vAlign w:val="center"/>
                </w:tcPr>
                <w:p w14:paraId="5DB07D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8" w:type="pct"/>
                  <w:vMerge w:val="continue"/>
                  <w:tcBorders>
                    <w:tl2br w:val="nil"/>
                    <w:tr2bl w:val="nil"/>
                  </w:tcBorders>
                  <w:noWrap w:val="0"/>
                  <w:vAlign w:val="center"/>
                </w:tcPr>
                <w:p w14:paraId="2A7573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456" w:type="pct"/>
                  <w:tcBorders>
                    <w:tl2br w:val="nil"/>
                    <w:tr2bl w:val="nil"/>
                  </w:tcBorders>
                  <w:shd w:val="clear" w:color="auto" w:fill="auto"/>
                  <w:noWrap w:val="0"/>
                  <w:vAlign w:val="center"/>
                </w:tcPr>
                <w:p w14:paraId="64FE26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10</w:t>
                  </w:r>
                </w:p>
              </w:tc>
              <w:tc>
                <w:tcPr>
                  <w:tcW w:w="309" w:type="pct"/>
                  <w:tcBorders>
                    <w:tl2br w:val="nil"/>
                    <w:tr2bl w:val="nil"/>
                  </w:tcBorders>
                  <w:shd w:val="clear" w:color="auto" w:fill="auto"/>
                  <w:noWrap w:val="0"/>
                  <w:vAlign w:val="center"/>
                </w:tcPr>
                <w:p w14:paraId="107F75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0.0002</w:t>
                  </w:r>
                </w:p>
              </w:tc>
              <w:tc>
                <w:tcPr>
                  <w:tcW w:w="281" w:type="pct"/>
                  <w:vMerge w:val="continue"/>
                  <w:tcBorders>
                    <w:tl2br w:val="nil"/>
                    <w:tr2bl w:val="nil"/>
                  </w:tcBorders>
                  <w:noWrap w:val="0"/>
                  <w:vAlign w:val="center"/>
                </w:tcPr>
                <w:p w14:paraId="5E7564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26" w:type="pct"/>
                  <w:vMerge w:val="continue"/>
                  <w:tcBorders>
                    <w:tl2br w:val="nil"/>
                    <w:tr2bl w:val="nil"/>
                  </w:tcBorders>
                  <w:noWrap w:val="0"/>
                  <w:vAlign w:val="center"/>
                </w:tcPr>
                <w:p w14:paraId="55DDE3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r>
            <w:tr w14:paraId="10313B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 w:type="pct"/>
                  <w:vMerge w:val="continue"/>
                  <w:tcBorders>
                    <w:tl2br w:val="nil"/>
                    <w:tr2bl w:val="nil"/>
                  </w:tcBorders>
                  <w:noWrap w:val="0"/>
                  <w:vAlign w:val="center"/>
                </w:tcPr>
                <w:p w14:paraId="6CA863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253" w:type="pct"/>
                  <w:vMerge w:val="continue"/>
                  <w:tcBorders>
                    <w:tl2br w:val="nil"/>
                    <w:tr2bl w:val="nil"/>
                  </w:tcBorders>
                  <w:noWrap w:val="0"/>
                  <w:vAlign w:val="center"/>
                </w:tcPr>
                <w:p w14:paraId="0D1D6A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olor w:val="auto"/>
                      <w:sz w:val="21"/>
                      <w:szCs w:val="21"/>
                      <w:highlight w:val="none"/>
                      <w:lang w:val="en-US" w:eastAsia="zh-CN"/>
                    </w:rPr>
                  </w:pPr>
                </w:p>
              </w:tc>
              <w:tc>
                <w:tcPr>
                  <w:tcW w:w="456" w:type="pct"/>
                  <w:vMerge w:val="continue"/>
                  <w:tcBorders>
                    <w:tl2br w:val="nil"/>
                    <w:tr2bl w:val="nil"/>
                  </w:tcBorders>
                  <w:noWrap w:val="0"/>
                  <w:vAlign w:val="center"/>
                </w:tcPr>
                <w:p w14:paraId="7B0D46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63" w:type="pct"/>
                  <w:tcBorders>
                    <w:tl2br w:val="nil"/>
                    <w:tr2bl w:val="nil"/>
                  </w:tcBorders>
                  <w:noWrap w:val="0"/>
                  <w:vAlign w:val="center"/>
                </w:tcPr>
                <w:p w14:paraId="4EA3A0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NH</w:t>
                  </w:r>
                  <w:r>
                    <w:rPr>
                      <w:rFonts w:hint="eastAsia"/>
                      <w:color w:val="auto"/>
                      <w:sz w:val="21"/>
                      <w:szCs w:val="21"/>
                      <w:highlight w:val="none"/>
                      <w:vertAlign w:val="subscript"/>
                      <w:lang w:val="en-US" w:eastAsia="zh-CN"/>
                    </w:rPr>
                    <w:t>3</w:t>
                  </w:r>
                  <w:r>
                    <w:rPr>
                      <w:rFonts w:hint="eastAsia"/>
                      <w:color w:val="auto"/>
                      <w:sz w:val="21"/>
                      <w:szCs w:val="21"/>
                      <w:highlight w:val="none"/>
                      <w:lang w:val="en-US" w:eastAsia="zh-CN"/>
                    </w:rPr>
                    <w:t>-N</w:t>
                  </w:r>
                </w:p>
              </w:tc>
              <w:tc>
                <w:tcPr>
                  <w:tcW w:w="456" w:type="pct"/>
                  <w:tcBorders>
                    <w:tl2br w:val="nil"/>
                    <w:tr2bl w:val="nil"/>
                  </w:tcBorders>
                  <w:noWrap w:val="0"/>
                  <w:vAlign w:val="center"/>
                </w:tcPr>
                <w:p w14:paraId="1DFC48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20</w:t>
                  </w:r>
                </w:p>
              </w:tc>
              <w:tc>
                <w:tcPr>
                  <w:tcW w:w="339" w:type="pct"/>
                  <w:tcBorders>
                    <w:tl2br w:val="nil"/>
                    <w:tr2bl w:val="nil"/>
                  </w:tcBorders>
                  <w:noWrap w:val="0"/>
                  <w:vAlign w:val="center"/>
                </w:tcPr>
                <w:p w14:paraId="281987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0.0005</w:t>
                  </w:r>
                </w:p>
              </w:tc>
              <w:tc>
                <w:tcPr>
                  <w:tcW w:w="314" w:type="pct"/>
                  <w:tcBorders>
                    <w:tl2br w:val="nil"/>
                    <w:tr2bl w:val="nil"/>
                  </w:tcBorders>
                  <w:noWrap w:val="0"/>
                  <w:vAlign w:val="center"/>
                </w:tcPr>
                <w:p w14:paraId="5722ED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67" w:type="pct"/>
                  <w:tcBorders>
                    <w:tl2br w:val="nil"/>
                    <w:tr2bl w:val="nil"/>
                  </w:tcBorders>
                  <w:noWrap w:val="0"/>
                  <w:vAlign w:val="center"/>
                </w:tcPr>
                <w:p w14:paraId="070A7E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97" w:type="pct"/>
                  <w:tcBorders>
                    <w:tl2br w:val="nil"/>
                    <w:tr2bl w:val="nil"/>
                  </w:tcBorders>
                  <w:noWrap w:val="0"/>
                  <w:vAlign w:val="center"/>
                </w:tcPr>
                <w:p w14:paraId="5DC12A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96" w:type="pct"/>
                  <w:tcBorders>
                    <w:tl2br w:val="nil"/>
                    <w:tr2bl w:val="nil"/>
                  </w:tcBorders>
                  <w:noWrap w:val="0"/>
                  <w:vAlign w:val="center"/>
                </w:tcPr>
                <w:p w14:paraId="694727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8" w:type="pct"/>
                  <w:vMerge w:val="continue"/>
                  <w:tcBorders>
                    <w:tl2br w:val="nil"/>
                    <w:tr2bl w:val="nil"/>
                  </w:tcBorders>
                  <w:noWrap w:val="0"/>
                  <w:vAlign w:val="center"/>
                </w:tcPr>
                <w:p w14:paraId="058DC9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456" w:type="pct"/>
                  <w:tcBorders>
                    <w:tl2br w:val="nil"/>
                    <w:tr2bl w:val="nil"/>
                  </w:tcBorders>
                  <w:shd w:val="clear" w:color="auto" w:fill="auto"/>
                  <w:noWrap w:val="0"/>
                  <w:vAlign w:val="center"/>
                </w:tcPr>
                <w:p w14:paraId="192822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20</w:t>
                  </w:r>
                </w:p>
              </w:tc>
              <w:tc>
                <w:tcPr>
                  <w:tcW w:w="309" w:type="pct"/>
                  <w:tcBorders>
                    <w:tl2br w:val="nil"/>
                    <w:tr2bl w:val="nil"/>
                  </w:tcBorders>
                  <w:shd w:val="clear" w:color="auto" w:fill="auto"/>
                  <w:noWrap w:val="0"/>
                  <w:vAlign w:val="center"/>
                </w:tcPr>
                <w:p w14:paraId="08A3F7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0.0005</w:t>
                  </w:r>
                </w:p>
              </w:tc>
              <w:tc>
                <w:tcPr>
                  <w:tcW w:w="281" w:type="pct"/>
                  <w:vMerge w:val="continue"/>
                  <w:tcBorders>
                    <w:tl2br w:val="nil"/>
                    <w:tr2bl w:val="nil"/>
                  </w:tcBorders>
                  <w:noWrap w:val="0"/>
                  <w:vAlign w:val="center"/>
                </w:tcPr>
                <w:p w14:paraId="6F7B5F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26" w:type="pct"/>
                  <w:vMerge w:val="continue"/>
                  <w:tcBorders>
                    <w:tl2br w:val="nil"/>
                    <w:tr2bl w:val="nil"/>
                  </w:tcBorders>
                  <w:noWrap w:val="0"/>
                  <w:vAlign w:val="center"/>
                </w:tcPr>
                <w:p w14:paraId="5C2612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r>
            <w:tr w14:paraId="66393A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 w:type="pct"/>
                  <w:vMerge w:val="restart"/>
                  <w:tcBorders>
                    <w:tl2br w:val="nil"/>
                    <w:tr2bl w:val="nil"/>
                  </w:tcBorders>
                  <w:noWrap w:val="0"/>
                  <w:vAlign w:val="center"/>
                </w:tcPr>
                <w:p w14:paraId="03A4A0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员工生活</w:t>
                  </w:r>
                </w:p>
              </w:tc>
              <w:tc>
                <w:tcPr>
                  <w:tcW w:w="253" w:type="pct"/>
                  <w:vMerge w:val="restart"/>
                  <w:tcBorders>
                    <w:tl2br w:val="nil"/>
                    <w:tr2bl w:val="nil"/>
                  </w:tcBorders>
                  <w:shd w:val="clear" w:color="auto" w:fill="auto"/>
                  <w:noWrap w:val="0"/>
                  <w:vAlign w:val="center"/>
                </w:tcPr>
                <w:p w14:paraId="64E084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生活污水W</w:t>
                  </w:r>
                  <w:r>
                    <w:rPr>
                      <w:rFonts w:hint="eastAsia"/>
                      <w:color w:val="auto"/>
                      <w:sz w:val="21"/>
                      <w:szCs w:val="21"/>
                      <w:highlight w:val="none"/>
                      <w:vertAlign w:val="subscript"/>
                      <w:lang w:val="en-US" w:eastAsia="zh-CN"/>
                    </w:rPr>
                    <w:t>2</w:t>
                  </w:r>
                </w:p>
              </w:tc>
              <w:tc>
                <w:tcPr>
                  <w:tcW w:w="456" w:type="pct"/>
                  <w:vMerge w:val="restart"/>
                  <w:tcBorders>
                    <w:tl2br w:val="nil"/>
                    <w:tr2bl w:val="nil"/>
                  </w:tcBorders>
                  <w:shd w:val="clear" w:color="auto" w:fill="auto"/>
                  <w:noWrap w:val="0"/>
                  <w:vAlign w:val="center"/>
                </w:tcPr>
                <w:p w14:paraId="19A5D7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2.55</w:t>
                  </w:r>
                </w:p>
                <w:p w14:paraId="63DD10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r>
                    <w:rPr>
                      <w:rFonts w:hint="eastAsia" w:cs="Times New Roman"/>
                      <w:color w:val="auto"/>
                      <w:kern w:val="2"/>
                      <w:sz w:val="21"/>
                      <w:szCs w:val="21"/>
                      <w:highlight w:val="none"/>
                      <w:lang w:val="en-US" w:eastAsia="zh-CN" w:bidi="ar-SA"/>
                    </w:rPr>
                    <w:t>637.5</w:t>
                  </w:r>
                  <w:r>
                    <w:rPr>
                      <w:rFonts w:hint="eastAsia" w:ascii="Times New Roman" w:hAnsi="Times New Roman" w:eastAsia="宋体" w:cs="Times New Roman"/>
                      <w:color w:val="auto"/>
                      <w:kern w:val="2"/>
                      <w:sz w:val="21"/>
                      <w:szCs w:val="21"/>
                      <w:highlight w:val="none"/>
                      <w:lang w:val="en-US" w:eastAsia="zh-CN" w:bidi="ar-SA"/>
                    </w:rPr>
                    <w:t>m</w:t>
                  </w:r>
                  <w:r>
                    <w:rPr>
                      <w:rFonts w:hint="eastAsia" w:ascii="Times New Roman" w:hAnsi="Times New Roman" w:eastAsia="宋体" w:cs="Times New Roman"/>
                      <w:color w:val="auto"/>
                      <w:kern w:val="2"/>
                      <w:sz w:val="21"/>
                      <w:szCs w:val="21"/>
                      <w:highlight w:val="none"/>
                      <w:vertAlign w:val="superscript"/>
                      <w:lang w:val="en-US" w:eastAsia="zh-CN" w:bidi="ar-SA"/>
                    </w:rPr>
                    <w:t>3</w:t>
                  </w:r>
                  <w:r>
                    <w:rPr>
                      <w:rFonts w:hint="eastAsia" w:ascii="Times New Roman" w:hAnsi="Times New Roman" w:eastAsia="宋体" w:cs="Times New Roman"/>
                      <w:color w:val="auto"/>
                      <w:kern w:val="2"/>
                      <w:sz w:val="21"/>
                      <w:szCs w:val="21"/>
                      <w:highlight w:val="none"/>
                      <w:lang w:val="en-US" w:eastAsia="zh-CN" w:bidi="ar-SA"/>
                    </w:rPr>
                    <w:t>/a）</w:t>
                  </w:r>
                </w:p>
              </w:tc>
              <w:tc>
                <w:tcPr>
                  <w:tcW w:w="363" w:type="pct"/>
                  <w:tcBorders>
                    <w:tl2br w:val="nil"/>
                    <w:tr2bl w:val="nil"/>
                  </w:tcBorders>
                  <w:shd w:val="clear" w:color="auto" w:fill="auto"/>
                  <w:noWrap w:val="0"/>
                  <w:vAlign w:val="center"/>
                </w:tcPr>
                <w:p w14:paraId="20F22E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pH</w:t>
                  </w:r>
                </w:p>
              </w:tc>
              <w:tc>
                <w:tcPr>
                  <w:tcW w:w="456" w:type="pct"/>
                  <w:tcBorders>
                    <w:tl2br w:val="nil"/>
                    <w:tr2bl w:val="nil"/>
                  </w:tcBorders>
                  <w:noWrap w:val="0"/>
                  <w:vAlign w:val="center"/>
                </w:tcPr>
                <w:p w14:paraId="0D13E8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6~9</w:t>
                  </w:r>
                </w:p>
                <w:p w14:paraId="0099E0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（无量纲）</w:t>
                  </w:r>
                </w:p>
              </w:tc>
              <w:tc>
                <w:tcPr>
                  <w:tcW w:w="339" w:type="pct"/>
                  <w:tcBorders>
                    <w:tl2br w:val="nil"/>
                    <w:tr2bl w:val="nil"/>
                  </w:tcBorders>
                  <w:noWrap w:val="0"/>
                  <w:vAlign w:val="center"/>
                </w:tcPr>
                <w:p w14:paraId="407152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4" w:type="pct"/>
                  <w:vMerge w:val="restart"/>
                  <w:tcBorders>
                    <w:tl2br w:val="nil"/>
                    <w:tr2bl w:val="nil"/>
                  </w:tcBorders>
                  <w:noWrap w:val="0"/>
                  <w:vAlign w:val="center"/>
                </w:tcPr>
                <w:p w14:paraId="2B6B38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化粪池（厌氧、沉淀）</w:t>
                  </w:r>
                </w:p>
              </w:tc>
              <w:tc>
                <w:tcPr>
                  <w:tcW w:w="367" w:type="pct"/>
                  <w:vMerge w:val="restart"/>
                  <w:tcBorders>
                    <w:tl2br w:val="nil"/>
                    <w:tr2bl w:val="nil"/>
                  </w:tcBorders>
                  <w:noWrap w:val="0"/>
                  <w:vAlign w:val="center"/>
                </w:tcPr>
                <w:p w14:paraId="411910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10</w:t>
                  </w:r>
                </w:p>
              </w:tc>
              <w:tc>
                <w:tcPr>
                  <w:tcW w:w="297" w:type="pct"/>
                  <w:tcBorders>
                    <w:tl2br w:val="nil"/>
                    <w:tr2bl w:val="nil"/>
                  </w:tcBorders>
                  <w:noWrap w:val="0"/>
                  <w:vAlign w:val="center"/>
                </w:tcPr>
                <w:p w14:paraId="071BEF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96" w:type="pct"/>
                  <w:vMerge w:val="restart"/>
                  <w:tcBorders>
                    <w:tl2br w:val="nil"/>
                    <w:tr2bl w:val="nil"/>
                  </w:tcBorders>
                  <w:noWrap w:val="0"/>
                  <w:vAlign w:val="center"/>
                </w:tcPr>
                <w:p w14:paraId="6D1243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是</w:t>
                  </w:r>
                </w:p>
              </w:tc>
              <w:tc>
                <w:tcPr>
                  <w:tcW w:w="318" w:type="pct"/>
                  <w:vMerge w:val="restart"/>
                  <w:tcBorders>
                    <w:tl2br w:val="nil"/>
                    <w:tr2bl w:val="nil"/>
                  </w:tcBorders>
                  <w:noWrap w:val="0"/>
                  <w:vAlign w:val="center"/>
                </w:tcPr>
                <w:p w14:paraId="34D89A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2.55</w:t>
                  </w:r>
                </w:p>
              </w:tc>
              <w:tc>
                <w:tcPr>
                  <w:tcW w:w="456" w:type="pct"/>
                  <w:tcBorders>
                    <w:tl2br w:val="nil"/>
                    <w:tr2bl w:val="nil"/>
                  </w:tcBorders>
                  <w:noWrap w:val="0"/>
                  <w:vAlign w:val="center"/>
                </w:tcPr>
                <w:p w14:paraId="12D032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6~9</w:t>
                  </w:r>
                </w:p>
                <w:p w14:paraId="2DA1B7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（无量纲）</w:t>
                  </w:r>
                </w:p>
              </w:tc>
              <w:tc>
                <w:tcPr>
                  <w:tcW w:w="309" w:type="pct"/>
                  <w:tcBorders>
                    <w:tl2br w:val="nil"/>
                    <w:tr2bl w:val="nil"/>
                  </w:tcBorders>
                  <w:noWrap w:val="0"/>
                  <w:vAlign w:val="center"/>
                </w:tcPr>
                <w:p w14:paraId="07BB6D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81" w:type="pct"/>
                  <w:vMerge w:val="restart"/>
                  <w:tcBorders>
                    <w:tl2br w:val="nil"/>
                    <w:tr2bl w:val="nil"/>
                  </w:tcBorders>
                  <w:noWrap w:val="0"/>
                  <w:vAlign w:val="center"/>
                </w:tcPr>
                <w:p w14:paraId="70F325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间歇排放</w:t>
                  </w:r>
                </w:p>
              </w:tc>
              <w:tc>
                <w:tcPr>
                  <w:tcW w:w="326" w:type="pct"/>
                  <w:vMerge w:val="restart"/>
                  <w:tcBorders>
                    <w:tl2br w:val="nil"/>
                    <w:tr2bl w:val="nil"/>
                  </w:tcBorders>
                  <w:noWrap w:val="0"/>
                  <w:vAlign w:val="center"/>
                </w:tcPr>
                <w:p w14:paraId="4BB485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接管至凤台县污水处理厂</w:t>
                  </w:r>
                </w:p>
              </w:tc>
            </w:tr>
            <w:tr w14:paraId="64028F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 w:type="pct"/>
                  <w:vMerge w:val="continue"/>
                  <w:tcBorders>
                    <w:tl2br w:val="nil"/>
                    <w:tr2bl w:val="nil"/>
                  </w:tcBorders>
                  <w:noWrap w:val="0"/>
                  <w:vAlign w:val="center"/>
                </w:tcPr>
                <w:p w14:paraId="1755E3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253" w:type="pct"/>
                  <w:vMerge w:val="continue"/>
                  <w:tcBorders>
                    <w:tl2br w:val="nil"/>
                    <w:tr2bl w:val="nil"/>
                  </w:tcBorders>
                  <w:noWrap w:val="0"/>
                  <w:vAlign w:val="center"/>
                </w:tcPr>
                <w:p w14:paraId="21B975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lang w:val="en-US" w:eastAsia="zh-CN"/>
                    </w:rPr>
                  </w:pPr>
                </w:p>
              </w:tc>
              <w:tc>
                <w:tcPr>
                  <w:tcW w:w="456" w:type="pct"/>
                  <w:vMerge w:val="continue"/>
                  <w:tcBorders>
                    <w:tl2br w:val="nil"/>
                    <w:tr2bl w:val="nil"/>
                  </w:tcBorders>
                  <w:noWrap w:val="0"/>
                  <w:vAlign w:val="center"/>
                </w:tcPr>
                <w:p w14:paraId="0669BE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63" w:type="pct"/>
                  <w:tcBorders>
                    <w:tl2br w:val="nil"/>
                    <w:tr2bl w:val="nil"/>
                  </w:tcBorders>
                  <w:shd w:val="clear" w:color="auto" w:fill="auto"/>
                  <w:noWrap w:val="0"/>
                  <w:vAlign w:val="center"/>
                </w:tcPr>
                <w:p w14:paraId="2E616F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COD</w:t>
                  </w:r>
                  <w:r>
                    <w:rPr>
                      <w:rFonts w:hint="eastAsia"/>
                      <w:color w:val="auto"/>
                      <w:sz w:val="21"/>
                      <w:szCs w:val="21"/>
                      <w:highlight w:val="none"/>
                      <w:vertAlign w:val="subscript"/>
                      <w:lang w:val="en-US" w:eastAsia="zh-CN"/>
                    </w:rPr>
                    <w:t>Cr</w:t>
                  </w:r>
                </w:p>
              </w:tc>
              <w:tc>
                <w:tcPr>
                  <w:tcW w:w="456" w:type="pct"/>
                  <w:tcBorders>
                    <w:tl2br w:val="nil"/>
                    <w:tr2bl w:val="nil"/>
                  </w:tcBorders>
                  <w:noWrap w:val="0"/>
                  <w:vAlign w:val="center"/>
                </w:tcPr>
                <w:p w14:paraId="65A75D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340</w:t>
                  </w:r>
                </w:p>
              </w:tc>
              <w:tc>
                <w:tcPr>
                  <w:tcW w:w="339" w:type="pct"/>
                  <w:tcBorders>
                    <w:tl2br w:val="nil"/>
                    <w:tr2bl w:val="nil"/>
                  </w:tcBorders>
                  <w:noWrap w:val="0"/>
                  <w:vAlign w:val="center"/>
                </w:tcPr>
                <w:p w14:paraId="10A11D6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0.217</w:t>
                  </w:r>
                </w:p>
              </w:tc>
              <w:tc>
                <w:tcPr>
                  <w:tcW w:w="314" w:type="pct"/>
                  <w:vMerge w:val="continue"/>
                  <w:tcBorders>
                    <w:tl2br w:val="nil"/>
                    <w:tr2bl w:val="nil"/>
                  </w:tcBorders>
                  <w:noWrap w:val="0"/>
                  <w:vAlign w:val="center"/>
                </w:tcPr>
                <w:p w14:paraId="524A21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67" w:type="pct"/>
                  <w:vMerge w:val="continue"/>
                  <w:tcBorders>
                    <w:tl2br w:val="nil"/>
                    <w:tr2bl w:val="nil"/>
                  </w:tcBorders>
                  <w:noWrap w:val="0"/>
                  <w:vAlign w:val="center"/>
                </w:tcPr>
                <w:p w14:paraId="4AEFDE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297" w:type="pct"/>
                  <w:tcBorders>
                    <w:tl2br w:val="nil"/>
                    <w:tr2bl w:val="nil"/>
                  </w:tcBorders>
                  <w:noWrap w:val="0"/>
                  <w:vAlign w:val="center"/>
                </w:tcPr>
                <w:p w14:paraId="28C3B4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96" w:type="pct"/>
                  <w:vMerge w:val="continue"/>
                  <w:tcBorders>
                    <w:tl2br w:val="nil"/>
                    <w:tr2bl w:val="nil"/>
                  </w:tcBorders>
                  <w:noWrap w:val="0"/>
                  <w:vAlign w:val="center"/>
                </w:tcPr>
                <w:p w14:paraId="3EBCA1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18" w:type="pct"/>
                  <w:vMerge w:val="continue"/>
                  <w:tcBorders>
                    <w:tl2br w:val="nil"/>
                    <w:tr2bl w:val="nil"/>
                  </w:tcBorders>
                  <w:noWrap w:val="0"/>
                  <w:vAlign w:val="center"/>
                </w:tcPr>
                <w:p w14:paraId="2094BA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456" w:type="pct"/>
                  <w:tcBorders>
                    <w:tl2br w:val="nil"/>
                    <w:tr2bl w:val="nil"/>
                  </w:tcBorders>
                  <w:shd w:val="clear" w:color="auto" w:fill="auto"/>
                  <w:noWrap w:val="0"/>
                  <w:vAlign w:val="center"/>
                </w:tcPr>
                <w:p w14:paraId="0702ED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340</w:t>
                  </w:r>
                </w:p>
              </w:tc>
              <w:tc>
                <w:tcPr>
                  <w:tcW w:w="309" w:type="pct"/>
                  <w:tcBorders>
                    <w:tl2br w:val="nil"/>
                    <w:tr2bl w:val="nil"/>
                  </w:tcBorders>
                  <w:shd w:val="clear" w:color="auto" w:fill="auto"/>
                  <w:noWrap w:val="0"/>
                  <w:vAlign w:val="center"/>
                </w:tcPr>
                <w:p w14:paraId="1484FD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0.217</w:t>
                  </w:r>
                </w:p>
              </w:tc>
              <w:tc>
                <w:tcPr>
                  <w:tcW w:w="281" w:type="pct"/>
                  <w:vMerge w:val="continue"/>
                  <w:tcBorders>
                    <w:tl2br w:val="nil"/>
                    <w:tr2bl w:val="nil"/>
                  </w:tcBorders>
                  <w:noWrap w:val="0"/>
                  <w:vAlign w:val="center"/>
                </w:tcPr>
                <w:p w14:paraId="61F613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26" w:type="pct"/>
                  <w:vMerge w:val="continue"/>
                  <w:tcBorders>
                    <w:tl2br w:val="nil"/>
                    <w:tr2bl w:val="nil"/>
                  </w:tcBorders>
                  <w:noWrap w:val="0"/>
                  <w:vAlign w:val="center"/>
                </w:tcPr>
                <w:p w14:paraId="27DAB6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r>
            <w:tr w14:paraId="15F015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 w:type="pct"/>
                  <w:vMerge w:val="continue"/>
                  <w:tcBorders>
                    <w:tl2br w:val="nil"/>
                    <w:tr2bl w:val="nil"/>
                  </w:tcBorders>
                  <w:noWrap w:val="0"/>
                  <w:vAlign w:val="center"/>
                </w:tcPr>
                <w:p w14:paraId="1ECFEE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253" w:type="pct"/>
                  <w:vMerge w:val="continue"/>
                  <w:tcBorders>
                    <w:tl2br w:val="nil"/>
                    <w:tr2bl w:val="nil"/>
                  </w:tcBorders>
                  <w:noWrap w:val="0"/>
                  <w:vAlign w:val="center"/>
                </w:tcPr>
                <w:p w14:paraId="4B05E8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olor w:val="auto"/>
                      <w:sz w:val="21"/>
                      <w:szCs w:val="21"/>
                      <w:highlight w:val="none"/>
                      <w:lang w:val="en-US" w:eastAsia="zh-CN"/>
                    </w:rPr>
                  </w:pPr>
                </w:p>
              </w:tc>
              <w:tc>
                <w:tcPr>
                  <w:tcW w:w="456" w:type="pct"/>
                  <w:vMerge w:val="continue"/>
                  <w:tcBorders>
                    <w:tl2br w:val="nil"/>
                    <w:tr2bl w:val="nil"/>
                  </w:tcBorders>
                  <w:noWrap w:val="0"/>
                  <w:vAlign w:val="center"/>
                </w:tcPr>
                <w:p w14:paraId="2BBB74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63" w:type="pct"/>
                  <w:tcBorders>
                    <w:tl2br w:val="nil"/>
                    <w:tr2bl w:val="nil"/>
                  </w:tcBorders>
                  <w:shd w:val="clear" w:color="auto" w:fill="auto"/>
                  <w:noWrap w:val="0"/>
                  <w:vAlign w:val="center"/>
                </w:tcPr>
                <w:p w14:paraId="5543D1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BOD</w:t>
                  </w:r>
                  <w:r>
                    <w:rPr>
                      <w:rFonts w:hint="eastAsia"/>
                      <w:color w:val="auto"/>
                      <w:sz w:val="21"/>
                      <w:szCs w:val="21"/>
                      <w:highlight w:val="none"/>
                      <w:vertAlign w:val="subscript"/>
                      <w:lang w:val="en-US" w:eastAsia="zh-CN"/>
                    </w:rPr>
                    <w:t>5</w:t>
                  </w:r>
                </w:p>
              </w:tc>
              <w:tc>
                <w:tcPr>
                  <w:tcW w:w="456" w:type="pct"/>
                  <w:tcBorders>
                    <w:tl2br w:val="nil"/>
                    <w:tr2bl w:val="nil"/>
                  </w:tcBorders>
                  <w:noWrap w:val="0"/>
                  <w:vAlign w:val="center"/>
                </w:tcPr>
                <w:p w14:paraId="2945CE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100</w:t>
                  </w:r>
                </w:p>
              </w:tc>
              <w:tc>
                <w:tcPr>
                  <w:tcW w:w="339" w:type="pct"/>
                  <w:tcBorders>
                    <w:tl2br w:val="nil"/>
                    <w:tr2bl w:val="nil"/>
                  </w:tcBorders>
                  <w:noWrap w:val="0"/>
                  <w:vAlign w:val="center"/>
                </w:tcPr>
                <w:p w14:paraId="75FCB70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0.064</w:t>
                  </w:r>
                </w:p>
              </w:tc>
              <w:tc>
                <w:tcPr>
                  <w:tcW w:w="314" w:type="pct"/>
                  <w:vMerge w:val="continue"/>
                  <w:tcBorders>
                    <w:tl2br w:val="nil"/>
                    <w:tr2bl w:val="nil"/>
                  </w:tcBorders>
                  <w:noWrap w:val="0"/>
                  <w:vAlign w:val="center"/>
                </w:tcPr>
                <w:p w14:paraId="4C6720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67" w:type="pct"/>
                  <w:vMerge w:val="continue"/>
                  <w:tcBorders>
                    <w:tl2br w:val="nil"/>
                    <w:tr2bl w:val="nil"/>
                  </w:tcBorders>
                  <w:noWrap w:val="0"/>
                  <w:vAlign w:val="center"/>
                </w:tcPr>
                <w:p w14:paraId="103F80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297" w:type="pct"/>
                  <w:tcBorders>
                    <w:tl2br w:val="nil"/>
                    <w:tr2bl w:val="nil"/>
                  </w:tcBorders>
                  <w:noWrap w:val="0"/>
                  <w:vAlign w:val="center"/>
                </w:tcPr>
                <w:p w14:paraId="76F019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96" w:type="pct"/>
                  <w:vMerge w:val="continue"/>
                  <w:tcBorders>
                    <w:tl2br w:val="nil"/>
                    <w:tr2bl w:val="nil"/>
                  </w:tcBorders>
                  <w:noWrap w:val="0"/>
                  <w:vAlign w:val="center"/>
                </w:tcPr>
                <w:p w14:paraId="0DB7C2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18" w:type="pct"/>
                  <w:vMerge w:val="continue"/>
                  <w:tcBorders>
                    <w:tl2br w:val="nil"/>
                    <w:tr2bl w:val="nil"/>
                  </w:tcBorders>
                  <w:noWrap w:val="0"/>
                  <w:vAlign w:val="center"/>
                </w:tcPr>
                <w:p w14:paraId="784053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456" w:type="pct"/>
                  <w:tcBorders>
                    <w:tl2br w:val="nil"/>
                    <w:tr2bl w:val="nil"/>
                  </w:tcBorders>
                  <w:shd w:val="clear" w:color="auto" w:fill="auto"/>
                  <w:noWrap w:val="0"/>
                  <w:vAlign w:val="center"/>
                </w:tcPr>
                <w:p w14:paraId="0AB590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100</w:t>
                  </w:r>
                </w:p>
              </w:tc>
              <w:tc>
                <w:tcPr>
                  <w:tcW w:w="309" w:type="pct"/>
                  <w:tcBorders>
                    <w:tl2br w:val="nil"/>
                    <w:tr2bl w:val="nil"/>
                  </w:tcBorders>
                  <w:shd w:val="clear" w:color="auto" w:fill="auto"/>
                  <w:noWrap w:val="0"/>
                  <w:vAlign w:val="center"/>
                </w:tcPr>
                <w:p w14:paraId="7D43485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0.064</w:t>
                  </w:r>
                </w:p>
              </w:tc>
              <w:tc>
                <w:tcPr>
                  <w:tcW w:w="281" w:type="pct"/>
                  <w:vMerge w:val="continue"/>
                  <w:tcBorders>
                    <w:tl2br w:val="nil"/>
                    <w:tr2bl w:val="nil"/>
                  </w:tcBorders>
                  <w:noWrap w:val="0"/>
                  <w:vAlign w:val="center"/>
                </w:tcPr>
                <w:p w14:paraId="7EE48A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26" w:type="pct"/>
                  <w:vMerge w:val="continue"/>
                  <w:tcBorders>
                    <w:tl2br w:val="nil"/>
                    <w:tr2bl w:val="nil"/>
                  </w:tcBorders>
                  <w:noWrap w:val="0"/>
                  <w:vAlign w:val="center"/>
                </w:tcPr>
                <w:p w14:paraId="797016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r>
            <w:tr w14:paraId="33009D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 w:type="pct"/>
                  <w:vMerge w:val="continue"/>
                  <w:tcBorders>
                    <w:tl2br w:val="nil"/>
                    <w:tr2bl w:val="nil"/>
                  </w:tcBorders>
                  <w:noWrap w:val="0"/>
                  <w:vAlign w:val="center"/>
                </w:tcPr>
                <w:p w14:paraId="2FF004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253" w:type="pct"/>
                  <w:vMerge w:val="continue"/>
                  <w:tcBorders>
                    <w:tl2br w:val="nil"/>
                    <w:tr2bl w:val="nil"/>
                  </w:tcBorders>
                  <w:noWrap w:val="0"/>
                  <w:vAlign w:val="center"/>
                </w:tcPr>
                <w:p w14:paraId="481ACF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olor w:val="auto"/>
                      <w:sz w:val="21"/>
                      <w:szCs w:val="21"/>
                      <w:highlight w:val="none"/>
                      <w:lang w:val="en-US" w:eastAsia="zh-CN"/>
                    </w:rPr>
                  </w:pPr>
                </w:p>
              </w:tc>
              <w:tc>
                <w:tcPr>
                  <w:tcW w:w="456" w:type="pct"/>
                  <w:vMerge w:val="continue"/>
                  <w:tcBorders>
                    <w:tl2br w:val="nil"/>
                    <w:tr2bl w:val="nil"/>
                  </w:tcBorders>
                  <w:noWrap w:val="0"/>
                  <w:vAlign w:val="center"/>
                </w:tcPr>
                <w:p w14:paraId="22A33B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63" w:type="pct"/>
                  <w:tcBorders>
                    <w:tl2br w:val="nil"/>
                    <w:tr2bl w:val="nil"/>
                  </w:tcBorders>
                  <w:shd w:val="clear" w:color="auto" w:fill="auto"/>
                  <w:noWrap w:val="0"/>
                  <w:vAlign w:val="center"/>
                </w:tcPr>
                <w:p w14:paraId="78D9BF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SS</w:t>
                  </w:r>
                </w:p>
              </w:tc>
              <w:tc>
                <w:tcPr>
                  <w:tcW w:w="456" w:type="pct"/>
                  <w:tcBorders>
                    <w:tl2br w:val="nil"/>
                    <w:tr2bl w:val="nil"/>
                  </w:tcBorders>
                  <w:noWrap w:val="0"/>
                  <w:vAlign w:val="center"/>
                </w:tcPr>
                <w:p w14:paraId="6A8EB3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150</w:t>
                  </w:r>
                </w:p>
              </w:tc>
              <w:tc>
                <w:tcPr>
                  <w:tcW w:w="339" w:type="pct"/>
                  <w:tcBorders>
                    <w:tl2br w:val="nil"/>
                    <w:tr2bl w:val="nil"/>
                  </w:tcBorders>
                  <w:noWrap w:val="0"/>
                  <w:vAlign w:val="center"/>
                </w:tcPr>
                <w:p w14:paraId="2F891C2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0.096</w:t>
                  </w:r>
                </w:p>
              </w:tc>
              <w:tc>
                <w:tcPr>
                  <w:tcW w:w="314" w:type="pct"/>
                  <w:vMerge w:val="continue"/>
                  <w:tcBorders>
                    <w:tl2br w:val="nil"/>
                    <w:tr2bl w:val="nil"/>
                  </w:tcBorders>
                  <w:noWrap w:val="0"/>
                  <w:vAlign w:val="center"/>
                </w:tcPr>
                <w:p w14:paraId="6D3F71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67" w:type="pct"/>
                  <w:vMerge w:val="continue"/>
                  <w:tcBorders>
                    <w:tl2br w:val="nil"/>
                    <w:tr2bl w:val="nil"/>
                  </w:tcBorders>
                  <w:noWrap w:val="0"/>
                  <w:vAlign w:val="center"/>
                </w:tcPr>
                <w:p w14:paraId="5F930C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297" w:type="pct"/>
                  <w:tcBorders>
                    <w:tl2br w:val="nil"/>
                    <w:tr2bl w:val="nil"/>
                  </w:tcBorders>
                  <w:noWrap w:val="0"/>
                  <w:vAlign w:val="center"/>
                </w:tcPr>
                <w:p w14:paraId="696B65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96" w:type="pct"/>
                  <w:vMerge w:val="continue"/>
                  <w:tcBorders>
                    <w:tl2br w:val="nil"/>
                    <w:tr2bl w:val="nil"/>
                  </w:tcBorders>
                  <w:noWrap w:val="0"/>
                  <w:vAlign w:val="center"/>
                </w:tcPr>
                <w:p w14:paraId="1A4265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18" w:type="pct"/>
                  <w:vMerge w:val="continue"/>
                  <w:tcBorders>
                    <w:tl2br w:val="nil"/>
                    <w:tr2bl w:val="nil"/>
                  </w:tcBorders>
                  <w:noWrap w:val="0"/>
                  <w:vAlign w:val="center"/>
                </w:tcPr>
                <w:p w14:paraId="0D5F62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456" w:type="pct"/>
                  <w:tcBorders>
                    <w:tl2br w:val="nil"/>
                    <w:tr2bl w:val="nil"/>
                  </w:tcBorders>
                  <w:shd w:val="clear" w:color="auto" w:fill="auto"/>
                  <w:noWrap w:val="0"/>
                  <w:vAlign w:val="center"/>
                </w:tcPr>
                <w:p w14:paraId="204D09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150</w:t>
                  </w:r>
                </w:p>
              </w:tc>
              <w:tc>
                <w:tcPr>
                  <w:tcW w:w="309" w:type="pct"/>
                  <w:tcBorders>
                    <w:tl2br w:val="nil"/>
                    <w:tr2bl w:val="nil"/>
                  </w:tcBorders>
                  <w:shd w:val="clear" w:color="auto" w:fill="auto"/>
                  <w:noWrap w:val="0"/>
                  <w:vAlign w:val="center"/>
                </w:tcPr>
                <w:p w14:paraId="1AB6BA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0.096</w:t>
                  </w:r>
                </w:p>
              </w:tc>
              <w:tc>
                <w:tcPr>
                  <w:tcW w:w="281" w:type="pct"/>
                  <w:vMerge w:val="continue"/>
                  <w:tcBorders>
                    <w:tl2br w:val="nil"/>
                    <w:tr2bl w:val="nil"/>
                  </w:tcBorders>
                  <w:noWrap w:val="0"/>
                  <w:vAlign w:val="center"/>
                </w:tcPr>
                <w:p w14:paraId="54F321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26" w:type="pct"/>
                  <w:vMerge w:val="continue"/>
                  <w:tcBorders>
                    <w:tl2br w:val="nil"/>
                    <w:tr2bl w:val="nil"/>
                  </w:tcBorders>
                  <w:noWrap w:val="0"/>
                  <w:vAlign w:val="center"/>
                </w:tcPr>
                <w:p w14:paraId="3E7993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r>
            <w:tr w14:paraId="13F825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 w:type="pct"/>
                  <w:vMerge w:val="continue"/>
                  <w:tcBorders>
                    <w:tl2br w:val="nil"/>
                    <w:tr2bl w:val="nil"/>
                  </w:tcBorders>
                  <w:noWrap w:val="0"/>
                  <w:vAlign w:val="center"/>
                </w:tcPr>
                <w:p w14:paraId="40B215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253" w:type="pct"/>
                  <w:vMerge w:val="continue"/>
                  <w:tcBorders>
                    <w:tl2br w:val="nil"/>
                    <w:tr2bl w:val="nil"/>
                  </w:tcBorders>
                  <w:noWrap w:val="0"/>
                  <w:vAlign w:val="center"/>
                </w:tcPr>
                <w:p w14:paraId="5DF8F9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olor w:val="auto"/>
                      <w:sz w:val="21"/>
                      <w:szCs w:val="21"/>
                      <w:highlight w:val="none"/>
                      <w:lang w:val="en-US" w:eastAsia="zh-CN"/>
                    </w:rPr>
                  </w:pPr>
                </w:p>
              </w:tc>
              <w:tc>
                <w:tcPr>
                  <w:tcW w:w="456" w:type="pct"/>
                  <w:vMerge w:val="continue"/>
                  <w:tcBorders>
                    <w:tl2br w:val="nil"/>
                    <w:tr2bl w:val="nil"/>
                  </w:tcBorders>
                  <w:noWrap w:val="0"/>
                  <w:vAlign w:val="center"/>
                </w:tcPr>
                <w:p w14:paraId="2EDAAC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63" w:type="pct"/>
                  <w:tcBorders>
                    <w:tl2br w:val="nil"/>
                    <w:tr2bl w:val="nil"/>
                  </w:tcBorders>
                  <w:shd w:val="clear" w:color="auto" w:fill="auto"/>
                  <w:noWrap w:val="0"/>
                  <w:vAlign w:val="center"/>
                </w:tcPr>
                <w:p w14:paraId="17CB95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NH</w:t>
                  </w:r>
                  <w:r>
                    <w:rPr>
                      <w:rFonts w:hint="eastAsia"/>
                      <w:color w:val="auto"/>
                      <w:sz w:val="21"/>
                      <w:szCs w:val="21"/>
                      <w:highlight w:val="none"/>
                      <w:vertAlign w:val="subscript"/>
                      <w:lang w:val="en-US" w:eastAsia="zh-CN"/>
                    </w:rPr>
                    <w:t>3</w:t>
                  </w:r>
                  <w:r>
                    <w:rPr>
                      <w:rFonts w:hint="eastAsia"/>
                      <w:color w:val="auto"/>
                      <w:sz w:val="21"/>
                      <w:szCs w:val="21"/>
                      <w:highlight w:val="none"/>
                      <w:lang w:val="en-US" w:eastAsia="zh-CN"/>
                    </w:rPr>
                    <w:t>-N</w:t>
                  </w:r>
                </w:p>
              </w:tc>
              <w:tc>
                <w:tcPr>
                  <w:tcW w:w="456" w:type="pct"/>
                  <w:tcBorders>
                    <w:tl2br w:val="nil"/>
                    <w:tr2bl w:val="nil"/>
                  </w:tcBorders>
                  <w:noWrap w:val="0"/>
                  <w:vAlign w:val="center"/>
                </w:tcPr>
                <w:p w14:paraId="7A111B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32.6</w:t>
                  </w:r>
                </w:p>
              </w:tc>
              <w:tc>
                <w:tcPr>
                  <w:tcW w:w="339" w:type="pct"/>
                  <w:tcBorders>
                    <w:tl2br w:val="nil"/>
                    <w:tr2bl w:val="nil"/>
                  </w:tcBorders>
                  <w:noWrap w:val="0"/>
                  <w:vAlign w:val="center"/>
                </w:tcPr>
                <w:p w14:paraId="7DC4F07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0.021</w:t>
                  </w:r>
                </w:p>
              </w:tc>
              <w:tc>
                <w:tcPr>
                  <w:tcW w:w="314" w:type="pct"/>
                  <w:vMerge w:val="continue"/>
                  <w:tcBorders>
                    <w:tl2br w:val="nil"/>
                    <w:tr2bl w:val="nil"/>
                  </w:tcBorders>
                  <w:noWrap w:val="0"/>
                  <w:vAlign w:val="center"/>
                </w:tcPr>
                <w:p w14:paraId="7DF0EA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67" w:type="pct"/>
                  <w:vMerge w:val="continue"/>
                  <w:tcBorders>
                    <w:tl2br w:val="nil"/>
                    <w:tr2bl w:val="nil"/>
                  </w:tcBorders>
                  <w:noWrap w:val="0"/>
                  <w:vAlign w:val="center"/>
                </w:tcPr>
                <w:p w14:paraId="0EE696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297" w:type="pct"/>
                  <w:tcBorders>
                    <w:tl2br w:val="nil"/>
                    <w:tr2bl w:val="nil"/>
                  </w:tcBorders>
                  <w:noWrap w:val="0"/>
                  <w:vAlign w:val="center"/>
                </w:tcPr>
                <w:p w14:paraId="119F59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96" w:type="pct"/>
                  <w:vMerge w:val="continue"/>
                  <w:tcBorders>
                    <w:tl2br w:val="nil"/>
                    <w:tr2bl w:val="nil"/>
                  </w:tcBorders>
                  <w:noWrap w:val="0"/>
                  <w:vAlign w:val="center"/>
                </w:tcPr>
                <w:p w14:paraId="443ED2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18" w:type="pct"/>
                  <w:vMerge w:val="continue"/>
                  <w:tcBorders>
                    <w:tl2br w:val="nil"/>
                    <w:tr2bl w:val="nil"/>
                  </w:tcBorders>
                  <w:noWrap w:val="0"/>
                  <w:vAlign w:val="center"/>
                </w:tcPr>
                <w:p w14:paraId="304C52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456" w:type="pct"/>
                  <w:tcBorders>
                    <w:tl2br w:val="nil"/>
                    <w:tr2bl w:val="nil"/>
                  </w:tcBorders>
                  <w:shd w:val="clear" w:color="auto" w:fill="auto"/>
                  <w:noWrap w:val="0"/>
                  <w:vAlign w:val="center"/>
                </w:tcPr>
                <w:p w14:paraId="3E1B88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32.6</w:t>
                  </w:r>
                </w:p>
              </w:tc>
              <w:tc>
                <w:tcPr>
                  <w:tcW w:w="309" w:type="pct"/>
                  <w:tcBorders>
                    <w:tl2br w:val="nil"/>
                    <w:tr2bl w:val="nil"/>
                  </w:tcBorders>
                  <w:shd w:val="clear" w:color="auto" w:fill="auto"/>
                  <w:noWrap w:val="0"/>
                  <w:vAlign w:val="center"/>
                </w:tcPr>
                <w:p w14:paraId="64AFFA7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0.021</w:t>
                  </w:r>
                </w:p>
              </w:tc>
              <w:tc>
                <w:tcPr>
                  <w:tcW w:w="281" w:type="pct"/>
                  <w:vMerge w:val="continue"/>
                  <w:tcBorders>
                    <w:tl2br w:val="nil"/>
                    <w:tr2bl w:val="nil"/>
                  </w:tcBorders>
                  <w:noWrap w:val="0"/>
                  <w:vAlign w:val="center"/>
                </w:tcPr>
                <w:p w14:paraId="26D2FC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26" w:type="pct"/>
                  <w:vMerge w:val="continue"/>
                  <w:tcBorders>
                    <w:tl2br w:val="nil"/>
                    <w:tr2bl w:val="nil"/>
                  </w:tcBorders>
                  <w:noWrap w:val="0"/>
                  <w:vAlign w:val="center"/>
                </w:tcPr>
                <w:p w14:paraId="66BE59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r>
            <w:tr w14:paraId="0A9BC0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 w:type="pct"/>
                  <w:vMerge w:val="continue"/>
                  <w:tcBorders>
                    <w:tl2br w:val="nil"/>
                    <w:tr2bl w:val="nil"/>
                  </w:tcBorders>
                  <w:noWrap w:val="0"/>
                  <w:vAlign w:val="center"/>
                </w:tcPr>
                <w:p w14:paraId="6A5609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253" w:type="pct"/>
                  <w:vMerge w:val="continue"/>
                  <w:tcBorders>
                    <w:tl2br w:val="nil"/>
                    <w:tr2bl w:val="nil"/>
                  </w:tcBorders>
                  <w:noWrap w:val="0"/>
                  <w:vAlign w:val="center"/>
                </w:tcPr>
                <w:p w14:paraId="2B3F8D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olor w:val="auto"/>
                      <w:sz w:val="21"/>
                      <w:szCs w:val="21"/>
                      <w:highlight w:val="none"/>
                      <w:lang w:val="en-US" w:eastAsia="zh-CN"/>
                    </w:rPr>
                  </w:pPr>
                </w:p>
              </w:tc>
              <w:tc>
                <w:tcPr>
                  <w:tcW w:w="456" w:type="pct"/>
                  <w:vMerge w:val="continue"/>
                  <w:tcBorders>
                    <w:tl2br w:val="nil"/>
                    <w:tr2bl w:val="nil"/>
                  </w:tcBorders>
                  <w:noWrap w:val="0"/>
                  <w:vAlign w:val="center"/>
                </w:tcPr>
                <w:p w14:paraId="3F4A75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63" w:type="pct"/>
                  <w:tcBorders>
                    <w:tl2br w:val="nil"/>
                    <w:tr2bl w:val="nil"/>
                  </w:tcBorders>
                  <w:shd w:val="clear" w:color="auto" w:fill="auto"/>
                  <w:noWrap w:val="0"/>
                  <w:vAlign w:val="center"/>
                </w:tcPr>
                <w:p w14:paraId="3FEFCF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TN</w:t>
                  </w:r>
                </w:p>
              </w:tc>
              <w:tc>
                <w:tcPr>
                  <w:tcW w:w="456" w:type="pct"/>
                  <w:tcBorders>
                    <w:tl2br w:val="nil"/>
                    <w:tr2bl w:val="nil"/>
                  </w:tcBorders>
                  <w:noWrap w:val="0"/>
                  <w:vAlign w:val="center"/>
                </w:tcPr>
                <w:p w14:paraId="1571D3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34.8</w:t>
                  </w:r>
                </w:p>
              </w:tc>
              <w:tc>
                <w:tcPr>
                  <w:tcW w:w="339" w:type="pct"/>
                  <w:tcBorders>
                    <w:tl2br w:val="nil"/>
                    <w:tr2bl w:val="nil"/>
                  </w:tcBorders>
                  <w:noWrap w:val="0"/>
                  <w:vAlign w:val="center"/>
                </w:tcPr>
                <w:p w14:paraId="439AC6D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0.022</w:t>
                  </w:r>
                </w:p>
              </w:tc>
              <w:tc>
                <w:tcPr>
                  <w:tcW w:w="314" w:type="pct"/>
                  <w:vMerge w:val="continue"/>
                  <w:tcBorders>
                    <w:tl2br w:val="nil"/>
                    <w:tr2bl w:val="nil"/>
                  </w:tcBorders>
                  <w:noWrap w:val="0"/>
                  <w:vAlign w:val="center"/>
                </w:tcPr>
                <w:p w14:paraId="5CC1D7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67" w:type="pct"/>
                  <w:vMerge w:val="continue"/>
                  <w:tcBorders>
                    <w:tl2br w:val="nil"/>
                    <w:tr2bl w:val="nil"/>
                  </w:tcBorders>
                  <w:noWrap w:val="0"/>
                  <w:vAlign w:val="center"/>
                </w:tcPr>
                <w:p w14:paraId="55C612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297" w:type="pct"/>
                  <w:tcBorders>
                    <w:tl2br w:val="nil"/>
                    <w:tr2bl w:val="nil"/>
                  </w:tcBorders>
                  <w:noWrap w:val="0"/>
                  <w:vAlign w:val="center"/>
                </w:tcPr>
                <w:p w14:paraId="192B4C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96" w:type="pct"/>
                  <w:vMerge w:val="continue"/>
                  <w:tcBorders>
                    <w:tl2br w:val="nil"/>
                    <w:tr2bl w:val="nil"/>
                  </w:tcBorders>
                  <w:noWrap w:val="0"/>
                  <w:vAlign w:val="center"/>
                </w:tcPr>
                <w:p w14:paraId="63EF59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18" w:type="pct"/>
                  <w:vMerge w:val="continue"/>
                  <w:tcBorders>
                    <w:tl2br w:val="nil"/>
                    <w:tr2bl w:val="nil"/>
                  </w:tcBorders>
                  <w:noWrap w:val="0"/>
                  <w:vAlign w:val="center"/>
                </w:tcPr>
                <w:p w14:paraId="0F2FDB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456" w:type="pct"/>
                  <w:tcBorders>
                    <w:tl2br w:val="nil"/>
                    <w:tr2bl w:val="nil"/>
                  </w:tcBorders>
                  <w:shd w:val="clear" w:color="auto" w:fill="auto"/>
                  <w:noWrap w:val="0"/>
                  <w:vAlign w:val="center"/>
                </w:tcPr>
                <w:p w14:paraId="0E7D2D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34.8</w:t>
                  </w:r>
                </w:p>
              </w:tc>
              <w:tc>
                <w:tcPr>
                  <w:tcW w:w="309" w:type="pct"/>
                  <w:tcBorders>
                    <w:tl2br w:val="nil"/>
                    <w:tr2bl w:val="nil"/>
                  </w:tcBorders>
                  <w:shd w:val="clear" w:color="auto" w:fill="auto"/>
                  <w:noWrap w:val="0"/>
                  <w:vAlign w:val="center"/>
                </w:tcPr>
                <w:p w14:paraId="310564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0.022</w:t>
                  </w:r>
                </w:p>
              </w:tc>
              <w:tc>
                <w:tcPr>
                  <w:tcW w:w="281" w:type="pct"/>
                  <w:vMerge w:val="continue"/>
                  <w:tcBorders>
                    <w:tl2br w:val="nil"/>
                    <w:tr2bl w:val="nil"/>
                  </w:tcBorders>
                  <w:noWrap w:val="0"/>
                  <w:vAlign w:val="center"/>
                </w:tcPr>
                <w:p w14:paraId="60E89B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26" w:type="pct"/>
                  <w:vMerge w:val="continue"/>
                  <w:tcBorders>
                    <w:tl2br w:val="nil"/>
                    <w:tr2bl w:val="nil"/>
                  </w:tcBorders>
                  <w:noWrap w:val="0"/>
                  <w:vAlign w:val="center"/>
                </w:tcPr>
                <w:p w14:paraId="19AEDA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r>
            <w:tr w14:paraId="33CB5A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 w:type="pct"/>
                  <w:vMerge w:val="continue"/>
                  <w:tcBorders>
                    <w:tl2br w:val="nil"/>
                    <w:tr2bl w:val="nil"/>
                  </w:tcBorders>
                  <w:noWrap w:val="0"/>
                  <w:vAlign w:val="center"/>
                </w:tcPr>
                <w:p w14:paraId="514528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253" w:type="pct"/>
                  <w:vMerge w:val="continue"/>
                  <w:tcBorders>
                    <w:tl2br w:val="nil"/>
                    <w:tr2bl w:val="nil"/>
                  </w:tcBorders>
                  <w:noWrap w:val="0"/>
                  <w:vAlign w:val="center"/>
                </w:tcPr>
                <w:p w14:paraId="4A1BA1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olor w:val="auto"/>
                      <w:sz w:val="21"/>
                      <w:szCs w:val="21"/>
                      <w:highlight w:val="none"/>
                      <w:lang w:val="en-US" w:eastAsia="zh-CN"/>
                    </w:rPr>
                  </w:pPr>
                </w:p>
              </w:tc>
              <w:tc>
                <w:tcPr>
                  <w:tcW w:w="456" w:type="pct"/>
                  <w:vMerge w:val="continue"/>
                  <w:tcBorders>
                    <w:tl2br w:val="nil"/>
                    <w:tr2bl w:val="nil"/>
                  </w:tcBorders>
                  <w:noWrap w:val="0"/>
                  <w:vAlign w:val="center"/>
                </w:tcPr>
                <w:p w14:paraId="3D71AA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63" w:type="pct"/>
                  <w:tcBorders>
                    <w:tl2br w:val="nil"/>
                    <w:tr2bl w:val="nil"/>
                  </w:tcBorders>
                  <w:shd w:val="clear" w:color="auto" w:fill="auto"/>
                  <w:noWrap w:val="0"/>
                  <w:vAlign w:val="center"/>
                </w:tcPr>
                <w:p w14:paraId="38FE2D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TP</w:t>
                  </w:r>
                </w:p>
              </w:tc>
              <w:tc>
                <w:tcPr>
                  <w:tcW w:w="456" w:type="pct"/>
                  <w:tcBorders>
                    <w:tl2br w:val="nil"/>
                    <w:tr2bl w:val="nil"/>
                  </w:tcBorders>
                  <w:noWrap w:val="0"/>
                  <w:vAlign w:val="center"/>
                </w:tcPr>
                <w:p w14:paraId="7C0B15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3.5</w:t>
                  </w:r>
                </w:p>
              </w:tc>
              <w:tc>
                <w:tcPr>
                  <w:tcW w:w="339" w:type="pct"/>
                  <w:tcBorders>
                    <w:tl2br w:val="nil"/>
                    <w:tr2bl w:val="nil"/>
                  </w:tcBorders>
                  <w:noWrap w:val="0"/>
                  <w:vAlign w:val="center"/>
                </w:tcPr>
                <w:p w14:paraId="2283CF9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0.002</w:t>
                  </w:r>
                </w:p>
              </w:tc>
              <w:tc>
                <w:tcPr>
                  <w:tcW w:w="314" w:type="pct"/>
                  <w:vMerge w:val="continue"/>
                  <w:tcBorders>
                    <w:tl2br w:val="nil"/>
                    <w:tr2bl w:val="nil"/>
                  </w:tcBorders>
                  <w:noWrap w:val="0"/>
                  <w:vAlign w:val="center"/>
                </w:tcPr>
                <w:p w14:paraId="4B5475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67" w:type="pct"/>
                  <w:vMerge w:val="continue"/>
                  <w:tcBorders>
                    <w:tl2br w:val="nil"/>
                    <w:tr2bl w:val="nil"/>
                  </w:tcBorders>
                  <w:noWrap w:val="0"/>
                  <w:vAlign w:val="center"/>
                </w:tcPr>
                <w:p w14:paraId="46D354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297" w:type="pct"/>
                  <w:tcBorders>
                    <w:tl2br w:val="nil"/>
                    <w:tr2bl w:val="nil"/>
                  </w:tcBorders>
                  <w:noWrap w:val="0"/>
                  <w:vAlign w:val="center"/>
                </w:tcPr>
                <w:p w14:paraId="1AA043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96" w:type="pct"/>
                  <w:vMerge w:val="continue"/>
                  <w:tcBorders>
                    <w:tl2br w:val="nil"/>
                    <w:tr2bl w:val="nil"/>
                  </w:tcBorders>
                  <w:noWrap w:val="0"/>
                  <w:vAlign w:val="center"/>
                </w:tcPr>
                <w:p w14:paraId="19EF75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18" w:type="pct"/>
                  <w:vMerge w:val="continue"/>
                  <w:tcBorders>
                    <w:tl2br w:val="nil"/>
                    <w:tr2bl w:val="nil"/>
                  </w:tcBorders>
                  <w:noWrap w:val="0"/>
                  <w:vAlign w:val="center"/>
                </w:tcPr>
                <w:p w14:paraId="56B801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456" w:type="pct"/>
                  <w:tcBorders>
                    <w:tl2br w:val="nil"/>
                    <w:tr2bl w:val="nil"/>
                  </w:tcBorders>
                  <w:shd w:val="clear" w:color="auto" w:fill="auto"/>
                  <w:noWrap w:val="0"/>
                  <w:vAlign w:val="center"/>
                </w:tcPr>
                <w:p w14:paraId="24274A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3.5</w:t>
                  </w:r>
                </w:p>
              </w:tc>
              <w:tc>
                <w:tcPr>
                  <w:tcW w:w="309" w:type="pct"/>
                  <w:tcBorders>
                    <w:tl2br w:val="nil"/>
                    <w:tr2bl w:val="nil"/>
                  </w:tcBorders>
                  <w:shd w:val="clear" w:color="auto" w:fill="auto"/>
                  <w:noWrap w:val="0"/>
                  <w:vAlign w:val="center"/>
                </w:tcPr>
                <w:p w14:paraId="510F37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0.002</w:t>
                  </w:r>
                </w:p>
              </w:tc>
              <w:tc>
                <w:tcPr>
                  <w:tcW w:w="281" w:type="pct"/>
                  <w:vMerge w:val="continue"/>
                  <w:tcBorders>
                    <w:tl2br w:val="nil"/>
                    <w:tr2bl w:val="nil"/>
                  </w:tcBorders>
                  <w:noWrap w:val="0"/>
                  <w:vAlign w:val="center"/>
                </w:tcPr>
                <w:p w14:paraId="54A735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26" w:type="pct"/>
                  <w:vMerge w:val="continue"/>
                  <w:tcBorders>
                    <w:tl2br w:val="nil"/>
                    <w:tr2bl w:val="nil"/>
                  </w:tcBorders>
                  <w:noWrap w:val="0"/>
                  <w:vAlign w:val="center"/>
                </w:tcPr>
                <w:p w14:paraId="40F7EF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r>
            <w:tr w14:paraId="4248E7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 w:type="pct"/>
                  <w:vMerge w:val="restart"/>
                  <w:tcBorders>
                    <w:tl2br w:val="nil"/>
                    <w:tr2bl w:val="nil"/>
                  </w:tcBorders>
                  <w:noWrap w:val="0"/>
                  <w:vAlign w:val="center"/>
                </w:tcPr>
                <w:p w14:paraId="3DEC86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合计</w:t>
                  </w:r>
                </w:p>
              </w:tc>
              <w:tc>
                <w:tcPr>
                  <w:tcW w:w="253" w:type="pct"/>
                  <w:vMerge w:val="restart"/>
                  <w:tcBorders>
                    <w:tl2br w:val="nil"/>
                    <w:tr2bl w:val="nil"/>
                  </w:tcBorders>
                  <w:noWrap w:val="0"/>
                  <w:vAlign w:val="center"/>
                </w:tcPr>
                <w:p w14:paraId="23B4AC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综合废水</w:t>
                  </w:r>
                </w:p>
              </w:tc>
              <w:tc>
                <w:tcPr>
                  <w:tcW w:w="456" w:type="pct"/>
                  <w:vMerge w:val="restart"/>
                  <w:tcBorders>
                    <w:tl2br w:val="nil"/>
                    <w:tr2bl w:val="nil"/>
                  </w:tcBorders>
                  <w:noWrap w:val="0"/>
                  <w:vAlign w:val="center"/>
                </w:tcPr>
                <w:p w14:paraId="378D9B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661.5</w:t>
                  </w:r>
                </w:p>
                <w:p w14:paraId="0B4201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/a</w:t>
                  </w:r>
                </w:p>
              </w:tc>
              <w:tc>
                <w:tcPr>
                  <w:tcW w:w="363" w:type="pct"/>
                  <w:tcBorders>
                    <w:tl2br w:val="nil"/>
                    <w:tr2bl w:val="nil"/>
                  </w:tcBorders>
                  <w:shd w:val="clear" w:color="auto" w:fill="auto"/>
                  <w:noWrap w:val="0"/>
                  <w:vAlign w:val="center"/>
                </w:tcPr>
                <w:p w14:paraId="77BC2D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pH</w:t>
                  </w:r>
                </w:p>
              </w:tc>
              <w:tc>
                <w:tcPr>
                  <w:tcW w:w="456" w:type="pct"/>
                  <w:tcBorders>
                    <w:tl2br w:val="nil"/>
                    <w:tr2bl w:val="nil"/>
                  </w:tcBorders>
                  <w:shd w:val="clear" w:color="auto" w:fill="auto"/>
                  <w:noWrap w:val="0"/>
                  <w:vAlign w:val="center"/>
                </w:tcPr>
                <w:p w14:paraId="093D31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6~9</w:t>
                  </w:r>
                </w:p>
                <w:p w14:paraId="35E1DA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（无量纲）</w:t>
                  </w:r>
                </w:p>
              </w:tc>
              <w:tc>
                <w:tcPr>
                  <w:tcW w:w="339" w:type="pct"/>
                  <w:tcBorders>
                    <w:tl2br w:val="nil"/>
                    <w:tr2bl w:val="nil"/>
                  </w:tcBorders>
                  <w:noWrap w:val="0"/>
                  <w:vAlign w:val="center"/>
                </w:tcPr>
                <w:p w14:paraId="60CB4E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4" w:type="pct"/>
                  <w:vMerge w:val="restart"/>
                  <w:tcBorders>
                    <w:tl2br w:val="nil"/>
                    <w:tr2bl w:val="nil"/>
                  </w:tcBorders>
                  <w:noWrap w:val="0"/>
                  <w:vAlign w:val="center"/>
                </w:tcPr>
                <w:p w14:paraId="08B8EB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67" w:type="pct"/>
                  <w:vMerge w:val="restart"/>
                  <w:tcBorders>
                    <w:tl2br w:val="nil"/>
                    <w:tr2bl w:val="nil"/>
                  </w:tcBorders>
                  <w:noWrap w:val="0"/>
                  <w:vAlign w:val="center"/>
                </w:tcPr>
                <w:p w14:paraId="1DCC86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97" w:type="pct"/>
                  <w:tcBorders>
                    <w:tl2br w:val="nil"/>
                    <w:tr2bl w:val="nil"/>
                  </w:tcBorders>
                  <w:shd w:val="clear" w:color="auto" w:fill="auto"/>
                  <w:noWrap w:val="0"/>
                  <w:vAlign w:val="center"/>
                </w:tcPr>
                <w:p w14:paraId="017BAC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96" w:type="pct"/>
                  <w:vMerge w:val="restart"/>
                  <w:tcBorders>
                    <w:tl2br w:val="nil"/>
                    <w:tr2bl w:val="nil"/>
                  </w:tcBorders>
                  <w:noWrap w:val="0"/>
                  <w:vAlign w:val="center"/>
                </w:tcPr>
                <w:p w14:paraId="7BA2D6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8" w:type="pct"/>
                  <w:vMerge w:val="restart"/>
                  <w:tcBorders>
                    <w:tl2br w:val="nil"/>
                    <w:tr2bl w:val="nil"/>
                  </w:tcBorders>
                  <w:noWrap w:val="0"/>
                  <w:vAlign w:val="center"/>
                </w:tcPr>
                <w:p w14:paraId="19B0F5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最大一次4.55</w:t>
                  </w:r>
                </w:p>
              </w:tc>
              <w:tc>
                <w:tcPr>
                  <w:tcW w:w="456" w:type="pct"/>
                  <w:tcBorders>
                    <w:tl2br w:val="nil"/>
                    <w:tr2bl w:val="nil"/>
                  </w:tcBorders>
                  <w:noWrap w:val="0"/>
                  <w:vAlign w:val="center"/>
                </w:tcPr>
                <w:p w14:paraId="2AE754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09" w:type="pct"/>
                  <w:tcBorders>
                    <w:tl2br w:val="nil"/>
                    <w:tr2bl w:val="nil"/>
                  </w:tcBorders>
                  <w:noWrap w:val="0"/>
                  <w:vAlign w:val="center"/>
                </w:tcPr>
                <w:p w14:paraId="0B50D1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81" w:type="pct"/>
                  <w:vMerge w:val="restart"/>
                  <w:tcBorders>
                    <w:tl2br w:val="nil"/>
                    <w:tr2bl w:val="nil"/>
                  </w:tcBorders>
                  <w:noWrap w:val="0"/>
                  <w:vAlign w:val="center"/>
                </w:tcPr>
                <w:p w14:paraId="7E4DEF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间歇排放</w:t>
                  </w:r>
                </w:p>
              </w:tc>
              <w:tc>
                <w:tcPr>
                  <w:tcW w:w="326" w:type="pct"/>
                  <w:vMerge w:val="restart"/>
                  <w:tcBorders>
                    <w:tl2br w:val="nil"/>
                    <w:tr2bl w:val="nil"/>
                  </w:tcBorders>
                  <w:noWrap w:val="0"/>
                  <w:vAlign w:val="center"/>
                </w:tcPr>
                <w:p w14:paraId="12491E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接管至凤台县污水处理厂</w:t>
                  </w:r>
                </w:p>
              </w:tc>
            </w:tr>
            <w:tr w14:paraId="682BFA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 w:type="pct"/>
                  <w:vMerge w:val="continue"/>
                  <w:tcBorders>
                    <w:tl2br w:val="nil"/>
                    <w:tr2bl w:val="nil"/>
                  </w:tcBorders>
                  <w:noWrap w:val="0"/>
                  <w:vAlign w:val="center"/>
                </w:tcPr>
                <w:p w14:paraId="2D4246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p>
              </w:tc>
              <w:tc>
                <w:tcPr>
                  <w:tcW w:w="253" w:type="pct"/>
                  <w:vMerge w:val="continue"/>
                  <w:tcBorders>
                    <w:tl2br w:val="nil"/>
                    <w:tr2bl w:val="nil"/>
                  </w:tcBorders>
                  <w:noWrap w:val="0"/>
                  <w:vAlign w:val="center"/>
                </w:tcPr>
                <w:p w14:paraId="2AFFAC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p>
              </w:tc>
              <w:tc>
                <w:tcPr>
                  <w:tcW w:w="456" w:type="pct"/>
                  <w:vMerge w:val="continue"/>
                  <w:tcBorders>
                    <w:tl2br w:val="nil"/>
                    <w:tr2bl w:val="nil"/>
                  </w:tcBorders>
                  <w:noWrap w:val="0"/>
                  <w:vAlign w:val="center"/>
                </w:tcPr>
                <w:p w14:paraId="59F0E1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63" w:type="pct"/>
                  <w:tcBorders>
                    <w:tl2br w:val="nil"/>
                    <w:tr2bl w:val="nil"/>
                  </w:tcBorders>
                  <w:shd w:val="clear" w:color="auto" w:fill="auto"/>
                  <w:noWrap w:val="0"/>
                  <w:vAlign w:val="center"/>
                </w:tcPr>
                <w:p w14:paraId="297595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COD</w:t>
                  </w:r>
                  <w:r>
                    <w:rPr>
                      <w:rFonts w:hint="eastAsia"/>
                      <w:color w:val="auto"/>
                      <w:sz w:val="21"/>
                      <w:szCs w:val="21"/>
                      <w:highlight w:val="none"/>
                      <w:vertAlign w:val="subscript"/>
                      <w:lang w:val="en-US" w:eastAsia="zh-CN"/>
                    </w:rPr>
                    <w:t>Cr</w:t>
                  </w:r>
                </w:p>
              </w:tc>
              <w:tc>
                <w:tcPr>
                  <w:tcW w:w="456" w:type="pct"/>
                  <w:tcBorders>
                    <w:tl2br w:val="nil"/>
                    <w:tr2bl w:val="nil"/>
                  </w:tcBorders>
                  <w:noWrap w:val="0"/>
                  <w:vAlign w:val="center"/>
                </w:tcPr>
                <w:p w14:paraId="53F56D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39" w:type="pct"/>
                  <w:tcBorders>
                    <w:tl2br w:val="nil"/>
                    <w:tr2bl w:val="nil"/>
                  </w:tcBorders>
                  <w:noWrap w:val="0"/>
                  <w:vAlign w:val="center"/>
                </w:tcPr>
                <w:p w14:paraId="56C6D3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4" w:type="pct"/>
                  <w:vMerge w:val="continue"/>
                  <w:tcBorders>
                    <w:tl2br w:val="nil"/>
                    <w:tr2bl w:val="nil"/>
                  </w:tcBorders>
                  <w:noWrap w:val="0"/>
                  <w:vAlign w:val="center"/>
                </w:tcPr>
                <w:p w14:paraId="6FF202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p>
              </w:tc>
              <w:tc>
                <w:tcPr>
                  <w:tcW w:w="367" w:type="pct"/>
                  <w:vMerge w:val="continue"/>
                  <w:tcBorders>
                    <w:tl2br w:val="nil"/>
                    <w:tr2bl w:val="nil"/>
                  </w:tcBorders>
                  <w:noWrap w:val="0"/>
                  <w:vAlign w:val="center"/>
                </w:tcPr>
                <w:p w14:paraId="1934E1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highlight w:val="none"/>
                      <w:lang w:val="en-US" w:eastAsia="zh-CN"/>
                    </w:rPr>
                  </w:pPr>
                </w:p>
              </w:tc>
              <w:tc>
                <w:tcPr>
                  <w:tcW w:w="297" w:type="pct"/>
                  <w:tcBorders>
                    <w:tl2br w:val="nil"/>
                    <w:tr2bl w:val="nil"/>
                  </w:tcBorders>
                  <w:shd w:val="clear" w:color="auto" w:fill="auto"/>
                  <w:noWrap w:val="0"/>
                  <w:vAlign w:val="center"/>
                </w:tcPr>
                <w:p w14:paraId="15EB59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296" w:type="pct"/>
                  <w:vMerge w:val="continue"/>
                  <w:tcBorders>
                    <w:tl2br w:val="nil"/>
                    <w:tr2bl w:val="nil"/>
                  </w:tcBorders>
                  <w:noWrap w:val="0"/>
                  <w:vAlign w:val="center"/>
                </w:tcPr>
                <w:p w14:paraId="72D187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p>
              </w:tc>
              <w:tc>
                <w:tcPr>
                  <w:tcW w:w="318" w:type="pct"/>
                  <w:vMerge w:val="continue"/>
                  <w:tcBorders>
                    <w:tl2br w:val="nil"/>
                    <w:tr2bl w:val="nil"/>
                  </w:tcBorders>
                  <w:noWrap w:val="0"/>
                  <w:vAlign w:val="center"/>
                </w:tcPr>
                <w:p w14:paraId="0DAE58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456" w:type="pct"/>
                  <w:tcBorders>
                    <w:tl2br w:val="nil"/>
                    <w:tr2bl w:val="nil"/>
                  </w:tcBorders>
                  <w:noWrap w:val="0"/>
                  <w:vAlign w:val="center"/>
                </w:tcPr>
                <w:p w14:paraId="0615CE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330</w:t>
                  </w:r>
                </w:p>
              </w:tc>
              <w:tc>
                <w:tcPr>
                  <w:tcW w:w="309" w:type="pct"/>
                  <w:tcBorders>
                    <w:tl2br w:val="nil"/>
                    <w:tr2bl w:val="nil"/>
                  </w:tcBorders>
                  <w:noWrap w:val="0"/>
                  <w:vAlign w:val="center"/>
                </w:tcPr>
                <w:p w14:paraId="69C3A7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0.218</w:t>
                  </w:r>
                </w:p>
              </w:tc>
              <w:tc>
                <w:tcPr>
                  <w:tcW w:w="281" w:type="pct"/>
                  <w:vMerge w:val="continue"/>
                  <w:tcBorders>
                    <w:tl2br w:val="nil"/>
                    <w:tr2bl w:val="nil"/>
                  </w:tcBorders>
                  <w:noWrap w:val="0"/>
                  <w:vAlign w:val="center"/>
                </w:tcPr>
                <w:p w14:paraId="7E4709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rPr>
                  </w:pPr>
                </w:p>
              </w:tc>
              <w:tc>
                <w:tcPr>
                  <w:tcW w:w="326" w:type="pct"/>
                  <w:vMerge w:val="continue"/>
                  <w:tcBorders>
                    <w:tl2br w:val="nil"/>
                    <w:tr2bl w:val="nil"/>
                  </w:tcBorders>
                  <w:noWrap w:val="0"/>
                  <w:vAlign w:val="center"/>
                </w:tcPr>
                <w:p w14:paraId="1B3955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p>
              </w:tc>
            </w:tr>
            <w:tr w14:paraId="35270A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 w:type="pct"/>
                  <w:vMerge w:val="continue"/>
                  <w:tcBorders>
                    <w:tl2br w:val="nil"/>
                    <w:tr2bl w:val="nil"/>
                  </w:tcBorders>
                  <w:noWrap w:val="0"/>
                  <w:vAlign w:val="center"/>
                </w:tcPr>
                <w:p w14:paraId="14A40B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p>
              </w:tc>
              <w:tc>
                <w:tcPr>
                  <w:tcW w:w="253" w:type="pct"/>
                  <w:vMerge w:val="continue"/>
                  <w:tcBorders>
                    <w:tl2br w:val="nil"/>
                    <w:tr2bl w:val="nil"/>
                  </w:tcBorders>
                  <w:noWrap w:val="0"/>
                  <w:vAlign w:val="center"/>
                </w:tcPr>
                <w:p w14:paraId="72DA43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p>
              </w:tc>
              <w:tc>
                <w:tcPr>
                  <w:tcW w:w="456" w:type="pct"/>
                  <w:vMerge w:val="continue"/>
                  <w:tcBorders>
                    <w:tl2br w:val="nil"/>
                    <w:tr2bl w:val="nil"/>
                  </w:tcBorders>
                  <w:noWrap w:val="0"/>
                  <w:vAlign w:val="center"/>
                </w:tcPr>
                <w:p w14:paraId="3735CC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63" w:type="pct"/>
                  <w:tcBorders>
                    <w:tl2br w:val="nil"/>
                    <w:tr2bl w:val="nil"/>
                  </w:tcBorders>
                  <w:shd w:val="clear" w:color="auto" w:fill="auto"/>
                  <w:noWrap w:val="0"/>
                  <w:vAlign w:val="center"/>
                </w:tcPr>
                <w:p w14:paraId="1FDBBB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BOD</w:t>
                  </w:r>
                  <w:r>
                    <w:rPr>
                      <w:rFonts w:hint="eastAsia"/>
                      <w:color w:val="auto"/>
                      <w:sz w:val="21"/>
                      <w:szCs w:val="21"/>
                      <w:highlight w:val="none"/>
                      <w:vertAlign w:val="subscript"/>
                      <w:lang w:val="en-US" w:eastAsia="zh-CN"/>
                    </w:rPr>
                    <w:t>5</w:t>
                  </w:r>
                </w:p>
              </w:tc>
              <w:tc>
                <w:tcPr>
                  <w:tcW w:w="456" w:type="pct"/>
                  <w:tcBorders>
                    <w:tl2br w:val="nil"/>
                    <w:tr2bl w:val="nil"/>
                  </w:tcBorders>
                  <w:noWrap w:val="0"/>
                  <w:vAlign w:val="center"/>
                </w:tcPr>
                <w:p w14:paraId="77BF20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39" w:type="pct"/>
                  <w:tcBorders>
                    <w:tl2br w:val="nil"/>
                    <w:tr2bl w:val="nil"/>
                  </w:tcBorders>
                  <w:noWrap w:val="0"/>
                  <w:vAlign w:val="center"/>
                </w:tcPr>
                <w:p w14:paraId="55DAD5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4" w:type="pct"/>
                  <w:vMerge w:val="continue"/>
                  <w:tcBorders>
                    <w:tl2br w:val="nil"/>
                    <w:tr2bl w:val="nil"/>
                  </w:tcBorders>
                  <w:noWrap w:val="0"/>
                  <w:vAlign w:val="center"/>
                </w:tcPr>
                <w:p w14:paraId="2F8704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p>
              </w:tc>
              <w:tc>
                <w:tcPr>
                  <w:tcW w:w="367" w:type="pct"/>
                  <w:vMerge w:val="continue"/>
                  <w:tcBorders>
                    <w:tl2br w:val="nil"/>
                    <w:tr2bl w:val="nil"/>
                  </w:tcBorders>
                  <w:noWrap w:val="0"/>
                  <w:vAlign w:val="center"/>
                </w:tcPr>
                <w:p w14:paraId="36E61E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highlight w:val="none"/>
                      <w:lang w:val="en-US" w:eastAsia="zh-CN"/>
                    </w:rPr>
                  </w:pPr>
                </w:p>
              </w:tc>
              <w:tc>
                <w:tcPr>
                  <w:tcW w:w="297" w:type="pct"/>
                  <w:tcBorders>
                    <w:tl2br w:val="nil"/>
                    <w:tr2bl w:val="nil"/>
                  </w:tcBorders>
                  <w:shd w:val="clear" w:color="auto" w:fill="auto"/>
                  <w:noWrap w:val="0"/>
                  <w:vAlign w:val="center"/>
                </w:tcPr>
                <w:p w14:paraId="6B23C9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296" w:type="pct"/>
                  <w:vMerge w:val="continue"/>
                  <w:tcBorders>
                    <w:tl2br w:val="nil"/>
                    <w:tr2bl w:val="nil"/>
                  </w:tcBorders>
                  <w:noWrap w:val="0"/>
                  <w:vAlign w:val="center"/>
                </w:tcPr>
                <w:p w14:paraId="497DF3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p>
              </w:tc>
              <w:tc>
                <w:tcPr>
                  <w:tcW w:w="318" w:type="pct"/>
                  <w:vMerge w:val="continue"/>
                  <w:tcBorders>
                    <w:tl2br w:val="nil"/>
                    <w:tr2bl w:val="nil"/>
                  </w:tcBorders>
                  <w:noWrap w:val="0"/>
                  <w:vAlign w:val="center"/>
                </w:tcPr>
                <w:p w14:paraId="1F7581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456" w:type="pct"/>
                  <w:tcBorders>
                    <w:tl2br w:val="nil"/>
                    <w:tr2bl w:val="nil"/>
                  </w:tcBorders>
                  <w:noWrap w:val="0"/>
                  <w:vAlign w:val="center"/>
                </w:tcPr>
                <w:p w14:paraId="67E429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97.0</w:t>
                  </w:r>
                </w:p>
              </w:tc>
              <w:tc>
                <w:tcPr>
                  <w:tcW w:w="309" w:type="pct"/>
                  <w:tcBorders>
                    <w:tl2br w:val="nil"/>
                    <w:tr2bl w:val="nil"/>
                  </w:tcBorders>
                  <w:noWrap w:val="0"/>
                  <w:vAlign w:val="center"/>
                </w:tcPr>
                <w:p w14:paraId="278A0A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0.0642</w:t>
                  </w:r>
                </w:p>
              </w:tc>
              <w:tc>
                <w:tcPr>
                  <w:tcW w:w="281" w:type="pct"/>
                  <w:vMerge w:val="continue"/>
                  <w:tcBorders>
                    <w:tl2br w:val="nil"/>
                    <w:tr2bl w:val="nil"/>
                  </w:tcBorders>
                  <w:noWrap w:val="0"/>
                  <w:vAlign w:val="center"/>
                </w:tcPr>
                <w:p w14:paraId="43B1E4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rPr>
                  </w:pPr>
                </w:p>
              </w:tc>
              <w:tc>
                <w:tcPr>
                  <w:tcW w:w="326" w:type="pct"/>
                  <w:vMerge w:val="continue"/>
                  <w:tcBorders>
                    <w:tl2br w:val="nil"/>
                    <w:tr2bl w:val="nil"/>
                  </w:tcBorders>
                  <w:noWrap w:val="0"/>
                  <w:vAlign w:val="center"/>
                </w:tcPr>
                <w:p w14:paraId="15D49B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p>
              </w:tc>
            </w:tr>
            <w:tr w14:paraId="4DC0A7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 w:type="pct"/>
                  <w:vMerge w:val="continue"/>
                  <w:tcBorders>
                    <w:tl2br w:val="nil"/>
                    <w:tr2bl w:val="nil"/>
                  </w:tcBorders>
                  <w:noWrap w:val="0"/>
                  <w:vAlign w:val="center"/>
                </w:tcPr>
                <w:p w14:paraId="01A5BA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p>
              </w:tc>
              <w:tc>
                <w:tcPr>
                  <w:tcW w:w="253" w:type="pct"/>
                  <w:vMerge w:val="continue"/>
                  <w:tcBorders>
                    <w:tl2br w:val="nil"/>
                    <w:tr2bl w:val="nil"/>
                  </w:tcBorders>
                  <w:noWrap w:val="0"/>
                  <w:vAlign w:val="center"/>
                </w:tcPr>
                <w:p w14:paraId="392D36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p>
              </w:tc>
              <w:tc>
                <w:tcPr>
                  <w:tcW w:w="456" w:type="pct"/>
                  <w:vMerge w:val="continue"/>
                  <w:tcBorders>
                    <w:tl2br w:val="nil"/>
                    <w:tr2bl w:val="nil"/>
                  </w:tcBorders>
                  <w:noWrap w:val="0"/>
                  <w:vAlign w:val="center"/>
                </w:tcPr>
                <w:p w14:paraId="20805F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63" w:type="pct"/>
                  <w:tcBorders>
                    <w:tl2br w:val="nil"/>
                    <w:tr2bl w:val="nil"/>
                  </w:tcBorders>
                  <w:shd w:val="clear" w:color="auto" w:fill="auto"/>
                  <w:noWrap w:val="0"/>
                  <w:vAlign w:val="center"/>
                </w:tcPr>
                <w:p w14:paraId="6B318B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SS</w:t>
                  </w:r>
                </w:p>
              </w:tc>
              <w:tc>
                <w:tcPr>
                  <w:tcW w:w="456" w:type="pct"/>
                  <w:tcBorders>
                    <w:tl2br w:val="nil"/>
                    <w:tr2bl w:val="nil"/>
                  </w:tcBorders>
                  <w:noWrap w:val="0"/>
                  <w:vAlign w:val="center"/>
                </w:tcPr>
                <w:p w14:paraId="4AD343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39" w:type="pct"/>
                  <w:tcBorders>
                    <w:tl2br w:val="nil"/>
                    <w:tr2bl w:val="nil"/>
                  </w:tcBorders>
                  <w:noWrap w:val="0"/>
                  <w:vAlign w:val="center"/>
                </w:tcPr>
                <w:p w14:paraId="20F5A8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4" w:type="pct"/>
                  <w:vMerge w:val="continue"/>
                  <w:tcBorders>
                    <w:tl2br w:val="nil"/>
                    <w:tr2bl w:val="nil"/>
                  </w:tcBorders>
                  <w:noWrap w:val="0"/>
                  <w:vAlign w:val="center"/>
                </w:tcPr>
                <w:p w14:paraId="239E1D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p>
              </w:tc>
              <w:tc>
                <w:tcPr>
                  <w:tcW w:w="367" w:type="pct"/>
                  <w:vMerge w:val="continue"/>
                  <w:tcBorders>
                    <w:tl2br w:val="nil"/>
                    <w:tr2bl w:val="nil"/>
                  </w:tcBorders>
                  <w:noWrap w:val="0"/>
                  <w:vAlign w:val="center"/>
                </w:tcPr>
                <w:p w14:paraId="4C11C2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highlight w:val="none"/>
                      <w:lang w:val="en-US" w:eastAsia="zh-CN"/>
                    </w:rPr>
                  </w:pPr>
                </w:p>
              </w:tc>
              <w:tc>
                <w:tcPr>
                  <w:tcW w:w="297" w:type="pct"/>
                  <w:tcBorders>
                    <w:tl2br w:val="nil"/>
                    <w:tr2bl w:val="nil"/>
                  </w:tcBorders>
                  <w:shd w:val="clear" w:color="auto" w:fill="auto"/>
                  <w:noWrap w:val="0"/>
                  <w:vAlign w:val="center"/>
                </w:tcPr>
                <w:p w14:paraId="2ED05B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296" w:type="pct"/>
                  <w:vMerge w:val="continue"/>
                  <w:tcBorders>
                    <w:tl2br w:val="nil"/>
                    <w:tr2bl w:val="nil"/>
                  </w:tcBorders>
                  <w:noWrap w:val="0"/>
                  <w:vAlign w:val="center"/>
                </w:tcPr>
                <w:p w14:paraId="20C677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p>
              </w:tc>
              <w:tc>
                <w:tcPr>
                  <w:tcW w:w="318" w:type="pct"/>
                  <w:vMerge w:val="continue"/>
                  <w:tcBorders>
                    <w:tl2br w:val="nil"/>
                    <w:tr2bl w:val="nil"/>
                  </w:tcBorders>
                  <w:noWrap w:val="0"/>
                  <w:vAlign w:val="center"/>
                </w:tcPr>
                <w:p w14:paraId="399E2E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456" w:type="pct"/>
                  <w:tcBorders>
                    <w:tl2br w:val="nil"/>
                    <w:tr2bl w:val="nil"/>
                  </w:tcBorders>
                  <w:noWrap w:val="0"/>
                  <w:vAlign w:val="center"/>
                </w:tcPr>
                <w:p w14:paraId="07F076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145</w:t>
                  </w:r>
                </w:p>
              </w:tc>
              <w:tc>
                <w:tcPr>
                  <w:tcW w:w="309" w:type="pct"/>
                  <w:tcBorders>
                    <w:tl2br w:val="nil"/>
                    <w:tr2bl w:val="nil"/>
                  </w:tcBorders>
                  <w:noWrap w:val="0"/>
                  <w:vAlign w:val="center"/>
                </w:tcPr>
                <w:p w14:paraId="0D56CA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0.0962</w:t>
                  </w:r>
                </w:p>
              </w:tc>
              <w:tc>
                <w:tcPr>
                  <w:tcW w:w="281" w:type="pct"/>
                  <w:vMerge w:val="continue"/>
                  <w:tcBorders>
                    <w:tl2br w:val="nil"/>
                    <w:tr2bl w:val="nil"/>
                  </w:tcBorders>
                  <w:noWrap w:val="0"/>
                  <w:vAlign w:val="center"/>
                </w:tcPr>
                <w:p w14:paraId="43FC4A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rPr>
                  </w:pPr>
                </w:p>
              </w:tc>
              <w:tc>
                <w:tcPr>
                  <w:tcW w:w="326" w:type="pct"/>
                  <w:vMerge w:val="continue"/>
                  <w:tcBorders>
                    <w:tl2br w:val="nil"/>
                    <w:tr2bl w:val="nil"/>
                  </w:tcBorders>
                  <w:noWrap w:val="0"/>
                  <w:vAlign w:val="center"/>
                </w:tcPr>
                <w:p w14:paraId="5ABB7D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p>
              </w:tc>
            </w:tr>
            <w:tr w14:paraId="4F3AF6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 w:type="pct"/>
                  <w:vMerge w:val="continue"/>
                  <w:tcBorders>
                    <w:tl2br w:val="nil"/>
                    <w:tr2bl w:val="nil"/>
                  </w:tcBorders>
                  <w:noWrap w:val="0"/>
                  <w:vAlign w:val="center"/>
                </w:tcPr>
                <w:p w14:paraId="1B364D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p>
              </w:tc>
              <w:tc>
                <w:tcPr>
                  <w:tcW w:w="253" w:type="pct"/>
                  <w:vMerge w:val="continue"/>
                  <w:tcBorders>
                    <w:tl2br w:val="nil"/>
                    <w:tr2bl w:val="nil"/>
                  </w:tcBorders>
                  <w:noWrap w:val="0"/>
                  <w:vAlign w:val="center"/>
                </w:tcPr>
                <w:p w14:paraId="15436F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p>
              </w:tc>
              <w:tc>
                <w:tcPr>
                  <w:tcW w:w="456" w:type="pct"/>
                  <w:vMerge w:val="continue"/>
                  <w:tcBorders>
                    <w:tl2br w:val="nil"/>
                    <w:tr2bl w:val="nil"/>
                  </w:tcBorders>
                  <w:noWrap w:val="0"/>
                  <w:vAlign w:val="center"/>
                </w:tcPr>
                <w:p w14:paraId="23958A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63" w:type="pct"/>
                  <w:tcBorders>
                    <w:tl2br w:val="nil"/>
                    <w:tr2bl w:val="nil"/>
                  </w:tcBorders>
                  <w:shd w:val="clear" w:color="auto" w:fill="auto"/>
                  <w:noWrap w:val="0"/>
                  <w:vAlign w:val="center"/>
                </w:tcPr>
                <w:p w14:paraId="34B6B5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NH</w:t>
                  </w:r>
                  <w:r>
                    <w:rPr>
                      <w:rFonts w:hint="eastAsia"/>
                      <w:color w:val="auto"/>
                      <w:sz w:val="21"/>
                      <w:szCs w:val="21"/>
                      <w:highlight w:val="none"/>
                      <w:vertAlign w:val="subscript"/>
                      <w:lang w:val="en-US" w:eastAsia="zh-CN"/>
                    </w:rPr>
                    <w:t>3</w:t>
                  </w:r>
                  <w:r>
                    <w:rPr>
                      <w:rFonts w:hint="eastAsia"/>
                      <w:color w:val="auto"/>
                      <w:sz w:val="21"/>
                      <w:szCs w:val="21"/>
                      <w:highlight w:val="none"/>
                      <w:lang w:val="en-US" w:eastAsia="zh-CN"/>
                    </w:rPr>
                    <w:t>-N</w:t>
                  </w:r>
                </w:p>
              </w:tc>
              <w:tc>
                <w:tcPr>
                  <w:tcW w:w="456" w:type="pct"/>
                  <w:tcBorders>
                    <w:tl2br w:val="nil"/>
                    <w:tr2bl w:val="nil"/>
                  </w:tcBorders>
                  <w:noWrap w:val="0"/>
                  <w:vAlign w:val="center"/>
                </w:tcPr>
                <w:p w14:paraId="10C9E7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39" w:type="pct"/>
                  <w:tcBorders>
                    <w:tl2br w:val="nil"/>
                    <w:tr2bl w:val="nil"/>
                  </w:tcBorders>
                  <w:noWrap w:val="0"/>
                  <w:vAlign w:val="center"/>
                </w:tcPr>
                <w:p w14:paraId="4366EC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4" w:type="pct"/>
                  <w:vMerge w:val="continue"/>
                  <w:tcBorders>
                    <w:tl2br w:val="nil"/>
                    <w:tr2bl w:val="nil"/>
                  </w:tcBorders>
                  <w:noWrap w:val="0"/>
                  <w:vAlign w:val="center"/>
                </w:tcPr>
                <w:p w14:paraId="424F1F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p>
              </w:tc>
              <w:tc>
                <w:tcPr>
                  <w:tcW w:w="367" w:type="pct"/>
                  <w:vMerge w:val="continue"/>
                  <w:tcBorders>
                    <w:tl2br w:val="nil"/>
                    <w:tr2bl w:val="nil"/>
                  </w:tcBorders>
                  <w:noWrap w:val="0"/>
                  <w:vAlign w:val="center"/>
                </w:tcPr>
                <w:p w14:paraId="65DF7F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highlight w:val="none"/>
                      <w:lang w:val="en-US" w:eastAsia="zh-CN"/>
                    </w:rPr>
                  </w:pPr>
                </w:p>
              </w:tc>
              <w:tc>
                <w:tcPr>
                  <w:tcW w:w="297" w:type="pct"/>
                  <w:tcBorders>
                    <w:tl2br w:val="nil"/>
                    <w:tr2bl w:val="nil"/>
                  </w:tcBorders>
                  <w:shd w:val="clear" w:color="auto" w:fill="auto"/>
                  <w:noWrap w:val="0"/>
                  <w:vAlign w:val="center"/>
                </w:tcPr>
                <w:p w14:paraId="75752F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296" w:type="pct"/>
                  <w:vMerge w:val="continue"/>
                  <w:tcBorders>
                    <w:tl2br w:val="nil"/>
                    <w:tr2bl w:val="nil"/>
                  </w:tcBorders>
                  <w:noWrap w:val="0"/>
                  <w:vAlign w:val="center"/>
                </w:tcPr>
                <w:p w14:paraId="48E57C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p>
              </w:tc>
              <w:tc>
                <w:tcPr>
                  <w:tcW w:w="318" w:type="pct"/>
                  <w:vMerge w:val="continue"/>
                  <w:tcBorders>
                    <w:tl2br w:val="nil"/>
                    <w:tr2bl w:val="nil"/>
                  </w:tcBorders>
                  <w:noWrap w:val="0"/>
                  <w:vAlign w:val="center"/>
                </w:tcPr>
                <w:p w14:paraId="488453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456" w:type="pct"/>
                  <w:tcBorders>
                    <w:tl2br w:val="nil"/>
                    <w:tr2bl w:val="nil"/>
                  </w:tcBorders>
                  <w:noWrap w:val="0"/>
                  <w:vAlign w:val="center"/>
                </w:tcPr>
                <w:p w14:paraId="264152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32.5</w:t>
                  </w:r>
                </w:p>
              </w:tc>
              <w:tc>
                <w:tcPr>
                  <w:tcW w:w="309" w:type="pct"/>
                  <w:tcBorders>
                    <w:tl2br w:val="nil"/>
                    <w:tr2bl w:val="nil"/>
                  </w:tcBorders>
                  <w:noWrap w:val="0"/>
                  <w:vAlign w:val="center"/>
                </w:tcPr>
                <w:p w14:paraId="185B7F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0.0215</w:t>
                  </w:r>
                </w:p>
              </w:tc>
              <w:tc>
                <w:tcPr>
                  <w:tcW w:w="281" w:type="pct"/>
                  <w:vMerge w:val="continue"/>
                  <w:tcBorders>
                    <w:tl2br w:val="nil"/>
                    <w:tr2bl w:val="nil"/>
                  </w:tcBorders>
                  <w:noWrap w:val="0"/>
                  <w:vAlign w:val="center"/>
                </w:tcPr>
                <w:p w14:paraId="439F90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rPr>
                  </w:pPr>
                </w:p>
              </w:tc>
              <w:tc>
                <w:tcPr>
                  <w:tcW w:w="326" w:type="pct"/>
                  <w:vMerge w:val="continue"/>
                  <w:tcBorders>
                    <w:tl2br w:val="nil"/>
                    <w:tr2bl w:val="nil"/>
                  </w:tcBorders>
                  <w:noWrap w:val="0"/>
                  <w:vAlign w:val="center"/>
                </w:tcPr>
                <w:p w14:paraId="439866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p>
              </w:tc>
            </w:tr>
            <w:tr w14:paraId="0ECCE6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 w:type="pct"/>
                  <w:vMerge w:val="continue"/>
                  <w:tcBorders>
                    <w:tl2br w:val="nil"/>
                    <w:tr2bl w:val="nil"/>
                  </w:tcBorders>
                  <w:noWrap w:val="0"/>
                  <w:vAlign w:val="center"/>
                </w:tcPr>
                <w:p w14:paraId="05C2F1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p>
              </w:tc>
              <w:tc>
                <w:tcPr>
                  <w:tcW w:w="253" w:type="pct"/>
                  <w:vMerge w:val="continue"/>
                  <w:tcBorders>
                    <w:tl2br w:val="nil"/>
                    <w:tr2bl w:val="nil"/>
                  </w:tcBorders>
                  <w:noWrap w:val="0"/>
                  <w:vAlign w:val="center"/>
                </w:tcPr>
                <w:p w14:paraId="035D4C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p>
              </w:tc>
              <w:tc>
                <w:tcPr>
                  <w:tcW w:w="456" w:type="pct"/>
                  <w:vMerge w:val="continue"/>
                  <w:tcBorders>
                    <w:tl2br w:val="nil"/>
                    <w:tr2bl w:val="nil"/>
                  </w:tcBorders>
                  <w:noWrap w:val="0"/>
                  <w:vAlign w:val="center"/>
                </w:tcPr>
                <w:p w14:paraId="39DEAD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63" w:type="pct"/>
                  <w:tcBorders>
                    <w:tl2br w:val="nil"/>
                    <w:tr2bl w:val="nil"/>
                  </w:tcBorders>
                  <w:shd w:val="clear" w:color="auto" w:fill="auto"/>
                  <w:noWrap w:val="0"/>
                  <w:vAlign w:val="center"/>
                </w:tcPr>
                <w:p w14:paraId="702FFC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TN</w:t>
                  </w:r>
                </w:p>
              </w:tc>
              <w:tc>
                <w:tcPr>
                  <w:tcW w:w="456" w:type="pct"/>
                  <w:tcBorders>
                    <w:tl2br w:val="nil"/>
                    <w:tr2bl w:val="nil"/>
                  </w:tcBorders>
                  <w:noWrap w:val="0"/>
                  <w:vAlign w:val="center"/>
                </w:tcPr>
                <w:p w14:paraId="1275C5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39" w:type="pct"/>
                  <w:tcBorders>
                    <w:tl2br w:val="nil"/>
                    <w:tr2bl w:val="nil"/>
                  </w:tcBorders>
                  <w:noWrap w:val="0"/>
                  <w:vAlign w:val="center"/>
                </w:tcPr>
                <w:p w14:paraId="7D0ECA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4" w:type="pct"/>
                  <w:vMerge w:val="continue"/>
                  <w:tcBorders>
                    <w:tl2br w:val="nil"/>
                    <w:tr2bl w:val="nil"/>
                  </w:tcBorders>
                  <w:noWrap w:val="0"/>
                  <w:vAlign w:val="center"/>
                </w:tcPr>
                <w:p w14:paraId="0CC038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p>
              </w:tc>
              <w:tc>
                <w:tcPr>
                  <w:tcW w:w="367" w:type="pct"/>
                  <w:vMerge w:val="continue"/>
                  <w:tcBorders>
                    <w:tl2br w:val="nil"/>
                    <w:tr2bl w:val="nil"/>
                  </w:tcBorders>
                  <w:noWrap w:val="0"/>
                  <w:vAlign w:val="center"/>
                </w:tcPr>
                <w:p w14:paraId="3BCC4C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highlight w:val="none"/>
                      <w:lang w:val="en-US" w:eastAsia="zh-CN"/>
                    </w:rPr>
                  </w:pPr>
                </w:p>
              </w:tc>
              <w:tc>
                <w:tcPr>
                  <w:tcW w:w="297" w:type="pct"/>
                  <w:tcBorders>
                    <w:tl2br w:val="nil"/>
                    <w:tr2bl w:val="nil"/>
                  </w:tcBorders>
                  <w:shd w:val="clear" w:color="auto" w:fill="auto"/>
                  <w:noWrap w:val="0"/>
                  <w:vAlign w:val="center"/>
                </w:tcPr>
                <w:p w14:paraId="4C7EAA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296" w:type="pct"/>
                  <w:vMerge w:val="continue"/>
                  <w:tcBorders>
                    <w:tl2br w:val="nil"/>
                    <w:tr2bl w:val="nil"/>
                  </w:tcBorders>
                  <w:noWrap w:val="0"/>
                  <w:vAlign w:val="center"/>
                </w:tcPr>
                <w:p w14:paraId="48CFD8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p>
              </w:tc>
              <w:tc>
                <w:tcPr>
                  <w:tcW w:w="318" w:type="pct"/>
                  <w:vMerge w:val="continue"/>
                  <w:tcBorders>
                    <w:tl2br w:val="nil"/>
                    <w:tr2bl w:val="nil"/>
                  </w:tcBorders>
                  <w:noWrap w:val="0"/>
                  <w:vAlign w:val="center"/>
                </w:tcPr>
                <w:p w14:paraId="3F2E2E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456" w:type="pct"/>
                  <w:tcBorders>
                    <w:tl2br w:val="nil"/>
                    <w:tr2bl w:val="nil"/>
                  </w:tcBorders>
                  <w:noWrap w:val="0"/>
                  <w:vAlign w:val="center"/>
                </w:tcPr>
                <w:p w14:paraId="745D45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33.2</w:t>
                  </w:r>
                </w:p>
              </w:tc>
              <w:tc>
                <w:tcPr>
                  <w:tcW w:w="309" w:type="pct"/>
                  <w:tcBorders>
                    <w:tl2br w:val="nil"/>
                    <w:tr2bl w:val="nil"/>
                  </w:tcBorders>
                  <w:noWrap w:val="0"/>
                  <w:vAlign w:val="center"/>
                </w:tcPr>
                <w:p w14:paraId="034751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0.022</w:t>
                  </w:r>
                </w:p>
              </w:tc>
              <w:tc>
                <w:tcPr>
                  <w:tcW w:w="281" w:type="pct"/>
                  <w:vMerge w:val="continue"/>
                  <w:tcBorders>
                    <w:tl2br w:val="nil"/>
                    <w:tr2bl w:val="nil"/>
                  </w:tcBorders>
                  <w:noWrap w:val="0"/>
                  <w:vAlign w:val="center"/>
                </w:tcPr>
                <w:p w14:paraId="39EB5B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rPr>
                  </w:pPr>
                </w:p>
              </w:tc>
              <w:tc>
                <w:tcPr>
                  <w:tcW w:w="326" w:type="pct"/>
                  <w:vMerge w:val="continue"/>
                  <w:tcBorders>
                    <w:tl2br w:val="nil"/>
                    <w:tr2bl w:val="nil"/>
                  </w:tcBorders>
                  <w:noWrap w:val="0"/>
                  <w:vAlign w:val="center"/>
                </w:tcPr>
                <w:p w14:paraId="6776D0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p>
              </w:tc>
            </w:tr>
            <w:tr w14:paraId="69282E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 w:type="pct"/>
                  <w:vMerge w:val="continue"/>
                  <w:tcBorders>
                    <w:tl2br w:val="nil"/>
                    <w:tr2bl w:val="nil"/>
                  </w:tcBorders>
                  <w:noWrap w:val="0"/>
                  <w:vAlign w:val="center"/>
                </w:tcPr>
                <w:p w14:paraId="55400C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p>
              </w:tc>
              <w:tc>
                <w:tcPr>
                  <w:tcW w:w="253" w:type="pct"/>
                  <w:vMerge w:val="continue"/>
                  <w:tcBorders>
                    <w:tl2br w:val="nil"/>
                    <w:tr2bl w:val="nil"/>
                  </w:tcBorders>
                  <w:noWrap w:val="0"/>
                  <w:vAlign w:val="center"/>
                </w:tcPr>
                <w:p w14:paraId="480C91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p>
              </w:tc>
              <w:tc>
                <w:tcPr>
                  <w:tcW w:w="456" w:type="pct"/>
                  <w:vMerge w:val="continue"/>
                  <w:tcBorders>
                    <w:tl2br w:val="nil"/>
                    <w:tr2bl w:val="nil"/>
                  </w:tcBorders>
                  <w:noWrap w:val="0"/>
                  <w:vAlign w:val="center"/>
                </w:tcPr>
                <w:p w14:paraId="244180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363" w:type="pct"/>
                  <w:tcBorders>
                    <w:tl2br w:val="nil"/>
                    <w:tr2bl w:val="nil"/>
                  </w:tcBorders>
                  <w:shd w:val="clear" w:color="auto" w:fill="auto"/>
                  <w:noWrap w:val="0"/>
                  <w:vAlign w:val="center"/>
                </w:tcPr>
                <w:p w14:paraId="6BAF78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TP</w:t>
                  </w:r>
                </w:p>
              </w:tc>
              <w:tc>
                <w:tcPr>
                  <w:tcW w:w="456" w:type="pct"/>
                  <w:tcBorders>
                    <w:tl2br w:val="nil"/>
                    <w:tr2bl w:val="nil"/>
                  </w:tcBorders>
                  <w:noWrap w:val="0"/>
                  <w:vAlign w:val="center"/>
                </w:tcPr>
                <w:p w14:paraId="4212E1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39" w:type="pct"/>
                  <w:tcBorders>
                    <w:tl2br w:val="nil"/>
                    <w:tr2bl w:val="nil"/>
                  </w:tcBorders>
                  <w:noWrap w:val="0"/>
                  <w:vAlign w:val="center"/>
                </w:tcPr>
                <w:p w14:paraId="296CE8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4" w:type="pct"/>
                  <w:vMerge w:val="continue"/>
                  <w:tcBorders>
                    <w:tl2br w:val="nil"/>
                    <w:tr2bl w:val="nil"/>
                  </w:tcBorders>
                  <w:noWrap w:val="0"/>
                  <w:vAlign w:val="center"/>
                </w:tcPr>
                <w:p w14:paraId="304F65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p>
              </w:tc>
              <w:tc>
                <w:tcPr>
                  <w:tcW w:w="367" w:type="pct"/>
                  <w:vMerge w:val="continue"/>
                  <w:tcBorders>
                    <w:tl2br w:val="nil"/>
                    <w:tr2bl w:val="nil"/>
                  </w:tcBorders>
                  <w:noWrap w:val="0"/>
                  <w:vAlign w:val="center"/>
                </w:tcPr>
                <w:p w14:paraId="50F281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highlight w:val="none"/>
                      <w:lang w:val="en-US" w:eastAsia="zh-CN"/>
                    </w:rPr>
                  </w:pPr>
                </w:p>
              </w:tc>
              <w:tc>
                <w:tcPr>
                  <w:tcW w:w="297" w:type="pct"/>
                  <w:tcBorders>
                    <w:tl2br w:val="nil"/>
                    <w:tr2bl w:val="nil"/>
                  </w:tcBorders>
                  <w:shd w:val="clear" w:color="auto" w:fill="auto"/>
                  <w:noWrap w:val="0"/>
                  <w:vAlign w:val="center"/>
                </w:tcPr>
                <w:p w14:paraId="3A178A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296" w:type="pct"/>
                  <w:vMerge w:val="continue"/>
                  <w:tcBorders>
                    <w:tl2br w:val="nil"/>
                    <w:tr2bl w:val="nil"/>
                  </w:tcBorders>
                  <w:noWrap w:val="0"/>
                  <w:vAlign w:val="center"/>
                </w:tcPr>
                <w:p w14:paraId="359B9E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p>
              </w:tc>
              <w:tc>
                <w:tcPr>
                  <w:tcW w:w="318" w:type="pct"/>
                  <w:vMerge w:val="continue"/>
                  <w:tcBorders>
                    <w:tl2br w:val="nil"/>
                    <w:tr2bl w:val="nil"/>
                  </w:tcBorders>
                  <w:noWrap w:val="0"/>
                  <w:vAlign w:val="center"/>
                </w:tcPr>
                <w:p w14:paraId="5CC2AB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456" w:type="pct"/>
                  <w:tcBorders>
                    <w:tl2br w:val="nil"/>
                    <w:tr2bl w:val="nil"/>
                  </w:tcBorders>
                  <w:noWrap w:val="0"/>
                  <w:vAlign w:val="center"/>
                </w:tcPr>
                <w:p w14:paraId="69D76E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3.02</w:t>
                  </w:r>
                </w:p>
              </w:tc>
              <w:tc>
                <w:tcPr>
                  <w:tcW w:w="309" w:type="pct"/>
                  <w:tcBorders>
                    <w:tl2br w:val="nil"/>
                    <w:tr2bl w:val="nil"/>
                  </w:tcBorders>
                  <w:noWrap w:val="0"/>
                  <w:vAlign w:val="center"/>
                </w:tcPr>
                <w:p w14:paraId="5A24B0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0.002</w:t>
                  </w:r>
                </w:p>
              </w:tc>
              <w:tc>
                <w:tcPr>
                  <w:tcW w:w="281" w:type="pct"/>
                  <w:vMerge w:val="continue"/>
                  <w:tcBorders>
                    <w:tl2br w:val="nil"/>
                    <w:tr2bl w:val="nil"/>
                  </w:tcBorders>
                  <w:noWrap w:val="0"/>
                  <w:vAlign w:val="center"/>
                </w:tcPr>
                <w:p w14:paraId="28BAD4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rPr>
                  </w:pPr>
                </w:p>
              </w:tc>
              <w:tc>
                <w:tcPr>
                  <w:tcW w:w="326" w:type="pct"/>
                  <w:vMerge w:val="continue"/>
                  <w:tcBorders>
                    <w:tl2br w:val="nil"/>
                    <w:tr2bl w:val="nil"/>
                  </w:tcBorders>
                  <w:noWrap w:val="0"/>
                  <w:vAlign w:val="center"/>
                </w:tcPr>
                <w:p w14:paraId="60D1FC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highlight w:val="none"/>
                      <w:lang w:val="en-US" w:eastAsia="zh-CN"/>
                    </w:rPr>
                  </w:pPr>
                </w:p>
              </w:tc>
            </w:tr>
          </w:tbl>
          <w:p w14:paraId="48AEAFE8">
            <w:pPr>
              <w:keepNext w:val="0"/>
              <w:keepLines w:val="0"/>
              <w:suppressLineNumbers w:val="0"/>
              <w:spacing w:before="0" w:beforeAutospacing="0" w:after="0" w:afterAutospacing="0" w:line="360" w:lineRule="auto"/>
              <w:ind w:left="0" w:right="0" w:firstLine="480" w:firstLineChars="200"/>
              <w:outlineLvl w:val="0"/>
              <w:rPr>
                <w:rFonts w:hint="eastAsia"/>
                <w:color w:val="auto"/>
                <w:sz w:val="24"/>
                <w:szCs w:val="24"/>
                <w:highlight w:val="none"/>
              </w:rPr>
            </w:pPr>
            <w:r>
              <w:rPr>
                <w:rFonts w:hint="eastAsia"/>
                <w:color w:val="auto"/>
                <w:sz w:val="24"/>
                <w:szCs w:val="24"/>
                <w:highlight w:val="none"/>
              </w:rPr>
              <w:t>建设项目废水</w:t>
            </w:r>
            <w:r>
              <w:rPr>
                <w:rFonts w:hint="eastAsia"/>
                <w:color w:val="auto"/>
                <w:sz w:val="24"/>
                <w:szCs w:val="24"/>
                <w:highlight w:val="none"/>
                <w:lang w:val="en-US" w:eastAsia="zh-CN"/>
              </w:rPr>
              <w:t>总</w:t>
            </w:r>
            <w:r>
              <w:rPr>
                <w:rFonts w:hint="eastAsia"/>
                <w:color w:val="auto"/>
                <w:sz w:val="24"/>
                <w:szCs w:val="24"/>
                <w:highlight w:val="none"/>
              </w:rPr>
              <w:t>排放基本情况详见表</w:t>
            </w:r>
            <w:r>
              <w:rPr>
                <w:rFonts w:hint="eastAsia"/>
                <w:color w:val="auto"/>
                <w:sz w:val="24"/>
                <w:szCs w:val="24"/>
                <w:highlight w:val="none"/>
                <w:lang w:val="en-US" w:eastAsia="zh-CN"/>
              </w:rPr>
              <w:t>4-10</w:t>
            </w:r>
            <w:r>
              <w:rPr>
                <w:rFonts w:hint="eastAsia"/>
                <w:color w:val="auto"/>
                <w:sz w:val="24"/>
                <w:szCs w:val="24"/>
                <w:highlight w:val="none"/>
              </w:rPr>
              <w:t>。</w:t>
            </w:r>
            <w:bookmarkStart w:id="14" w:name="_Toc80027285"/>
          </w:p>
          <w:p w14:paraId="08B5F6A1">
            <w:pPr>
              <w:keepNext w:val="0"/>
              <w:keepLines w:val="0"/>
              <w:suppressLineNumbers w:val="0"/>
              <w:bidi w:val="0"/>
              <w:spacing w:before="0" w:beforeAutospacing="0" w:after="0" w:afterAutospacing="0" w:line="360" w:lineRule="auto"/>
              <w:ind w:left="0" w:right="0"/>
              <w:jc w:val="center"/>
              <w:rPr>
                <w:rFonts w:hint="eastAsia" w:hAnsi="黑体" w:eastAsia="黑体"/>
                <w:color w:val="auto"/>
                <w:sz w:val="24"/>
                <w:szCs w:val="24"/>
                <w:highlight w:val="none"/>
              </w:rPr>
            </w:pPr>
            <w:r>
              <w:rPr>
                <w:rFonts w:hint="eastAsia" w:hAnsi="黑体" w:eastAsia="黑体"/>
                <w:color w:val="auto"/>
                <w:sz w:val="24"/>
                <w:szCs w:val="24"/>
                <w:highlight w:val="none"/>
              </w:rPr>
              <w:t>表</w:t>
            </w:r>
            <w:r>
              <w:rPr>
                <w:rFonts w:hint="eastAsia" w:hAnsi="黑体" w:eastAsia="黑体"/>
                <w:color w:val="auto"/>
                <w:sz w:val="24"/>
                <w:szCs w:val="24"/>
                <w:highlight w:val="none"/>
                <w:lang w:val="en-US" w:eastAsia="zh-CN"/>
              </w:rPr>
              <w:t>4-10 厂区</w:t>
            </w:r>
            <w:r>
              <w:rPr>
                <w:rFonts w:hint="eastAsia" w:hAnsi="黑体" w:eastAsia="黑体"/>
                <w:color w:val="auto"/>
                <w:sz w:val="24"/>
                <w:szCs w:val="24"/>
                <w:highlight w:val="none"/>
              </w:rPr>
              <w:t>废水</w:t>
            </w:r>
            <w:r>
              <w:rPr>
                <w:rFonts w:hint="eastAsia" w:hAnsi="黑体" w:eastAsia="黑体"/>
                <w:color w:val="auto"/>
                <w:sz w:val="24"/>
                <w:szCs w:val="24"/>
                <w:highlight w:val="none"/>
                <w:lang w:val="en-US" w:eastAsia="zh-CN"/>
              </w:rPr>
              <w:t>总</w:t>
            </w:r>
            <w:r>
              <w:rPr>
                <w:rFonts w:hint="eastAsia" w:hAnsi="黑体" w:eastAsia="黑体"/>
                <w:color w:val="auto"/>
                <w:sz w:val="24"/>
                <w:szCs w:val="24"/>
                <w:highlight w:val="none"/>
              </w:rPr>
              <w:t>排放口基本情况表</w:t>
            </w:r>
            <w:bookmarkEnd w:id="14"/>
          </w:p>
          <w:tbl>
            <w:tblPr>
              <w:tblStyle w:val="37"/>
              <w:tblW w:w="13449"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14"/>
              <w:gridCol w:w="1515"/>
              <w:gridCol w:w="1590"/>
              <w:gridCol w:w="885"/>
              <w:gridCol w:w="1125"/>
              <w:gridCol w:w="1365"/>
              <w:gridCol w:w="930"/>
              <w:gridCol w:w="1051"/>
              <w:gridCol w:w="1305"/>
              <w:gridCol w:w="2769"/>
            </w:tblGrid>
            <w:tr w14:paraId="2FDB25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9" w:type="pct"/>
                  <w:vMerge w:val="restart"/>
                  <w:tcBorders>
                    <w:tl2br w:val="nil"/>
                    <w:tr2bl w:val="nil"/>
                  </w:tcBorders>
                  <w:noWrap w:val="0"/>
                  <w:vAlign w:val="center"/>
                </w:tcPr>
                <w:p w14:paraId="5826214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排放口</w:t>
                  </w:r>
                </w:p>
                <w:p w14:paraId="4BDA84A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编号</w:t>
                  </w:r>
                </w:p>
              </w:tc>
              <w:tc>
                <w:tcPr>
                  <w:tcW w:w="1154" w:type="pct"/>
                  <w:gridSpan w:val="2"/>
                  <w:tcBorders>
                    <w:tl2br w:val="nil"/>
                    <w:tr2bl w:val="nil"/>
                  </w:tcBorders>
                  <w:noWrap w:val="0"/>
                  <w:vAlign w:val="center"/>
                </w:tcPr>
                <w:p w14:paraId="7692CD6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排放口地理坐标</w:t>
                  </w:r>
                </w:p>
              </w:tc>
              <w:tc>
                <w:tcPr>
                  <w:tcW w:w="329" w:type="pct"/>
                  <w:vMerge w:val="restart"/>
                  <w:tcBorders>
                    <w:tl2br w:val="nil"/>
                    <w:tr2bl w:val="nil"/>
                  </w:tcBorders>
                  <w:noWrap w:val="0"/>
                  <w:vAlign w:val="center"/>
                </w:tcPr>
                <w:p w14:paraId="4EF96BC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废水排</w:t>
                  </w:r>
                </w:p>
                <w:p w14:paraId="569C3D1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放量</w:t>
                  </w:r>
                </w:p>
                <w:p w14:paraId="1FBCA8E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（t/a）</w:t>
                  </w:r>
                </w:p>
              </w:tc>
              <w:tc>
                <w:tcPr>
                  <w:tcW w:w="418" w:type="pct"/>
                  <w:vMerge w:val="restart"/>
                  <w:tcBorders>
                    <w:tl2br w:val="nil"/>
                    <w:tr2bl w:val="nil"/>
                  </w:tcBorders>
                  <w:noWrap w:val="0"/>
                  <w:vAlign w:val="center"/>
                </w:tcPr>
                <w:p w14:paraId="49B5B95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排放去向</w:t>
                  </w:r>
                </w:p>
              </w:tc>
              <w:tc>
                <w:tcPr>
                  <w:tcW w:w="507" w:type="pct"/>
                  <w:vMerge w:val="restart"/>
                  <w:tcBorders>
                    <w:tl2br w:val="nil"/>
                    <w:tr2bl w:val="nil"/>
                  </w:tcBorders>
                  <w:noWrap w:val="0"/>
                  <w:vAlign w:val="center"/>
                </w:tcPr>
                <w:p w14:paraId="3A0CB6D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排放规律</w:t>
                  </w:r>
                </w:p>
              </w:tc>
              <w:tc>
                <w:tcPr>
                  <w:tcW w:w="345" w:type="pct"/>
                  <w:vMerge w:val="restart"/>
                  <w:tcBorders>
                    <w:tl2br w:val="nil"/>
                    <w:tr2bl w:val="nil"/>
                  </w:tcBorders>
                  <w:noWrap w:val="0"/>
                  <w:vAlign w:val="center"/>
                </w:tcPr>
                <w:p w14:paraId="76F784E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间歇排放时段</w:t>
                  </w:r>
                </w:p>
              </w:tc>
              <w:tc>
                <w:tcPr>
                  <w:tcW w:w="1905" w:type="pct"/>
                  <w:gridSpan w:val="3"/>
                  <w:tcBorders>
                    <w:tl2br w:val="nil"/>
                    <w:tr2bl w:val="nil"/>
                  </w:tcBorders>
                  <w:noWrap w:val="0"/>
                  <w:vAlign w:val="center"/>
                </w:tcPr>
                <w:p w14:paraId="04D5BF0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受纳污水处理厂信息</w:t>
                  </w:r>
                </w:p>
              </w:tc>
            </w:tr>
            <w:tr w14:paraId="007FB1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9" w:type="pct"/>
                  <w:vMerge w:val="continue"/>
                  <w:tcBorders>
                    <w:tl2br w:val="nil"/>
                    <w:tr2bl w:val="nil"/>
                  </w:tcBorders>
                  <w:noWrap w:val="0"/>
                  <w:vAlign w:val="center"/>
                </w:tcPr>
                <w:p w14:paraId="208C9E1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p>
              </w:tc>
              <w:tc>
                <w:tcPr>
                  <w:tcW w:w="563" w:type="pct"/>
                  <w:tcBorders>
                    <w:tl2br w:val="nil"/>
                    <w:tr2bl w:val="nil"/>
                  </w:tcBorders>
                  <w:noWrap w:val="0"/>
                  <w:vAlign w:val="center"/>
                </w:tcPr>
                <w:p w14:paraId="2F1CF09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经度</w:t>
                  </w:r>
                </w:p>
              </w:tc>
              <w:tc>
                <w:tcPr>
                  <w:tcW w:w="591" w:type="pct"/>
                  <w:tcBorders>
                    <w:tl2br w:val="nil"/>
                    <w:tr2bl w:val="nil"/>
                  </w:tcBorders>
                  <w:noWrap w:val="0"/>
                  <w:vAlign w:val="center"/>
                </w:tcPr>
                <w:p w14:paraId="033149F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纬度</w:t>
                  </w:r>
                </w:p>
              </w:tc>
              <w:tc>
                <w:tcPr>
                  <w:tcW w:w="329" w:type="pct"/>
                  <w:vMerge w:val="continue"/>
                  <w:tcBorders>
                    <w:tl2br w:val="nil"/>
                    <w:tr2bl w:val="nil"/>
                  </w:tcBorders>
                  <w:noWrap w:val="0"/>
                  <w:vAlign w:val="center"/>
                </w:tcPr>
                <w:p w14:paraId="425E52B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p>
              </w:tc>
              <w:tc>
                <w:tcPr>
                  <w:tcW w:w="418" w:type="pct"/>
                  <w:vMerge w:val="continue"/>
                  <w:tcBorders>
                    <w:tl2br w:val="nil"/>
                    <w:tr2bl w:val="nil"/>
                  </w:tcBorders>
                  <w:noWrap w:val="0"/>
                  <w:vAlign w:val="center"/>
                </w:tcPr>
                <w:p w14:paraId="1C6D2E6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p>
              </w:tc>
              <w:tc>
                <w:tcPr>
                  <w:tcW w:w="507" w:type="pct"/>
                  <w:vMerge w:val="continue"/>
                  <w:tcBorders>
                    <w:tl2br w:val="nil"/>
                    <w:tr2bl w:val="nil"/>
                  </w:tcBorders>
                  <w:noWrap w:val="0"/>
                  <w:vAlign w:val="center"/>
                </w:tcPr>
                <w:p w14:paraId="6C4BE82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p>
              </w:tc>
              <w:tc>
                <w:tcPr>
                  <w:tcW w:w="345" w:type="pct"/>
                  <w:vMerge w:val="continue"/>
                  <w:tcBorders>
                    <w:tl2br w:val="nil"/>
                    <w:tr2bl w:val="nil"/>
                  </w:tcBorders>
                  <w:noWrap w:val="0"/>
                  <w:vAlign w:val="center"/>
                </w:tcPr>
                <w:p w14:paraId="2152141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p>
              </w:tc>
              <w:tc>
                <w:tcPr>
                  <w:tcW w:w="390" w:type="pct"/>
                  <w:tcBorders>
                    <w:tl2br w:val="nil"/>
                    <w:tr2bl w:val="nil"/>
                  </w:tcBorders>
                  <w:noWrap w:val="0"/>
                  <w:vAlign w:val="center"/>
                </w:tcPr>
                <w:p w14:paraId="2F5B7C0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名称</w:t>
                  </w:r>
                </w:p>
              </w:tc>
              <w:tc>
                <w:tcPr>
                  <w:tcW w:w="485" w:type="pct"/>
                  <w:tcBorders>
                    <w:tl2br w:val="nil"/>
                    <w:tr2bl w:val="nil"/>
                  </w:tcBorders>
                  <w:noWrap w:val="0"/>
                  <w:vAlign w:val="center"/>
                </w:tcPr>
                <w:p w14:paraId="367A909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污染物种类</w:t>
                  </w:r>
                </w:p>
              </w:tc>
              <w:tc>
                <w:tcPr>
                  <w:tcW w:w="1029" w:type="pct"/>
                  <w:tcBorders>
                    <w:tl2br w:val="nil"/>
                    <w:tr2bl w:val="nil"/>
                  </w:tcBorders>
                  <w:noWrap w:val="0"/>
                  <w:vAlign w:val="center"/>
                </w:tcPr>
                <w:p w14:paraId="1B602E1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国家或地方污染物</w:t>
                  </w:r>
                </w:p>
                <w:p w14:paraId="46CB5AA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排放标准浓度限值</w:t>
                  </w:r>
                </w:p>
                <w:p w14:paraId="2CA9C98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（mg/L）</w:t>
                  </w:r>
                </w:p>
              </w:tc>
            </w:tr>
            <w:tr w14:paraId="0AE1D5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9" w:type="pct"/>
                  <w:vMerge w:val="restart"/>
                  <w:tcBorders>
                    <w:tl2br w:val="nil"/>
                    <w:tr2bl w:val="nil"/>
                  </w:tcBorders>
                  <w:noWrap w:val="0"/>
                  <w:vAlign w:val="center"/>
                </w:tcPr>
                <w:p w14:paraId="6769288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eastAsia="宋体"/>
                      <w:color w:val="auto"/>
                      <w:sz w:val="21"/>
                      <w:szCs w:val="21"/>
                      <w:highlight w:val="none"/>
                      <w:lang w:val="en-US" w:eastAsia="zh-CN"/>
                    </w:rPr>
                  </w:pPr>
                  <w:r>
                    <w:rPr>
                      <w:rFonts w:hint="eastAsia"/>
                      <w:color w:val="auto"/>
                      <w:sz w:val="21"/>
                      <w:szCs w:val="21"/>
                      <w:highlight w:val="none"/>
                    </w:rPr>
                    <w:t>DW00</w:t>
                  </w:r>
                  <w:r>
                    <w:rPr>
                      <w:rFonts w:hint="eastAsia"/>
                      <w:color w:val="auto"/>
                      <w:sz w:val="21"/>
                      <w:szCs w:val="21"/>
                      <w:highlight w:val="none"/>
                      <w:lang w:val="en-US" w:eastAsia="zh-CN"/>
                    </w:rPr>
                    <w:t>1</w:t>
                  </w:r>
                </w:p>
              </w:tc>
              <w:tc>
                <w:tcPr>
                  <w:tcW w:w="563" w:type="pct"/>
                  <w:vMerge w:val="restart"/>
                  <w:tcBorders>
                    <w:tl2br w:val="nil"/>
                    <w:tr2bl w:val="nil"/>
                  </w:tcBorders>
                  <w:noWrap w:val="0"/>
                  <w:vAlign w:val="center"/>
                </w:tcPr>
                <w:p w14:paraId="6C9010D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116°39′56.07″</w:t>
                  </w:r>
                </w:p>
              </w:tc>
              <w:tc>
                <w:tcPr>
                  <w:tcW w:w="591" w:type="pct"/>
                  <w:vMerge w:val="restart"/>
                  <w:tcBorders>
                    <w:tl2br w:val="nil"/>
                    <w:tr2bl w:val="nil"/>
                  </w:tcBorders>
                  <w:noWrap w:val="0"/>
                  <w:vAlign w:val="center"/>
                </w:tcPr>
                <w:p w14:paraId="65B5830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32°45′0.511″</w:t>
                  </w:r>
                </w:p>
              </w:tc>
              <w:tc>
                <w:tcPr>
                  <w:tcW w:w="329" w:type="pct"/>
                  <w:vMerge w:val="restart"/>
                  <w:tcBorders>
                    <w:tl2br w:val="nil"/>
                    <w:tr2bl w:val="nil"/>
                  </w:tcBorders>
                  <w:noWrap w:val="0"/>
                  <w:vAlign w:val="center"/>
                </w:tcPr>
                <w:p w14:paraId="5131121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661.5</w:t>
                  </w:r>
                </w:p>
              </w:tc>
              <w:tc>
                <w:tcPr>
                  <w:tcW w:w="418" w:type="pct"/>
                  <w:vMerge w:val="restart"/>
                  <w:tcBorders>
                    <w:tl2br w:val="nil"/>
                    <w:tr2bl w:val="nil"/>
                  </w:tcBorders>
                  <w:noWrap w:val="0"/>
                  <w:vAlign w:val="center"/>
                </w:tcPr>
                <w:p w14:paraId="2C84B07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r>
                    <w:rPr>
                      <w:rFonts w:hint="eastAsia"/>
                      <w:color w:val="auto"/>
                      <w:sz w:val="21"/>
                      <w:szCs w:val="21"/>
                      <w:highlight w:val="none"/>
                      <w:lang w:val="en-US" w:eastAsia="zh-CN"/>
                    </w:rPr>
                    <w:t>城镇</w:t>
                  </w:r>
                  <w:r>
                    <w:rPr>
                      <w:rFonts w:hint="eastAsia"/>
                      <w:color w:val="auto"/>
                      <w:sz w:val="21"/>
                      <w:szCs w:val="21"/>
                      <w:highlight w:val="none"/>
                    </w:rPr>
                    <w:t>污水处理厂</w:t>
                  </w:r>
                </w:p>
              </w:tc>
              <w:tc>
                <w:tcPr>
                  <w:tcW w:w="507" w:type="pct"/>
                  <w:vMerge w:val="restart"/>
                  <w:tcBorders>
                    <w:tl2br w:val="nil"/>
                    <w:tr2bl w:val="nil"/>
                  </w:tcBorders>
                  <w:noWrap w:val="0"/>
                  <w:vAlign w:val="center"/>
                </w:tcPr>
                <w:p w14:paraId="7C2A56B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r>
                    <w:rPr>
                      <w:rFonts w:hint="eastAsia"/>
                      <w:color w:val="auto"/>
                      <w:sz w:val="21"/>
                      <w:szCs w:val="21"/>
                      <w:highlight w:val="none"/>
                    </w:rPr>
                    <w:t>间断排放，排放期间流量不稳定，但不属于</w:t>
                  </w:r>
                  <w:r>
                    <w:rPr>
                      <w:rFonts w:hint="eastAsia"/>
                      <w:color w:val="auto"/>
                      <w:sz w:val="21"/>
                      <w:szCs w:val="21"/>
                      <w:highlight w:val="none"/>
                      <w:lang w:eastAsia="zh-CN"/>
                    </w:rPr>
                    <w:t>冲击性</w:t>
                  </w:r>
                  <w:r>
                    <w:rPr>
                      <w:rFonts w:hint="eastAsia"/>
                      <w:color w:val="auto"/>
                      <w:sz w:val="21"/>
                      <w:szCs w:val="21"/>
                      <w:highlight w:val="none"/>
                    </w:rPr>
                    <w:t>排放</w:t>
                  </w:r>
                </w:p>
              </w:tc>
              <w:tc>
                <w:tcPr>
                  <w:tcW w:w="345" w:type="pct"/>
                  <w:vMerge w:val="restart"/>
                  <w:tcBorders>
                    <w:tl2br w:val="nil"/>
                    <w:tr2bl w:val="nil"/>
                  </w:tcBorders>
                  <w:noWrap w:val="0"/>
                  <w:vAlign w:val="center"/>
                </w:tcPr>
                <w:p w14:paraId="1032844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生产时</w:t>
                  </w:r>
                </w:p>
                <w:p w14:paraId="4AB3F56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color w:val="auto"/>
                      <w:sz w:val="21"/>
                      <w:szCs w:val="21"/>
                      <w:highlight w:val="none"/>
                      <w:lang w:val="en-US"/>
                    </w:rPr>
                  </w:pPr>
                  <w:r>
                    <w:rPr>
                      <w:rFonts w:hint="eastAsia"/>
                      <w:color w:val="auto"/>
                      <w:sz w:val="21"/>
                      <w:szCs w:val="21"/>
                      <w:highlight w:val="none"/>
                      <w:lang w:val="en-US" w:eastAsia="zh-CN"/>
                    </w:rPr>
                    <w:t>排放</w:t>
                  </w:r>
                </w:p>
              </w:tc>
              <w:tc>
                <w:tcPr>
                  <w:tcW w:w="390" w:type="pct"/>
                  <w:vMerge w:val="restart"/>
                  <w:tcBorders>
                    <w:tl2br w:val="nil"/>
                    <w:tr2bl w:val="nil"/>
                  </w:tcBorders>
                  <w:noWrap w:val="0"/>
                  <w:vAlign w:val="center"/>
                </w:tcPr>
                <w:p w14:paraId="462C3A0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r>
                    <w:rPr>
                      <w:rFonts w:hint="eastAsia"/>
                      <w:color w:val="auto"/>
                      <w:sz w:val="21"/>
                      <w:szCs w:val="21"/>
                      <w:highlight w:val="none"/>
                      <w:lang w:val="en-US" w:eastAsia="zh-CN"/>
                    </w:rPr>
                    <w:t>凤台县污水处理厂</w:t>
                  </w:r>
                </w:p>
              </w:tc>
              <w:tc>
                <w:tcPr>
                  <w:tcW w:w="485" w:type="pct"/>
                  <w:tcBorders>
                    <w:tl2br w:val="nil"/>
                    <w:tr2bl w:val="nil"/>
                  </w:tcBorders>
                  <w:noWrap w:val="0"/>
                  <w:vAlign w:val="center"/>
                </w:tcPr>
                <w:p w14:paraId="72478B7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r>
                    <w:rPr>
                      <w:rFonts w:hint="eastAsia"/>
                      <w:color w:val="auto"/>
                      <w:sz w:val="21"/>
                      <w:szCs w:val="21"/>
                      <w:highlight w:val="none"/>
                    </w:rPr>
                    <w:t>pH</w:t>
                  </w:r>
                </w:p>
              </w:tc>
              <w:tc>
                <w:tcPr>
                  <w:tcW w:w="1029" w:type="pct"/>
                  <w:tcBorders>
                    <w:tl2br w:val="nil"/>
                    <w:tr2bl w:val="nil"/>
                  </w:tcBorders>
                  <w:noWrap w:val="0"/>
                  <w:vAlign w:val="center"/>
                </w:tcPr>
                <w:p w14:paraId="78C19E4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r>
                    <w:rPr>
                      <w:rFonts w:hint="eastAsia"/>
                      <w:color w:val="auto"/>
                      <w:sz w:val="21"/>
                      <w:szCs w:val="21"/>
                      <w:highlight w:val="none"/>
                    </w:rPr>
                    <w:t>6~9（无量纲）</w:t>
                  </w:r>
                </w:p>
              </w:tc>
            </w:tr>
            <w:tr w14:paraId="186CA3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39" w:type="pct"/>
                  <w:vMerge w:val="continue"/>
                  <w:tcBorders>
                    <w:tl2br w:val="nil"/>
                    <w:tr2bl w:val="nil"/>
                  </w:tcBorders>
                  <w:noWrap w:val="0"/>
                  <w:vAlign w:val="center"/>
                </w:tcPr>
                <w:p w14:paraId="1189497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563" w:type="pct"/>
                  <w:vMerge w:val="continue"/>
                  <w:tcBorders>
                    <w:tl2br w:val="nil"/>
                    <w:tr2bl w:val="nil"/>
                  </w:tcBorders>
                  <w:noWrap w:val="0"/>
                  <w:vAlign w:val="center"/>
                </w:tcPr>
                <w:p w14:paraId="11E8E34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591" w:type="pct"/>
                  <w:vMerge w:val="continue"/>
                  <w:tcBorders>
                    <w:tl2br w:val="nil"/>
                    <w:tr2bl w:val="nil"/>
                  </w:tcBorders>
                  <w:noWrap w:val="0"/>
                  <w:vAlign w:val="center"/>
                </w:tcPr>
                <w:p w14:paraId="7CF71AB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329" w:type="pct"/>
                  <w:vMerge w:val="continue"/>
                  <w:tcBorders>
                    <w:tl2br w:val="nil"/>
                    <w:tr2bl w:val="nil"/>
                  </w:tcBorders>
                  <w:noWrap w:val="0"/>
                  <w:vAlign w:val="center"/>
                </w:tcPr>
                <w:p w14:paraId="7781393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418" w:type="pct"/>
                  <w:vMerge w:val="continue"/>
                  <w:tcBorders>
                    <w:tl2br w:val="nil"/>
                    <w:tr2bl w:val="nil"/>
                  </w:tcBorders>
                  <w:noWrap w:val="0"/>
                  <w:vAlign w:val="center"/>
                </w:tcPr>
                <w:p w14:paraId="2BDD62D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507" w:type="pct"/>
                  <w:vMerge w:val="continue"/>
                  <w:tcBorders>
                    <w:tl2br w:val="nil"/>
                    <w:tr2bl w:val="nil"/>
                  </w:tcBorders>
                  <w:noWrap w:val="0"/>
                  <w:vAlign w:val="center"/>
                </w:tcPr>
                <w:p w14:paraId="15CAA37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345" w:type="pct"/>
                  <w:vMerge w:val="continue"/>
                  <w:tcBorders>
                    <w:tl2br w:val="nil"/>
                    <w:tr2bl w:val="nil"/>
                  </w:tcBorders>
                  <w:noWrap w:val="0"/>
                  <w:vAlign w:val="center"/>
                </w:tcPr>
                <w:p w14:paraId="437D3B0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390" w:type="pct"/>
                  <w:vMerge w:val="continue"/>
                  <w:tcBorders>
                    <w:tl2br w:val="nil"/>
                    <w:tr2bl w:val="nil"/>
                  </w:tcBorders>
                  <w:noWrap w:val="0"/>
                  <w:vAlign w:val="center"/>
                </w:tcPr>
                <w:p w14:paraId="1BF3DC7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485" w:type="pct"/>
                  <w:tcBorders>
                    <w:tl2br w:val="nil"/>
                    <w:tr2bl w:val="nil"/>
                  </w:tcBorders>
                  <w:shd w:val="clear" w:color="auto" w:fill="auto"/>
                  <w:noWrap w:val="0"/>
                  <w:vAlign w:val="center"/>
                </w:tcPr>
                <w:p w14:paraId="65438CDC">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COD</w:t>
                  </w:r>
                  <w:r>
                    <w:rPr>
                      <w:rFonts w:hint="eastAsia"/>
                      <w:color w:val="auto"/>
                      <w:sz w:val="21"/>
                      <w:szCs w:val="21"/>
                      <w:vertAlign w:val="subscript"/>
                      <w:lang w:val="en-US" w:eastAsia="zh-CN"/>
                    </w:rPr>
                    <w:t>Cr</w:t>
                  </w:r>
                </w:p>
              </w:tc>
              <w:tc>
                <w:tcPr>
                  <w:tcW w:w="1029" w:type="pct"/>
                  <w:tcBorders>
                    <w:tl2br w:val="nil"/>
                    <w:tr2bl w:val="nil"/>
                  </w:tcBorders>
                  <w:shd w:val="clear" w:color="auto" w:fill="auto"/>
                  <w:noWrap w:val="0"/>
                  <w:vAlign w:val="center"/>
                </w:tcPr>
                <w:p w14:paraId="1AC94A22">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50</w:t>
                  </w:r>
                </w:p>
              </w:tc>
            </w:tr>
            <w:tr w14:paraId="114892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9" w:type="pct"/>
                  <w:vMerge w:val="continue"/>
                  <w:tcBorders>
                    <w:tl2br w:val="nil"/>
                    <w:tr2bl w:val="nil"/>
                  </w:tcBorders>
                  <w:noWrap w:val="0"/>
                  <w:vAlign w:val="center"/>
                </w:tcPr>
                <w:p w14:paraId="2EFEB3B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563" w:type="pct"/>
                  <w:vMerge w:val="continue"/>
                  <w:tcBorders>
                    <w:tl2br w:val="nil"/>
                    <w:tr2bl w:val="nil"/>
                  </w:tcBorders>
                  <w:noWrap w:val="0"/>
                  <w:vAlign w:val="center"/>
                </w:tcPr>
                <w:p w14:paraId="64F0EAD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591" w:type="pct"/>
                  <w:vMerge w:val="continue"/>
                  <w:tcBorders>
                    <w:tl2br w:val="nil"/>
                    <w:tr2bl w:val="nil"/>
                  </w:tcBorders>
                  <w:noWrap w:val="0"/>
                  <w:vAlign w:val="center"/>
                </w:tcPr>
                <w:p w14:paraId="1CA2D15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329" w:type="pct"/>
                  <w:vMerge w:val="continue"/>
                  <w:tcBorders>
                    <w:tl2br w:val="nil"/>
                    <w:tr2bl w:val="nil"/>
                  </w:tcBorders>
                  <w:noWrap w:val="0"/>
                  <w:vAlign w:val="center"/>
                </w:tcPr>
                <w:p w14:paraId="4585C61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418" w:type="pct"/>
                  <w:vMerge w:val="continue"/>
                  <w:tcBorders>
                    <w:tl2br w:val="nil"/>
                    <w:tr2bl w:val="nil"/>
                  </w:tcBorders>
                  <w:noWrap w:val="0"/>
                  <w:vAlign w:val="center"/>
                </w:tcPr>
                <w:p w14:paraId="0E8ADD7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507" w:type="pct"/>
                  <w:vMerge w:val="continue"/>
                  <w:tcBorders>
                    <w:tl2br w:val="nil"/>
                    <w:tr2bl w:val="nil"/>
                  </w:tcBorders>
                  <w:noWrap w:val="0"/>
                  <w:vAlign w:val="center"/>
                </w:tcPr>
                <w:p w14:paraId="5426AC7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345" w:type="pct"/>
                  <w:vMerge w:val="continue"/>
                  <w:tcBorders>
                    <w:tl2br w:val="nil"/>
                    <w:tr2bl w:val="nil"/>
                  </w:tcBorders>
                  <w:noWrap w:val="0"/>
                  <w:vAlign w:val="center"/>
                </w:tcPr>
                <w:p w14:paraId="56D9597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390" w:type="pct"/>
                  <w:vMerge w:val="continue"/>
                  <w:tcBorders>
                    <w:tl2br w:val="nil"/>
                    <w:tr2bl w:val="nil"/>
                  </w:tcBorders>
                  <w:noWrap w:val="0"/>
                  <w:vAlign w:val="center"/>
                </w:tcPr>
                <w:p w14:paraId="604BA0E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485" w:type="pct"/>
                  <w:tcBorders>
                    <w:tl2br w:val="nil"/>
                    <w:tr2bl w:val="nil"/>
                  </w:tcBorders>
                  <w:shd w:val="clear" w:color="auto" w:fill="auto"/>
                  <w:noWrap w:val="0"/>
                  <w:vAlign w:val="center"/>
                </w:tcPr>
                <w:p w14:paraId="5DF573FB">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BOD</w:t>
                  </w:r>
                  <w:r>
                    <w:rPr>
                      <w:rFonts w:hint="eastAsia"/>
                      <w:color w:val="auto"/>
                      <w:sz w:val="21"/>
                      <w:szCs w:val="21"/>
                      <w:vertAlign w:val="subscript"/>
                      <w:lang w:val="en-US" w:eastAsia="zh-CN"/>
                    </w:rPr>
                    <w:t>5</w:t>
                  </w:r>
                </w:p>
              </w:tc>
              <w:tc>
                <w:tcPr>
                  <w:tcW w:w="1029" w:type="pct"/>
                  <w:tcBorders>
                    <w:tl2br w:val="nil"/>
                    <w:tr2bl w:val="nil"/>
                  </w:tcBorders>
                  <w:shd w:val="clear" w:color="auto" w:fill="auto"/>
                  <w:noWrap w:val="0"/>
                  <w:vAlign w:val="center"/>
                </w:tcPr>
                <w:p w14:paraId="7539CCFC">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10</w:t>
                  </w:r>
                </w:p>
              </w:tc>
            </w:tr>
            <w:tr w14:paraId="163BC8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9" w:type="pct"/>
                  <w:vMerge w:val="continue"/>
                  <w:tcBorders>
                    <w:tl2br w:val="nil"/>
                    <w:tr2bl w:val="nil"/>
                  </w:tcBorders>
                  <w:noWrap w:val="0"/>
                  <w:vAlign w:val="center"/>
                </w:tcPr>
                <w:p w14:paraId="1FFC35E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563" w:type="pct"/>
                  <w:vMerge w:val="continue"/>
                  <w:tcBorders>
                    <w:tl2br w:val="nil"/>
                    <w:tr2bl w:val="nil"/>
                  </w:tcBorders>
                  <w:noWrap w:val="0"/>
                  <w:vAlign w:val="center"/>
                </w:tcPr>
                <w:p w14:paraId="7078CAB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591" w:type="pct"/>
                  <w:vMerge w:val="continue"/>
                  <w:tcBorders>
                    <w:tl2br w:val="nil"/>
                    <w:tr2bl w:val="nil"/>
                  </w:tcBorders>
                  <w:noWrap w:val="0"/>
                  <w:vAlign w:val="center"/>
                </w:tcPr>
                <w:p w14:paraId="257FB7F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329" w:type="pct"/>
                  <w:vMerge w:val="continue"/>
                  <w:tcBorders>
                    <w:tl2br w:val="nil"/>
                    <w:tr2bl w:val="nil"/>
                  </w:tcBorders>
                  <w:noWrap w:val="0"/>
                  <w:vAlign w:val="center"/>
                </w:tcPr>
                <w:p w14:paraId="137D615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418" w:type="pct"/>
                  <w:vMerge w:val="continue"/>
                  <w:tcBorders>
                    <w:tl2br w:val="nil"/>
                    <w:tr2bl w:val="nil"/>
                  </w:tcBorders>
                  <w:noWrap w:val="0"/>
                  <w:vAlign w:val="center"/>
                </w:tcPr>
                <w:p w14:paraId="6B5F83C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507" w:type="pct"/>
                  <w:vMerge w:val="continue"/>
                  <w:tcBorders>
                    <w:tl2br w:val="nil"/>
                    <w:tr2bl w:val="nil"/>
                  </w:tcBorders>
                  <w:noWrap w:val="0"/>
                  <w:vAlign w:val="center"/>
                </w:tcPr>
                <w:p w14:paraId="4F1D203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345" w:type="pct"/>
                  <w:vMerge w:val="continue"/>
                  <w:tcBorders>
                    <w:tl2br w:val="nil"/>
                    <w:tr2bl w:val="nil"/>
                  </w:tcBorders>
                  <w:noWrap w:val="0"/>
                  <w:vAlign w:val="center"/>
                </w:tcPr>
                <w:p w14:paraId="420FDF2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390" w:type="pct"/>
                  <w:vMerge w:val="continue"/>
                  <w:tcBorders>
                    <w:tl2br w:val="nil"/>
                    <w:tr2bl w:val="nil"/>
                  </w:tcBorders>
                  <w:noWrap w:val="0"/>
                  <w:vAlign w:val="center"/>
                </w:tcPr>
                <w:p w14:paraId="1888B1F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485" w:type="pct"/>
                  <w:tcBorders>
                    <w:tl2br w:val="nil"/>
                    <w:tr2bl w:val="nil"/>
                  </w:tcBorders>
                  <w:shd w:val="clear" w:color="auto" w:fill="auto"/>
                  <w:noWrap w:val="0"/>
                  <w:vAlign w:val="center"/>
                </w:tcPr>
                <w:p w14:paraId="0C315D09">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SS</w:t>
                  </w:r>
                </w:p>
              </w:tc>
              <w:tc>
                <w:tcPr>
                  <w:tcW w:w="1029" w:type="pct"/>
                  <w:tcBorders>
                    <w:tl2br w:val="nil"/>
                    <w:tr2bl w:val="nil"/>
                  </w:tcBorders>
                  <w:shd w:val="clear" w:color="auto" w:fill="auto"/>
                  <w:noWrap w:val="0"/>
                  <w:vAlign w:val="center"/>
                </w:tcPr>
                <w:p w14:paraId="1E6B3CBE">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10</w:t>
                  </w:r>
                </w:p>
              </w:tc>
            </w:tr>
            <w:tr w14:paraId="0BFC84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9" w:type="pct"/>
                  <w:vMerge w:val="continue"/>
                  <w:tcBorders>
                    <w:tl2br w:val="nil"/>
                    <w:tr2bl w:val="nil"/>
                  </w:tcBorders>
                  <w:noWrap w:val="0"/>
                  <w:vAlign w:val="center"/>
                </w:tcPr>
                <w:p w14:paraId="7ECA506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563" w:type="pct"/>
                  <w:vMerge w:val="continue"/>
                  <w:tcBorders>
                    <w:tl2br w:val="nil"/>
                    <w:tr2bl w:val="nil"/>
                  </w:tcBorders>
                  <w:noWrap w:val="0"/>
                  <w:vAlign w:val="center"/>
                </w:tcPr>
                <w:p w14:paraId="699511F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591" w:type="pct"/>
                  <w:vMerge w:val="continue"/>
                  <w:tcBorders>
                    <w:tl2br w:val="nil"/>
                    <w:tr2bl w:val="nil"/>
                  </w:tcBorders>
                  <w:noWrap w:val="0"/>
                  <w:vAlign w:val="center"/>
                </w:tcPr>
                <w:p w14:paraId="0A7249A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329" w:type="pct"/>
                  <w:vMerge w:val="continue"/>
                  <w:tcBorders>
                    <w:tl2br w:val="nil"/>
                    <w:tr2bl w:val="nil"/>
                  </w:tcBorders>
                  <w:noWrap w:val="0"/>
                  <w:vAlign w:val="center"/>
                </w:tcPr>
                <w:p w14:paraId="4529F91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418" w:type="pct"/>
                  <w:vMerge w:val="continue"/>
                  <w:tcBorders>
                    <w:tl2br w:val="nil"/>
                    <w:tr2bl w:val="nil"/>
                  </w:tcBorders>
                  <w:noWrap w:val="0"/>
                  <w:vAlign w:val="center"/>
                </w:tcPr>
                <w:p w14:paraId="3CA8221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507" w:type="pct"/>
                  <w:vMerge w:val="continue"/>
                  <w:tcBorders>
                    <w:tl2br w:val="nil"/>
                    <w:tr2bl w:val="nil"/>
                  </w:tcBorders>
                  <w:noWrap w:val="0"/>
                  <w:vAlign w:val="center"/>
                </w:tcPr>
                <w:p w14:paraId="752D3F2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345" w:type="pct"/>
                  <w:vMerge w:val="continue"/>
                  <w:tcBorders>
                    <w:tl2br w:val="nil"/>
                    <w:tr2bl w:val="nil"/>
                  </w:tcBorders>
                  <w:noWrap w:val="0"/>
                  <w:vAlign w:val="center"/>
                </w:tcPr>
                <w:p w14:paraId="5B5843A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390" w:type="pct"/>
                  <w:vMerge w:val="continue"/>
                  <w:tcBorders>
                    <w:tl2br w:val="nil"/>
                    <w:tr2bl w:val="nil"/>
                  </w:tcBorders>
                  <w:noWrap w:val="0"/>
                  <w:vAlign w:val="center"/>
                </w:tcPr>
                <w:p w14:paraId="092357C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485" w:type="pct"/>
                  <w:tcBorders>
                    <w:tl2br w:val="nil"/>
                    <w:tr2bl w:val="nil"/>
                  </w:tcBorders>
                  <w:shd w:val="clear" w:color="auto" w:fill="auto"/>
                  <w:noWrap w:val="0"/>
                  <w:vAlign w:val="center"/>
                </w:tcPr>
                <w:p w14:paraId="62FA0422">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NH</w:t>
                  </w:r>
                  <w:r>
                    <w:rPr>
                      <w:rFonts w:hint="eastAsia"/>
                      <w:color w:val="auto"/>
                      <w:sz w:val="21"/>
                      <w:szCs w:val="21"/>
                      <w:vertAlign w:val="subscript"/>
                      <w:lang w:val="en-US" w:eastAsia="zh-CN"/>
                    </w:rPr>
                    <w:t>3</w:t>
                  </w:r>
                  <w:r>
                    <w:rPr>
                      <w:rFonts w:hint="eastAsia"/>
                      <w:color w:val="auto"/>
                      <w:sz w:val="21"/>
                      <w:szCs w:val="21"/>
                      <w:vertAlign w:val="baseline"/>
                      <w:lang w:val="en-US" w:eastAsia="zh-CN"/>
                    </w:rPr>
                    <w:t>-N</w:t>
                  </w:r>
                </w:p>
              </w:tc>
              <w:tc>
                <w:tcPr>
                  <w:tcW w:w="1029" w:type="pct"/>
                  <w:tcBorders>
                    <w:tl2br w:val="nil"/>
                    <w:tr2bl w:val="nil"/>
                  </w:tcBorders>
                  <w:shd w:val="clear" w:color="auto" w:fill="auto"/>
                  <w:noWrap w:val="0"/>
                  <w:vAlign w:val="center"/>
                </w:tcPr>
                <w:p w14:paraId="4914EDBF">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5（8）</w:t>
                  </w:r>
                </w:p>
              </w:tc>
            </w:tr>
            <w:tr w14:paraId="4273C7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9" w:type="pct"/>
                  <w:vMerge w:val="continue"/>
                  <w:tcBorders>
                    <w:tl2br w:val="nil"/>
                    <w:tr2bl w:val="nil"/>
                  </w:tcBorders>
                  <w:noWrap w:val="0"/>
                  <w:vAlign w:val="center"/>
                </w:tcPr>
                <w:p w14:paraId="145C6EE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563" w:type="pct"/>
                  <w:vMerge w:val="continue"/>
                  <w:tcBorders>
                    <w:tl2br w:val="nil"/>
                    <w:tr2bl w:val="nil"/>
                  </w:tcBorders>
                  <w:noWrap w:val="0"/>
                  <w:vAlign w:val="center"/>
                </w:tcPr>
                <w:p w14:paraId="16BAC58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591" w:type="pct"/>
                  <w:vMerge w:val="continue"/>
                  <w:tcBorders>
                    <w:tl2br w:val="nil"/>
                    <w:tr2bl w:val="nil"/>
                  </w:tcBorders>
                  <w:noWrap w:val="0"/>
                  <w:vAlign w:val="center"/>
                </w:tcPr>
                <w:p w14:paraId="0E4CC02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329" w:type="pct"/>
                  <w:vMerge w:val="continue"/>
                  <w:tcBorders>
                    <w:tl2br w:val="nil"/>
                    <w:tr2bl w:val="nil"/>
                  </w:tcBorders>
                  <w:noWrap w:val="0"/>
                  <w:vAlign w:val="center"/>
                </w:tcPr>
                <w:p w14:paraId="0A6F33A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418" w:type="pct"/>
                  <w:vMerge w:val="continue"/>
                  <w:tcBorders>
                    <w:tl2br w:val="nil"/>
                    <w:tr2bl w:val="nil"/>
                  </w:tcBorders>
                  <w:noWrap w:val="0"/>
                  <w:vAlign w:val="center"/>
                </w:tcPr>
                <w:p w14:paraId="71B16A7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507" w:type="pct"/>
                  <w:vMerge w:val="continue"/>
                  <w:tcBorders>
                    <w:tl2br w:val="nil"/>
                    <w:tr2bl w:val="nil"/>
                  </w:tcBorders>
                  <w:noWrap w:val="0"/>
                  <w:vAlign w:val="center"/>
                </w:tcPr>
                <w:p w14:paraId="2828E8C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345" w:type="pct"/>
                  <w:vMerge w:val="continue"/>
                  <w:tcBorders>
                    <w:tl2br w:val="nil"/>
                    <w:tr2bl w:val="nil"/>
                  </w:tcBorders>
                  <w:noWrap w:val="0"/>
                  <w:vAlign w:val="center"/>
                </w:tcPr>
                <w:p w14:paraId="07316DB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390" w:type="pct"/>
                  <w:vMerge w:val="continue"/>
                  <w:tcBorders>
                    <w:tl2br w:val="nil"/>
                    <w:tr2bl w:val="nil"/>
                  </w:tcBorders>
                  <w:noWrap w:val="0"/>
                  <w:vAlign w:val="center"/>
                </w:tcPr>
                <w:p w14:paraId="5D11C0A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485" w:type="pct"/>
                  <w:tcBorders>
                    <w:tl2br w:val="nil"/>
                    <w:tr2bl w:val="nil"/>
                  </w:tcBorders>
                  <w:shd w:val="clear" w:color="auto" w:fill="auto"/>
                  <w:noWrap w:val="0"/>
                  <w:vAlign w:val="center"/>
                </w:tcPr>
                <w:p w14:paraId="4726C624">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总磷</w:t>
                  </w:r>
                </w:p>
              </w:tc>
              <w:tc>
                <w:tcPr>
                  <w:tcW w:w="1029" w:type="pct"/>
                  <w:tcBorders>
                    <w:tl2br w:val="nil"/>
                    <w:tr2bl w:val="nil"/>
                  </w:tcBorders>
                  <w:shd w:val="clear" w:color="auto" w:fill="auto"/>
                  <w:noWrap w:val="0"/>
                  <w:vAlign w:val="center"/>
                </w:tcPr>
                <w:p w14:paraId="36075BFF">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0.5</w:t>
                  </w:r>
                </w:p>
              </w:tc>
            </w:tr>
            <w:tr w14:paraId="2EEB31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9" w:type="pct"/>
                  <w:vMerge w:val="continue"/>
                  <w:tcBorders>
                    <w:tl2br w:val="nil"/>
                    <w:tr2bl w:val="nil"/>
                  </w:tcBorders>
                  <w:noWrap w:val="0"/>
                  <w:vAlign w:val="center"/>
                </w:tcPr>
                <w:p w14:paraId="5A2C6C5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563" w:type="pct"/>
                  <w:vMerge w:val="continue"/>
                  <w:tcBorders>
                    <w:tl2br w:val="nil"/>
                    <w:tr2bl w:val="nil"/>
                  </w:tcBorders>
                  <w:noWrap w:val="0"/>
                  <w:vAlign w:val="center"/>
                </w:tcPr>
                <w:p w14:paraId="5A99993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591" w:type="pct"/>
                  <w:vMerge w:val="continue"/>
                  <w:tcBorders>
                    <w:tl2br w:val="nil"/>
                    <w:tr2bl w:val="nil"/>
                  </w:tcBorders>
                  <w:noWrap w:val="0"/>
                  <w:vAlign w:val="center"/>
                </w:tcPr>
                <w:p w14:paraId="2B914A1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329" w:type="pct"/>
                  <w:vMerge w:val="continue"/>
                  <w:tcBorders>
                    <w:tl2br w:val="nil"/>
                    <w:tr2bl w:val="nil"/>
                  </w:tcBorders>
                  <w:noWrap w:val="0"/>
                  <w:vAlign w:val="center"/>
                </w:tcPr>
                <w:p w14:paraId="326E5EE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418" w:type="pct"/>
                  <w:vMerge w:val="continue"/>
                  <w:tcBorders>
                    <w:tl2br w:val="nil"/>
                    <w:tr2bl w:val="nil"/>
                  </w:tcBorders>
                  <w:noWrap w:val="0"/>
                  <w:vAlign w:val="center"/>
                </w:tcPr>
                <w:p w14:paraId="28AE9B8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507" w:type="pct"/>
                  <w:vMerge w:val="continue"/>
                  <w:tcBorders>
                    <w:tl2br w:val="nil"/>
                    <w:tr2bl w:val="nil"/>
                  </w:tcBorders>
                  <w:noWrap w:val="0"/>
                  <w:vAlign w:val="center"/>
                </w:tcPr>
                <w:p w14:paraId="25FE647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345" w:type="pct"/>
                  <w:vMerge w:val="continue"/>
                  <w:tcBorders>
                    <w:tl2br w:val="nil"/>
                    <w:tr2bl w:val="nil"/>
                  </w:tcBorders>
                  <w:noWrap w:val="0"/>
                  <w:vAlign w:val="center"/>
                </w:tcPr>
                <w:p w14:paraId="4758C01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390" w:type="pct"/>
                  <w:vMerge w:val="continue"/>
                  <w:tcBorders>
                    <w:tl2br w:val="nil"/>
                    <w:tr2bl w:val="nil"/>
                  </w:tcBorders>
                  <w:noWrap w:val="0"/>
                  <w:vAlign w:val="center"/>
                </w:tcPr>
                <w:p w14:paraId="19CA342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485" w:type="pct"/>
                  <w:tcBorders>
                    <w:tl2br w:val="nil"/>
                    <w:tr2bl w:val="nil"/>
                  </w:tcBorders>
                  <w:shd w:val="clear" w:color="auto" w:fill="auto"/>
                  <w:noWrap w:val="0"/>
                  <w:vAlign w:val="center"/>
                </w:tcPr>
                <w:p w14:paraId="6AFCA1E7">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总氮</w:t>
                  </w:r>
                </w:p>
              </w:tc>
              <w:tc>
                <w:tcPr>
                  <w:tcW w:w="1029" w:type="pct"/>
                  <w:tcBorders>
                    <w:tl2br w:val="nil"/>
                    <w:tr2bl w:val="nil"/>
                  </w:tcBorders>
                  <w:shd w:val="clear" w:color="auto" w:fill="auto"/>
                  <w:noWrap w:val="0"/>
                  <w:vAlign w:val="center"/>
                </w:tcPr>
                <w:p w14:paraId="4037E840">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15</w:t>
                  </w:r>
                </w:p>
              </w:tc>
            </w:tr>
          </w:tbl>
          <w:p w14:paraId="504765BC">
            <w:pPr>
              <w:keepNext w:val="0"/>
              <w:keepLines w:val="0"/>
              <w:suppressLineNumbers w:val="0"/>
              <w:spacing w:before="0" w:beforeAutospacing="0" w:after="0" w:afterAutospacing="0" w:line="360" w:lineRule="auto"/>
              <w:ind w:left="0" w:right="0" w:firstLine="480" w:firstLineChars="200"/>
              <w:outlineLvl w:val="0"/>
              <w:rPr>
                <w:rFonts w:hint="eastAsia"/>
                <w:color w:val="auto"/>
                <w:sz w:val="24"/>
                <w:szCs w:val="24"/>
                <w:highlight w:val="none"/>
              </w:rPr>
            </w:pPr>
          </w:p>
          <w:p w14:paraId="0810DB9F">
            <w:pPr>
              <w:keepNext w:val="0"/>
              <w:keepLines w:val="0"/>
              <w:suppressLineNumbers w:val="0"/>
              <w:spacing w:before="0" w:beforeAutospacing="0" w:after="0" w:afterAutospacing="0" w:line="360" w:lineRule="auto"/>
              <w:ind w:left="0" w:right="0" w:firstLine="480" w:firstLineChars="200"/>
              <w:outlineLvl w:val="0"/>
              <w:rPr>
                <w:rFonts w:hint="eastAsia"/>
                <w:color w:val="auto"/>
                <w:sz w:val="24"/>
                <w:szCs w:val="24"/>
                <w:highlight w:val="none"/>
              </w:rPr>
            </w:pPr>
          </w:p>
          <w:p w14:paraId="4A39D34E">
            <w:pPr>
              <w:keepNext w:val="0"/>
              <w:keepLines w:val="0"/>
              <w:suppressLineNumbers w:val="0"/>
              <w:spacing w:before="0" w:beforeAutospacing="0" w:after="0" w:afterAutospacing="0" w:line="360" w:lineRule="auto"/>
              <w:ind w:left="0" w:right="0" w:firstLine="480" w:firstLineChars="200"/>
              <w:outlineLvl w:val="0"/>
              <w:rPr>
                <w:rFonts w:hint="eastAsia"/>
                <w:color w:val="auto"/>
                <w:sz w:val="24"/>
                <w:szCs w:val="24"/>
                <w:highlight w:val="none"/>
              </w:rPr>
            </w:pPr>
          </w:p>
          <w:p w14:paraId="3AB44E9B">
            <w:pPr>
              <w:keepNext w:val="0"/>
              <w:keepLines w:val="0"/>
              <w:suppressLineNumbers w:val="0"/>
              <w:spacing w:before="0" w:beforeAutospacing="0" w:after="0" w:afterAutospacing="0" w:line="360" w:lineRule="auto"/>
              <w:ind w:left="0" w:right="0" w:firstLine="480" w:firstLineChars="200"/>
              <w:outlineLvl w:val="0"/>
              <w:rPr>
                <w:rFonts w:hint="eastAsia"/>
                <w:color w:val="auto"/>
                <w:sz w:val="24"/>
                <w:szCs w:val="24"/>
                <w:highlight w:val="none"/>
              </w:rPr>
            </w:pPr>
          </w:p>
          <w:p w14:paraId="50E0C8FE">
            <w:pPr>
              <w:keepNext w:val="0"/>
              <w:keepLines w:val="0"/>
              <w:suppressLineNumbers w:val="0"/>
              <w:spacing w:before="0" w:beforeAutospacing="0" w:after="0" w:afterAutospacing="0" w:line="360" w:lineRule="auto"/>
              <w:ind w:left="0" w:right="0" w:firstLine="480" w:firstLineChars="200"/>
              <w:outlineLvl w:val="0"/>
              <w:rPr>
                <w:rFonts w:hint="eastAsia"/>
                <w:color w:val="auto"/>
                <w:sz w:val="24"/>
                <w:szCs w:val="24"/>
                <w:highlight w:val="none"/>
              </w:rPr>
            </w:pPr>
            <w:r>
              <w:rPr>
                <w:rFonts w:hint="eastAsia"/>
                <w:color w:val="auto"/>
                <w:sz w:val="24"/>
                <w:szCs w:val="24"/>
                <w:highlight w:val="none"/>
              </w:rPr>
              <w:t>建设项目废水污染物排放执行标准</w:t>
            </w:r>
            <w:r>
              <w:rPr>
                <w:rFonts w:hint="eastAsia"/>
                <w:color w:val="auto"/>
                <w:sz w:val="24"/>
                <w:szCs w:val="24"/>
                <w:highlight w:val="none"/>
                <w:lang w:eastAsia="zh-CN"/>
              </w:rPr>
              <w:t>、</w:t>
            </w:r>
            <w:r>
              <w:rPr>
                <w:rFonts w:hint="eastAsia"/>
                <w:color w:val="auto"/>
                <w:sz w:val="24"/>
                <w:szCs w:val="24"/>
                <w:highlight w:val="none"/>
                <w:lang w:val="en-US" w:eastAsia="zh-CN"/>
              </w:rPr>
              <w:t>排放信息等</w:t>
            </w:r>
            <w:r>
              <w:rPr>
                <w:rFonts w:hint="eastAsia"/>
                <w:color w:val="auto"/>
                <w:sz w:val="24"/>
                <w:szCs w:val="24"/>
                <w:highlight w:val="none"/>
              </w:rPr>
              <w:t>详</w:t>
            </w:r>
            <w:r>
              <w:rPr>
                <w:rFonts w:hint="eastAsia"/>
                <w:color w:val="auto"/>
                <w:sz w:val="24"/>
                <w:szCs w:val="24"/>
                <w:highlight w:val="none"/>
                <w:lang w:val="en-US" w:eastAsia="zh-CN"/>
              </w:rPr>
              <w:t>见表4-11、4-12</w:t>
            </w:r>
            <w:r>
              <w:rPr>
                <w:rFonts w:hint="eastAsia"/>
                <w:color w:val="auto"/>
                <w:sz w:val="24"/>
                <w:szCs w:val="24"/>
                <w:highlight w:val="none"/>
              </w:rPr>
              <w:t>。</w:t>
            </w:r>
          </w:p>
          <w:p w14:paraId="0BDF9B3D">
            <w:pPr>
              <w:keepNext w:val="0"/>
              <w:keepLines w:val="0"/>
              <w:suppressLineNumbers w:val="0"/>
              <w:bidi w:val="0"/>
              <w:spacing w:before="0" w:beforeAutospacing="0" w:after="0" w:afterAutospacing="0" w:line="360" w:lineRule="auto"/>
              <w:ind w:left="0" w:right="0"/>
              <w:jc w:val="center"/>
              <w:rPr>
                <w:rFonts w:hint="default" w:hAnsi="黑体" w:eastAsia="黑体"/>
                <w:color w:val="auto"/>
                <w:sz w:val="24"/>
                <w:szCs w:val="24"/>
                <w:highlight w:val="none"/>
              </w:rPr>
            </w:pPr>
            <w:r>
              <w:rPr>
                <w:rFonts w:hint="eastAsia" w:hAnsi="黑体" w:eastAsia="黑体"/>
                <w:color w:val="auto"/>
                <w:sz w:val="24"/>
                <w:szCs w:val="24"/>
                <w:highlight w:val="none"/>
              </w:rPr>
              <w:t>表</w:t>
            </w:r>
            <w:r>
              <w:rPr>
                <w:rFonts w:hint="eastAsia" w:hAnsi="黑体" w:eastAsia="黑体"/>
                <w:color w:val="auto"/>
                <w:sz w:val="24"/>
                <w:szCs w:val="24"/>
                <w:highlight w:val="none"/>
                <w:lang w:val="en-US" w:eastAsia="zh-CN"/>
              </w:rPr>
              <w:t>4-11</w:t>
            </w:r>
            <w:r>
              <w:rPr>
                <w:rFonts w:hint="eastAsia" w:hAnsi="黑体" w:eastAsia="黑体"/>
                <w:color w:val="auto"/>
                <w:sz w:val="24"/>
                <w:szCs w:val="24"/>
                <w:highlight w:val="none"/>
              </w:rPr>
              <w:t xml:space="preserve"> 项目废水污染物排放执行标准表</w:t>
            </w:r>
          </w:p>
          <w:tbl>
            <w:tblPr>
              <w:tblStyle w:val="37"/>
              <w:tblW w:w="4991"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4"/>
              <w:gridCol w:w="1024"/>
              <w:gridCol w:w="1293"/>
              <w:gridCol w:w="1754"/>
              <w:gridCol w:w="1658"/>
              <w:gridCol w:w="1937"/>
              <w:gridCol w:w="2819"/>
              <w:gridCol w:w="2447"/>
            </w:tblGrid>
            <w:tr w14:paraId="73AB61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73" w:type="pct"/>
                  <w:vMerge w:val="restart"/>
                  <w:tcBorders>
                    <w:tl2br w:val="nil"/>
                    <w:tr2bl w:val="nil"/>
                  </w:tcBorders>
                  <w:noWrap w:val="0"/>
                  <w:vAlign w:val="center"/>
                </w:tcPr>
                <w:p w14:paraId="79AFA9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eastAsia"/>
                      <w:b/>
                      <w:bCs/>
                      <w:color w:val="auto"/>
                      <w:sz w:val="21"/>
                      <w:szCs w:val="21"/>
                    </w:rPr>
                    <w:t>序号</w:t>
                  </w:r>
                </w:p>
              </w:tc>
              <w:tc>
                <w:tcPr>
                  <w:tcW w:w="382" w:type="pct"/>
                  <w:vMerge w:val="restart"/>
                  <w:tcBorders>
                    <w:tl2br w:val="nil"/>
                    <w:tr2bl w:val="nil"/>
                  </w:tcBorders>
                  <w:noWrap w:val="0"/>
                  <w:vAlign w:val="center"/>
                </w:tcPr>
                <w:p w14:paraId="26D2F1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eastAsia"/>
                      <w:b/>
                      <w:bCs/>
                      <w:color w:val="auto"/>
                      <w:sz w:val="21"/>
                      <w:szCs w:val="21"/>
                    </w:rPr>
                    <w:t>排放口编号</w:t>
                  </w:r>
                </w:p>
              </w:tc>
              <w:tc>
                <w:tcPr>
                  <w:tcW w:w="482" w:type="pct"/>
                  <w:vMerge w:val="restart"/>
                  <w:tcBorders>
                    <w:tl2br w:val="nil"/>
                    <w:tr2bl w:val="nil"/>
                  </w:tcBorders>
                  <w:noWrap w:val="0"/>
                  <w:vAlign w:val="center"/>
                </w:tcPr>
                <w:p w14:paraId="115C12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eastAsia"/>
                      <w:b/>
                      <w:bCs/>
                      <w:color w:val="auto"/>
                      <w:sz w:val="21"/>
                      <w:szCs w:val="21"/>
                    </w:rPr>
                    <w:t>污染物种类</w:t>
                  </w:r>
                </w:p>
              </w:tc>
              <w:tc>
                <w:tcPr>
                  <w:tcW w:w="1273" w:type="pct"/>
                  <w:gridSpan w:val="2"/>
                  <w:tcBorders>
                    <w:tl2br w:val="nil"/>
                    <w:tr2bl w:val="nil"/>
                  </w:tcBorders>
                  <w:noWrap w:val="0"/>
                  <w:vAlign w:val="center"/>
                </w:tcPr>
                <w:p w14:paraId="13F54B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b/>
                      <w:bCs/>
                      <w:color w:val="auto"/>
                      <w:sz w:val="21"/>
                      <w:szCs w:val="21"/>
                    </w:rPr>
                  </w:pPr>
                  <w:r>
                    <w:rPr>
                      <w:rFonts w:hint="eastAsia"/>
                      <w:b/>
                      <w:bCs/>
                      <w:color w:val="auto"/>
                      <w:sz w:val="21"/>
                      <w:szCs w:val="21"/>
                    </w:rPr>
                    <w:t>国家或地方污染物排放标准及</w:t>
                  </w:r>
                </w:p>
                <w:p w14:paraId="22308E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eastAsia"/>
                      <w:b/>
                      <w:bCs/>
                      <w:color w:val="auto"/>
                      <w:sz w:val="21"/>
                      <w:szCs w:val="21"/>
                    </w:rPr>
                    <w:t>其他按规定商定的排放协议</w:t>
                  </w:r>
                </w:p>
              </w:tc>
              <w:tc>
                <w:tcPr>
                  <w:tcW w:w="722" w:type="pct"/>
                  <w:tcBorders>
                    <w:tl2br w:val="nil"/>
                    <w:tr2bl w:val="nil"/>
                  </w:tcBorders>
                  <w:noWrap w:val="0"/>
                  <w:vAlign w:val="center"/>
                </w:tcPr>
                <w:p w14:paraId="7CB0D5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b/>
                      <w:bCs/>
                      <w:color w:val="auto"/>
                      <w:sz w:val="21"/>
                      <w:szCs w:val="21"/>
                      <w:lang w:val="en-US" w:eastAsia="zh-CN"/>
                    </w:rPr>
                  </w:pPr>
                  <w:r>
                    <w:rPr>
                      <w:rFonts w:hint="eastAsia"/>
                      <w:b/>
                      <w:bCs/>
                      <w:color w:val="auto"/>
                      <w:sz w:val="21"/>
                      <w:szCs w:val="21"/>
                      <w:lang w:val="en-US" w:eastAsia="zh-CN"/>
                    </w:rPr>
                    <w:t>凤台县污水处理厂</w:t>
                  </w:r>
                </w:p>
                <w:p w14:paraId="0D5A47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lang w:val="en-US" w:eastAsia="zh-CN"/>
                    </w:rPr>
                  </w:pPr>
                  <w:r>
                    <w:rPr>
                      <w:rFonts w:hint="eastAsia"/>
                      <w:b/>
                      <w:bCs/>
                      <w:color w:val="auto"/>
                      <w:sz w:val="21"/>
                      <w:szCs w:val="21"/>
                      <w:lang w:val="en-US" w:eastAsia="zh-CN"/>
                    </w:rPr>
                    <w:t>接管限值</w:t>
                  </w:r>
                </w:p>
              </w:tc>
              <w:tc>
                <w:tcPr>
                  <w:tcW w:w="1052" w:type="pct"/>
                  <w:tcBorders>
                    <w:tl2br w:val="nil"/>
                    <w:tr2bl w:val="nil"/>
                  </w:tcBorders>
                  <w:noWrap w:val="0"/>
                  <w:vAlign w:val="center"/>
                </w:tcPr>
                <w:p w14:paraId="492D93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b/>
                      <w:bCs/>
                      <w:color w:val="auto"/>
                      <w:sz w:val="21"/>
                      <w:szCs w:val="21"/>
                      <w:lang w:val="en-US" w:eastAsia="zh-CN"/>
                    </w:rPr>
                  </w:pPr>
                  <w:r>
                    <w:rPr>
                      <w:rFonts w:hint="eastAsia"/>
                      <w:b/>
                      <w:bCs/>
                      <w:color w:val="auto"/>
                      <w:sz w:val="21"/>
                      <w:szCs w:val="21"/>
                      <w:lang w:val="en-US" w:eastAsia="zh-CN"/>
                    </w:rPr>
                    <w:t>《污水排入城镇下水道水质标准》（GB/T31962-2015）B级相关标准</w:t>
                  </w:r>
                </w:p>
              </w:tc>
              <w:tc>
                <w:tcPr>
                  <w:tcW w:w="913" w:type="pct"/>
                  <w:tcBorders>
                    <w:tl2br w:val="nil"/>
                    <w:tr2bl w:val="nil"/>
                  </w:tcBorders>
                  <w:noWrap w:val="0"/>
                  <w:vAlign w:val="center"/>
                </w:tcPr>
                <w:p w14:paraId="204941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b/>
                      <w:bCs/>
                      <w:color w:val="auto"/>
                      <w:sz w:val="21"/>
                      <w:szCs w:val="21"/>
                      <w:lang w:val="en-US" w:eastAsia="zh-CN"/>
                    </w:rPr>
                  </w:pPr>
                  <w:r>
                    <w:rPr>
                      <w:rFonts w:hint="eastAsia"/>
                      <w:b/>
                      <w:bCs/>
                      <w:color w:val="auto"/>
                      <w:sz w:val="21"/>
                      <w:szCs w:val="21"/>
                      <w:lang w:val="en-US" w:eastAsia="zh-CN"/>
                    </w:rPr>
                    <w:t>本项目排放限值</w:t>
                  </w:r>
                </w:p>
                <w:p w14:paraId="0754B9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lang w:val="en-US" w:eastAsia="zh-CN"/>
                    </w:rPr>
                  </w:pPr>
                  <w:r>
                    <w:rPr>
                      <w:rFonts w:hint="eastAsia"/>
                      <w:b/>
                      <w:bCs/>
                      <w:color w:val="auto"/>
                      <w:sz w:val="21"/>
                      <w:szCs w:val="21"/>
                      <w:lang w:val="en-US" w:eastAsia="zh-CN"/>
                    </w:rPr>
                    <w:t>（从严执行）</w:t>
                  </w:r>
                </w:p>
              </w:tc>
            </w:tr>
            <w:tr w14:paraId="170622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73" w:type="pct"/>
                  <w:vMerge w:val="continue"/>
                  <w:tcBorders>
                    <w:tl2br w:val="nil"/>
                    <w:tr2bl w:val="nil"/>
                  </w:tcBorders>
                  <w:noWrap w:val="0"/>
                  <w:vAlign w:val="center"/>
                </w:tcPr>
                <w:p w14:paraId="43D2C9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p>
              </w:tc>
              <w:tc>
                <w:tcPr>
                  <w:tcW w:w="382" w:type="pct"/>
                  <w:vMerge w:val="continue"/>
                  <w:tcBorders>
                    <w:tl2br w:val="nil"/>
                    <w:tr2bl w:val="nil"/>
                  </w:tcBorders>
                  <w:noWrap w:val="0"/>
                  <w:vAlign w:val="center"/>
                </w:tcPr>
                <w:p w14:paraId="471E03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p>
              </w:tc>
              <w:tc>
                <w:tcPr>
                  <w:tcW w:w="482" w:type="pct"/>
                  <w:vMerge w:val="continue"/>
                  <w:tcBorders>
                    <w:tl2br w:val="nil"/>
                    <w:tr2bl w:val="nil"/>
                  </w:tcBorders>
                  <w:noWrap w:val="0"/>
                  <w:vAlign w:val="center"/>
                </w:tcPr>
                <w:p w14:paraId="2D032F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p>
              </w:tc>
              <w:tc>
                <w:tcPr>
                  <w:tcW w:w="654" w:type="pct"/>
                  <w:tcBorders>
                    <w:tl2br w:val="nil"/>
                    <w:tr2bl w:val="nil"/>
                  </w:tcBorders>
                  <w:noWrap w:val="0"/>
                  <w:vAlign w:val="center"/>
                </w:tcPr>
                <w:p w14:paraId="1910C9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eastAsia"/>
                      <w:b/>
                      <w:bCs/>
                      <w:color w:val="auto"/>
                      <w:sz w:val="21"/>
                      <w:szCs w:val="21"/>
                    </w:rPr>
                    <w:t>名称</w:t>
                  </w:r>
                </w:p>
              </w:tc>
              <w:tc>
                <w:tcPr>
                  <w:tcW w:w="618" w:type="pct"/>
                  <w:tcBorders>
                    <w:tl2br w:val="nil"/>
                    <w:tr2bl w:val="nil"/>
                  </w:tcBorders>
                  <w:noWrap w:val="0"/>
                  <w:vAlign w:val="center"/>
                </w:tcPr>
                <w:p w14:paraId="33EF32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eastAsia"/>
                      <w:b/>
                      <w:bCs/>
                      <w:color w:val="auto"/>
                      <w:sz w:val="21"/>
                      <w:szCs w:val="21"/>
                    </w:rPr>
                    <w:t>浓度限值（</w:t>
                  </w:r>
                  <w:r>
                    <w:rPr>
                      <w:rFonts w:hint="default"/>
                      <w:b/>
                      <w:bCs/>
                      <w:color w:val="auto"/>
                      <w:sz w:val="21"/>
                      <w:szCs w:val="21"/>
                    </w:rPr>
                    <w:t>mg/L</w:t>
                  </w:r>
                  <w:r>
                    <w:rPr>
                      <w:rFonts w:hint="eastAsia"/>
                      <w:b/>
                      <w:bCs/>
                      <w:color w:val="auto"/>
                      <w:sz w:val="21"/>
                      <w:szCs w:val="21"/>
                    </w:rPr>
                    <w:t>）</w:t>
                  </w:r>
                </w:p>
              </w:tc>
              <w:tc>
                <w:tcPr>
                  <w:tcW w:w="722" w:type="pct"/>
                  <w:tcBorders>
                    <w:tl2br w:val="nil"/>
                    <w:tr2bl w:val="nil"/>
                  </w:tcBorders>
                  <w:noWrap w:val="0"/>
                  <w:vAlign w:val="center"/>
                </w:tcPr>
                <w:p w14:paraId="56B1D0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b/>
                      <w:bCs/>
                      <w:color w:val="auto"/>
                      <w:sz w:val="21"/>
                      <w:szCs w:val="21"/>
                    </w:rPr>
                  </w:pPr>
                  <w:r>
                    <w:rPr>
                      <w:rFonts w:hint="eastAsia"/>
                      <w:b/>
                      <w:bCs/>
                      <w:color w:val="auto"/>
                      <w:sz w:val="21"/>
                      <w:szCs w:val="21"/>
                    </w:rPr>
                    <w:t>浓度限值（</w:t>
                  </w:r>
                  <w:r>
                    <w:rPr>
                      <w:rFonts w:hint="default"/>
                      <w:b/>
                      <w:bCs/>
                      <w:color w:val="auto"/>
                      <w:sz w:val="21"/>
                      <w:szCs w:val="21"/>
                    </w:rPr>
                    <w:t>mg/L</w:t>
                  </w:r>
                  <w:r>
                    <w:rPr>
                      <w:rFonts w:hint="eastAsia"/>
                      <w:b/>
                      <w:bCs/>
                      <w:color w:val="auto"/>
                      <w:sz w:val="21"/>
                      <w:szCs w:val="21"/>
                    </w:rPr>
                    <w:t>）</w:t>
                  </w:r>
                </w:p>
              </w:tc>
              <w:tc>
                <w:tcPr>
                  <w:tcW w:w="1052" w:type="pct"/>
                  <w:tcBorders>
                    <w:tl2br w:val="nil"/>
                    <w:tr2bl w:val="nil"/>
                  </w:tcBorders>
                  <w:noWrap w:val="0"/>
                  <w:vAlign w:val="center"/>
                </w:tcPr>
                <w:p w14:paraId="413BB6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b/>
                      <w:bCs/>
                      <w:color w:val="auto"/>
                      <w:sz w:val="21"/>
                      <w:szCs w:val="21"/>
                    </w:rPr>
                  </w:pPr>
                  <w:r>
                    <w:rPr>
                      <w:rFonts w:hint="eastAsia"/>
                      <w:b/>
                      <w:bCs/>
                      <w:color w:val="auto"/>
                      <w:sz w:val="21"/>
                      <w:szCs w:val="21"/>
                    </w:rPr>
                    <w:t>浓度限值（</w:t>
                  </w:r>
                  <w:r>
                    <w:rPr>
                      <w:rFonts w:hint="default"/>
                      <w:b/>
                      <w:bCs/>
                      <w:color w:val="auto"/>
                      <w:sz w:val="21"/>
                      <w:szCs w:val="21"/>
                    </w:rPr>
                    <w:t>mg/L</w:t>
                  </w:r>
                  <w:r>
                    <w:rPr>
                      <w:rFonts w:hint="eastAsia"/>
                      <w:b/>
                      <w:bCs/>
                      <w:color w:val="auto"/>
                      <w:sz w:val="21"/>
                      <w:szCs w:val="21"/>
                    </w:rPr>
                    <w:t>）</w:t>
                  </w:r>
                </w:p>
              </w:tc>
              <w:tc>
                <w:tcPr>
                  <w:tcW w:w="913" w:type="pct"/>
                  <w:tcBorders>
                    <w:tl2br w:val="nil"/>
                    <w:tr2bl w:val="nil"/>
                  </w:tcBorders>
                  <w:noWrap w:val="0"/>
                  <w:vAlign w:val="center"/>
                </w:tcPr>
                <w:p w14:paraId="0C5268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eastAsia"/>
                      <w:b/>
                      <w:bCs/>
                      <w:color w:val="auto"/>
                      <w:sz w:val="21"/>
                      <w:szCs w:val="21"/>
                    </w:rPr>
                    <w:t>浓度限值（</w:t>
                  </w:r>
                  <w:r>
                    <w:rPr>
                      <w:rFonts w:hint="default"/>
                      <w:b/>
                      <w:bCs/>
                      <w:color w:val="auto"/>
                      <w:sz w:val="21"/>
                      <w:szCs w:val="21"/>
                    </w:rPr>
                    <w:t>mg/L</w:t>
                  </w:r>
                  <w:r>
                    <w:rPr>
                      <w:rFonts w:hint="eastAsia"/>
                      <w:b/>
                      <w:bCs/>
                      <w:color w:val="auto"/>
                      <w:sz w:val="21"/>
                      <w:szCs w:val="21"/>
                    </w:rPr>
                    <w:t>）</w:t>
                  </w:r>
                </w:p>
              </w:tc>
            </w:tr>
            <w:tr w14:paraId="7E3699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73" w:type="pct"/>
                  <w:vMerge w:val="restart"/>
                  <w:tcBorders>
                    <w:tl2br w:val="nil"/>
                    <w:tr2bl w:val="nil"/>
                  </w:tcBorders>
                  <w:noWrap w:val="0"/>
                  <w:vAlign w:val="center"/>
                </w:tcPr>
                <w:p w14:paraId="21E3DB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r>
                    <w:rPr>
                      <w:rFonts w:hint="default"/>
                      <w:color w:val="auto"/>
                      <w:sz w:val="21"/>
                      <w:szCs w:val="21"/>
                    </w:rPr>
                    <w:t>1</w:t>
                  </w:r>
                </w:p>
              </w:tc>
              <w:tc>
                <w:tcPr>
                  <w:tcW w:w="382" w:type="pct"/>
                  <w:vMerge w:val="restart"/>
                  <w:tcBorders>
                    <w:tl2br w:val="nil"/>
                    <w:tr2bl w:val="nil"/>
                  </w:tcBorders>
                  <w:noWrap w:val="0"/>
                  <w:vAlign w:val="center"/>
                </w:tcPr>
                <w:p w14:paraId="48C19F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default"/>
                      <w:color w:val="auto"/>
                      <w:sz w:val="21"/>
                      <w:szCs w:val="21"/>
                    </w:rPr>
                    <w:t>DW00</w:t>
                  </w:r>
                  <w:r>
                    <w:rPr>
                      <w:rFonts w:hint="eastAsia"/>
                      <w:color w:val="auto"/>
                      <w:sz w:val="21"/>
                      <w:szCs w:val="21"/>
                      <w:lang w:val="en-US" w:eastAsia="zh-CN"/>
                    </w:rPr>
                    <w:t>1</w:t>
                  </w:r>
                </w:p>
              </w:tc>
              <w:tc>
                <w:tcPr>
                  <w:tcW w:w="482" w:type="pct"/>
                  <w:tcBorders>
                    <w:tl2br w:val="nil"/>
                    <w:tr2bl w:val="nil"/>
                  </w:tcBorders>
                  <w:noWrap w:val="0"/>
                  <w:vAlign w:val="center"/>
                </w:tcPr>
                <w:p w14:paraId="5DAED1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eastAsia="宋体"/>
                      <w:color w:val="auto"/>
                      <w:sz w:val="21"/>
                      <w:szCs w:val="21"/>
                      <w:lang w:eastAsia="zh-CN"/>
                    </w:rPr>
                  </w:pPr>
                  <w:r>
                    <w:rPr>
                      <w:rFonts w:hint="eastAsia"/>
                      <w:color w:val="auto"/>
                      <w:sz w:val="21"/>
                      <w:szCs w:val="21"/>
                    </w:rPr>
                    <w:t>pH</w:t>
                  </w:r>
                  <w:r>
                    <w:rPr>
                      <w:rFonts w:hint="eastAsia"/>
                      <w:color w:val="auto"/>
                      <w:sz w:val="21"/>
                      <w:szCs w:val="21"/>
                      <w:lang w:eastAsia="zh-CN"/>
                    </w:rPr>
                    <w:t>（</w:t>
                  </w:r>
                  <w:r>
                    <w:rPr>
                      <w:rFonts w:hint="eastAsia"/>
                      <w:color w:val="auto"/>
                      <w:sz w:val="21"/>
                      <w:szCs w:val="21"/>
                      <w:lang w:val="en-US" w:eastAsia="zh-CN"/>
                    </w:rPr>
                    <w:t>无量纲</w:t>
                  </w:r>
                  <w:r>
                    <w:rPr>
                      <w:rFonts w:hint="eastAsia"/>
                      <w:color w:val="auto"/>
                      <w:sz w:val="21"/>
                      <w:szCs w:val="21"/>
                      <w:lang w:eastAsia="zh-CN"/>
                    </w:rPr>
                    <w:t>）</w:t>
                  </w:r>
                </w:p>
              </w:tc>
              <w:tc>
                <w:tcPr>
                  <w:tcW w:w="654" w:type="pct"/>
                  <w:vMerge w:val="restart"/>
                  <w:tcBorders>
                    <w:tl2br w:val="nil"/>
                    <w:tr2bl w:val="nil"/>
                  </w:tcBorders>
                  <w:noWrap w:val="0"/>
                  <w:vAlign w:val="center"/>
                </w:tcPr>
                <w:p w14:paraId="2467BE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r>
                    <w:rPr>
                      <w:rFonts w:hint="eastAsia"/>
                      <w:color w:val="auto"/>
                      <w:sz w:val="21"/>
                      <w:szCs w:val="21"/>
                    </w:rPr>
                    <w:t>《污水综合排放标准》（GB8978-1996）</w:t>
                  </w:r>
                </w:p>
                <w:p w14:paraId="26C054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rPr>
                    <w:t>表4中的三级标准</w:t>
                  </w:r>
                </w:p>
              </w:tc>
              <w:tc>
                <w:tcPr>
                  <w:tcW w:w="618" w:type="pct"/>
                  <w:tcBorders>
                    <w:tl2br w:val="nil"/>
                    <w:tr2bl w:val="nil"/>
                  </w:tcBorders>
                  <w:noWrap w:val="0"/>
                  <w:vAlign w:val="center"/>
                </w:tcPr>
                <w:p w14:paraId="225C3E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default"/>
                      <w:color w:val="auto"/>
                      <w:sz w:val="21"/>
                      <w:szCs w:val="21"/>
                      <w:lang w:val="en-US" w:eastAsia="zh-CN"/>
                    </w:rPr>
                    <w:t>6~9</w:t>
                  </w:r>
                </w:p>
              </w:tc>
              <w:tc>
                <w:tcPr>
                  <w:tcW w:w="722" w:type="pct"/>
                  <w:tcBorders>
                    <w:tl2br w:val="nil"/>
                    <w:tr2bl w:val="nil"/>
                  </w:tcBorders>
                  <w:shd w:val="clear" w:color="auto" w:fill="auto"/>
                  <w:noWrap w:val="0"/>
                  <w:vAlign w:val="center"/>
                </w:tcPr>
                <w:p w14:paraId="6A1D88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default"/>
                      <w:color w:val="auto"/>
                      <w:sz w:val="21"/>
                      <w:szCs w:val="21"/>
                      <w:lang w:val="en-US" w:eastAsia="zh-CN"/>
                    </w:rPr>
                    <w:t>6~9</w:t>
                  </w:r>
                </w:p>
              </w:tc>
              <w:tc>
                <w:tcPr>
                  <w:tcW w:w="1052" w:type="pct"/>
                  <w:tcBorders>
                    <w:tl2br w:val="nil"/>
                    <w:tr2bl w:val="nil"/>
                  </w:tcBorders>
                  <w:shd w:val="clear" w:color="auto" w:fill="auto"/>
                  <w:noWrap w:val="0"/>
                  <w:vAlign w:val="center"/>
                </w:tcPr>
                <w:p w14:paraId="14AB41D2">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6.5~9.5</w:t>
                  </w:r>
                </w:p>
              </w:tc>
              <w:tc>
                <w:tcPr>
                  <w:tcW w:w="913" w:type="pct"/>
                  <w:tcBorders>
                    <w:tl2br w:val="nil"/>
                    <w:tr2bl w:val="nil"/>
                  </w:tcBorders>
                  <w:shd w:val="clear" w:color="auto" w:fill="auto"/>
                  <w:noWrap w:val="0"/>
                  <w:vAlign w:val="center"/>
                </w:tcPr>
                <w:p w14:paraId="0E23C0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color w:val="auto"/>
                      <w:sz w:val="21"/>
                      <w:szCs w:val="21"/>
                      <w:lang w:val="en-US" w:eastAsia="zh-CN"/>
                    </w:rPr>
                    <w:t>6~9</w:t>
                  </w:r>
                </w:p>
              </w:tc>
            </w:tr>
            <w:tr w14:paraId="690222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73" w:type="pct"/>
                  <w:vMerge w:val="continue"/>
                  <w:tcBorders>
                    <w:tl2br w:val="nil"/>
                    <w:tr2bl w:val="nil"/>
                  </w:tcBorders>
                  <w:noWrap w:val="0"/>
                  <w:vAlign w:val="center"/>
                </w:tcPr>
                <w:p w14:paraId="6006D3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382" w:type="pct"/>
                  <w:vMerge w:val="continue"/>
                  <w:tcBorders>
                    <w:tl2br w:val="nil"/>
                    <w:tr2bl w:val="nil"/>
                  </w:tcBorders>
                  <w:noWrap w:val="0"/>
                  <w:vAlign w:val="center"/>
                </w:tcPr>
                <w:p w14:paraId="22E15E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482" w:type="pct"/>
                  <w:tcBorders>
                    <w:tl2br w:val="nil"/>
                    <w:tr2bl w:val="nil"/>
                  </w:tcBorders>
                  <w:noWrap w:val="0"/>
                  <w:vAlign w:val="center"/>
                </w:tcPr>
                <w:p w14:paraId="2B5520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COD</w:t>
                  </w:r>
                  <w:r>
                    <w:rPr>
                      <w:rFonts w:hint="eastAsia"/>
                      <w:color w:val="auto"/>
                      <w:sz w:val="21"/>
                      <w:szCs w:val="21"/>
                      <w:vertAlign w:val="subscript"/>
                      <w:lang w:val="en-US" w:eastAsia="zh-CN"/>
                    </w:rPr>
                    <w:t>Cr</w:t>
                  </w:r>
                </w:p>
              </w:tc>
              <w:tc>
                <w:tcPr>
                  <w:tcW w:w="654" w:type="pct"/>
                  <w:vMerge w:val="continue"/>
                  <w:tcBorders>
                    <w:tl2br w:val="nil"/>
                    <w:tr2bl w:val="nil"/>
                  </w:tcBorders>
                  <w:noWrap w:val="0"/>
                  <w:vAlign w:val="center"/>
                </w:tcPr>
                <w:p w14:paraId="66D726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618" w:type="pct"/>
                  <w:tcBorders>
                    <w:tl2br w:val="nil"/>
                    <w:tr2bl w:val="nil"/>
                  </w:tcBorders>
                  <w:shd w:val="clear" w:color="auto" w:fill="auto"/>
                  <w:noWrap w:val="0"/>
                  <w:vAlign w:val="center"/>
                </w:tcPr>
                <w:p w14:paraId="5B8B0D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500</w:t>
                  </w:r>
                </w:p>
              </w:tc>
              <w:tc>
                <w:tcPr>
                  <w:tcW w:w="722" w:type="pct"/>
                  <w:tcBorders>
                    <w:tl2br w:val="nil"/>
                    <w:tr2bl w:val="nil"/>
                  </w:tcBorders>
                  <w:shd w:val="clear" w:color="auto" w:fill="auto"/>
                  <w:noWrap w:val="0"/>
                  <w:vAlign w:val="center"/>
                </w:tcPr>
                <w:p w14:paraId="4F9DAE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500</w:t>
                  </w:r>
                </w:p>
              </w:tc>
              <w:tc>
                <w:tcPr>
                  <w:tcW w:w="1052" w:type="pct"/>
                  <w:tcBorders>
                    <w:tl2br w:val="nil"/>
                    <w:tr2bl w:val="nil"/>
                  </w:tcBorders>
                  <w:shd w:val="clear" w:color="auto" w:fill="auto"/>
                  <w:noWrap w:val="0"/>
                  <w:vAlign w:val="center"/>
                </w:tcPr>
                <w:p w14:paraId="77D81A88">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500</w:t>
                  </w:r>
                </w:p>
              </w:tc>
              <w:tc>
                <w:tcPr>
                  <w:tcW w:w="913" w:type="pct"/>
                  <w:tcBorders>
                    <w:tl2br w:val="nil"/>
                    <w:tr2bl w:val="nil"/>
                  </w:tcBorders>
                  <w:shd w:val="clear" w:color="auto" w:fill="auto"/>
                  <w:noWrap w:val="0"/>
                  <w:vAlign w:val="center"/>
                </w:tcPr>
                <w:p w14:paraId="059E07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500</w:t>
                  </w:r>
                </w:p>
              </w:tc>
            </w:tr>
            <w:tr w14:paraId="52D473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73" w:type="pct"/>
                  <w:vMerge w:val="continue"/>
                  <w:tcBorders>
                    <w:tl2br w:val="nil"/>
                    <w:tr2bl w:val="nil"/>
                  </w:tcBorders>
                  <w:noWrap w:val="0"/>
                  <w:vAlign w:val="center"/>
                </w:tcPr>
                <w:p w14:paraId="37C219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382" w:type="pct"/>
                  <w:vMerge w:val="continue"/>
                  <w:tcBorders>
                    <w:tl2br w:val="nil"/>
                    <w:tr2bl w:val="nil"/>
                  </w:tcBorders>
                  <w:noWrap w:val="0"/>
                  <w:vAlign w:val="center"/>
                </w:tcPr>
                <w:p w14:paraId="2D9011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482" w:type="pct"/>
                  <w:tcBorders>
                    <w:tl2br w:val="nil"/>
                    <w:tr2bl w:val="nil"/>
                  </w:tcBorders>
                  <w:noWrap w:val="0"/>
                  <w:vAlign w:val="center"/>
                </w:tcPr>
                <w:p w14:paraId="70CC3F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BOD</w:t>
                  </w:r>
                  <w:r>
                    <w:rPr>
                      <w:rFonts w:hint="eastAsia"/>
                      <w:color w:val="auto"/>
                      <w:sz w:val="21"/>
                      <w:szCs w:val="21"/>
                      <w:vertAlign w:val="subscript"/>
                      <w:lang w:val="en-US" w:eastAsia="zh-CN"/>
                    </w:rPr>
                    <w:t>5</w:t>
                  </w:r>
                </w:p>
              </w:tc>
              <w:tc>
                <w:tcPr>
                  <w:tcW w:w="654" w:type="pct"/>
                  <w:vMerge w:val="continue"/>
                  <w:tcBorders>
                    <w:tl2br w:val="nil"/>
                    <w:tr2bl w:val="nil"/>
                  </w:tcBorders>
                  <w:noWrap w:val="0"/>
                  <w:vAlign w:val="center"/>
                </w:tcPr>
                <w:p w14:paraId="293474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618" w:type="pct"/>
                  <w:tcBorders>
                    <w:tl2br w:val="nil"/>
                    <w:tr2bl w:val="nil"/>
                  </w:tcBorders>
                  <w:shd w:val="clear" w:color="auto" w:fill="auto"/>
                  <w:noWrap w:val="0"/>
                  <w:vAlign w:val="center"/>
                </w:tcPr>
                <w:p w14:paraId="71441D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300</w:t>
                  </w:r>
                </w:p>
              </w:tc>
              <w:tc>
                <w:tcPr>
                  <w:tcW w:w="722" w:type="pct"/>
                  <w:tcBorders>
                    <w:tl2br w:val="nil"/>
                    <w:tr2bl w:val="nil"/>
                  </w:tcBorders>
                  <w:shd w:val="clear" w:color="auto" w:fill="auto"/>
                  <w:noWrap w:val="0"/>
                  <w:vAlign w:val="center"/>
                </w:tcPr>
                <w:p w14:paraId="7D85BC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350</w:t>
                  </w:r>
                </w:p>
              </w:tc>
              <w:tc>
                <w:tcPr>
                  <w:tcW w:w="1052" w:type="pct"/>
                  <w:tcBorders>
                    <w:tl2br w:val="nil"/>
                    <w:tr2bl w:val="nil"/>
                  </w:tcBorders>
                  <w:shd w:val="clear" w:color="auto" w:fill="auto"/>
                  <w:noWrap w:val="0"/>
                  <w:vAlign w:val="center"/>
                </w:tcPr>
                <w:p w14:paraId="35DAB8C2">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350</w:t>
                  </w:r>
                </w:p>
              </w:tc>
              <w:tc>
                <w:tcPr>
                  <w:tcW w:w="913" w:type="pct"/>
                  <w:tcBorders>
                    <w:tl2br w:val="nil"/>
                    <w:tr2bl w:val="nil"/>
                  </w:tcBorders>
                  <w:shd w:val="clear" w:color="auto" w:fill="auto"/>
                  <w:noWrap w:val="0"/>
                  <w:vAlign w:val="center"/>
                </w:tcPr>
                <w:p w14:paraId="07ED92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300</w:t>
                  </w:r>
                </w:p>
              </w:tc>
            </w:tr>
            <w:tr w14:paraId="4DBD65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73" w:type="pct"/>
                  <w:vMerge w:val="continue"/>
                  <w:tcBorders>
                    <w:tl2br w:val="nil"/>
                    <w:tr2bl w:val="nil"/>
                  </w:tcBorders>
                  <w:noWrap w:val="0"/>
                  <w:vAlign w:val="center"/>
                </w:tcPr>
                <w:p w14:paraId="71A6E4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382" w:type="pct"/>
                  <w:vMerge w:val="continue"/>
                  <w:tcBorders>
                    <w:tl2br w:val="nil"/>
                    <w:tr2bl w:val="nil"/>
                  </w:tcBorders>
                  <w:noWrap w:val="0"/>
                  <w:vAlign w:val="center"/>
                </w:tcPr>
                <w:p w14:paraId="34D230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482" w:type="pct"/>
                  <w:tcBorders>
                    <w:tl2br w:val="nil"/>
                    <w:tr2bl w:val="nil"/>
                  </w:tcBorders>
                  <w:noWrap w:val="0"/>
                  <w:vAlign w:val="center"/>
                </w:tcPr>
                <w:p w14:paraId="0C4834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SS</w:t>
                  </w:r>
                </w:p>
              </w:tc>
              <w:tc>
                <w:tcPr>
                  <w:tcW w:w="654" w:type="pct"/>
                  <w:vMerge w:val="continue"/>
                  <w:tcBorders>
                    <w:tl2br w:val="nil"/>
                    <w:tr2bl w:val="nil"/>
                  </w:tcBorders>
                  <w:noWrap w:val="0"/>
                  <w:vAlign w:val="center"/>
                </w:tcPr>
                <w:p w14:paraId="5E7A87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618" w:type="pct"/>
                  <w:tcBorders>
                    <w:tl2br w:val="nil"/>
                    <w:tr2bl w:val="nil"/>
                  </w:tcBorders>
                  <w:shd w:val="clear" w:color="auto" w:fill="auto"/>
                  <w:noWrap w:val="0"/>
                  <w:vAlign w:val="center"/>
                </w:tcPr>
                <w:p w14:paraId="228F69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400</w:t>
                  </w:r>
                </w:p>
              </w:tc>
              <w:tc>
                <w:tcPr>
                  <w:tcW w:w="722" w:type="pct"/>
                  <w:tcBorders>
                    <w:tl2br w:val="nil"/>
                    <w:tr2bl w:val="nil"/>
                  </w:tcBorders>
                  <w:shd w:val="clear" w:color="auto" w:fill="auto"/>
                  <w:noWrap w:val="0"/>
                  <w:vAlign w:val="center"/>
                </w:tcPr>
                <w:p w14:paraId="3AF356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400</w:t>
                  </w:r>
                </w:p>
              </w:tc>
              <w:tc>
                <w:tcPr>
                  <w:tcW w:w="1052" w:type="pct"/>
                  <w:tcBorders>
                    <w:tl2br w:val="nil"/>
                    <w:tr2bl w:val="nil"/>
                  </w:tcBorders>
                  <w:shd w:val="clear" w:color="auto" w:fill="auto"/>
                  <w:noWrap w:val="0"/>
                  <w:vAlign w:val="center"/>
                </w:tcPr>
                <w:p w14:paraId="13B95ADC">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400</w:t>
                  </w:r>
                </w:p>
              </w:tc>
              <w:tc>
                <w:tcPr>
                  <w:tcW w:w="913" w:type="pct"/>
                  <w:tcBorders>
                    <w:tl2br w:val="nil"/>
                    <w:tr2bl w:val="nil"/>
                  </w:tcBorders>
                  <w:shd w:val="clear" w:color="auto" w:fill="auto"/>
                  <w:noWrap w:val="0"/>
                  <w:vAlign w:val="center"/>
                </w:tcPr>
                <w:p w14:paraId="3C5619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400</w:t>
                  </w:r>
                </w:p>
              </w:tc>
            </w:tr>
            <w:tr w14:paraId="1FB0EC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73" w:type="pct"/>
                  <w:vMerge w:val="continue"/>
                  <w:tcBorders>
                    <w:tl2br w:val="nil"/>
                    <w:tr2bl w:val="nil"/>
                  </w:tcBorders>
                  <w:noWrap w:val="0"/>
                  <w:vAlign w:val="center"/>
                </w:tcPr>
                <w:p w14:paraId="76AE99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382" w:type="pct"/>
                  <w:vMerge w:val="continue"/>
                  <w:tcBorders>
                    <w:tl2br w:val="nil"/>
                    <w:tr2bl w:val="nil"/>
                  </w:tcBorders>
                  <w:noWrap w:val="0"/>
                  <w:vAlign w:val="center"/>
                </w:tcPr>
                <w:p w14:paraId="4DBF8F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482" w:type="pct"/>
                  <w:tcBorders>
                    <w:tl2br w:val="nil"/>
                    <w:tr2bl w:val="nil"/>
                  </w:tcBorders>
                  <w:shd w:val="clear" w:color="auto" w:fill="auto"/>
                  <w:noWrap w:val="0"/>
                  <w:vAlign w:val="center"/>
                </w:tcPr>
                <w:p w14:paraId="2AD6BB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NH</w:t>
                  </w:r>
                  <w:r>
                    <w:rPr>
                      <w:rFonts w:hint="eastAsia"/>
                      <w:color w:val="auto"/>
                      <w:sz w:val="21"/>
                      <w:szCs w:val="21"/>
                      <w:vertAlign w:val="subscript"/>
                      <w:lang w:val="en-US" w:eastAsia="zh-CN"/>
                    </w:rPr>
                    <w:t>3</w:t>
                  </w:r>
                  <w:r>
                    <w:rPr>
                      <w:rFonts w:hint="eastAsia"/>
                      <w:color w:val="auto"/>
                      <w:sz w:val="21"/>
                      <w:szCs w:val="21"/>
                      <w:lang w:val="en-US" w:eastAsia="zh-CN"/>
                    </w:rPr>
                    <w:t>-N</w:t>
                  </w:r>
                </w:p>
              </w:tc>
              <w:tc>
                <w:tcPr>
                  <w:tcW w:w="654" w:type="pct"/>
                  <w:vMerge w:val="continue"/>
                  <w:tcBorders>
                    <w:tl2br w:val="nil"/>
                    <w:tr2bl w:val="nil"/>
                  </w:tcBorders>
                  <w:noWrap w:val="0"/>
                  <w:vAlign w:val="center"/>
                </w:tcPr>
                <w:p w14:paraId="37C16E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618" w:type="pct"/>
                  <w:tcBorders>
                    <w:tl2br w:val="nil"/>
                    <w:tr2bl w:val="nil"/>
                  </w:tcBorders>
                  <w:shd w:val="clear" w:color="auto" w:fill="auto"/>
                  <w:noWrap w:val="0"/>
                  <w:vAlign w:val="center"/>
                </w:tcPr>
                <w:p w14:paraId="22C567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w:t>
                  </w:r>
                </w:p>
              </w:tc>
              <w:tc>
                <w:tcPr>
                  <w:tcW w:w="722" w:type="pct"/>
                  <w:tcBorders>
                    <w:tl2br w:val="nil"/>
                    <w:tr2bl w:val="nil"/>
                  </w:tcBorders>
                  <w:shd w:val="clear" w:color="auto" w:fill="auto"/>
                  <w:noWrap w:val="0"/>
                  <w:vAlign w:val="center"/>
                </w:tcPr>
                <w:p w14:paraId="5A74BE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45</w:t>
                  </w:r>
                </w:p>
              </w:tc>
              <w:tc>
                <w:tcPr>
                  <w:tcW w:w="1052" w:type="pct"/>
                  <w:tcBorders>
                    <w:tl2br w:val="nil"/>
                    <w:tr2bl w:val="nil"/>
                  </w:tcBorders>
                  <w:shd w:val="clear" w:color="auto" w:fill="auto"/>
                  <w:noWrap w:val="0"/>
                  <w:vAlign w:val="center"/>
                </w:tcPr>
                <w:p w14:paraId="2C85FE3F">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45</w:t>
                  </w:r>
                </w:p>
              </w:tc>
              <w:tc>
                <w:tcPr>
                  <w:tcW w:w="913" w:type="pct"/>
                  <w:tcBorders>
                    <w:tl2br w:val="nil"/>
                    <w:tr2bl w:val="nil"/>
                  </w:tcBorders>
                  <w:shd w:val="clear" w:color="auto" w:fill="auto"/>
                  <w:noWrap w:val="0"/>
                  <w:vAlign w:val="center"/>
                </w:tcPr>
                <w:p w14:paraId="3FB9F2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45</w:t>
                  </w:r>
                </w:p>
              </w:tc>
            </w:tr>
            <w:tr w14:paraId="1ADF5D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73" w:type="pct"/>
                  <w:vMerge w:val="continue"/>
                  <w:tcBorders>
                    <w:tl2br w:val="nil"/>
                    <w:tr2bl w:val="nil"/>
                  </w:tcBorders>
                  <w:noWrap w:val="0"/>
                  <w:vAlign w:val="center"/>
                </w:tcPr>
                <w:p w14:paraId="3101AD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382" w:type="pct"/>
                  <w:vMerge w:val="continue"/>
                  <w:tcBorders>
                    <w:tl2br w:val="nil"/>
                    <w:tr2bl w:val="nil"/>
                  </w:tcBorders>
                  <w:noWrap w:val="0"/>
                  <w:vAlign w:val="center"/>
                </w:tcPr>
                <w:p w14:paraId="2675D1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482" w:type="pct"/>
                  <w:tcBorders>
                    <w:tl2br w:val="nil"/>
                    <w:tr2bl w:val="nil"/>
                  </w:tcBorders>
                  <w:shd w:val="clear" w:color="auto" w:fill="auto"/>
                  <w:noWrap w:val="0"/>
                  <w:vAlign w:val="center"/>
                </w:tcPr>
                <w:p w14:paraId="696494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总磷</w:t>
                  </w:r>
                </w:p>
              </w:tc>
              <w:tc>
                <w:tcPr>
                  <w:tcW w:w="654" w:type="pct"/>
                  <w:vMerge w:val="continue"/>
                  <w:tcBorders>
                    <w:tl2br w:val="nil"/>
                    <w:tr2bl w:val="nil"/>
                  </w:tcBorders>
                  <w:noWrap w:val="0"/>
                  <w:vAlign w:val="center"/>
                </w:tcPr>
                <w:p w14:paraId="108B6E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618" w:type="pct"/>
                  <w:tcBorders>
                    <w:tl2br w:val="nil"/>
                    <w:tr2bl w:val="nil"/>
                  </w:tcBorders>
                  <w:shd w:val="clear" w:color="auto" w:fill="auto"/>
                  <w:noWrap w:val="0"/>
                  <w:vAlign w:val="center"/>
                </w:tcPr>
                <w:p w14:paraId="5865C3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w:t>
                  </w:r>
                </w:p>
              </w:tc>
              <w:tc>
                <w:tcPr>
                  <w:tcW w:w="722" w:type="pct"/>
                  <w:tcBorders>
                    <w:tl2br w:val="nil"/>
                    <w:tr2bl w:val="nil"/>
                  </w:tcBorders>
                  <w:shd w:val="clear" w:color="auto" w:fill="auto"/>
                  <w:noWrap w:val="0"/>
                  <w:vAlign w:val="center"/>
                </w:tcPr>
                <w:p w14:paraId="24C8BD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4</w:t>
                  </w:r>
                </w:p>
              </w:tc>
              <w:tc>
                <w:tcPr>
                  <w:tcW w:w="1052" w:type="pct"/>
                  <w:tcBorders>
                    <w:tl2br w:val="nil"/>
                    <w:tr2bl w:val="nil"/>
                  </w:tcBorders>
                  <w:shd w:val="clear" w:color="auto" w:fill="auto"/>
                  <w:noWrap w:val="0"/>
                  <w:vAlign w:val="center"/>
                </w:tcPr>
                <w:p w14:paraId="33813D73">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8</w:t>
                  </w:r>
                </w:p>
              </w:tc>
              <w:tc>
                <w:tcPr>
                  <w:tcW w:w="913" w:type="pct"/>
                  <w:tcBorders>
                    <w:tl2br w:val="nil"/>
                    <w:tr2bl w:val="nil"/>
                  </w:tcBorders>
                  <w:shd w:val="clear" w:color="auto" w:fill="auto"/>
                  <w:noWrap w:val="0"/>
                  <w:vAlign w:val="center"/>
                </w:tcPr>
                <w:p w14:paraId="624F6A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4</w:t>
                  </w:r>
                </w:p>
              </w:tc>
            </w:tr>
            <w:tr w14:paraId="075F2E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73" w:type="pct"/>
                  <w:vMerge w:val="continue"/>
                  <w:tcBorders>
                    <w:tl2br w:val="nil"/>
                    <w:tr2bl w:val="nil"/>
                  </w:tcBorders>
                  <w:noWrap w:val="0"/>
                  <w:vAlign w:val="center"/>
                </w:tcPr>
                <w:p w14:paraId="1D5995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382" w:type="pct"/>
                  <w:vMerge w:val="continue"/>
                  <w:tcBorders>
                    <w:tl2br w:val="nil"/>
                    <w:tr2bl w:val="nil"/>
                  </w:tcBorders>
                  <w:noWrap w:val="0"/>
                  <w:vAlign w:val="center"/>
                </w:tcPr>
                <w:p w14:paraId="74AEE5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482" w:type="pct"/>
                  <w:tcBorders>
                    <w:tl2br w:val="nil"/>
                    <w:tr2bl w:val="nil"/>
                  </w:tcBorders>
                  <w:shd w:val="clear" w:color="auto" w:fill="auto"/>
                  <w:noWrap w:val="0"/>
                  <w:vAlign w:val="center"/>
                </w:tcPr>
                <w:p w14:paraId="4C1036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lang w:val="en-US" w:eastAsia="zh-CN"/>
                    </w:rPr>
                    <w:t>总氮</w:t>
                  </w:r>
                </w:p>
              </w:tc>
              <w:tc>
                <w:tcPr>
                  <w:tcW w:w="654" w:type="pct"/>
                  <w:vMerge w:val="continue"/>
                  <w:tcBorders>
                    <w:tl2br w:val="nil"/>
                    <w:tr2bl w:val="nil"/>
                  </w:tcBorders>
                  <w:noWrap w:val="0"/>
                  <w:vAlign w:val="center"/>
                </w:tcPr>
                <w:p w14:paraId="0C7EC7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p>
              </w:tc>
              <w:tc>
                <w:tcPr>
                  <w:tcW w:w="618" w:type="pct"/>
                  <w:tcBorders>
                    <w:tl2br w:val="nil"/>
                    <w:tr2bl w:val="nil"/>
                  </w:tcBorders>
                  <w:shd w:val="clear" w:color="auto" w:fill="auto"/>
                  <w:noWrap w:val="0"/>
                  <w:vAlign w:val="center"/>
                </w:tcPr>
                <w:p w14:paraId="279211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lang w:val="en-US" w:eastAsia="zh-CN"/>
                    </w:rPr>
                  </w:pPr>
                  <w:r>
                    <w:rPr>
                      <w:rFonts w:hint="eastAsia"/>
                      <w:color w:val="auto"/>
                      <w:sz w:val="21"/>
                      <w:szCs w:val="21"/>
                      <w:lang w:val="en-US" w:eastAsia="zh-CN"/>
                    </w:rPr>
                    <w:t>/</w:t>
                  </w:r>
                </w:p>
              </w:tc>
              <w:tc>
                <w:tcPr>
                  <w:tcW w:w="722" w:type="pct"/>
                  <w:tcBorders>
                    <w:tl2br w:val="nil"/>
                    <w:tr2bl w:val="nil"/>
                  </w:tcBorders>
                  <w:shd w:val="clear" w:color="auto" w:fill="auto"/>
                  <w:noWrap w:val="0"/>
                  <w:vAlign w:val="center"/>
                </w:tcPr>
                <w:p w14:paraId="73FDDB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w:t>
                  </w:r>
                </w:p>
              </w:tc>
              <w:tc>
                <w:tcPr>
                  <w:tcW w:w="1052" w:type="pct"/>
                  <w:tcBorders>
                    <w:tl2br w:val="nil"/>
                    <w:tr2bl w:val="nil"/>
                  </w:tcBorders>
                  <w:shd w:val="clear" w:color="auto" w:fill="auto"/>
                  <w:noWrap w:val="0"/>
                  <w:vAlign w:val="center"/>
                </w:tcPr>
                <w:p w14:paraId="1AFF28FE">
                  <w:pPr>
                    <w:pStyle w:val="14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70</w:t>
                  </w:r>
                </w:p>
              </w:tc>
              <w:tc>
                <w:tcPr>
                  <w:tcW w:w="913" w:type="pct"/>
                  <w:tcBorders>
                    <w:tl2br w:val="nil"/>
                    <w:tr2bl w:val="nil"/>
                  </w:tcBorders>
                  <w:shd w:val="clear" w:color="auto" w:fill="auto"/>
                  <w:noWrap w:val="0"/>
                  <w:vAlign w:val="center"/>
                </w:tcPr>
                <w:p w14:paraId="3D463D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70</w:t>
                  </w:r>
                </w:p>
              </w:tc>
            </w:tr>
          </w:tbl>
          <w:p w14:paraId="167F05D2">
            <w:pPr>
              <w:keepNext w:val="0"/>
              <w:keepLines w:val="0"/>
              <w:suppressLineNumbers w:val="0"/>
              <w:bidi w:val="0"/>
              <w:spacing w:before="0" w:beforeAutospacing="0" w:after="0" w:afterAutospacing="0" w:line="360" w:lineRule="auto"/>
              <w:ind w:left="0" w:right="0"/>
              <w:jc w:val="left"/>
              <w:rPr>
                <w:rFonts w:hint="eastAsia" w:hAnsi="黑体" w:eastAsia="黑体"/>
                <w:color w:val="auto"/>
                <w:sz w:val="24"/>
                <w:szCs w:val="24"/>
                <w:highlight w:val="none"/>
              </w:rPr>
            </w:pPr>
          </w:p>
          <w:p w14:paraId="28438B34">
            <w:pPr>
              <w:keepNext w:val="0"/>
              <w:keepLines w:val="0"/>
              <w:suppressLineNumbers w:val="0"/>
              <w:bidi w:val="0"/>
              <w:spacing w:before="0" w:beforeAutospacing="0" w:after="0" w:afterAutospacing="0" w:line="360" w:lineRule="auto"/>
              <w:ind w:left="0" w:right="0"/>
              <w:jc w:val="left"/>
              <w:rPr>
                <w:rFonts w:hint="eastAsia" w:hAnsi="黑体" w:eastAsia="黑体"/>
                <w:color w:val="auto"/>
                <w:sz w:val="24"/>
                <w:szCs w:val="24"/>
                <w:highlight w:val="none"/>
              </w:rPr>
            </w:pPr>
          </w:p>
          <w:p w14:paraId="5E1DD41B">
            <w:pPr>
              <w:keepNext w:val="0"/>
              <w:keepLines w:val="0"/>
              <w:suppressLineNumbers w:val="0"/>
              <w:bidi w:val="0"/>
              <w:spacing w:before="0" w:beforeAutospacing="0" w:after="0" w:afterAutospacing="0" w:line="360" w:lineRule="auto"/>
              <w:ind w:left="0" w:right="0"/>
              <w:jc w:val="left"/>
              <w:rPr>
                <w:rFonts w:hint="eastAsia" w:hAnsi="黑体" w:eastAsia="黑体"/>
                <w:color w:val="auto"/>
                <w:sz w:val="24"/>
                <w:szCs w:val="24"/>
                <w:highlight w:val="none"/>
              </w:rPr>
            </w:pPr>
          </w:p>
          <w:p w14:paraId="15F6A23C">
            <w:pPr>
              <w:keepNext w:val="0"/>
              <w:keepLines w:val="0"/>
              <w:suppressLineNumbers w:val="0"/>
              <w:bidi w:val="0"/>
              <w:spacing w:before="0" w:beforeAutospacing="0" w:after="0" w:afterAutospacing="0" w:line="360" w:lineRule="auto"/>
              <w:ind w:left="0" w:right="0"/>
              <w:jc w:val="left"/>
              <w:rPr>
                <w:rFonts w:hint="eastAsia" w:hAnsi="黑体" w:eastAsia="黑体"/>
                <w:color w:val="auto"/>
                <w:sz w:val="24"/>
                <w:szCs w:val="24"/>
                <w:highlight w:val="none"/>
              </w:rPr>
            </w:pPr>
          </w:p>
          <w:p w14:paraId="3BADB09A">
            <w:pPr>
              <w:keepNext w:val="0"/>
              <w:keepLines w:val="0"/>
              <w:suppressLineNumbers w:val="0"/>
              <w:bidi w:val="0"/>
              <w:spacing w:before="0" w:beforeAutospacing="0" w:after="0" w:afterAutospacing="0" w:line="360" w:lineRule="auto"/>
              <w:ind w:left="0" w:right="0"/>
              <w:jc w:val="left"/>
              <w:rPr>
                <w:rFonts w:hint="eastAsia" w:hAnsi="黑体" w:eastAsia="黑体"/>
                <w:color w:val="auto"/>
                <w:sz w:val="24"/>
                <w:szCs w:val="24"/>
                <w:highlight w:val="none"/>
              </w:rPr>
            </w:pPr>
          </w:p>
          <w:p w14:paraId="09FDE9A1">
            <w:pPr>
              <w:keepNext w:val="0"/>
              <w:keepLines w:val="0"/>
              <w:suppressLineNumbers w:val="0"/>
              <w:bidi w:val="0"/>
              <w:spacing w:before="0" w:beforeAutospacing="0" w:after="0" w:afterAutospacing="0" w:line="360" w:lineRule="auto"/>
              <w:ind w:left="0" w:right="0"/>
              <w:jc w:val="center"/>
              <w:rPr>
                <w:rFonts w:hint="eastAsia" w:hAnsi="黑体" w:eastAsia="黑体"/>
                <w:color w:val="auto"/>
                <w:sz w:val="24"/>
                <w:szCs w:val="24"/>
                <w:highlight w:val="none"/>
              </w:rPr>
            </w:pPr>
            <w:r>
              <w:rPr>
                <w:rFonts w:hint="eastAsia" w:hAnsi="黑体" w:eastAsia="黑体"/>
                <w:color w:val="auto"/>
                <w:sz w:val="24"/>
                <w:szCs w:val="24"/>
                <w:highlight w:val="none"/>
              </w:rPr>
              <w:t>表</w:t>
            </w:r>
            <w:r>
              <w:rPr>
                <w:rFonts w:hint="eastAsia" w:hAnsi="黑体" w:eastAsia="黑体"/>
                <w:color w:val="auto"/>
                <w:sz w:val="24"/>
                <w:szCs w:val="24"/>
                <w:highlight w:val="none"/>
                <w:lang w:val="en-US" w:eastAsia="zh-CN"/>
              </w:rPr>
              <w:t>4-12</w:t>
            </w:r>
            <w:r>
              <w:rPr>
                <w:rFonts w:hint="eastAsia" w:hAnsi="黑体" w:eastAsia="黑体"/>
                <w:color w:val="auto"/>
                <w:sz w:val="24"/>
                <w:szCs w:val="24"/>
                <w:highlight w:val="none"/>
              </w:rPr>
              <w:t xml:space="preserve"> 项目废水污染物排放信息表</w:t>
            </w:r>
          </w:p>
          <w:tbl>
            <w:tblPr>
              <w:tblStyle w:val="37"/>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0"/>
              <w:gridCol w:w="2325"/>
              <w:gridCol w:w="1762"/>
              <w:gridCol w:w="2287"/>
              <w:gridCol w:w="2120"/>
              <w:gridCol w:w="1987"/>
              <w:gridCol w:w="2473"/>
            </w:tblGrid>
            <w:tr w14:paraId="5617EB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71" w:type="pct"/>
                  <w:tcBorders>
                    <w:tl2br w:val="nil"/>
                    <w:tr2bl w:val="nil"/>
                  </w:tcBorders>
                  <w:noWrap w:val="0"/>
                  <w:vAlign w:val="center"/>
                </w:tcPr>
                <w:p w14:paraId="26EFAE8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序号</w:t>
                  </w:r>
                </w:p>
              </w:tc>
              <w:tc>
                <w:tcPr>
                  <w:tcW w:w="866" w:type="pct"/>
                  <w:tcBorders>
                    <w:tl2br w:val="nil"/>
                    <w:tr2bl w:val="nil"/>
                  </w:tcBorders>
                  <w:noWrap w:val="0"/>
                  <w:vAlign w:val="center"/>
                </w:tcPr>
                <w:p w14:paraId="2462480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排放口编号</w:t>
                  </w:r>
                </w:p>
              </w:tc>
              <w:tc>
                <w:tcPr>
                  <w:tcW w:w="656" w:type="pct"/>
                  <w:tcBorders>
                    <w:tl2br w:val="nil"/>
                    <w:tr2bl w:val="nil"/>
                  </w:tcBorders>
                  <w:noWrap w:val="0"/>
                  <w:vAlign w:val="center"/>
                </w:tcPr>
                <w:p w14:paraId="235488F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污染物种类</w:t>
                  </w:r>
                </w:p>
              </w:tc>
              <w:tc>
                <w:tcPr>
                  <w:tcW w:w="852" w:type="pct"/>
                  <w:tcBorders>
                    <w:tl2br w:val="nil"/>
                    <w:tr2bl w:val="nil"/>
                  </w:tcBorders>
                  <w:noWrap w:val="0"/>
                  <w:vAlign w:val="center"/>
                </w:tcPr>
                <w:p w14:paraId="4DB57D8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排放浓度（mg/L）</w:t>
                  </w:r>
                </w:p>
              </w:tc>
              <w:tc>
                <w:tcPr>
                  <w:tcW w:w="790" w:type="pct"/>
                  <w:tcBorders>
                    <w:tl2br w:val="nil"/>
                    <w:tr2bl w:val="nil"/>
                  </w:tcBorders>
                  <w:noWrap w:val="0"/>
                  <w:vAlign w:val="center"/>
                </w:tcPr>
                <w:p w14:paraId="1F8C0C6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eastAsia="宋体"/>
                      <w:b/>
                      <w:color w:val="auto"/>
                      <w:sz w:val="21"/>
                      <w:szCs w:val="21"/>
                      <w:highlight w:val="none"/>
                      <w:lang w:val="en-US" w:eastAsia="zh-CN"/>
                    </w:rPr>
                  </w:pPr>
                  <w:r>
                    <w:rPr>
                      <w:rFonts w:hint="eastAsia"/>
                      <w:b/>
                      <w:color w:val="auto"/>
                      <w:sz w:val="21"/>
                      <w:szCs w:val="21"/>
                      <w:highlight w:val="none"/>
                      <w:lang w:val="en-US" w:eastAsia="zh-CN"/>
                    </w:rPr>
                    <w:t>浓度限值（mg/L）</w:t>
                  </w:r>
                </w:p>
              </w:tc>
              <w:tc>
                <w:tcPr>
                  <w:tcW w:w="740" w:type="pct"/>
                  <w:tcBorders>
                    <w:tl2br w:val="nil"/>
                    <w:tr2bl w:val="nil"/>
                  </w:tcBorders>
                  <w:noWrap w:val="0"/>
                  <w:vAlign w:val="center"/>
                </w:tcPr>
                <w:p w14:paraId="479E675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日排放量（t/d）</w:t>
                  </w:r>
                </w:p>
              </w:tc>
              <w:tc>
                <w:tcPr>
                  <w:tcW w:w="921" w:type="pct"/>
                  <w:tcBorders>
                    <w:tl2br w:val="nil"/>
                    <w:tr2bl w:val="nil"/>
                  </w:tcBorders>
                  <w:noWrap w:val="0"/>
                  <w:vAlign w:val="center"/>
                </w:tcPr>
                <w:p w14:paraId="33D38A4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b/>
                      <w:color w:val="auto"/>
                      <w:sz w:val="21"/>
                      <w:szCs w:val="21"/>
                      <w:highlight w:val="none"/>
                    </w:rPr>
                  </w:pPr>
                  <w:r>
                    <w:rPr>
                      <w:rFonts w:hint="eastAsia"/>
                      <w:b/>
                      <w:color w:val="auto"/>
                      <w:sz w:val="21"/>
                      <w:szCs w:val="21"/>
                      <w:highlight w:val="none"/>
                    </w:rPr>
                    <w:t>年排放量（t/a）</w:t>
                  </w:r>
                </w:p>
              </w:tc>
            </w:tr>
            <w:tr w14:paraId="198634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171" w:type="pct"/>
                  <w:vMerge w:val="restart"/>
                  <w:tcBorders>
                    <w:tl2br w:val="nil"/>
                    <w:tr2bl w:val="nil"/>
                  </w:tcBorders>
                  <w:noWrap w:val="0"/>
                  <w:vAlign w:val="center"/>
                </w:tcPr>
                <w:p w14:paraId="2737A38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r>
                    <w:rPr>
                      <w:rFonts w:hint="eastAsia"/>
                      <w:color w:val="auto"/>
                      <w:sz w:val="21"/>
                      <w:szCs w:val="21"/>
                      <w:highlight w:val="none"/>
                    </w:rPr>
                    <w:t>1</w:t>
                  </w:r>
                </w:p>
              </w:tc>
              <w:tc>
                <w:tcPr>
                  <w:tcW w:w="866" w:type="pct"/>
                  <w:vMerge w:val="restart"/>
                  <w:tcBorders>
                    <w:tl2br w:val="nil"/>
                    <w:tr2bl w:val="nil"/>
                  </w:tcBorders>
                  <w:noWrap w:val="0"/>
                  <w:vAlign w:val="center"/>
                </w:tcPr>
                <w:p w14:paraId="3684C71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eastAsia="宋体"/>
                      <w:color w:val="auto"/>
                      <w:sz w:val="21"/>
                      <w:szCs w:val="21"/>
                      <w:highlight w:val="none"/>
                      <w:lang w:val="en-US" w:eastAsia="zh-CN"/>
                    </w:rPr>
                  </w:pPr>
                  <w:r>
                    <w:rPr>
                      <w:rFonts w:hint="eastAsia"/>
                      <w:color w:val="auto"/>
                      <w:sz w:val="21"/>
                      <w:szCs w:val="21"/>
                      <w:highlight w:val="none"/>
                    </w:rPr>
                    <w:t>DW0</w:t>
                  </w:r>
                  <w:r>
                    <w:rPr>
                      <w:rFonts w:hint="eastAsia"/>
                      <w:color w:val="auto"/>
                      <w:sz w:val="21"/>
                      <w:szCs w:val="21"/>
                      <w:highlight w:val="none"/>
                      <w:lang w:val="en-US" w:eastAsia="zh-CN"/>
                    </w:rPr>
                    <w:t>01</w:t>
                  </w:r>
                </w:p>
              </w:tc>
              <w:tc>
                <w:tcPr>
                  <w:tcW w:w="656" w:type="pct"/>
                  <w:tcBorders>
                    <w:tl2br w:val="nil"/>
                    <w:tr2bl w:val="nil"/>
                  </w:tcBorders>
                  <w:shd w:val="clear" w:color="auto" w:fill="auto"/>
                  <w:noWrap w:val="0"/>
                  <w:vAlign w:val="center"/>
                </w:tcPr>
                <w:p w14:paraId="5A9C47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highlight w:val="none"/>
                      <w:lang w:val="en-US" w:eastAsia="zh-CN"/>
                    </w:rPr>
                  </w:pPr>
                  <w:r>
                    <w:rPr>
                      <w:rFonts w:hint="eastAsia"/>
                      <w:color w:val="auto"/>
                      <w:sz w:val="21"/>
                      <w:szCs w:val="21"/>
                    </w:rPr>
                    <w:t>pH</w:t>
                  </w:r>
                </w:p>
              </w:tc>
              <w:tc>
                <w:tcPr>
                  <w:tcW w:w="852" w:type="pct"/>
                  <w:tcBorders>
                    <w:tl2br w:val="nil"/>
                    <w:tr2bl w:val="nil"/>
                  </w:tcBorders>
                  <w:noWrap w:val="0"/>
                  <w:vAlign w:val="center"/>
                </w:tcPr>
                <w:p w14:paraId="02F0EA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6~9（无量纲）</w:t>
                  </w:r>
                </w:p>
              </w:tc>
              <w:tc>
                <w:tcPr>
                  <w:tcW w:w="790" w:type="pct"/>
                  <w:tcBorders>
                    <w:tl2br w:val="nil"/>
                    <w:tr2bl w:val="nil"/>
                  </w:tcBorders>
                  <w:noWrap w:val="0"/>
                  <w:vAlign w:val="center"/>
                </w:tcPr>
                <w:p w14:paraId="08270F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6~9（无量纲）</w:t>
                  </w:r>
                </w:p>
              </w:tc>
              <w:tc>
                <w:tcPr>
                  <w:tcW w:w="740" w:type="pct"/>
                  <w:tcBorders>
                    <w:tl2br w:val="nil"/>
                    <w:tr2bl w:val="nil"/>
                  </w:tcBorders>
                  <w:noWrap w:val="0"/>
                  <w:vAlign w:val="center"/>
                </w:tcPr>
                <w:p w14:paraId="7490DC4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921" w:type="pct"/>
                  <w:tcBorders>
                    <w:tl2br w:val="nil"/>
                    <w:tr2bl w:val="nil"/>
                  </w:tcBorders>
                  <w:noWrap w:val="0"/>
                  <w:vAlign w:val="center"/>
                </w:tcPr>
                <w:p w14:paraId="755CDA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443AFC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171" w:type="pct"/>
                  <w:vMerge w:val="continue"/>
                  <w:tcBorders>
                    <w:tl2br w:val="nil"/>
                    <w:tr2bl w:val="nil"/>
                  </w:tcBorders>
                  <w:noWrap w:val="0"/>
                  <w:vAlign w:val="center"/>
                </w:tcPr>
                <w:p w14:paraId="66565A2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866" w:type="pct"/>
                  <w:vMerge w:val="continue"/>
                  <w:tcBorders>
                    <w:tl2br w:val="nil"/>
                    <w:tr2bl w:val="nil"/>
                  </w:tcBorders>
                  <w:noWrap w:val="0"/>
                  <w:vAlign w:val="center"/>
                </w:tcPr>
                <w:p w14:paraId="56E38A5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eastAsia="宋体"/>
                      <w:color w:val="auto"/>
                      <w:sz w:val="21"/>
                      <w:szCs w:val="21"/>
                      <w:highlight w:val="none"/>
                      <w:lang w:val="en-US" w:eastAsia="zh-CN"/>
                    </w:rPr>
                  </w:pPr>
                </w:p>
              </w:tc>
              <w:tc>
                <w:tcPr>
                  <w:tcW w:w="656" w:type="pct"/>
                  <w:tcBorders>
                    <w:tl2br w:val="nil"/>
                    <w:tr2bl w:val="nil"/>
                  </w:tcBorders>
                  <w:shd w:val="clear" w:color="auto" w:fill="auto"/>
                  <w:noWrap w:val="0"/>
                  <w:vAlign w:val="center"/>
                </w:tcPr>
                <w:p w14:paraId="7B7B6F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COD</w:t>
                  </w:r>
                  <w:r>
                    <w:rPr>
                      <w:rFonts w:hint="eastAsia"/>
                      <w:color w:val="auto"/>
                      <w:sz w:val="21"/>
                      <w:szCs w:val="21"/>
                      <w:vertAlign w:val="subscript"/>
                      <w:lang w:val="en-US" w:eastAsia="zh-CN"/>
                    </w:rPr>
                    <w:t>Cr</w:t>
                  </w:r>
                </w:p>
              </w:tc>
              <w:tc>
                <w:tcPr>
                  <w:tcW w:w="852" w:type="pct"/>
                  <w:tcBorders>
                    <w:tl2br w:val="nil"/>
                    <w:tr2bl w:val="nil"/>
                  </w:tcBorders>
                  <w:noWrap w:val="0"/>
                  <w:vAlign w:val="center"/>
                </w:tcPr>
                <w:p w14:paraId="645526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330</w:t>
                  </w:r>
                </w:p>
              </w:tc>
              <w:tc>
                <w:tcPr>
                  <w:tcW w:w="790" w:type="pct"/>
                  <w:tcBorders>
                    <w:tl2br w:val="nil"/>
                    <w:tr2bl w:val="nil"/>
                  </w:tcBorders>
                  <w:noWrap w:val="0"/>
                  <w:vAlign w:val="center"/>
                </w:tcPr>
                <w:p w14:paraId="134D5E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cs="Times New Roman"/>
                      <w:color w:val="auto"/>
                      <w:sz w:val="21"/>
                      <w:szCs w:val="21"/>
                      <w:highlight w:val="none"/>
                      <w:lang w:val="en-US" w:eastAsia="zh-CN"/>
                    </w:rPr>
                  </w:pPr>
                  <w:r>
                    <w:rPr>
                      <w:rFonts w:hint="eastAsia"/>
                      <w:color w:val="auto"/>
                      <w:sz w:val="21"/>
                      <w:szCs w:val="21"/>
                      <w:lang w:val="en-US" w:eastAsia="zh-CN"/>
                    </w:rPr>
                    <w:t>500</w:t>
                  </w:r>
                </w:p>
              </w:tc>
              <w:tc>
                <w:tcPr>
                  <w:tcW w:w="740" w:type="pct"/>
                  <w:tcBorders>
                    <w:tl2br w:val="nil"/>
                    <w:tr2bl w:val="nil"/>
                  </w:tcBorders>
                  <w:noWrap w:val="0"/>
                  <w:vAlign w:val="center"/>
                </w:tcPr>
                <w:p w14:paraId="49FF268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0.0009</w:t>
                  </w:r>
                </w:p>
              </w:tc>
              <w:tc>
                <w:tcPr>
                  <w:tcW w:w="921" w:type="pct"/>
                  <w:tcBorders>
                    <w:tl2br w:val="nil"/>
                    <w:tr2bl w:val="nil"/>
                  </w:tcBorders>
                  <w:shd w:val="clear" w:color="auto" w:fill="auto"/>
                  <w:noWrap w:val="0"/>
                  <w:vAlign w:val="center"/>
                </w:tcPr>
                <w:p w14:paraId="70383B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0.218</w:t>
                  </w:r>
                </w:p>
              </w:tc>
            </w:tr>
            <w:tr w14:paraId="4A9F46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71" w:type="pct"/>
                  <w:vMerge w:val="continue"/>
                  <w:tcBorders>
                    <w:tl2br w:val="nil"/>
                    <w:tr2bl w:val="nil"/>
                  </w:tcBorders>
                  <w:noWrap w:val="0"/>
                  <w:vAlign w:val="center"/>
                </w:tcPr>
                <w:p w14:paraId="58B3023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866" w:type="pct"/>
                  <w:vMerge w:val="continue"/>
                  <w:tcBorders>
                    <w:tl2br w:val="nil"/>
                    <w:tr2bl w:val="nil"/>
                  </w:tcBorders>
                  <w:noWrap w:val="0"/>
                  <w:vAlign w:val="center"/>
                </w:tcPr>
                <w:p w14:paraId="50E9407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656" w:type="pct"/>
                  <w:tcBorders>
                    <w:tl2br w:val="nil"/>
                    <w:tr2bl w:val="nil"/>
                  </w:tcBorders>
                  <w:shd w:val="clear" w:color="auto" w:fill="auto"/>
                  <w:noWrap w:val="0"/>
                  <w:vAlign w:val="center"/>
                </w:tcPr>
                <w:p w14:paraId="56D2C2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BOD</w:t>
                  </w:r>
                  <w:r>
                    <w:rPr>
                      <w:rFonts w:hint="eastAsia"/>
                      <w:color w:val="auto"/>
                      <w:sz w:val="21"/>
                      <w:szCs w:val="21"/>
                      <w:vertAlign w:val="subscript"/>
                      <w:lang w:val="en-US" w:eastAsia="zh-CN"/>
                    </w:rPr>
                    <w:t>5</w:t>
                  </w:r>
                </w:p>
              </w:tc>
              <w:tc>
                <w:tcPr>
                  <w:tcW w:w="852" w:type="pct"/>
                  <w:tcBorders>
                    <w:tl2br w:val="nil"/>
                    <w:tr2bl w:val="nil"/>
                  </w:tcBorders>
                  <w:noWrap w:val="0"/>
                  <w:vAlign w:val="center"/>
                </w:tcPr>
                <w:p w14:paraId="714CF3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97</w:t>
                  </w:r>
                </w:p>
              </w:tc>
              <w:tc>
                <w:tcPr>
                  <w:tcW w:w="790" w:type="pct"/>
                  <w:tcBorders>
                    <w:tl2br w:val="nil"/>
                    <w:tr2bl w:val="nil"/>
                  </w:tcBorders>
                  <w:noWrap w:val="0"/>
                  <w:vAlign w:val="center"/>
                </w:tcPr>
                <w:p w14:paraId="487F83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cs="Times New Roman"/>
                      <w:color w:val="auto"/>
                      <w:sz w:val="21"/>
                      <w:szCs w:val="21"/>
                      <w:highlight w:val="none"/>
                      <w:lang w:val="en-US" w:eastAsia="zh-CN"/>
                    </w:rPr>
                  </w:pPr>
                  <w:r>
                    <w:rPr>
                      <w:rFonts w:hint="eastAsia"/>
                      <w:color w:val="auto"/>
                      <w:sz w:val="21"/>
                      <w:szCs w:val="21"/>
                      <w:lang w:val="en-US" w:eastAsia="zh-CN"/>
                    </w:rPr>
                    <w:t>300</w:t>
                  </w:r>
                </w:p>
              </w:tc>
              <w:tc>
                <w:tcPr>
                  <w:tcW w:w="740" w:type="pct"/>
                  <w:tcBorders>
                    <w:tl2br w:val="nil"/>
                    <w:tr2bl w:val="nil"/>
                  </w:tcBorders>
                  <w:noWrap w:val="0"/>
                  <w:vAlign w:val="center"/>
                </w:tcPr>
                <w:p w14:paraId="78CFB3F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0.0002</w:t>
                  </w:r>
                </w:p>
              </w:tc>
              <w:tc>
                <w:tcPr>
                  <w:tcW w:w="921" w:type="pct"/>
                  <w:tcBorders>
                    <w:tl2br w:val="nil"/>
                    <w:tr2bl w:val="nil"/>
                  </w:tcBorders>
                  <w:shd w:val="clear" w:color="auto" w:fill="auto"/>
                  <w:noWrap w:val="0"/>
                  <w:vAlign w:val="center"/>
                </w:tcPr>
                <w:p w14:paraId="2ED625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0.0642</w:t>
                  </w:r>
                </w:p>
              </w:tc>
            </w:tr>
            <w:tr w14:paraId="25DE44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71" w:type="pct"/>
                  <w:vMerge w:val="continue"/>
                  <w:tcBorders>
                    <w:tl2br w:val="nil"/>
                    <w:tr2bl w:val="nil"/>
                  </w:tcBorders>
                  <w:noWrap w:val="0"/>
                  <w:vAlign w:val="center"/>
                </w:tcPr>
                <w:p w14:paraId="553D8B3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866" w:type="pct"/>
                  <w:vMerge w:val="continue"/>
                  <w:tcBorders>
                    <w:tl2br w:val="nil"/>
                    <w:tr2bl w:val="nil"/>
                  </w:tcBorders>
                  <w:noWrap w:val="0"/>
                  <w:vAlign w:val="center"/>
                </w:tcPr>
                <w:p w14:paraId="1547F64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656" w:type="pct"/>
                  <w:tcBorders>
                    <w:tl2br w:val="nil"/>
                    <w:tr2bl w:val="nil"/>
                  </w:tcBorders>
                  <w:shd w:val="clear" w:color="auto" w:fill="auto"/>
                  <w:noWrap w:val="0"/>
                  <w:vAlign w:val="center"/>
                </w:tcPr>
                <w:p w14:paraId="045BA3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SS</w:t>
                  </w:r>
                </w:p>
              </w:tc>
              <w:tc>
                <w:tcPr>
                  <w:tcW w:w="852" w:type="pct"/>
                  <w:tcBorders>
                    <w:tl2br w:val="nil"/>
                    <w:tr2bl w:val="nil"/>
                  </w:tcBorders>
                  <w:noWrap w:val="0"/>
                  <w:vAlign w:val="center"/>
                </w:tcPr>
                <w:p w14:paraId="5399C1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145</w:t>
                  </w:r>
                </w:p>
              </w:tc>
              <w:tc>
                <w:tcPr>
                  <w:tcW w:w="790" w:type="pct"/>
                  <w:tcBorders>
                    <w:tl2br w:val="nil"/>
                    <w:tr2bl w:val="nil"/>
                  </w:tcBorders>
                  <w:noWrap w:val="0"/>
                  <w:vAlign w:val="center"/>
                </w:tcPr>
                <w:p w14:paraId="1FF32E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cs="Times New Roman"/>
                      <w:color w:val="auto"/>
                      <w:sz w:val="21"/>
                      <w:szCs w:val="21"/>
                      <w:highlight w:val="none"/>
                      <w:lang w:val="en-US" w:eastAsia="zh-CN"/>
                    </w:rPr>
                  </w:pPr>
                  <w:r>
                    <w:rPr>
                      <w:rFonts w:hint="eastAsia"/>
                      <w:color w:val="auto"/>
                      <w:sz w:val="21"/>
                      <w:szCs w:val="21"/>
                      <w:lang w:val="en-US" w:eastAsia="zh-CN"/>
                    </w:rPr>
                    <w:t>400</w:t>
                  </w:r>
                </w:p>
              </w:tc>
              <w:tc>
                <w:tcPr>
                  <w:tcW w:w="740" w:type="pct"/>
                  <w:tcBorders>
                    <w:tl2br w:val="nil"/>
                    <w:tr2bl w:val="nil"/>
                  </w:tcBorders>
                  <w:noWrap w:val="0"/>
                  <w:vAlign w:val="center"/>
                </w:tcPr>
                <w:p w14:paraId="1F87C8A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0.0004</w:t>
                  </w:r>
                </w:p>
              </w:tc>
              <w:tc>
                <w:tcPr>
                  <w:tcW w:w="921" w:type="pct"/>
                  <w:tcBorders>
                    <w:tl2br w:val="nil"/>
                    <w:tr2bl w:val="nil"/>
                  </w:tcBorders>
                  <w:shd w:val="clear" w:color="auto" w:fill="auto"/>
                  <w:noWrap w:val="0"/>
                  <w:vAlign w:val="center"/>
                </w:tcPr>
                <w:p w14:paraId="210373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0.0962</w:t>
                  </w:r>
                </w:p>
              </w:tc>
            </w:tr>
            <w:tr w14:paraId="527188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71" w:type="pct"/>
                  <w:vMerge w:val="continue"/>
                  <w:tcBorders>
                    <w:tl2br w:val="nil"/>
                    <w:tr2bl w:val="nil"/>
                  </w:tcBorders>
                  <w:noWrap w:val="0"/>
                  <w:vAlign w:val="center"/>
                </w:tcPr>
                <w:p w14:paraId="0424656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866" w:type="pct"/>
                  <w:vMerge w:val="continue"/>
                  <w:tcBorders>
                    <w:tl2br w:val="nil"/>
                    <w:tr2bl w:val="nil"/>
                  </w:tcBorders>
                  <w:noWrap w:val="0"/>
                  <w:vAlign w:val="center"/>
                </w:tcPr>
                <w:p w14:paraId="381822B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656" w:type="pct"/>
                  <w:tcBorders>
                    <w:tl2br w:val="nil"/>
                    <w:tr2bl w:val="nil"/>
                  </w:tcBorders>
                  <w:shd w:val="clear" w:color="auto" w:fill="auto"/>
                  <w:noWrap w:val="0"/>
                  <w:vAlign w:val="center"/>
                </w:tcPr>
                <w:p w14:paraId="2967E0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NH</w:t>
                  </w:r>
                  <w:r>
                    <w:rPr>
                      <w:rFonts w:hint="eastAsia"/>
                      <w:color w:val="auto"/>
                      <w:sz w:val="21"/>
                      <w:szCs w:val="21"/>
                      <w:vertAlign w:val="subscript"/>
                      <w:lang w:val="en-US" w:eastAsia="zh-CN"/>
                    </w:rPr>
                    <w:t>3</w:t>
                  </w:r>
                  <w:r>
                    <w:rPr>
                      <w:rFonts w:hint="eastAsia"/>
                      <w:color w:val="auto"/>
                      <w:sz w:val="21"/>
                      <w:szCs w:val="21"/>
                      <w:lang w:val="en-US" w:eastAsia="zh-CN"/>
                    </w:rPr>
                    <w:t>-N</w:t>
                  </w:r>
                </w:p>
              </w:tc>
              <w:tc>
                <w:tcPr>
                  <w:tcW w:w="852" w:type="pct"/>
                  <w:tcBorders>
                    <w:tl2br w:val="nil"/>
                    <w:tr2bl w:val="nil"/>
                  </w:tcBorders>
                  <w:noWrap w:val="0"/>
                  <w:vAlign w:val="center"/>
                </w:tcPr>
                <w:p w14:paraId="542F9C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32.5</w:t>
                  </w:r>
                </w:p>
              </w:tc>
              <w:tc>
                <w:tcPr>
                  <w:tcW w:w="790" w:type="pct"/>
                  <w:tcBorders>
                    <w:tl2br w:val="nil"/>
                    <w:tr2bl w:val="nil"/>
                  </w:tcBorders>
                  <w:noWrap w:val="0"/>
                  <w:vAlign w:val="center"/>
                </w:tcPr>
                <w:p w14:paraId="59C7A6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cs="Times New Roman"/>
                      <w:color w:val="auto"/>
                      <w:sz w:val="21"/>
                      <w:szCs w:val="21"/>
                      <w:highlight w:val="none"/>
                      <w:lang w:val="en-US" w:eastAsia="zh-CN"/>
                    </w:rPr>
                  </w:pPr>
                  <w:r>
                    <w:rPr>
                      <w:rFonts w:hint="eastAsia"/>
                      <w:color w:val="auto"/>
                      <w:sz w:val="21"/>
                      <w:szCs w:val="21"/>
                      <w:lang w:val="en-US" w:eastAsia="zh-CN"/>
                    </w:rPr>
                    <w:t>45</w:t>
                  </w:r>
                </w:p>
              </w:tc>
              <w:tc>
                <w:tcPr>
                  <w:tcW w:w="740" w:type="pct"/>
                  <w:tcBorders>
                    <w:tl2br w:val="nil"/>
                    <w:tr2bl w:val="nil"/>
                  </w:tcBorders>
                  <w:noWrap w:val="0"/>
                  <w:vAlign w:val="center"/>
                </w:tcPr>
                <w:p w14:paraId="39311AC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kern w:val="2"/>
                      <w:sz w:val="21"/>
                      <w:szCs w:val="21"/>
                      <w:highlight w:val="none"/>
                      <w:lang w:val="en-US" w:eastAsia="zh-CN" w:bidi="ar-SA"/>
                    </w:rPr>
                    <w:t>8.6×10</w:t>
                  </w:r>
                  <w:r>
                    <w:rPr>
                      <w:rFonts w:hint="eastAsia" w:cs="Times New Roman"/>
                      <w:color w:val="auto"/>
                      <w:kern w:val="2"/>
                      <w:sz w:val="21"/>
                      <w:szCs w:val="21"/>
                      <w:highlight w:val="none"/>
                      <w:vertAlign w:val="superscript"/>
                      <w:lang w:val="en-US" w:eastAsia="zh-CN" w:bidi="ar-SA"/>
                    </w:rPr>
                    <w:t>-5</w:t>
                  </w:r>
                </w:p>
              </w:tc>
              <w:tc>
                <w:tcPr>
                  <w:tcW w:w="921" w:type="pct"/>
                  <w:tcBorders>
                    <w:tl2br w:val="nil"/>
                    <w:tr2bl w:val="nil"/>
                  </w:tcBorders>
                  <w:shd w:val="clear" w:color="auto" w:fill="auto"/>
                  <w:noWrap w:val="0"/>
                  <w:vAlign w:val="center"/>
                </w:tcPr>
                <w:p w14:paraId="66E094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0.0215</w:t>
                  </w:r>
                </w:p>
              </w:tc>
            </w:tr>
            <w:tr w14:paraId="0F6B5D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71" w:type="pct"/>
                  <w:vMerge w:val="continue"/>
                  <w:tcBorders>
                    <w:tl2br w:val="nil"/>
                    <w:tr2bl w:val="nil"/>
                  </w:tcBorders>
                  <w:noWrap w:val="0"/>
                  <w:vAlign w:val="center"/>
                </w:tcPr>
                <w:p w14:paraId="4355149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866" w:type="pct"/>
                  <w:vMerge w:val="continue"/>
                  <w:tcBorders>
                    <w:tl2br w:val="nil"/>
                    <w:tr2bl w:val="nil"/>
                  </w:tcBorders>
                  <w:noWrap w:val="0"/>
                  <w:vAlign w:val="center"/>
                </w:tcPr>
                <w:p w14:paraId="3574B85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656" w:type="pct"/>
                  <w:tcBorders>
                    <w:tl2br w:val="nil"/>
                    <w:tr2bl w:val="nil"/>
                  </w:tcBorders>
                  <w:shd w:val="clear" w:color="auto" w:fill="auto"/>
                  <w:noWrap w:val="0"/>
                  <w:vAlign w:val="center"/>
                </w:tcPr>
                <w:p w14:paraId="6F50D4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总氮</w:t>
                  </w:r>
                </w:p>
              </w:tc>
              <w:tc>
                <w:tcPr>
                  <w:tcW w:w="852" w:type="pct"/>
                  <w:tcBorders>
                    <w:tl2br w:val="nil"/>
                    <w:tr2bl w:val="nil"/>
                  </w:tcBorders>
                  <w:shd w:val="clear" w:color="auto" w:fill="auto"/>
                  <w:noWrap w:val="0"/>
                  <w:vAlign w:val="center"/>
                </w:tcPr>
                <w:p w14:paraId="6B9522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33.2</w:t>
                  </w:r>
                </w:p>
              </w:tc>
              <w:tc>
                <w:tcPr>
                  <w:tcW w:w="790" w:type="pct"/>
                  <w:tcBorders>
                    <w:tl2br w:val="nil"/>
                    <w:tr2bl w:val="nil"/>
                  </w:tcBorders>
                  <w:shd w:val="clear" w:color="auto" w:fill="auto"/>
                  <w:noWrap w:val="0"/>
                  <w:vAlign w:val="center"/>
                </w:tcPr>
                <w:p w14:paraId="6481D2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70</w:t>
                  </w:r>
                </w:p>
              </w:tc>
              <w:tc>
                <w:tcPr>
                  <w:tcW w:w="740" w:type="pct"/>
                  <w:tcBorders>
                    <w:tl2br w:val="nil"/>
                    <w:tr2bl w:val="nil"/>
                  </w:tcBorders>
                  <w:shd w:val="clear" w:color="auto" w:fill="auto"/>
                  <w:noWrap w:val="0"/>
                  <w:vAlign w:val="center"/>
                </w:tcPr>
                <w:p w14:paraId="7E0EF1F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8.8×10</w:t>
                  </w:r>
                  <w:r>
                    <w:rPr>
                      <w:rFonts w:hint="eastAsia" w:cs="Times New Roman"/>
                      <w:color w:val="auto"/>
                      <w:kern w:val="2"/>
                      <w:sz w:val="21"/>
                      <w:szCs w:val="21"/>
                      <w:highlight w:val="none"/>
                      <w:vertAlign w:val="superscript"/>
                      <w:lang w:val="en-US" w:eastAsia="zh-CN" w:bidi="ar-SA"/>
                    </w:rPr>
                    <w:t>-5</w:t>
                  </w:r>
                </w:p>
              </w:tc>
              <w:tc>
                <w:tcPr>
                  <w:tcW w:w="921" w:type="pct"/>
                  <w:tcBorders>
                    <w:tl2br w:val="nil"/>
                    <w:tr2bl w:val="nil"/>
                  </w:tcBorders>
                  <w:shd w:val="clear" w:color="auto" w:fill="auto"/>
                  <w:noWrap w:val="0"/>
                  <w:vAlign w:val="center"/>
                </w:tcPr>
                <w:p w14:paraId="24C7BC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0.022</w:t>
                  </w:r>
                </w:p>
              </w:tc>
            </w:tr>
            <w:tr w14:paraId="7C9AE7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71" w:type="pct"/>
                  <w:vMerge w:val="continue"/>
                  <w:tcBorders>
                    <w:tl2br w:val="nil"/>
                    <w:tr2bl w:val="nil"/>
                  </w:tcBorders>
                  <w:noWrap w:val="0"/>
                  <w:vAlign w:val="center"/>
                </w:tcPr>
                <w:p w14:paraId="1AE1648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866" w:type="pct"/>
                  <w:vMerge w:val="continue"/>
                  <w:tcBorders>
                    <w:tl2br w:val="nil"/>
                    <w:tr2bl w:val="nil"/>
                  </w:tcBorders>
                  <w:noWrap w:val="0"/>
                  <w:vAlign w:val="center"/>
                </w:tcPr>
                <w:p w14:paraId="49867DF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auto"/>
                    <w:rPr>
                      <w:rFonts w:hint="eastAsia"/>
                      <w:color w:val="auto"/>
                      <w:sz w:val="21"/>
                      <w:szCs w:val="21"/>
                      <w:highlight w:val="none"/>
                    </w:rPr>
                  </w:pPr>
                </w:p>
              </w:tc>
              <w:tc>
                <w:tcPr>
                  <w:tcW w:w="656" w:type="pct"/>
                  <w:tcBorders>
                    <w:tl2br w:val="nil"/>
                    <w:tr2bl w:val="nil"/>
                  </w:tcBorders>
                  <w:shd w:val="clear" w:color="auto" w:fill="auto"/>
                  <w:noWrap w:val="0"/>
                  <w:vAlign w:val="center"/>
                </w:tcPr>
                <w:p w14:paraId="6ED336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总磷</w:t>
                  </w:r>
                </w:p>
              </w:tc>
              <w:tc>
                <w:tcPr>
                  <w:tcW w:w="852" w:type="pct"/>
                  <w:tcBorders>
                    <w:tl2br w:val="nil"/>
                    <w:tr2bl w:val="nil"/>
                  </w:tcBorders>
                  <w:shd w:val="clear" w:color="auto" w:fill="auto"/>
                  <w:noWrap w:val="0"/>
                  <w:vAlign w:val="center"/>
                </w:tcPr>
                <w:p w14:paraId="514D14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3.02</w:t>
                  </w:r>
                </w:p>
              </w:tc>
              <w:tc>
                <w:tcPr>
                  <w:tcW w:w="790" w:type="pct"/>
                  <w:tcBorders>
                    <w:tl2br w:val="nil"/>
                    <w:tr2bl w:val="nil"/>
                  </w:tcBorders>
                  <w:shd w:val="clear" w:color="auto" w:fill="auto"/>
                  <w:noWrap w:val="0"/>
                  <w:vAlign w:val="center"/>
                </w:tcPr>
                <w:p w14:paraId="5E4BE4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4</w:t>
                  </w:r>
                </w:p>
              </w:tc>
              <w:tc>
                <w:tcPr>
                  <w:tcW w:w="740" w:type="pct"/>
                  <w:tcBorders>
                    <w:tl2br w:val="nil"/>
                    <w:tr2bl w:val="nil"/>
                  </w:tcBorders>
                  <w:shd w:val="clear" w:color="auto" w:fill="auto"/>
                  <w:noWrap w:val="0"/>
                  <w:vAlign w:val="center"/>
                </w:tcPr>
                <w:p w14:paraId="2185B5E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8.0×10</w:t>
                  </w:r>
                  <w:r>
                    <w:rPr>
                      <w:rFonts w:hint="eastAsia" w:cs="Times New Roman"/>
                      <w:color w:val="auto"/>
                      <w:kern w:val="2"/>
                      <w:sz w:val="21"/>
                      <w:szCs w:val="21"/>
                      <w:highlight w:val="none"/>
                      <w:vertAlign w:val="superscript"/>
                      <w:lang w:val="en-US" w:eastAsia="zh-CN" w:bidi="ar-SA"/>
                    </w:rPr>
                    <w:t>-6</w:t>
                  </w:r>
                </w:p>
              </w:tc>
              <w:tc>
                <w:tcPr>
                  <w:tcW w:w="921" w:type="pct"/>
                  <w:tcBorders>
                    <w:tl2br w:val="nil"/>
                    <w:tr2bl w:val="nil"/>
                  </w:tcBorders>
                  <w:shd w:val="clear" w:color="auto" w:fill="auto"/>
                  <w:noWrap w:val="0"/>
                  <w:vAlign w:val="center"/>
                </w:tcPr>
                <w:p w14:paraId="0B6097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0.002</w:t>
                  </w:r>
                </w:p>
              </w:tc>
            </w:tr>
          </w:tbl>
          <w:p w14:paraId="2C32845F">
            <w:pPr>
              <w:keepNext w:val="0"/>
              <w:keepLines w:val="0"/>
              <w:suppressLineNumbers w:val="0"/>
              <w:spacing w:before="0" w:beforeAutospacing="0" w:after="0" w:afterAutospacing="0" w:line="360" w:lineRule="auto"/>
              <w:ind w:left="0" w:right="0" w:firstLine="480" w:firstLineChars="200"/>
              <w:outlineLvl w:val="0"/>
              <w:rPr>
                <w:rFonts w:hint="eastAsia"/>
                <w:color w:val="auto"/>
                <w:sz w:val="24"/>
                <w:szCs w:val="24"/>
                <w:highlight w:val="none"/>
              </w:rPr>
            </w:pPr>
            <w:r>
              <w:rPr>
                <w:rFonts w:hint="eastAsia"/>
                <w:color w:val="auto"/>
                <w:sz w:val="24"/>
                <w:szCs w:val="24"/>
                <w:highlight w:val="none"/>
                <w:lang w:val="en-US" w:eastAsia="zh-CN"/>
              </w:rPr>
              <w:t>根据上表</w:t>
            </w:r>
            <w:r>
              <w:rPr>
                <w:rFonts w:hint="eastAsia"/>
                <w:color w:val="auto"/>
                <w:sz w:val="24"/>
                <w:szCs w:val="24"/>
                <w:highlight w:val="none"/>
              </w:rPr>
              <w:t>，建设项目厂内废水总排口</w:t>
            </w:r>
            <w:r>
              <w:rPr>
                <w:rFonts w:hint="eastAsia"/>
                <w:color w:val="auto"/>
                <w:sz w:val="24"/>
                <w:szCs w:val="24"/>
                <w:highlight w:val="none"/>
                <w:lang w:val="en-US" w:eastAsia="zh-CN"/>
              </w:rPr>
              <w:t>废水</w:t>
            </w:r>
            <w:r>
              <w:rPr>
                <w:rFonts w:hint="eastAsia"/>
                <w:color w:val="auto"/>
                <w:sz w:val="24"/>
                <w:szCs w:val="24"/>
                <w:highlight w:val="none"/>
              </w:rPr>
              <w:t>污染物</w:t>
            </w:r>
            <w:r>
              <w:rPr>
                <w:rFonts w:hint="eastAsia"/>
                <w:color w:val="auto"/>
                <w:sz w:val="24"/>
                <w:szCs w:val="24"/>
                <w:highlight w:val="none"/>
                <w:lang w:val="en-US" w:eastAsia="zh-CN"/>
              </w:rPr>
              <w:t>COD</w:t>
            </w:r>
            <w:r>
              <w:rPr>
                <w:rFonts w:hint="eastAsia"/>
                <w:color w:val="auto"/>
                <w:sz w:val="24"/>
                <w:szCs w:val="24"/>
                <w:highlight w:val="none"/>
                <w:vertAlign w:val="subscript"/>
                <w:lang w:val="en-US" w:eastAsia="zh-CN"/>
              </w:rPr>
              <w:t>Cr</w:t>
            </w:r>
            <w:r>
              <w:rPr>
                <w:rFonts w:hint="eastAsia"/>
                <w:color w:val="auto"/>
                <w:sz w:val="24"/>
                <w:szCs w:val="24"/>
                <w:highlight w:val="none"/>
                <w:vertAlign w:val="baseline"/>
                <w:lang w:val="en-US" w:eastAsia="zh-CN"/>
              </w:rPr>
              <w:t>、</w:t>
            </w:r>
            <w:r>
              <w:rPr>
                <w:rFonts w:hint="eastAsia"/>
                <w:color w:val="auto"/>
                <w:sz w:val="24"/>
                <w:szCs w:val="24"/>
                <w:highlight w:val="none"/>
                <w:lang w:val="en-US" w:eastAsia="zh-CN"/>
              </w:rPr>
              <w:t>BOD</w:t>
            </w:r>
            <w:r>
              <w:rPr>
                <w:rFonts w:hint="eastAsia"/>
                <w:color w:val="auto"/>
                <w:sz w:val="24"/>
                <w:szCs w:val="24"/>
                <w:highlight w:val="none"/>
                <w:vertAlign w:val="subscript"/>
                <w:lang w:val="en-US" w:eastAsia="zh-CN"/>
              </w:rPr>
              <w:t>5</w:t>
            </w:r>
            <w:r>
              <w:rPr>
                <w:rFonts w:hint="eastAsia"/>
                <w:color w:val="auto"/>
                <w:sz w:val="24"/>
                <w:szCs w:val="24"/>
                <w:highlight w:val="none"/>
                <w:vertAlign w:val="baseline"/>
                <w:lang w:val="en-US" w:eastAsia="zh-CN"/>
              </w:rPr>
              <w:t>、</w:t>
            </w:r>
            <w:r>
              <w:rPr>
                <w:rFonts w:hint="eastAsia"/>
                <w:color w:val="auto"/>
                <w:sz w:val="24"/>
                <w:szCs w:val="24"/>
                <w:highlight w:val="none"/>
              </w:rPr>
              <w:t>SS、</w:t>
            </w:r>
            <w:r>
              <w:rPr>
                <w:rFonts w:hint="eastAsia"/>
                <w:color w:val="auto"/>
                <w:sz w:val="24"/>
                <w:szCs w:val="24"/>
                <w:highlight w:val="none"/>
                <w:lang w:val="en-US" w:eastAsia="zh-CN"/>
              </w:rPr>
              <w:t>NH</w:t>
            </w:r>
            <w:r>
              <w:rPr>
                <w:rFonts w:hint="eastAsia"/>
                <w:color w:val="auto"/>
                <w:sz w:val="24"/>
                <w:szCs w:val="24"/>
                <w:highlight w:val="none"/>
                <w:vertAlign w:val="subscript"/>
                <w:lang w:val="en-US" w:eastAsia="zh-CN"/>
              </w:rPr>
              <w:t>3</w:t>
            </w:r>
            <w:r>
              <w:rPr>
                <w:rFonts w:hint="eastAsia"/>
                <w:color w:val="auto"/>
                <w:sz w:val="24"/>
                <w:szCs w:val="24"/>
                <w:highlight w:val="none"/>
                <w:lang w:val="en-US" w:eastAsia="zh-CN"/>
              </w:rPr>
              <w:t>-N、总氮及总磷</w:t>
            </w:r>
            <w:r>
              <w:rPr>
                <w:rFonts w:hint="eastAsia"/>
                <w:color w:val="auto"/>
                <w:sz w:val="24"/>
                <w:szCs w:val="24"/>
                <w:highlight w:val="none"/>
              </w:rPr>
              <w:t>排放浓度</w:t>
            </w:r>
            <w:r>
              <w:rPr>
                <w:rFonts w:hint="eastAsia"/>
                <w:color w:val="auto"/>
                <w:sz w:val="24"/>
                <w:szCs w:val="24"/>
                <w:highlight w:val="none"/>
                <w:lang w:val="en-US" w:eastAsia="zh-CN"/>
              </w:rPr>
              <w:t>均</w:t>
            </w:r>
            <w:r>
              <w:rPr>
                <w:rFonts w:hint="eastAsia"/>
                <w:color w:val="auto"/>
                <w:sz w:val="24"/>
                <w:szCs w:val="24"/>
                <w:highlight w:val="none"/>
              </w:rPr>
              <w:t>满足</w:t>
            </w:r>
            <w:r>
              <w:rPr>
                <w:rFonts w:hint="eastAsia"/>
                <w:color w:val="auto"/>
                <w:sz w:val="24"/>
                <w:szCs w:val="24"/>
                <w:highlight w:val="none"/>
                <w:lang w:eastAsia="zh-CN"/>
              </w:rPr>
              <w:t>《污水综合排放标准》（GB8978-1996）表4中的三级标准、《污水排入城镇下水道水质标准》（GB/T31962-2015）B级相关标准及凤台县污水处理厂接管标准</w:t>
            </w:r>
            <w:r>
              <w:rPr>
                <w:rFonts w:hint="eastAsia"/>
                <w:color w:val="auto"/>
                <w:sz w:val="24"/>
                <w:szCs w:val="24"/>
                <w:highlight w:val="none"/>
                <w:lang w:val="en-US" w:eastAsia="zh-CN"/>
              </w:rPr>
              <w:t>限</w:t>
            </w:r>
            <w:r>
              <w:rPr>
                <w:rFonts w:hint="eastAsia"/>
                <w:color w:val="auto"/>
                <w:sz w:val="24"/>
                <w:szCs w:val="24"/>
                <w:highlight w:val="none"/>
                <w:lang w:eastAsia="zh-CN"/>
              </w:rPr>
              <w:t>值</w:t>
            </w:r>
            <w:r>
              <w:rPr>
                <w:rFonts w:hint="eastAsia"/>
                <w:color w:val="auto"/>
                <w:sz w:val="24"/>
                <w:szCs w:val="24"/>
                <w:highlight w:val="none"/>
              </w:rPr>
              <w:t>，</w:t>
            </w:r>
            <w:r>
              <w:rPr>
                <w:rFonts w:hint="eastAsia"/>
                <w:color w:val="auto"/>
                <w:sz w:val="24"/>
                <w:szCs w:val="24"/>
                <w:highlight w:val="none"/>
                <w:lang w:val="en-US" w:eastAsia="zh-CN"/>
              </w:rPr>
              <w:t>废水均</w:t>
            </w:r>
            <w:r>
              <w:rPr>
                <w:rFonts w:hint="eastAsia"/>
                <w:color w:val="auto"/>
                <w:sz w:val="24"/>
                <w:szCs w:val="24"/>
                <w:highlight w:val="none"/>
              </w:rPr>
              <w:t>能够达标排放，接管</w:t>
            </w:r>
            <w:r>
              <w:rPr>
                <w:rFonts w:hint="eastAsia"/>
                <w:color w:val="auto"/>
                <w:sz w:val="24"/>
                <w:szCs w:val="24"/>
                <w:highlight w:val="none"/>
                <w:lang w:val="en-US" w:eastAsia="zh-CN"/>
              </w:rPr>
              <w:t>至</w:t>
            </w:r>
            <w:r>
              <w:rPr>
                <w:rFonts w:hint="eastAsia"/>
                <w:color w:val="auto"/>
                <w:sz w:val="24"/>
                <w:szCs w:val="24"/>
                <w:highlight w:val="none"/>
                <w:lang w:eastAsia="zh-CN"/>
              </w:rPr>
              <w:t>凤台县污水处理厂</w:t>
            </w:r>
            <w:r>
              <w:rPr>
                <w:rFonts w:hint="eastAsia"/>
                <w:color w:val="auto"/>
                <w:sz w:val="24"/>
                <w:szCs w:val="24"/>
                <w:highlight w:val="none"/>
              </w:rPr>
              <w:t>处理后，尾水排入</w:t>
            </w:r>
            <w:r>
              <w:rPr>
                <w:rFonts w:hint="eastAsia"/>
                <w:color w:val="auto"/>
                <w:sz w:val="24"/>
                <w:szCs w:val="24"/>
                <w:highlight w:val="none"/>
                <w:lang w:val="en-US" w:eastAsia="zh-CN"/>
              </w:rPr>
              <w:t>架河，最终进入淮河，</w:t>
            </w:r>
            <w:r>
              <w:rPr>
                <w:rFonts w:hint="eastAsia"/>
                <w:color w:val="auto"/>
                <w:sz w:val="24"/>
                <w:szCs w:val="24"/>
                <w:highlight w:val="none"/>
              </w:rPr>
              <w:t>对区域地表水环境影响较小。</w:t>
            </w:r>
          </w:p>
          <w:p w14:paraId="00D23DEB">
            <w:pPr>
              <w:pStyle w:val="11"/>
              <w:keepNext w:val="0"/>
              <w:keepLines w:val="0"/>
              <w:suppressLineNumbers w:val="0"/>
              <w:spacing w:before="0" w:beforeAutospacing="0" w:afterAutospacing="0" w:line="360" w:lineRule="auto"/>
              <w:ind w:left="0" w:right="0"/>
              <w:rPr>
                <w:rFonts w:hint="default"/>
                <w:color w:val="auto"/>
                <w:sz w:val="24"/>
                <w:szCs w:val="24"/>
                <w:highlight w:val="none"/>
              </w:rPr>
            </w:pPr>
          </w:p>
          <w:p w14:paraId="59636F75">
            <w:pPr>
              <w:pStyle w:val="11"/>
              <w:keepNext w:val="0"/>
              <w:keepLines w:val="0"/>
              <w:suppressLineNumbers w:val="0"/>
              <w:spacing w:before="0" w:beforeAutospacing="0" w:afterAutospacing="0" w:line="360" w:lineRule="auto"/>
              <w:ind w:left="0" w:right="0"/>
              <w:rPr>
                <w:rFonts w:hint="default"/>
                <w:color w:val="auto"/>
                <w:sz w:val="24"/>
                <w:szCs w:val="24"/>
                <w:highlight w:val="none"/>
              </w:rPr>
            </w:pPr>
          </w:p>
          <w:p w14:paraId="2E1BD1FE">
            <w:pPr>
              <w:pStyle w:val="11"/>
              <w:keepNext w:val="0"/>
              <w:keepLines w:val="0"/>
              <w:suppressLineNumbers w:val="0"/>
              <w:spacing w:before="0" w:beforeAutospacing="0" w:afterAutospacing="0" w:line="360" w:lineRule="auto"/>
              <w:ind w:left="0" w:right="0"/>
              <w:rPr>
                <w:rFonts w:hint="default"/>
                <w:color w:val="auto"/>
                <w:sz w:val="24"/>
                <w:szCs w:val="24"/>
                <w:highlight w:val="none"/>
              </w:rPr>
            </w:pPr>
          </w:p>
          <w:p w14:paraId="7FB6C66D">
            <w:pPr>
              <w:pStyle w:val="11"/>
              <w:keepNext w:val="0"/>
              <w:keepLines w:val="0"/>
              <w:suppressLineNumbers w:val="0"/>
              <w:spacing w:before="0" w:beforeAutospacing="0" w:afterAutospacing="0"/>
              <w:ind w:left="0" w:right="0"/>
              <w:rPr>
                <w:rFonts w:hint="default"/>
                <w:color w:val="auto"/>
                <w:highlight w:val="none"/>
              </w:rPr>
            </w:pPr>
          </w:p>
        </w:tc>
      </w:tr>
    </w:tbl>
    <w:p w14:paraId="33127851">
      <w:pPr>
        <w:widowControl/>
        <w:outlineLvl w:val="0"/>
        <w:rPr>
          <w:rFonts w:ascii="宋体" w:hAnsi="宋体"/>
          <w:b/>
          <w:bCs/>
          <w:color w:val="auto"/>
          <w:kern w:val="0"/>
          <w:sz w:val="30"/>
          <w:szCs w:val="30"/>
          <w:highlight w:val="none"/>
        </w:rPr>
        <w:sectPr>
          <w:pgSz w:w="16838" w:h="11906" w:orient="landscape"/>
          <w:pgMar w:top="1797" w:right="1440" w:bottom="1508" w:left="1440" w:header="851" w:footer="992" w:gutter="0"/>
          <w:pgBorders>
            <w:top w:val="none" w:sz="0" w:space="0"/>
            <w:left w:val="none" w:sz="0" w:space="0"/>
            <w:bottom w:val="none" w:sz="0" w:space="0"/>
            <w:right w:val="none" w:sz="0" w:space="0"/>
          </w:pgBorders>
          <w:cols w:space="720" w:num="1"/>
          <w:docGrid w:type="lines" w:linePitch="312" w:charSpace="0"/>
        </w:sectPr>
      </w:pP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3"/>
        <w:gridCol w:w="8184"/>
      </w:tblGrid>
      <w:tr w14:paraId="6D3E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vAlign w:val="center"/>
          </w:tcPr>
          <w:p w14:paraId="4FAA0906">
            <w:pPr>
              <w:keepNext w:val="0"/>
              <w:keepLines w:val="0"/>
              <w:widowControl/>
              <w:suppressLineNumbers w:val="0"/>
              <w:spacing w:before="0" w:beforeAutospacing="0" w:after="0" w:afterAutospacing="0" w:line="360" w:lineRule="auto"/>
              <w:ind w:left="0" w:right="0"/>
              <w:jc w:val="center"/>
              <w:outlineLvl w:val="0"/>
              <w:rPr>
                <w:rFonts w:hint="default" w:ascii="宋体" w:hAnsi="宋体"/>
                <w:b/>
                <w:bCs/>
                <w:color w:val="auto"/>
                <w:kern w:val="0"/>
                <w:sz w:val="24"/>
                <w:szCs w:val="24"/>
                <w:highlight w:val="none"/>
                <w:vertAlign w:val="baseline"/>
              </w:rPr>
            </w:pPr>
            <w:r>
              <w:rPr>
                <w:rFonts w:hint="eastAsia" w:hAnsi="宋体"/>
                <w:color w:val="auto"/>
                <w:kern w:val="0"/>
                <w:sz w:val="24"/>
                <w:szCs w:val="24"/>
                <w:highlight w:val="none"/>
              </w:rPr>
              <w:t>运营期环境影响和保护措施</w:t>
            </w:r>
          </w:p>
        </w:tc>
        <w:tc>
          <w:tcPr>
            <w:tcW w:w="8044" w:type="dxa"/>
          </w:tcPr>
          <w:p w14:paraId="393AD86D">
            <w:pPr>
              <w:keepNext w:val="0"/>
              <w:keepLines w:val="0"/>
              <w:suppressLineNumbers w:val="0"/>
              <w:spacing w:before="0" w:beforeAutospacing="0" w:after="0" w:afterAutospacing="0" w:line="360" w:lineRule="auto"/>
              <w:ind w:left="0" w:right="0" w:firstLine="482" w:firstLineChars="200"/>
              <w:jc w:val="left"/>
              <w:rPr>
                <w:rFonts w:hint="default"/>
                <w:b/>
                <w:bCs w:val="0"/>
                <w:snapToGrid w:val="0"/>
                <w:color w:val="auto"/>
                <w:kern w:val="0"/>
                <w:sz w:val="24"/>
                <w:highlight w:val="none"/>
                <w:lang w:val="en-US" w:eastAsia="zh-CN"/>
              </w:rPr>
            </w:pPr>
            <w:r>
              <w:rPr>
                <w:rFonts w:hint="eastAsia"/>
                <w:b/>
                <w:bCs w:val="0"/>
                <w:snapToGrid w:val="0"/>
                <w:color w:val="auto"/>
                <w:kern w:val="0"/>
                <w:sz w:val="24"/>
                <w:highlight w:val="none"/>
                <w:lang w:val="en-US" w:eastAsia="zh-CN"/>
              </w:rPr>
              <w:t>2.运营期水</w:t>
            </w:r>
            <w:r>
              <w:rPr>
                <w:rFonts w:hint="eastAsia"/>
                <w:b/>
                <w:bCs w:val="0"/>
                <w:color w:val="auto"/>
                <w:sz w:val="24"/>
                <w:szCs w:val="28"/>
              </w:rPr>
              <w:t>环境影响和保护措施</w:t>
            </w:r>
          </w:p>
          <w:p w14:paraId="42E7B4E6">
            <w:pPr>
              <w:keepNext w:val="0"/>
              <w:keepLines w:val="0"/>
              <w:suppressLineNumbers w:val="0"/>
              <w:spacing w:before="0" w:beforeAutospacing="0" w:after="0" w:afterAutospacing="0" w:line="360" w:lineRule="auto"/>
              <w:ind w:left="0" w:right="0" w:firstLine="482" w:firstLineChars="200"/>
              <w:jc w:val="left"/>
              <w:rPr>
                <w:rFonts w:hint="default" w:eastAsia="宋体"/>
                <w:b/>
                <w:bCs w:val="0"/>
                <w:snapToGrid w:val="0"/>
                <w:color w:val="auto"/>
                <w:kern w:val="0"/>
                <w:sz w:val="24"/>
                <w:highlight w:val="none"/>
                <w:lang w:val="en-US" w:eastAsia="zh-CN"/>
              </w:rPr>
            </w:pPr>
            <w:r>
              <w:rPr>
                <w:rFonts w:hint="eastAsia"/>
                <w:b/>
                <w:bCs w:val="0"/>
                <w:snapToGrid w:val="0"/>
                <w:color w:val="auto"/>
                <w:kern w:val="0"/>
                <w:sz w:val="24"/>
                <w:highlight w:val="none"/>
                <w:lang w:val="en-US" w:eastAsia="zh-CN"/>
              </w:rPr>
              <w:t>（1）废水处理措施可行性分析</w:t>
            </w:r>
          </w:p>
          <w:p w14:paraId="11F5B52B">
            <w:pPr>
              <w:keepNext w:val="0"/>
              <w:keepLines w:val="0"/>
              <w:suppressLineNumbers w:val="0"/>
              <w:spacing w:before="0" w:beforeAutospacing="0" w:after="0" w:afterAutospacing="0" w:line="360" w:lineRule="auto"/>
              <w:ind w:left="0" w:right="0" w:firstLine="480" w:firstLineChars="200"/>
              <w:jc w:val="left"/>
              <w:rPr>
                <w:rFonts w:hint="default"/>
                <w:b w:val="0"/>
                <w:bCs/>
                <w:snapToGrid w:val="0"/>
                <w:color w:val="auto"/>
                <w:kern w:val="0"/>
                <w:sz w:val="24"/>
                <w:highlight w:val="none"/>
                <w:lang w:val="en-US" w:eastAsia="zh-CN"/>
              </w:rPr>
            </w:pPr>
            <w:r>
              <w:rPr>
                <w:rFonts w:hint="eastAsia"/>
                <w:b w:val="0"/>
                <w:bCs/>
                <w:snapToGrid w:val="0"/>
                <w:color w:val="auto"/>
                <w:kern w:val="0"/>
                <w:sz w:val="24"/>
                <w:highlight w:val="none"/>
                <w:lang w:val="en-US" w:eastAsia="zh-CN"/>
              </w:rPr>
              <w:t>项目产生的废水主要为循环冷却系统排水及生活污水，生活污水经化粪池预处理后与循环冷却系统排水一并由厂区废水总排口接管至凤台县污水处理厂处理。废水排放量约661.5m</w:t>
            </w:r>
            <w:r>
              <w:rPr>
                <w:rFonts w:hint="eastAsia"/>
                <w:b w:val="0"/>
                <w:bCs/>
                <w:snapToGrid w:val="0"/>
                <w:color w:val="auto"/>
                <w:kern w:val="0"/>
                <w:sz w:val="24"/>
                <w:highlight w:val="none"/>
                <w:vertAlign w:val="superscript"/>
                <w:lang w:val="en-US" w:eastAsia="zh-CN"/>
              </w:rPr>
              <w:t>3</w:t>
            </w:r>
            <w:r>
              <w:rPr>
                <w:rFonts w:hint="eastAsia"/>
                <w:b w:val="0"/>
                <w:bCs/>
                <w:snapToGrid w:val="0"/>
                <w:color w:val="auto"/>
                <w:kern w:val="0"/>
                <w:sz w:val="24"/>
                <w:highlight w:val="none"/>
                <w:lang w:val="en-US" w:eastAsia="zh-CN"/>
              </w:rPr>
              <w:t>/a（最大日排水4.55m</w:t>
            </w:r>
            <w:r>
              <w:rPr>
                <w:rFonts w:hint="eastAsia"/>
                <w:b w:val="0"/>
                <w:bCs/>
                <w:snapToGrid w:val="0"/>
                <w:color w:val="auto"/>
                <w:kern w:val="0"/>
                <w:sz w:val="24"/>
                <w:highlight w:val="none"/>
                <w:vertAlign w:val="superscript"/>
                <w:lang w:val="en-US" w:eastAsia="zh-CN"/>
              </w:rPr>
              <w:t>3</w:t>
            </w:r>
            <w:r>
              <w:rPr>
                <w:rFonts w:hint="eastAsia"/>
                <w:b w:val="0"/>
                <w:bCs/>
                <w:snapToGrid w:val="0"/>
                <w:color w:val="auto"/>
                <w:kern w:val="0"/>
                <w:sz w:val="24"/>
                <w:highlight w:val="none"/>
                <w:lang w:val="en-US" w:eastAsia="zh-CN"/>
              </w:rPr>
              <w:t>/d）。</w:t>
            </w:r>
          </w:p>
          <w:p w14:paraId="7A94FF2C">
            <w:pPr>
              <w:keepNext w:val="0"/>
              <w:keepLines w:val="0"/>
              <w:suppressLineNumbers w:val="0"/>
              <w:spacing w:before="0" w:beforeAutospacing="0" w:after="0" w:afterAutospacing="0" w:line="360" w:lineRule="auto"/>
              <w:ind w:left="0" w:right="0" w:firstLine="480" w:firstLineChars="200"/>
              <w:jc w:val="left"/>
              <w:rPr>
                <w:rFonts w:hint="default"/>
                <w:color w:val="auto"/>
                <w:lang w:val="en-US" w:eastAsia="zh-CN"/>
              </w:rPr>
            </w:pPr>
            <w:r>
              <w:rPr>
                <w:rFonts w:hint="eastAsia"/>
                <w:color w:val="auto"/>
                <w:sz w:val="24"/>
                <w:szCs w:val="24"/>
                <w:highlight w:val="none"/>
                <w:lang w:val="en-US" w:eastAsia="zh-CN"/>
              </w:rPr>
              <w:t>根据废水源强分析，</w:t>
            </w:r>
            <w:r>
              <w:rPr>
                <w:rFonts w:hint="eastAsia"/>
                <w:b w:val="0"/>
                <w:bCs/>
                <w:snapToGrid w:val="0"/>
                <w:color w:val="auto"/>
                <w:kern w:val="0"/>
                <w:sz w:val="24"/>
                <w:highlight w:val="none"/>
                <w:lang w:val="en-US" w:eastAsia="zh-CN"/>
              </w:rPr>
              <w:t>厂区废水总排口出水水质为</w:t>
            </w:r>
            <w:r>
              <w:rPr>
                <w:rFonts w:hint="eastAsia"/>
                <w:color w:val="auto"/>
                <w:sz w:val="24"/>
                <w:szCs w:val="24"/>
                <w:highlight w:val="none"/>
                <w:lang w:val="en-US" w:eastAsia="zh-CN"/>
              </w:rPr>
              <w:t>COD</w:t>
            </w:r>
            <w:r>
              <w:rPr>
                <w:rFonts w:hint="eastAsia"/>
                <w:color w:val="auto"/>
                <w:sz w:val="24"/>
                <w:szCs w:val="24"/>
                <w:highlight w:val="none"/>
                <w:vertAlign w:val="subscript"/>
                <w:lang w:val="en-US" w:eastAsia="zh-CN"/>
              </w:rPr>
              <w:t>Cr</w:t>
            </w:r>
            <w:r>
              <w:rPr>
                <w:rFonts w:hint="eastAsia"/>
                <w:color w:val="auto"/>
                <w:sz w:val="24"/>
                <w:szCs w:val="24"/>
                <w:highlight w:val="none"/>
                <w:vertAlign w:val="baseline"/>
                <w:lang w:val="en-US" w:eastAsia="zh-CN"/>
              </w:rPr>
              <w:t>330mg/L、</w:t>
            </w:r>
            <w:r>
              <w:rPr>
                <w:rFonts w:hint="eastAsia"/>
                <w:color w:val="auto"/>
                <w:sz w:val="24"/>
                <w:szCs w:val="24"/>
                <w:highlight w:val="none"/>
                <w:lang w:val="en-US" w:eastAsia="zh-CN"/>
              </w:rPr>
              <w:t>BOD</w:t>
            </w:r>
            <w:r>
              <w:rPr>
                <w:rFonts w:hint="eastAsia"/>
                <w:color w:val="auto"/>
                <w:sz w:val="24"/>
                <w:szCs w:val="24"/>
                <w:highlight w:val="none"/>
                <w:vertAlign w:val="subscript"/>
                <w:lang w:val="en-US" w:eastAsia="zh-CN"/>
              </w:rPr>
              <w:t>5</w:t>
            </w:r>
            <w:r>
              <w:rPr>
                <w:rFonts w:hint="eastAsia"/>
                <w:color w:val="auto"/>
                <w:sz w:val="24"/>
                <w:szCs w:val="24"/>
                <w:highlight w:val="none"/>
                <w:vertAlign w:val="baseline"/>
                <w:lang w:val="en-US" w:eastAsia="zh-CN"/>
              </w:rPr>
              <w:t>97mg/L、</w:t>
            </w:r>
            <w:r>
              <w:rPr>
                <w:rFonts w:hint="eastAsia"/>
                <w:color w:val="auto"/>
                <w:sz w:val="24"/>
                <w:szCs w:val="24"/>
                <w:highlight w:val="none"/>
              </w:rPr>
              <w:t>SS</w:t>
            </w:r>
            <w:r>
              <w:rPr>
                <w:rFonts w:hint="eastAsia"/>
                <w:color w:val="auto"/>
                <w:sz w:val="24"/>
                <w:szCs w:val="24"/>
                <w:highlight w:val="none"/>
                <w:vertAlign w:val="baseline"/>
                <w:lang w:val="en-US" w:eastAsia="zh-CN"/>
              </w:rPr>
              <w:t>145mg/L</w:t>
            </w:r>
            <w:r>
              <w:rPr>
                <w:rFonts w:hint="eastAsia"/>
                <w:color w:val="auto"/>
                <w:sz w:val="24"/>
                <w:szCs w:val="24"/>
                <w:highlight w:val="none"/>
              </w:rPr>
              <w:t>、</w:t>
            </w:r>
            <w:r>
              <w:rPr>
                <w:rFonts w:hint="eastAsia"/>
                <w:color w:val="auto"/>
                <w:sz w:val="24"/>
                <w:szCs w:val="24"/>
                <w:highlight w:val="none"/>
                <w:lang w:val="en-US" w:eastAsia="zh-CN"/>
              </w:rPr>
              <w:t>NH</w:t>
            </w:r>
            <w:r>
              <w:rPr>
                <w:rFonts w:hint="eastAsia"/>
                <w:color w:val="auto"/>
                <w:sz w:val="24"/>
                <w:szCs w:val="24"/>
                <w:highlight w:val="none"/>
                <w:vertAlign w:val="subscript"/>
                <w:lang w:val="en-US" w:eastAsia="zh-CN"/>
              </w:rPr>
              <w:t>3</w:t>
            </w:r>
            <w:r>
              <w:rPr>
                <w:rFonts w:hint="eastAsia"/>
                <w:color w:val="auto"/>
                <w:sz w:val="24"/>
                <w:szCs w:val="24"/>
                <w:highlight w:val="none"/>
                <w:lang w:val="en-US" w:eastAsia="zh-CN"/>
              </w:rPr>
              <w:t>-N</w:t>
            </w:r>
            <w:r>
              <w:rPr>
                <w:rFonts w:hint="eastAsia"/>
                <w:color w:val="auto"/>
                <w:sz w:val="24"/>
                <w:szCs w:val="24"/>
                <w:highlight w:val="none"/>
                <w:vertAlign w:val="baseline"/>
                <w:lang w:val="en-US" w:eastAsia="zh-CN"/>
              </w:rPr>
              <w:t>32.5mg/L</w:t>
            </w:r>
            <w:r>
              <w:rPr>
                <w:rFonts w:hint="eastAsia"/>
                <w:color w:val="auto"/>
                <w:sz w:val="24"/>
                <w:szCs w:val="24"/>
                <w:highlight w:val="none"/>
                <w:lang w:val="en-US" w:eastAsia="zh-CN"/>
              </w:rPr>
              <w:t>、总氮</w:t>
            </w:r>
            <w:r>
              <w:rPr>
                <w:rFonts w:hint="eastAsia"/>
                <w:color w:val="auto"/>
                <w:sz w:val="24"/>
                <w:szCs w:val="24"/>
                <w:highlight w:val="none"/>
                <w:vertAlign w:val="baseline"/>
                <w:lang w:val="en-US" w:eastAsia="zh-CN"/>
              </w:rPr>
              <w:t>33.2mg/L</w:t>
            </w:r>
            <w:r>
              <w:rPr>
                <w:rFonts w:hint="eastAsia"/>
                <w:color w:val="auto"/>
                <w:sz w:val="24"/>
                <w:szCs w:val="24"/>
                <w:highlight w:val="none"/>
                <w:lang w:val="en-US" w:eastAsia="zh-CN"/>
              </w:rPr>
              <w:t>、总磷</w:t>
            </w:r>
            <w:r>
              <w:rPr>
                <w:rFonts w:hint="eastAsia"/>
                <w:color w:val="auto"/>
                <w:sz w:val="24"/>
                <w:szCs w:val="24"/>
                <w:highlight w:val="none"/>
                <w:vertAlign w:val="baseline"/>
                <w:lang w:val="en-US" w:eastAsia="zh-CN"/>
              </w:rPr>
              <w:t>3.02mg/L</w:t>
            </w:r>
            <w:r>
              <w:rPr>
                <w:rFonts w:hint="eastAsia"/>
                <w:color w:val="auto"/>
                <w:sz w:val="24"/>
                <w:szCs w:val="24"/>
                <w:highlight w:val="none"/>
                <w:lang w:val="en-US" w:eastAsia="zh-CN"/>
              </w:rPr>
              <w:t>，</w:t>
            </w:r>
            <w:r>
              <w:rPr>
                <w:rFonts w:hint="eastAsia"/>
                <w:b w:val="0"/>
                <w:bCs/>
                <w:snapToGrid w:val="0"/>
                <w:color w:val="auto"/>
                <w:kern w:val="0"/>
                <w:sz w:val="24"/>
                <w:highlight w:val="none"/>
                <w:lang w:val="en-US" w:eastAsia="zh-CN"/>
              </w:rPr>
              <w:t>可满足凤台县污水处理厂接管限值要求。</w:t>
            </w:r>
          </w:p>
          <w:p w14:paraId="6656C19D">
            <w:pPr>
              <w:keepNext w:val="0"/>
              <w:keepLines w:val="0"/>
              <w:suppressLineNumbers w:val="0"/>
              <w:spacing w:before="0" w:beforeAutospacing="0" w:after="0" w:afterAutospacing="0" w:line="360" w:lineRule="auto"/>
              <w:ind w:left="0" w:right="0" w:firstLine="482" w:firstLineChars="200"/>
              <w:jc w:val="left"/>
              <w:rPr>
                <w:rFonts w:hint="default" w:eastAsia="宋体"/>
                <w:b/>
                <w:snapToGrid w:val="0"/>
                <w:color w:val="auto"/>
                <w:kern w:val="0"/>
                <w:sz w:val="24"/>
                <w:highlight w:val="none"/>
                <w:lang w:val="en-US" w:eastAsia="zh-CN"/>
              </w:rPr>
            </w:pPr>
            <w:r>
              <w:rPr>
                <w:rFonts w:hint="eastAsia"/>
                <w:b/>
                <w:snapToGrid w:val="0"/>
                <w:color w:val="auto"/>
                <w:kern w:val="0"/>
                <w:sz w:val="24"/>
                <w:highlight w:val="none"/>
                <w:lang w:val="en-US" w:eastAsia="zh-CN"/>
              </w:rPr>
              <w:t>（2）依托凤台县污水处理厂可行性分析</w:t>
            </w:r>
          </w:p>
          <w:p w14:paraId="5E585272">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污水处理厂处理工艺及处理能力</w:t>
            </w:r>
          </w:p>
          <w:p w14:paraId="341C372B">
            <w:pPr>
              <w:keepNext w:val="0"/>
              <w:keepLines w:val="0"/>
              <w:suppressLineNumbers w:val="0"/>
              <w:spacing w:before="0" w:beforeAutospacing="0" w:after="0" w:afterAutospacing="0" w:line="360" w:lineRule="auto"/>
              <w:ind w:left="0" w:right="0" w:firstLine="480" w:firstLineChars="200"/>
              <w:rPr>
                <w:rFonts w:hint="default" w:ascii="Times New Roman" w:hAnsi="Times New Roman"/>
                <w:color w:val="auto"/>
                <w:sz w:val="24"/>
                <w:szCs w:val="24"/>
              </w:rPr>
            </w:pPr>
            <w:r>
              <w:rPr>
                <w:rFonts w:hint="default" w:ascii="Times New Roman" w:hAnsi="Times New Roman"/>
                <w:color w:val="auto"/>
                <w:sz w:val="24"/>
                <w:szCs w:val="24"/>
              </w:rPr>
              <w:t>凤台县污水处理厂位于凤台县三里沟潘凤路架河排涝站东南侧100米左右，对凤台县凤凰湖新区、老城区、中部城区生活污水和工业废水进行集中处理。凤凰产业园污水通过凤蒙路污水提升泵站和1#污水提升泵站两次提升后排入凤台县污水处理厂。凤台县污水处理厂规模为5万m</w:t>
            </w:r>
            <w:r>
              <w:rPr>
                <w:rFonts w:hint="default" w:ascii="Times New Roman" w:hAnsi="Times New Roman"/>
                <w:color w:val="auto"/>
                <w:sz w:val="24"/>
                <w:szCs w:val="24"/>
                <w:vertAlign w:val="superscript"/>
              </w:rPr>
              <w:t>3</w:t>
            </w:r>
            <w:r>
              <w:rPr>
                <w:rFonts w:hint="default" w:ascii="Times New Roman" w:hAnsi="Times New Roman"/>
                <w:color w:val="auto"/>
                <w:sz w:val="24"/>
                <w:szCs w:val="24"/>
              </w:rPr>
              <w:t>/d，一期工程采用</w:t>
            </w:r>
            <w:r>
              <w:rPr>
                <w:rFonts w:hint="default" w:ascii="宋体" w:hAnsi="宋体"/>
                <w:color w:val="auto"/>
                <w:sz w:val="24"/>
                <w:szCs w:val="24"/>
              </w:rPr>
              <w:t>“</w:t>
            </w:r>
            <w:r>
              <w:rPr>
                <w:rFonts w:hint="default" w:ascii="Times New Roman" w:hAnsi="Times New Roman"/>
                <w:color w:val="auto"/>
                <w:sz w:val="24"/>
                <w:szCs w:val="24"/>
              </w:rPr>
              <w:t>预处理+氧化沟处理</w:t>
            </w:r>
            <w:r>
              <w:rPr>
                <w:rFonts w:hint="default" w:ascii="宋体" w:hAnsi="宋体"/>
                <w:color w:val="auto"/>
                <w:sz w:val="24"/>
                <w:szCs w:val="24"/>
              </w:rPr>
              <w:t>”</w:t>
            </w:r>
            <w:r>
              <w:rPr>
                <w:rFonts w:hint="default" w:ascii="Times New Roman" w:hAnsi="Times New Roman"/>
                <w:color w:val="auto"/>
                <w:sz w:val="24"/>
                <w:szCs w:val="24"/>
              </w:rPr>
              <w:t>；2011年凤台县污水处理厂开展提标改造工程，提标改造后处理工艺为</w:t>
            </w:r>
            <w:r>
              <w:rPr>
                <w:rFonts w:hint="default" w:ascii="宋体" w:hAnsi="宋体"/>
                <w:color w:val="auto"/>
                <w:sz w:val="24"/>
                <w:szCs w:val="24"/>
              </w:rPr>
              <w:t>“</w:t>
            </w:r>
            <w:r>
              <w:rPr>
                <w:rFonts w:hint="default" w:ascii="Times New Roman" w:hAnsi="Times New Roman"/>
                <w:color w:val="auto"/>
                <w:sz w:val="24"/>
                <w:szCs w:val="24"/>
              </w:rPr>
              <w:t>预处理+卡鲁赛尔氧化沟+反硝化深床滤池</w:t>
            </w:r>
            <w:r>
              <w:rPr>
                <w:rFonts w:hint="default" w:ascii="宋体" w:hAnsi="宋体"/>
                <w:color w:val="auto"/>
                <w:sz w:val="24"/>
                <w:szCs w:val="24"/>
              </w:rPr>
              <w:t>”</w:t>
            </w:r>
            <w:r>
              <w:rPr>
                <w:rFonts w:hint="default" w:ascii="Times New Roman" w:hAnsi="Times New Roman"/>
                <w:color w:val="auto"/>
                <w:sz w:val="24"/>
                <w:szCs w:val="24"/>
              </w:rPr>
              <w:t>。污水处理厂的污水处理达到《城镇污水处理污染物排放标准》</w:t>
            </w:r>
            <w:r>
              <w:rPr>
                <w:rFonts w:hint="eastAsia" w:ascii="Times New Roman" w:hAnsi="Times New Roman"/>
                <w:color w:val="auto"/>
                <w:sz w:val="24"/>
                <w:szCs w:val="24"/>
              </w:rPr>
              <w:t>（</w:t>
            </w:r>
            <w:r>
              <w:rPr>
                <w:rFonts w:hint="default" w:ascii="Times New Roman" w:hAnsi="Times New Roman"/>
                <w:color w:val="auto"/>
                <w:sz w:val="24"/>
                <w:szCs w:val="24"/>
              </w:rPr>
              <w:t>GB18918-2002</w:t>
            </w:r>
            <w:r>
              <w:rPr>
                <w:rFonts w:hint="eastAsia" w:ascii="Times New Roman" w:hAnsi="Times New Roman"/>
                <w:color w:val="auto"/>
                <w:sz w:val="24"/>
                <w:szCs w:val="24"/>
              </w:rPr>
              <w:t>）</w:t>
            </w:r>
            <w:r>
              <w:rPr>
                <w:rFonts w:hint="default" w:ascii="Times New Roman" w:hAnsi="Times New Roman"/>
                <w:color w:val="auto"/>
                <w:sz w:val="24"/>
                <w:szCs w:val="24"/>
              </w:rPr>
              <w:t>的一级A标准后，通过设置的入河排污口排入架河。入河排污口设置在凤台县三里沟潘凤路架河排涝站下150m，地理坐标：东经116°42′59.8″，北纬32°44′2.7″。入河排污口分类为混合，排放方式为连续排放，入河方式为地埋管道。</w:t>
            </w:r>
          </w:p>
          <w:p w14:paraId="42634E35">
            <w:pPr>
              <w:keepNext w:val="0"/>
              <w:keepLines w:val="0"/>
              <w:suppressLineNumbers w:val="0"/>
              <w:spacing w:before="0" w:beforeAutospacing="0" w:after="0" w:afterAutospacing="0" w:line="360" w:lineRule="auto"/>
              <w:ind w:left="0" w:right="0" w:firstLine="480" w:firstLineChars="200"/>
              <w:rPr>
                <w:rFonts w:hint="default" w:ascii="Times New Roman" w:hAnsi="Times New Roman"/>
                <w:color w:val="auto"/>
                <w:sz w:val="24"/>
                <w:szCs w:val="24"/>
              </w:rPr>
            </w:pPr>
            <w:r>
              <w:rPr>
                <w:rFonts w:hint="default" w:ascii="Times New Roman" w:hAnsi="Times New Roman"/>
                <w:color w:val="auto"/>
                <w:sz w:val="24"/>
                <w:szCs w:val="24"/>
              </w:rPr>
              <w:t>凤台县污水处理厂主体工艺为</w:t>
            </w:r>
            <w:r>
              <w:rPr>
                <w:rFonts w:hint="default" w:ascii="宋体" w:hAnsi="宋体"/>
                <w:color w:val="auto"/>
                <w:sz w:val="24"/>
                <w:szCs w:val="24"/>
              </w:rPr>
              <w:t>“</w:t>
            </w:r>
            <w:r>
              <w:rPr>
                <w:rFonts w:hint="default" w:ascii="Times New Roman" w:hAnsi="Times New Roman"/>
                <w:color w:val="auto"/>
                <w:sz w:val="24"/>
                <w:szCs w:val="24"/>
              </w:rPr>
              <w:t>预处理+卡鲁赛尔</w:t>
            </w:r>
            <w:r>
              <w:rPr>
                <w:rFonts w:hint="eastAsia" w:ascii="Times New Roman" w:hAnsi="Times New Roman"/>
                <w:color w:val="auto"/>
                <w:sz w:val="24"/>
                <w:szCs w:val="24"/>
                <w:lang w:val="en-US" w:eastAsia="zh-CN"/>
              </w:rPr>
              <w:t>氧化</w:t>
            </w:r>
            <w:r>
              <w:rPr>
                <w:rFonts w:hint="default" w:ascii="Times New Roman" w:hAnsi="Times New Roman"/>
                <w:color w:val="auto"/>
                <w:sz w:val="24"/>
                <w:szCs w:val="24"/>
              </w:rPr>
              <w:t>沟+反硝化深床滤池</w:t>
            </w:r>
            <w:r>
              <w:rPr>
                <w:rFonts w:hint="default" w:ascii="宋体" w:hAnsi="宋体"/>
                <w:color w:val="auto"/>
                <w:sz w:val="24"/>
                <w:szCs w:val="24"/>
              </w:rPr>
              <w:t>”</w:t>
            </w:r>
            <w:r>
              <w:rPr>
                <w:rFonts w:hint="default" w:ascii="Times New Roman" w:hAnsi="Times New Roman"/>
                <w:color w:val="auto"/>
                <w:sz w:val="24"/>
                <w:szCs w:val="24"/>
              </w:rPr>
              <w:t>。污水处理后排放标准达</w:t>
            </w:r>
            <w:r>
              <w:rPr>
                <w:rFonts w:hint="default" w:ascii="Times New Roman" w:hAnsi="Times New Roman" w:cs="Times New Roman"/>
                <w:color w:val="auto"/>
                <w:kern w:val="0"/>
                <w:sz w:val="24"/>
                <w:szCs w:val="24"/>
                <w:highlight w:val="none"/>
                <w:lang w:val="en-US" w:eastAsia="zh-CN"/>
              </w:rPr>
              <w:t>《城镇污水处理厂污染物排放标准》（GB18918-2002</w:t>
            </w:r>
            <w:r>
              <w:rPr>
                <w:rFonts w:hint="eastAsia" w:cs="Times New Roman"/>
                <w:color w:val="auto"/>
                <w:kern w:val="0"/>
                <w:sz w:val="24"/>
                <w:szCs w:val="24"/>
                <w:highlight w:val="none"/>
                <w:lang w:val="en-US" w:eastAsia="zh-CN"/>
              </w:rPr>
              <w:t>，含2006年、2025年修改单</w:t>
            </w:r>
            <w:r>
              <w:rPr>
                <w:rFonts w:hint="default" w:ascii="Times New Roman" w:hAnsi="Times New Roman" w:cs="Times New Roman"/>
                <w:color w:val="auto"/>
                <w:kern w:val="0"/>
                <w:sz w:val="24"/>
                <w:szCs w:val="24"/>
                <w:highlight w:val="none"/>
                <w:lang w:val="en-US" w:eastAsia="zh-CN"/>
              </w:rPr>
              <w:t>）一级A标准</w:t>
            </w:r>
            <w:r>
              <w:rPr>
                <w:rFonts w:hint="default" w:ascii="Times New Roman" w:hAnsi="Times New Roman"/>
                <w:color w:val="auto"/>
                <w:sz w:val="24"/>
                <w:szCs w:val="24"/>
              </w:rPr>
              <w:t>，处理后的污水流入架河，最终汇入淮河，具体工艺流程如下图。</w:t>
            </w:r>
          </w:p>
          <w:p w14:paraId="46D59EC2">
            <w:pPr>
              <w:keepNext w:val="0"/>
              <w:keepLines w:val="0"/>
              <w:suppressLineNumbers w:val="0"/>
              <w:bidi w:val="0"/>
              <w:spacing w:before="0" w:beforeAutospacing="0" w:after="0" w:afterAutospacing="0" w:line="360" w:lineRule="auto"/>
              <w:ind w:left="0" w:right="0"/>
              <w:rPr>
                <w:rFonts w:hint="default"/>
                <w:color w:val="auto"/>
              </w:rPr>
            </w:pPr>
          </w:p>
          <w:p w14:paraId="7DC19063">
            <w:pPr>
              <w:keepNext w:val="0"/>
              <w:keepLines w:val="0"/>
              <w:suppressLineNumbers w:val="0"/>
              <w:bidi w:val="0"/>
              <w:spacing w:before="0" w:beforeAutospacing="0" w:after="0" w:afterAutospacing="0" w:line="360" w:lineRule="auto"/>
              <w:ind w:left="0" w:right="0"/>
              <w:rPr>
                <w:rFonts w:hint="default"/>
                <w:color w:val="auto"/>
              </w:rPr>
            </w:pPr>
          </w:p>
          <w:p w14:paraId="1CB717F6">
            <w:pPr>
              <w:keepNext w:val="0"/>
              <w:keepLines w:val="0"/>
              <w:suppressLineNumbers w:val="0"/>
              <w:bidi w:val="0"/>
              <w:spacing w:before="0" w:beforeAutospacing="0" w:after="0" w:afterAutospacing="0" w:line="360" w:lineRule="auto"/>
              <w:ind w:left="0" w:right="0"/>
              <w:rPr>
                <w:rFonts w:hint="default"/>
                <w:color w:val="auto"/>
              </w:rPr>
            </w:pPr>
          </w:p>
          <w:p w14:paraId="66358906">
            <w:pPr>
              <w:keepNext w:val="0"/>
              <w:keepLines w:val="0"/>
              <w:suppressLineNumbers w:val="0"/>
              <w:bidi w:val="0"/>
              <w:spacing w:before="0" w:beforeAutospacing="0" w:after="0" w:afterAutospacing="0" w:line="360" w:lineRule="auto"/>
              <w:ind w:left="0" w:right="0"/>
              <w:rPr>
                <w:rFonts w:hint="default"/>
                <w:color w:val="auto"/>
              </w:rPr>
            </w:pPr>
          </w:p>
          <w:p w14:paraId="35BE3E16">
            <w:pPr>
              <w:pStyle w:val="59"/>
              <w:keepNext w:val="0"/>
              <w:keepLines w:val="0"/>
              <w:suppressLineNumbers w:val="0"/>
              <w:spacing w:before="0" w:beforeAutospacing="0" w:after="0" w:afterAutospacing="0"/>
              <w:ind w:left="0" w:leftChars="0" w:right="0" w:firstLine="0" w:firstLineChars="0"/>
              <w:jc w:val="center"/>
              <w:rPr>
                <w:rFonts w:hint="default"/>
                <w:color w:val="auto"/>
              </w:rPr>
            </w:pPr>
            <w:r>
              <w:rPr>
                <w:rFonts w:hint="default"/>
                <w:color w:val="auto"/>
              </w:rPr>
              <w:fldChar w:fldCharType="begin"/>
            </w:r>
            <w:r>
              <w:rPr>
                <w:rFonts w:hint="default"/>
                <w:color w:val="auto"/>
              </w:rPr>
              <w:instrText xml:space="preserve"> INCLUDEPICTURE "../../../xwechat_files/wxid_6njvu8qvseqm21_09ef/msg/file/Documents/xwechat_files/fangxianghappy_2ac3/msg/attach/9e20f478899dc29eb19741386f9343c8/2026-04/Rec/c3ee68f38b506d7e/F/xwechat_files/Administrator/AppData/Roaming/ADMINI~1/AppData/Local/Temp/ksohtml25456/wps1.jpg" \* MERGEFORMAT </w:instrText>
            </w:r>
            <w:r>
              <w:rPr>
                <w:rFonts w:hint="default"/>
                <w:color w:val="auto"/>
              </w:rPr>
              <w:fldChar w:fldCharType="separate"/>
            </w:r>
            <w:r>
              <w:rPr>
                <w:rFonts w:hint="default"/>
                <w:color w:val="auto"/>
              </w:rPr>
              <w:drawing>
                <wp:inline distT="0" distB="0" distL="114300" distR="114300">
                  <wp:extent cx="5048885" cy="2488565"/>
                  <wp:effectExtent l="0" t="0" r="10795" b="1079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6"/>
                          <a:stretch>
                            <a:fillRect/>
                          </a:stretch>
                        </pic:blipFill>
                        <pic:spPr>
                          <a:xfrm>
                            <a:off x="0" y="0"/>
                            <a:ext cx="5048885" cy="2488565"/>
                          </a:xfrm>
                          <a:prstGeom prst="rect">
                            <a:avLst/>
                          </a:prstGeom>
                          <a:noFill/>
                          <a:ln>
                            <a:noFill/>
                          </a:ln>
                        </pic:spPr>
                      </pic:pic>
                    </a:graphicData>
                  </a:graphic>
                </wp:inline>
              </w:drawing>
            </w:r>
            <w:r>
              <w:rPr>
                <w:rFonts w:hint="default"/>
                <w:color w:val="auto"/>
              </w:rPr>
              <w:fldChar w:fldCharType="end"/>
            </w:r>
          </w:p>
          <w:p w14:paraId="780B284E">
            <w:pPr>
              <w:keepNext w:val="0"/>
              <w:keepLines w:val="0"/>
              <w:suppressLineNumbers w:val="0"/>
              <w:spacing w:before="0" w:beforeAutospacing="0" w:after="0" w:afterAutospacing="0" w:line="360" w:lineRule="auto"/>
              <w:ind w:left="0" w:right="0" w:firstLine="480" w:firstLineChars="200"/>
              <w:jc w:val="center"/>
              <w:rPr>
                <w:rFonts w:hint="default" w:ascii="Times New Roman" w:hAnsi="Times New Roman" w:eastAsia="黑体"/>
                <w:color w:val="auto"/>
                <w:sz w:val="24"/>
                <w:szCs w:val="24"/>
              </w:rPr>
            </w:pPr>
            <w:r>
              <w:rPr>
                <w:rFonts w:hint="default" w:ascii="Times New Roman" w:hAnsi="黑体" w:eastAsia="黑体"/>
                <w:color w:val="auto"/>
                <w:sz w:val="24"/>
                <w:szCs w:val="24"/>
              </w:rPr>
              <w:t>图</w:t>
            </w:r>
            <w:r>
              <w:rPr>
                <w:rFonts w:hint="default" w:ascii="Times New Roman" w:hAnsi="Times New Roman" w:eastAsia="黑体"/>
                <w:color w:val="auto"/>
                <w:sz w:val="24"/>
                <w:szCs w:val="24"/>
              </w:rPr>
              <w:t>4-</w:t>
            </w:r>
            <w:r>
              <w:rPr>
                <w:rFonts w:hint="eastAsia" w:eastAsia="黑体"/>
                <w:color w:val="auto"/>
                <w:sz w:val="24"/>
                <w:szCs w:val="24"/>
                <w:lang w:val="en-US" w:eastAsia="zh-CN"/>
              </w:rPr>
              <w:t>2</w:t>
            </w:r>
            <w:r>
              <w:rPr>
                <w:rFonts w:hint="eastAsia" w:ascii="Times New Roman" w:hAnsi="Times New Roman" w:eastAsia="黑体"/>
                <w:color w:val="auto"/>
                <w:sz w:val="24"/>
                <w:szCs w:val="24"/>
              </w:rPr>
              <w:t xml:space="preserve">  </w:t>
            </w:r>
            <w:r>
              <w:rPr>
                <w:rFonts w:hint="default" w:ascii="Times New Roman" w:hAnsi="黑体" w:eastAsia="黑体"/>
                <w:color w:val="auto"/>
                <w:sz w:val="24"/>
                <w:szCs w:val="24"/>
              </w:rPr>
              <w:t>污水处理厂污水处理工艺流程图</w:t>
            </w:r>
          </w:p>
          <w:p w14:paraId="0FD4CED9">
            <w:pPr>
              <w:pStyle w:val="25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Autospacing="0" w:line="360" w:lineRule="auto"/>
              <w:ind w:left="0" w:right="0" w:firstLine="482" w:firstLineChars="20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2）接管可行性分析</w:t>
            </w:r>
          </w:p>
          <w:p w14:paraId="52357B77">
            <w:pPr>
              <w:pStyle w:val="250"/>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Autospacing="0" w:line="360" w:lineRule="auto"/>
              <w:ind w:left="0" w:right="0" w:firstLine="480" w:firstLineChars="200"/>
              <w:textAlignment w:val="auto"/>
              <w:rPr>
                <w:rFonts w:hint="default" w:ascii="Times New Roman" w:hAnsi="Times New Roman" w:eastAsia="宋体" w:cs="Times New Roman"/>
                <w:b w:val="0"/>
                <w:color w:val="auto"/>
                <w:kern w:val="2"/>
                <w:sz w:val="24"/>
                <w:szCs w:val="24"/>
                <w:highlight w:val="none"/>
                <w:lang w:val="en-US" w:eastAsia="zh-CN" w:bidi="ar-SA"/>
              </w:rPr>
            </w:pPr>
            <w:r>
              <w:rPr>
                <w:rFonts w:hint="default" w:ascii="Times New Roman" w:hAnsi="Times New Roman" w:eastAsia="宋体" w:cs="Times New Roman"/>
                <w:b w:val="0"/>
                <w:color w:val="auto"/>
                <w:kern w:val="2"/>
                <w:sz w:val="24"/>
                <w:szCs w:val="24"/>
                <w:highlight w:val="none"/>
                <w:lang w:val="en-US" w:eastAsia="zh-CN" w:bidi="ar-SA"/>
              </w:rPr>
              <w:t>①</w:t>
            </w:r>
            <w:r>
              <w:rPr>
                <w:rFonts w:hint="eastAsia" w:ascii="Times New Roman" w:hAnsi="Times New Roman" w:cs="Times New Roman"/>
                <w:b w:val="0"/>
                <w:color w:val="auto"/>
                <w:kern w:val="2"/>
                <w:sz w:val="24"/>
                <w:szCs w:val="24"/>
                <w:highlight w:val="none"/>
                <w:lang w:val="en-US" w:eastAsia="zh-CN" w:bidi="ar-SA"/>
              </w:rPr>
              <w:t>接管</w:t>
            </w:r>
            <w:r>
              <w:rPr>
                <w:rFonts w:hint="default" w:ascii="Times New Roman" w:hAnsi="Times New Roman" w:eastAsia="宋体" w:cs="Times New Roman"/>
                <w:b w:val="0"/>
                <w:color w:val="auto"/>
                <w:kern w:val="2"/>
                <w:sz w:val="24"/>
                <w:szCs w:val="24"/>
                <w:highlight w:val="none"/>
                <w:lang w:val="en-US" w:eastAsia="zh-CN" w:bidi="ar-SA"/>
              </w:rPr>
              <w:t>水质</w:t>
            </w:r>
          </w:p>
          <w:p w14:paraId="612E64CA">
            <w:pPr>
              <w:pStyle w:val="25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宋体" w:cs="Times New Roman"/>
                <w:b w:val="0"/>
                <w:color w:val="auto"/>
                <w:kern w:val="2"/>
                <w:sz w:val="24"/>
                <w:szCs w:val="24"/>
                <w:highlight w:val="none"/>
                <w:lang w:val="en-US" w:eastAsia="zh-CN" w:bidi="ar-SA"/>
              </w:rPr>
            </w:pPr>
            <w:r>
              <w:rPr>
                <w:rFonts w:hint="default" w:ascii="Times New Roman" w:hAnsi="Times New Roman" w:eastAsia="宋体" w:cs="Times New Roman"/>
                <w:b w:val="0"/>
                <w:color w:val="auto"/>
                <w:kern w:val="2"/>
                <w:sz w:val="24"/>
                <w:szCs w:val="24"/>
                <w:highlight w:val="none"/>
                <w:lang w:val="en-US" w:eastAsia="zh-CN" w:bidi="ar-SA"/>
              </w:rPr>
              <w:t>经前文分析，</w:t>
            </w:r>
            <w:r>
              <w:rPr>
                <w:rFonts w:hint="eastAsia" w:ascii="Times New Roman" w:hAnsi="Times New Roman" w:cs="Times New Roman"/>
                <w:b w:val="0"/>
                <w:color w:val="auto"/>
                <w:kern w:val="2"/>
                <w:sz w:val="24"/>
                <w:szCs w:val="24"/>
                <w:highlight w:val="none"/>
                <w:lang w:val="en-US" w:eastAsia="zh-CN" w:bidi="ar-SA"/>
              </w:rPr>
              <w:t>本项目</w:t>
            </w:r>
            <w:r>
              <w:rPr>
                <w:rFonts w:hint="default" w:ascii="Times New Roman" w:hAnsi="Times New Roman" w:eastAsia="宋体" w:cs="Times New Roman"/>
                <w:b w:val="0"/>
                <w:color w:val="auto"/>
                <w:kern w:val="2"/>
                <w:sz w:val="24"/>
                <w:szCs w:val="24"/>
                <w:highlight w:val="none"/>
                <w:lang w:val="en-US" w:eastAsia="zh-CN" w:bidi="ar-SA"/>
              </w:rPr>
              <w:t>废水</w:t>
            </w:r>
            <w:r>
              <w:rPr>
                <w:rFonts w:hint="default" w:ascii="Times New Roman" w:hAnsi="Times New Roman" w:cs="Times New Roman"/>
                <w:b w:val="0"/>
                <w:color w:val="auto"/>
                <w:kern w:val="2"/>
                <w:sz w:val="24"/>
                <w:szCs w:val="24"/>
                <w:highlight w:val="none"/>
                <w:lang w:val="en-US" w:eastAsia="zh-CN" w:bidi="ar-SA"/>
              </w:rPr>
              <w:t>经预处理后，厂区废水总排口的污染物浓度可</w:t>
            </w:r>
            <w:r>
              <w:rPr>
                <w:rFonts w:hint="default" w:ascii="Times New Roman" w:hAnsi="Times New Roman" w:eastAsia="宋体" w:cs="Times New Roman"/>
                <w:b w:val="0"/>
                <w:color w:val="auto"/>
                <w:kern w:val="2"/>
                <w:sz w:val="24"/>
                <w:szCs w:val="24"/>
                <w:highlight w:val="none"/>
                <w:lang w:val="en-US" w:eastAsia="zh-CN" w:bidi="ar-SA"/>
              </w:rPr>
              <w:t>满足</w:t>
            </w:r>
            <w:r>
              <w:rPr>
                <w:rFonts w:hint="default" w:ascii="Times New Roman" w:hAnsi="Times New Roman" w:cs="Times New Roman"/>
                <w:color w:val="auto"/>
                <w:sz w:val="24"/>
                <w:szCs w:val="24"/>
                <w:highlight w:val="none"/>
                <w:lang w:eastAsia="zh-CN"/>
              </w:rPr>
              <w:t>《污水综合排放标准》（GB8978-1996）表4中的三级标准、《污水排入城镇下水道水质标准》（GB/T31962-2015）B级相关标准及凤台县污水处理厂接管标准</w:t>
            </w:r>
            <w:r>
              <w:rPr>
                <w:rFonts w:hint="default" w:ascii="Times New Roman" w:hAnsi="Times New Roman" w:cs="Times New Roman"/>
                <w:color w:val="auto"/>
                <w:sz w:val="24"/>
                <w:szCs w:val="24"/>
                <w:highlight w:val="none"/>
                <w:lang w:val="en-US" w:eastAsia="zh-CN"/>
              </w:rPr>
              <w:t>限</w:t>
            </w:r>
            <w:r>
              <w:rPr>
                <w:rFonts w:hint="default" w:ascii="Times New Roman" w:hAnsi="Times New Roman" w:cs="Times New Roman"/>
                <w:color w:val="auto"/>
                <w:sz w:val="24"/>
                <w:szCs w:val="24"/>
                <w:highlight w:val="none"/>
                <w:lang w:eastAsia="zh-CN"/>
              </w:rPr>
              <w:t>值</w:t>
            </w:r>
            <w:r>
              <w:rPr>
                <w:rFonts w:hint="default" w:ascii="Times New Roman" w:hAnsi="Times New Roman" w:eastAsia="宋体" w:cs="Times New Roman"/>
                <w:b w:val="0"/>
                <w:color w:val="auto"/>
                <w:kern w:val="2"/>
                <w:sz w:val="24"/>
                <w:szCs w:val="24"/>
                <w:highlight w:val="none"/>
                <w:lang w:val="en-US" w:eastAsia="zh-CN" w:bidi="ar-SA"/>
              </w:rPr>
              <w:t>要求，因此本项目建设完成后废水排入</w:t>
            </w:r>
            <w:r>
              <w:rPr>
                <w:rFonts w:hint="default" w:ascii="Times New Roman" w:hAnsi="Times New Roman" w:cs="Times New Roman"/>
                <w:b w:val="0"/>
                <w:color w:val="auto"/>
                <w:kern w:val="2"/>
                <w:sz w:val="24"/>
                <w:szCs w:val="24"/>
                <w:highlight w:val="none"/>
                <w:lang w:val="en-US" w:eastAsia="zh-CN" w:bidi="ar-SA"/>
              </w:rPr>
              <w:t>凤台县污水处理厂</w:t>
            </w:r>
            <w:r>
              <w:rPr>
                <w:rFonts w:hint="default" w:ascii="Times New Roman" w:hAnsi="Times New Roman" w:eastAsia="宋体" w:cs="Times New Roman"/>
                <w:b w:val="0"/>
                <w:color w:val="auto"/>
                <w:kern w:val="2"/>
                <w:sz w:val="24"/>
                <w:szCs w:val="24"/>
                <w:highlight w:val="none"/>
                <w:lang w:val="en-US" w:eastAsia="zh-CN" w:bidi="ar-SA"/>
              </w:rPr>
              <w:t>在水质上是可行的。</w:t>
            </w:r>
          </w:p>
          <w:p w14:paraId="380B50E8">
            <w:pPr>
              <w:pStyle w:val="250"/>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Autospacing="0" w:line="360" w:lineRule="auto"/>
              <w:ind w:left="0" w:right="0"/>
              <w:textAlignment w:val="auto"/>
              <w:rPr>
                <w:rFonts w:hint="default" w:ascii="Times New Roman" w:hAnsi="Times New Roman" w:eastAsia="宋体" w:cs="Times New Roman"/>
                <w:b w:val="0"/>
                <w:color w:val="auto"/>
                <w:kern w:val="2"/>
                <w:sz w:val="24"/>
                <w:szCs w:val="24"/>
                <w:highlight w:val="none"/>
                <w:lang w:val="en-US" w:eastAsia="zh-CN" w:bidi="ar-SA"/>
              </w:rPr>
            </w:pPr>
            <w:r>
              <w:rPr>
                <w:rFonts w:hint="default" w:ascii="Times New Roman" w:hAnsi="Times New Roman" w:eastAsia="宋体" w:cs="Times New Roman"/>
                <w:b w:val="0"/>
                <w:color w:val="auto"/>
                <w:kern w:val="2"/>
                <w:sz w:val="24"/>
                <w:szCs w:val="24"/>
                <w:highlight w:val="none"/>
                <w:lang w:val="en-US" w:eastAsia="zh-CN" w:bidi="ar-SA"/>
              </w:rPr>
              <w:t>②</w:t>
            </w:r>
            <w:r>
              <w:rPr>
                <w:rFonts w:hint="eastAsia" w:ascii="Times New Roman" w:hAnsi="Times New Roman" w:cs="Times New Roman"/>
                <w:b w:val="0"/>
                <w:color w:val="auto"/>
                <w:kern w:val="2"/>
                <w:sz w:val="24"/>
                <w:szCs w:val="24"/>
                <w:highlight w:val="none"/>
                <w:lang w:val="en-US" w:eastAsia="zh-CN" w:bidi="ar-SA"/>
              </w:rPr>
              <w:t>接管</w:t>
            </w:r>
            <w:r>
              <w:rPr>
                <w:rFonts w:hint="default" w:ascii="Times New Roman" w:hAnsi="Times New Roman" w:eastAsia="宋体" w:cs="Times New Roman"/>
                <w:b w:val="0"/>
                <w:color w:val="auto"/>
                <w:kern w:val="2"/>
                <w:sz w:val="24"/>
                <w:szCs w:val="24"/>
                <w:highlight w:val="none"/>
                <w:lang w:val="en-US" w:eastAsia="zh-CN" w:bidi="ar-SA"/>
              </w:rPr>
              <w:t>水量</w:t>
            </w:r>
          </w:p>
          <w:p w14:paraId="2B5EF471">
            <w:pPr>
              <w:pStyle w:val="25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宋体" w:cs="Times New Roman"/>
                <w:b w:val="0"/>
                <w:color w:val="auto"/>
                <w:kern w:val="2"/>
                <w:sz w:val="24"/>
                <w:szCs w:val="24"/>
                <w:highlight w:val="none"/>
                <w:lang w:val="en-US" w:eastAsia="zh-CN" w:bidi="ar-SA"/>
              </w:rPr>
            </w:pPr>
            <w:r>
              <w:rPr>
                <w:rFonts w:hint="eastAsia" w:hAnsi="宋体"/>
                <w:color w:val="auto"/>
                <w:sz w:val="24"/>
                <w:szCs w:val="24"/>
                <w:highlight w:val="none"/>
              </w:rPr>
              <w:t>本项目废水</w:t>
            </w:r>
            <w:r>
              <w:rPr>
                <w:rFonts w:hint="eastAsia" w:hAnsi="宋体"/>
                <w:color w:val="auto"/>
                <w:sz w:val="24"/>
                <w:szCs w:val="24"/>
                <w:highlight w:val="none"/>
                <w:lang w:val="en-US" w:eastAsia="zh-CN"/>
              </w:rPr>
              <w:t>排放</w:t>
            </w:r>
            <w:r>
              <w:rPr>
                <w:rFonts w:hint="default" w:ascii="Times New Roman" w:hAnsi="Times New Roman" w:cs="Times New Roman"/>
                <w:color w:val="auto"/>
                <w:sz w:val="24"/>
                <w:szCs w:val="24"/>
                <w:highlight w:val="none"/>
              </w:rPr>
              <w:t>量为</w:t>
            </w:r>
            <w:r>
              <w:rPr>
                <w:rFonts w:hint="eastAsia" w:ascii="Times New Roman" w:hAnsi="Times New Roman" w:cs="Times New Roman"/>
                <w:color w:val="auto"/>
                <w:sz w:val="24"/>
                <w:szCs w:val="24"/>
                <w:highlight w:val="none"/>
                <w:lang w:val="en-US" w:eastAsia="zh-CN"/>
              </w:rPr>
              <w:t>661.5</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a</w:t>
            </w:r>
            <w:r>
              <w:rPr>
                <w:rFonts w:hint="default"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最大一日排放量为4.55</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d，约占</w:t>
            </w:r>
            <w:r>
              <w:rPr>
                <w:rFonts w:hint="eastAsia" w:ascii="Times New Roman" w:hAnsi="Times New Roman" w:cs="Times New Roman"/>
                <w:b w:val="0"/>
                <w:color w:val="auto"/>
                <w:kern w:val="2"/>
                <w:sz w:val="24"/>
                <w:szCs w:val="24"/>
                <w:highlight w:val="none"/>
                <w:lang w:val="en-US" w:eastAsia="zh-CN" w:bidi="ar-SA"/>
              </w:rPr>
              <w:t>凤台县污水处理厂</w:t>
            </w:r>
            <w:r>
              <w:rPr>
                <w:rFonts w:hint="eastAsia" w:ascii="Times New Roman" w:hAnsi="Times New Roman" w:cs="Times New Roman"/>
                <w:color w:val="auto"/>
                <w:sz w:val="24"/>
                <w:szCs w:val="24"/>
                <w:highlight w:val="none"/>
                <w:lang w:val="en-US" w:eastAsia="zh-CN"/>
              </w:rPr>
              <w:t>现有处理规模的0.0091%</w:t>
            </w:r>
            <w:r>
              <w:rPr>
                <w:rFonts w:hint="default" w:ascii="Times New Roman" w:hAnsi="Times New Roman" w:eastAsia="宋体" w:cs="Times New Roman"/>
                <w:b w:val="0"/>
                <w:color w:val="auto"/>
                <w:kern w:val="2"/>
                <w:sz w:val="24"/>
                <w:szCs w:val="24"/>
                <w:highlight w:val="none"/>
                <w:lang w:val="en-US" w:eastAsia="zh-CN" w:bidi="ar-SA"/>
              </w:rPr>
              <w:t>，</w:t>
            </w:r>
            <w:r>
              <w:rPr>
                <w:rFonts w:hint="eastAsia" w:ascii="Times New Roman" w:hAnsi="Times New Roman" w:cs="Times New Roman"/>
                <w:b w:val="0"/>
                <w:color w:val="auto"/>
                <w:kern w:val="2"/>
                <w:sz w:val="24"/>
                <w:szCs w:val="24"/>
                <w:highlight w:val="none"/>
                <w:lang w:val="en-US" w:eastAsia="zh-CN" w:bidi="ar-SA"/>
              </w:rPr>
              <w:t>凤台县污水处理厂现</w:t>
            </w:r>
            <w:r>
              <w:rPr>
                <w:rFonts w:hint="default" w:ascii="Times New Roman" w:hAnsi="Times New Roman" w:eastAsia="宋体" w:cs="Times New Roman"/>
                <w:b w:val="0"/>
                <w:color w:val="auto"/>
                <w:kern w:val="2"/>
                <w:sz w:val="24"/>
                <w:szCs w:val="24"/>
                <w:highlight w:val="none"/>
                <w:lang w:val="en-US" w:eastAsia="zh-CN" w:bidi="ar-SA"/>
              </w:rPr>
              <w:t>余量</w:t>
            </w:r>
            <w:r>
              <w:rPr>
                <w:rFonts w:hint="eastAsia" w:ascii="Times New Roman" w:hAnsi="Times New Roman" w:cs="Times New Roman"/>
                <w:b w:val="0"/>
                <w:color w:val="auto"/>
                <w:kern w:val="2"/>
                <w:sz w:val="24"/>
                <w:szCs w:val="24"/>
                <w:highlight w:val="none"/>
                <w:lang w:val="en-US" w:eastAsia="zh-CN" w:bidi="ar-SA"/>
              </w:rPr>
              <w:t>可满足</w:t>
            </w:r>
            <w:r>
              <w:rPr>
                <w:rFonts w:hint="default" w:ascii="Times New Roman" w:hAnsi="Times New Roman" w:eastAsia="宋体" w:cs="Times New Roman"/>
                <w:b w:val="0"/>
                <w:color w:val="auto"/>
                <w:kern w:val="2"/>
                <w:sz w:val="24"/>
                <w:szCs w:val="24"/>
                <w:highlight w:val="none"/>
                <w:lang w:val="en-US" w:eastAsia="zh-CN" w:bidi="ar-SA"/>
              </w:rPr>
              <w:t>本项目</w:t>
            </w:r>
            <w:r>
              <w:rPr>
                <w:rFonts w:hint="eastAsia" w:ascii="Times New Roman" w:hAnsi="Times New Roman" w:cs="Times New Roman"/>
                <w:b w:val="0"/>
                <w:color w:val="auto"/>
                <w:kern w:val="2"/>
                <w:sz w:val="24"/>
                <w:szCs w:val="24"/>
                <w:highlight w:val="none"/>
                <w:lang w:val="en-US" w:eastAsia="zh-CN" w:bidi="ar-SA"/>
              </w:rPr>
              <w:t>废</w:t>
            </w:r>
            <w:r>
              <w:rPr>
                <w:rFonts w:hint="default" w:ascii="Times New Roman" w:hAnsi="Times New Roman" w:eastAsia="宋体" w:cs="Times New Roman"/>
                <w:b w:val="0"/>
                <w:color w:val="auto"/>
                <w:kern w:val="2"/>
                <w:sz w:val="24"/>
                <w:szCs w:val="24"/>
                <w:highlight w:val="none"/>
                <w:lang w:val="en-US" w:eastAsia="zh-CN" w:bidi="ar-SA"/>
              </w:rPr>
              <w:t>水量，</w:t>
            </w:r>
            <w:r>
              <w:rPr>
                <w:rFonts w:hint="eastAsia" w:ascii="Times New Roman" w:hAnsi="Times New Roman" w:cs="Times New Roman"/>
                <w:b w:val="0"/>
                <w:color w:val="auto"/>
                <w:kern w:val="2"/>
                <w:sz w:val="24"/>
                <w:szCs w:val="24"/>
                <w:highlight w:val="none"/>
                <w:lang w:val="en-US" w:eastAsia="zh-CN" w:bidi="ar-SA"/>
              </w:rPr>
              <w:t>且本项目出厂废水</w:t>
            </w:r>
            <w:r>
              <w:rPr>
                <w:rFonts w:hint="default" w:ascii="Times New Roman" w:hAnsi="Times New Roman" w:eastAsia="宋体" w:cs="Times New Roman"/>
                <w:b w:val="0"/>
                <w:color w:val="auto"/>
                <w:kern w:val="2"/>
                <w:sz w:val="24"/>
                <w:szCs w:val="24"/>
                <w:highlight w:val="none"/>
                <w:lang w:val="en-US" w:eastAsia="zh-CN" w:bidi="ar-SA"/>
              </w:rPr>
              <w:t>水质较为简单，不会对污水处理厂造成冲击影响。故本次项目废水排入</w:t>
            </w:r>
            <w:r>
              <w:rPr>
                <w:rFonts w:hint="eastAsia" w:ascii="Times New Roman" w:hAnsi="Times New Roman" w:cs="Times New Roman"/>
                <w:b w:val="0"/>
                <w:color w:val="auto"/>
                <w:kern w:val="2"/>
                <w:sz w:val="24"/>
                <w:szCs w:val="24"/>
                <w:highlight w:val="none"/>
                <w:lang w:val="en-US" w:eastAsia="zh-CN" w:bidi="ar-SA"/>
              </w:rPr>
              <w:t>凤台县污水处理厂</w:t>
            </w:r>
            <w:r>
              <w:rPr>
                <w:rFonts w:hint="default" w:ascii="Times New Roman" w:hAnsi="Times New Roman" w:eastAsia="宋体" w:cs="Times New Roman"/>
                <w:b w:val="0"/>
                <w:color w:val="auto"/>
                <w:kern w:val="2"/>
                <w:sz w:val="24"/>
                <w:szCs w:val="24"/>
                <w:highlight w:val="none"/>
                <w:lang w:val="en-US" w:eastAsia="zh-CN" w:bidi="ar-SA"/>
              </w:rPr>
              <w:t>在水量上是可行的。</w:t>
            </w:r>
          </w:p>
          <w:p w14:paraId="52E0BA59">
            <w:pPr>
              <w:pStyle w:val="250"/>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Autospacing="0" w:line="360" w:lineRule="auto"/>
              <w:ind w:left="0" w:right="0"/>
              <w:textAlignment w:val="auto"/>
              <w:rPr>
                <w:rFonts w:hint="default" w:ascii="Times New Roman" w:hAnsi="Times New Roman" w:eastAsia="宋体" w:cs="Times New Roman"/>
                <w:b w:val="0"/>
                <w:color w:val="auto"/>
                <w:kern w:val="2"/>
                <w:sz w:val="24"/>
                <w:szCs w:val="24"/>
                <w:highlight w:val="none"/>
                <w:lang w:val="en-US" w:eastAsia="zh-CN" w:bidi="ar-SA"/>
              </w:rPr>
            </w:pPr>
            <w:r>
              <w:rPr>
                <w:rFonts w:hint="default" w:ascii="Times New Roman" w:hAnsi="Times New Roman" w:eastAsia="宋体" w:cs="Times New Roman"/>
                <w:b w:val="0"/>
                <w:color w:val="auto"/>
                <w:kern w:val="2"/>
                <w:sz w:val="24"/>
                <w:szCs w:val="24"/>
                <w:highlight w:val="none"/>
                <w:lang w:val="en-US" w:eastAsia="zh-CN" w:bidi="ar-SA"/>
              </w:rPr>
              <w:t>③周边管网建设情况</w:t>
            </w:r>
          </w:p>
          <w:p w14:paraId="7CD8BC61">
            <w:pPr>
              <w:pStyle w:val="25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color w:val="auto"/>
                <w:sz w:val="24"/>
                <w:szCs w:val="24"/>
              </w:rPr>
            </w:pPr>
            <w:r>
              <w:rPr>
                <w:rFonts w:hint="default" w:ascii="Times New Roman" w:hAnsi="Times New Roman"/>
                <w:color w:val="auto"/>
                <w:sz w:val="24"/>
                <w:szCs w:val="24"/>
              </w:rPr>
              <w:t>根据《凤台县城区排水</w:t>
            </w:r>
            <w:r>
              <w:rPr>
                <w:rFonts w:hint="eastAsia" w:ascii="Times New Roman" w:hAnsi="Times New Roman"/>
                <w:color w:val="auto"/>
                <w:sz w:val="24"/>
                <w:szCs w:val="24"/>
              </w:rPr>
              <w:t>（</w:t>
            </w:r>
            <w:r>
              <w:rPr>
                <w:rFonts w:hint="default" w:ascii="Times New Roman" w:hAnsi="Times New Roman"/>
                <w:color w:val="auto"/>
                <w:sz w:val="24"/>
                <w:szCs w:val="24"/>
              </w:rPr>
              <w:t>污水</w:t>
            </w:r>
            <w:r>
              <w:rPr>
                <w:rFonts w:hint="eastAsia" w:ascii="Times New Roman" w:hAnsi="Times New Roman"/>
                <w:color w:val="auto"/>
                <w:sz w:val="24"/>
                <w:szCs w:val="24"/>
              </w:rPr>
              <w:t>）</w:t>
            </w:r>
            <w:r>
              <w:rPr>
                <w:rFonts w:hint="default" w:ascii="Times New Roman" w:hAnsi="Times New Roman"/>
                <w:color w:val="auto"/>
                <w:sz w:val="24"/>
                <w:szCs w:val="24"/>
              </w:rPr>
              <w:t>工程专业规划（2016-2030）》，凤凰产业园属于凤台县污水处理厂（凤台县艾葛赛污水</w:t>
            </w:r>
            <w:r>
              <w:rPr>
                <w:rFonts w:hint="eastAsia" w:ascii="Times New Roman" w:hAnsi="Times New Roman"/>
                <w:color w:val="auto"/>
                <w:sz w:val="24"/>
                <w:szCs w:val="24"/>
              </w:rPr>
              <w:t>处理</w:t>
            </w:r>
            <w:r>
              <w:rPr>
                <w:rFonts w:hint="default" w:ascii="Times New Roman" w:hAnsi="Times New Roman"/>
                <w:color w:val="auto"/>
                <w:sz w:val="24"/>
                <w:szCs w:val="24"/>
              </w:rPr>
              <w:t>厂）服务范围，区块二凤凰湖片区内除中环低碳</w:t>
            </w:r>
            <w:r>
              <w:rPr>
                <w:rFonts w:hint="eastAsia" w:ascii="Times New Roman" w:hAnsi="Times New Roman"/>
                <w:color w:val="auto"/>
                <w:sz w:val="24"/>
                <w:szCs w:val="24"/>
              </w:rPr>
              <w:t>（</w:t>
            </w:r>
            <w:r>
              <w:rPr>
                <w:rFonts w:hint="default" w:ascii="Times New Roman" w:hAnsi="Times New Roman"/>
                <w:color w:val="auto"/>
                <w:sz w:val="24"/>
                <w:szCs w:val="24"/>
              </w:rPr>
              <w:t>安徽</w:t>
            </w:r>
            <w:r>
              <w:rPr>
                <w:rFonts w:hint="eastAsia" w:ascii="Times New Roman" w:hAnsi="Times New Roman"/>
                <w:color w:val="auto"/>
                <w:sz w:val="24"/>
                <w:szCs w:val="24"/>
              </w:rPr>
              <w:t>）</w:t>
            </w:r>
            <w:r>
              <w:rPr>
                <w:rFonts w:hint="default" w:ascii="Times New Roman" w:hAnsi="Times New Roman"/>
                <w:color w:val="auto"/>
                <w:sz w:val="24"/>
                <w:szCs w:val="24"/>
              </w:rPr>
              <w:t>新能源光伏科技有限公司外的企业废水目前均进入凤台县污水处理厂处理。</w:t>
            </w:r>
          </w:p>
          <w:p w14:paraId="6AFE9902">
            <w:pPr>
              <w:pStyle w:val="25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宋体" w:cs="Times New Roman"/>
                <w:b w:val="0"/>
                <w:color w:val="auto"/>
                <w:kern w:val="2"/>
                <w:sz w:val="24"/>
                <w:szCs w:val="24"/>
                <w:highlight w:val="none"/>
                <w:lang w:val="en-US" w:eastAsia="zh-CN" w:bidi="ar-SA"/>
              </w:rPr>
            </w:pPr>
            <w:r>
              <w:rPr>
                <w:rFonts w:hint="eastAsia" w:ascii="Times New Roman" w:hAnsi="Times New Roman" w:cs="Times New Roman"/>
                <w:b w:val="0"/>
                <w:color w:val="auto"/>
                <w:kern w:val="2"/>
                <w:sz w:val="24"/>
                <w:szCs w:val="24"/>
                <w:highlight w:val="none"/>
                <w:lang w:val="en-US" w:eastAsia="zh-CN" w:bidi="ar-SA"/>
              </w:rPr>
              <w:t>本项目厂区位于安徽省淮南市凤台县凤台经济开发区电子智能制造产业园52#标准化厂房一层、二层、三层、四层，</w:t>
            </w:r>
            <w:r>
              <w:rPr>
                <w:rFonts w:hint="default" w:ascii="Times New Roman" w:hAnsi="Times New Roman"/>
                <w:color w:val="auto"/>
                <w:sz w:val="24"/>
                <w:szCs w:val="24"/>
              </w:rPr>
              <w:t>位于市政污水管网覆盖范围内，</w:t>
            </w:r>
            <w:r>
              <w:rPr>
                <w:rFonts w:hint="eastAsia" w:ascii="Times New Roman" w:hAnsi="Times New Roman"/>
                <w:color w:val="auto"/>
                <w:sz w:val="24"/>
                <w:szCs w:val="24"/>
                <w:lang w:val="en-US" w:eastAsia="zh-CN"/>
              </w:rPr>
              <w:t>且</w:t>
            </w:r>
            <w:r>
              <w:rPr>
                <w:rFonts w:hint="eastAsia" w:ascii="Times New Roman" w:hAnsi="Times New Roman" w:cs="Times New Roman"/>
                <w:b w:val="0"/>
                <w:color w:val="auto"/>
                <w:kern w:val="2"/>
                <w:sz w:val="24"/>
                <w:szCs w:val="24"/>
                <w:highlight w:val="none"/>
                <w:lang w:val="en-US" w:eastAsia="zh-CN" w:bidi="ar-SA"/>
              </w:rPr>
              <w:t>在凤台县污水处理厂</w:t>
            </w:r>
            <w:r>
              <w:rPr>
                <w:rFonts w:hint="default" w:ascii="Times New Roman" w:hAnsi="Times New Roman" w:eastAsia="宋体" w:cs="Times New Roman"/>
                <w:b w:val="0"/>
                <w:color w:val="auto"/>
                <w:kern w:val="2"/>
                <w:sz w:val="24"/>
                <w:szCs w:val="24"/>
                <w:highlight w:val="none"/>
                <w:lang w:val="en-US" w:eastAsia="zh-CN" w:bidi="ar-SA"/>
              </w:rPr>
              <w:t>的收水范围</w:t>
            </w:r>
            <w:r>
              <w:rPr>
                <w:rFonts w:hint="eastAsia" w:ascii="Times New Roman" w:hAnsi="Times New Roman" w:cs="Times New Roman"/>
                <w:b w:val="0"/>
                <w:color w:val="auto"/>
                <w:kern w:val="2"/>
                <w:sz w:val="24"/>
                <w:szCs w:val="24"/>
                <w:highlight w:val="none"/>
                <w:lang w:val="en-US" w:eastAsia="zh-CN" w:bidi="ar-SA"/>
              </w:rPr>
              <w:t>内</w:t>
            </w:r>
            <w:r>
              <w:rPr>
                <w:rFonts w:hint="default" w:ascii="Times New Roman" w:hAnsi="Times New Roman" w:eastAsia="宋体" w:cs="Times New Roman"/>
                <w:b w:val="0"/>
                <w:color w:val="auto"/>
                <w:kern w:val="2"/>
                <w:sz w:val="24"/>
                <w:szCs w:val="24"/>
                <w:highlight w:val="none"/>
                <w:lang w:val="en-US" w:eastAsia="zh-CN" w:bidi="ar-SA"/>
              </w:rPr>
              <w:t>，</w:t>
            </w:r>
            <w:r>
              <w:rPr>
                <w:rFonts w:hint="eastAsia" w:ascii="Times New Roman" w:hAnsi="Times New Roman" w:cs="Times New Roman"/>
                <w:b w:val="0"/>
                <w:color w:val="auto"/>
                <w:kern w:val="2"/>
                <w:sz w:val="24"/>
                <w:szCs w:val="24"/>
                <w:highlight w:val="none"/>
                <w:lang w:val="en-US" w:eastAsia="zh-CN" w:bidi="ar-SA"/>
              </w:rPr>
              <w:t>凤台县污水处理厂目前运行正常，</w:t>
            </w:r>
            <w:r>
              <w:rPr>
                <w:rFonts w:hint="default" w:ascii="Times New Roman" w:hAnsi="Times New Roman" w:eastAsia="宋体" w:cs="Times New Roman"/>
                <w:b w:val="0"/>
                <w:color w:val="auto"/>
                <w:kern w:val="2"/>
                <w:sz w:val="24"/>
                <w:szCs w:val="24"/>
                <w:highlight w:val="none"/>
                <w:lang w:val="en-US" w:eastAsia="zh-CN" w:bidi="ar-SA"/>
              </w:rPr>
              <w:t>区域配套的污水管网已经建成</w:t>
            </w:r>
            <w:r>
              <w:rPr>
                <w:rFonts w:hint="eastAsia" w:ascii="Times New Roman" w:hAnsi="Times New Roman" w:cs="Times New Roman"/>
                <w:b w:val="0"/>
                <w:color w:val="auto"/>
                <w:kern w:val="2"/>
                <w:sz w:val="24"/>
                <w:szCs w:val="24"/>
                <w:highlight w:val="none"/>
                <w:lang w:val="en-US" w:eastAsia="zh-CN" w:bidi="ar-SA"/>
              </w:rPr>
              <w:t>并正常接管</w:t>
            </w:r>
            <w:r>
              <w:rPr>
                <w:rFonts w:hint="default" w:ascii="Times New Roman" w:hAnsi="Times New Roman" w:eastAsia="宋体" w:cs="Times New Roman"/>
                <w:b w:val="0"/>
                <w:color w:val="auto"/>
                <w:kern w:val="2"/>
                <w:sz w:val="24"/>
                <w:szCs w:val="24"/>
                <w:highlight w:val="none"/>
                <w:lang w:val="en-US" w:eastAsia="zh-CN" w:bidi="ar-SA"/>
              </w:rPr>
              <w:t>，</w:t>
            </w:r>
            <w:r>
              <w:rPr>
                <w:rFonts w:hint="eastAsia" w:ascii="Times New Roman" w:hAnsi="Times New Roman" w:cs="Times New Roman"/>
                <w:b w:val="0"/>
                <w:color w:val="auto"/>
                <w:kern w:val="2"/>
                <w:sz w:val="24"/>
                <w:szCs w:val="24"/>
                <w:highlight w:val="none"/>
                <w:lang w:val="en-US" w:eastAsia="zh-CN" w:bidi="ar-SA"/>
              </w:rPr>
              <w:t>废水经厂区废水总排口DW001接管至凤台县污水处理厂深度</w:t>
            </w:r>
            <w:r>
              <w:rPr>
                <w:rFonts w:hint="default" w:ascii="Times New Roman" w:hAnsi="Times New Roman" w:eastAsia="宋体" w:cs="Times New Roman"/>
                <w:b w:val="0"/>
                <w:color w:val="auto"/>
                <w:kern w:val="2"/>
                <w:sz w:val="24"/>
                <w:szCs w:val="24"/>
                <w:highlight w:val="none"/>
                <w:lang w:val="en-US" w:eastAsia="zh-CN" w:bidi="ar-SA"/>
              </w:rPr>
              <w:t>处理，达标后排入</w:t>
            </w:r>
            <w:r>
              <w:rPr>
                <w:rFonts w:hint="eastAsia" w:ascii="Times New Roman" w:hAnsi="Times New Roman" w:cs="Times New Roman"/>
                <w:b w:val="0"/>
                <w:color w:val="auto"/>
                <w:kern w:val="2"/>
                <w:sz w:val="24"/>
                <w:szCs w:val="24"/>
                <w:highlight w:val="none"/>
                <w:lang w:val="en-US" w:eastAsia="zh-CN" w:bidi="ar-SA"/>
              </w:rPr>
              <w:t>架河</w:t>
            </w:r>
            <w:r>
              <w:rPr>
                <w:rFonts w:hint="default" w:ascii="Times New Roman" w:hAnsi="Times New Roman" w:eastAsia="宋体" w:cs="Times New Roman"/>
                <w:b w:val="0"/>
                <w:color w:val="auto"/>
                <w:kern w:val="2"/>
                <w:sz w:val="24"/>
                <w:szCs w:val="24"/>
                <w:highlight w:val="none"/>
                <w:lang w:val="en-US" w:eastAsia="zh-CN" w:bidi="ar-SA"/>
              </w:rPr>
              <w:t>。</w:t>
            </w:r>
            <w:r>
              <w:rPr>
                <w:rFonts w:hint="eastAsia" w:ascii="Times New Roman" w:hAnsi="Times New Roman" w:cs="Times New Roman"/>
                <w:b w:val="0"/>
                <w:color w:val="auto"/>
                <w:kern w:val="2"/>
                <w:sz w:val="24"/>
                <w:szCs w:val="24"/>
                <w:highlight w:val="none"/>
                <w:lang w:val="en-US" w:eastAsia="zh-CN" w:bidi="ar-SA"/>
              </w:rPr>
              <w:t>因此本项目接管可行。</w:t>
            </w:r>
          </w:p>
          <w:p w14:paraId="4B6E418E">
            <w:pPr>
              <w:keepNext w:val="0"/>
              <w:keepLines w:val="0"/>
              <w:suppressLineNumbers w:val="0"/>
              <w:spacing w:before="0" w:beforeAutospacing="0" w:after="0" w:afterAutospacing="0" w:line="360" w:lineRule="auto"/>
              <w:ind w:left="0" w:right="0" w:firstLine="482" w:firstLineChars="200"/>
              <w:jc w:val="left"/>
              <w:rPr>
                <w:rFonts w:hint="default" w:eastAsia="宋体"/>
                <w:b/>
                <w:snapToGrid w:val="0"/>
                <w:color w:val="auto"/>
                <w:kern w:val="0"/>
                <w:sz w:val="24"/>
                <w:highlight w:val="none"/>
                <w:lang w:val="en-US" w:eastAsia="zh-CN"/>
              </w:rPr>
            </w:pPr>
            <w:r>
              <w:rPr>
                <w:rFonts w:hint="eastAsia"/>
                <w:b/>
                <w:snapToGrid w:val="0"/>
                <w:color w:val="auto"/>
                <w:kern w:val="0"/>
                <w:sz w:val="24"/>
                <w:highlight w:val="none"/>
                <w:lang w:val="en-US" w:eastAsia="zh-CN"/>
              </w:rPr>
              <w:t>4.废水污染源监测计划</w:t>
            </w:r>
          </w:p>
          <w:p w14:paraId="58537D2E">
            <w:pPr>
              <w:keepNext w:val="0"/>
              <w:keepLines w:val="0"/>
              <w:suppressLineNumbers w:val="0"/>
              <w:spacing w:before="0" w:beforeAutospacing="0" w:after="0" w:afterAutospacing="0" w:line="360" w:lineRule="auto"/>
              <w:ind w:left="0" w:right="0" w:firstLine="480" w:firstLineChars="200"/>
              <w:jc w:val="left"/>
              <w:rPr>
                <w:rFonts w:hint="eastAsia" w:eastAsia="宋体"/>
                <w:b w:val="0"/>
                <w:bCs/>
                <w:snapToGrid w:val="0"/>
                <w:color w:val="auto"/>
                <w:kern w:val="0"/>
                <w:sz w:val="24"/>
                <w:highlight w:val="none"/>
                <w:lang w:eastAsia="zh-CN"/>
              </w:rPr>
            </w:pPr>
            <w:r>
              <w:rPr>
                <w:rFonts w:hint="eastAsia"/>
                <w:sz w:val="24"/>
                <w:szCs w:val="24"/>
                <w:lang w:val="en-US" w:eastAsia="zh-CN"/>
              </w:rPr>
              <w:t>本项目排污许可类别为登记管理，无需开展自行监测，本评价制定如下监测计划仅供建设单位运营期环境管理及监测参考。</w:t>
            </w:r>
            <w:r>
              <w:rPr>
                <w:rFonts w:hint="eastAsia"/>
                <w:b w:val="0"/>
                <w:bCs/>
                <w:snapToGrid w:val="0"/>
                <w:color w:val="auto"/>
                <w:kern w:val="0"/>
                <w:sz w:val="24"/>
                <w:highlight w:val="none"/>
                <w:lang w:val="en-US" w:eastAsia="zh-CN"/>
              </w:rPr>
              <w:t>参照</w:t>
            </w:r>
            <w:r>
              <w:rPr>
                <w:rFonts w:hint="eastAsia"/>
                <w:color w:val="auto"/>
                <w:sz w:val="24"/>
                <w:szCs w:val="28"/>
                <w:lang w:val="en-US" w:eastAsia="zh-CN"/>
              </w:rPr>
              <w:t>《排污单位自行监测技术指南 橡胶和塑料制品》（HJ1207-2021）、</w:t>
            </w:r>
            <w:r>
              <w:rPr>
                <w:rFonts w:hint="eastAsia"/>
                <w:b w:val="0"/>
                <w:bCs/>
                <w:snapToGrid w:val="0"/>
                <w:color w:val="auto"/>
                <w:kern w:val="0"/>
                <w:sz w:val="24"/>
                <w:highlight w:val="none"/>
              </w:rPr>
              <w:t>《排污许可证申请与核发技术规范 总则》（HJ942-2018）</w:t>
            </w:r>
            <w:r>
              <w:rPr>
                <w:rFonts w:hint="eastAsia"/>
                <w:b w:val="0"/>
                <w:bCs/>
                <w:snapToGrid w:val="0"/>
                <w:color w:val="auto"/>
                <w:kern w:val="0"/>
                <w:sz w:val="24"/>
                <w:highlight w:val="none"/>
                <w:lang w:val="en-US" w:eastAsia="zh-CN"/>
              </w:rPr>
              <w:t>及</w:t>
            </w:r>
            <w:r>
              <w:rPr>
                <w:rFonts w:hint="eastAsia"/>
                <w:b w:val="0"/>
                <w:bCs/>
                <w:snapToGrid w:val="0"/>
                <w:color w:val="auto"/>
                <w:kern w:val="0"/>
                <w:sz w:val="24"/>
                <w:highlight w:val="none"/>
              </w:rPr>
              <w:t>《排污单位自行监测技术指南 总则》（HJ819-2017）废水排放监测中基本要求，项目废水排放监测点位、监测指标及最低监测频次见下表</w:t>
            </w:r>
            <w:r>
              <w:rPr>
                <w:rFonts w:hint="eastAsia"/>
                <w:b w:val="0"/>
                <w:bCs/>
                <w:snapToGrid w:val="0"/>
                <w:color w:val="auto"/>
                <w:kern w:val="0"/>
                <w:sz w:val="24"/>
                <w:highlight w:val="none"/>
                <w:lang w:eastAsia="zh-CN"/>
              </w:rPr>
              <w:t>。</w:t>
            </w:r>
          </w:p>
          <w:p w14:paraId="7B5BB743">
            <w:pPr>
              <w:keepNext w:val="0"/>
              <w:keepLines w:val="0"/>
              <w:suppressLineNumbers w:val="0"/>
              <w:spacing w:before="0" w:beforeAutospacing="0" w:after="0" w:afterAutospacing="0" w:line="360" w:lineRule="auto"/>
              <w:ind w:left="0" w:right="0" w:firstLine="480" w:firstLineChars="200"/>
              <w:jc w:val="center"/>
              <w:rPr>
                <w:rFonts w:hint="default" w:eastAsia="黑体"/>
                <w:b/>
                <w:snapToGrid w:val="0"/>
                <w:color w:val="auto"/>
                <w:kern w:val="0"/>
                <w:sz w:val="24"/>
                <w:highlight w:val="none"/>
                <w:lang w:val="en-US" w:eastAsia="zh-CN"/>
              </w:rPr>
            </w:pPr>
            <w:r>
              <w:rPr>
                <w:rFonts w:hint="eastAsia" w:hAnsi="黑体" w:eastAsia="黑体"/>
                <w:color w:val="auto"/>
                <w:sz w:val="24"/>
                <w:szCs w:val="24"/>
                <w:highlight w:val="none"/>
              </w:rPr>
              <w:t>表</w:t>
            </w:r>
            <w:r>
              <w:rPr>
                <w:rFonts w:hint="eastAsia" w:hAnsi="黑体" w:eastAsia="黑体"/>
                <w:color w:val="auto"/>
                <w:sz w:val="24"/>
                <w:szCs w:val="24"/>
                <w:highlight w:val="none"/>
                <w:lang w:val="en-US" w:eastAsia="zh-CN"/>
              </w:rPr>
              <w:t>4-13</w:t>
            </w:r>
            <w:r>
              <w:rPr>
                <w:rFonts w:hint="eastAsia" w:hAnsi="黑体" w:eastAsia="黑体"/>
                <w:color w:val="auto"/>
                <w:sz w:val="24"/>
                <w:szCs w:val="24"/>
                <w:highlight w:val="none"/>
              </w:rPr>
              <w:t xml:space="preserve"> </w:t>
            </w:r>
            <w:r>
              <w:rPr>
                <w:rFonts w:hint="eastAsia" w:hAnsi="黑体" w:eastAsia="黑体"/>
                <w:color w:val="auto"/>
                <w:sz w:val="24"/>
                <w:szCs w:val="24"/>
                <w:highlight w:val="none"/>
                <w:lang w:val="en-US" w:eastAsia="zh-CN"/>
              </w:rPr>
              <w:t>废水总排口污染源监测计划</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314"/>
              <w:gridCol w:w="3265"/>
              <w:gridCol w:w="2389"/>
            </w:tblGrid>
            <w:tr w14:paraId="592042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52" w:type="pct"/>
                  <w:tcBorders>
                    <w:tl2br w:val="nil"/>
                    <w:tr2bl w:val="nil"/>
                  </w:tcBorders>
                  <w:noWrap w:val="0"/>
                  <w:vAlign w:val="center"/>
                </w:tcPr>
                <w:p w14:paraId="61B285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color w:val="auto"/>
                      <w:sz w:val="21"/>
                      <w:szCs w:val="21"/>
                      <w:highlight w:val="none"/>
                    </w:rPr>
                  </w:pPr>
                  <w:r>
                    <w:rPr>
                      <w:rFonts w:hint="eastAsia"/>
                      <w:b/>
                      <w:color w:val="auto"/>
                      <w:sz w:val="21"/>
                      <w:szCs w:val="21"/>
                      <w:highlight w:val="none"/>
                    </w:rPr>
                    <w:t>监测点位</w:t>
                  </w:r>
                </w:p>
              </w:tc>
              <w:tc>
                <w:tcPr>
                  <w:tcW w:w="2048" w:type="pct"/>
                  <w:tcBorders>
                    <w:tl2br w:val="nil"/>
                    <w:tr2bl w:val="nil"/>
                  </w:tcBorders>
                  <w:noWrap w:val="0"/>
                  <w:vAlign w:val="center"/>
                </w:tcPr>
                <w:p w14:paraId="6044BB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color w:val="auto"/>
                      <w:sz w:val="21"/>
                      <w:szCs w:val="21"/>
                      <w:highlight w:val="none"/>
                    </w:rPr>
                  </w:pPr>
                  <w:r>
                    <w:rPr>
                      <w:rFonts w:hint="eastAsia"/>
                      <w:b/>
                      <w:color w:val="auto"/>
                      <w:sz w:val="21"/>
                      <w:szCs w:val="21"/>
                      <w:highlight w:val="none"/>
                    </w:rPr>
                    <w:t>监测因子</w:t>
                  </w:r>
                </w:p>
              </w:tc>
              <w:tc>
                <w:tcPr>
                  <w:tcW w:w="1499" w:type="pct"/>
                  <w:tcBorders>
                    <w:tl2br w:val="nil"/>
                    <w:tr2bl w:val="nil"/>
                  </w:tcBorders>
                  <w:noWrap w:val="0"/>
                  <w:vAlign w:val="center"/>
                </w:tcPr>
                <w:p w14:paraId="318CFB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color w:val="auto"/>
                      <w:sz w:val="21"/>
                      <w:szCs w:val="21"/>
                      <w:highlight w:val="none"/>
                    </w:rPr>
                  </w:pPr>
                  <w:r>
                    <w:rPr>
                      <w:rFonts w:hint="eastAsia"/>
                      <w:b/>
                      <w:color w:val="auto"/>
                      <w:sz w:val="21"/>
                      <w:szCs w:val="21"/>
                      <w:highlight w:val="none"/>
                    </w:rPr>
                    <w:t>监测频次</w:t>
                  </w:r>
                </w:p>
              </w:tc>
            </w:tr>
            <w:tr w14:paraId="123C85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52" w:type="pct"/>
                  <w:vMerge w:val="restart"/>
                  <w:tcBorders>
                    <w:tl2br w:val="nil"/>
                    <w:tr2bl w:val="nil"/>
                  </w:tcBorders>
                  <w:noWrap w:val="0"/>
                  <w:vAlign w:val="center"/>
                </w:tcPr>
                <w:p w14:paraId="40FFAF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rPr>
                  </w:pPr>
                  <w:r>
                    <w:rPr>
                      <w:rFonts w:hint="eastAsia"/>
                      <w:color w:val="auto"/>
                      <w:sz w:val="21"/>
                      <w:szCs w:val="21"/>
                      <w:highlight w:val="none"/>
                      <w:lang w:val="en-US" w:eastAsia="zh-CN"/>
                    </w:rPr>
                    <w:t>废水</w:t>
                  </w:r>
                  <w:r>
                    <w:rPr>
                      <w:rFonts w:hint="eastAsia"/>
                      <w:color w:val="auto"/>
                      <w:sz w:val="21"/>
                      <w:szCs w:val="21"/>
                      <w:highlight w:val="none"/>
                    </w:rPr>
                    <w:t>总排口</w:t>
                  </w:r>
                </w:p>
                <w:p w14:paraId="29D097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eastAsia="zh-CN"/>
                    </w:rPr>
                    <w:t>（</w:t>
                  </w:r>
                  <w:r>
                    <w:rPr>
                      <w:rFonts w:hint="eastAsia"/>
                      <w:color w:val="auto"/>
                      <w:sz w:val="21"/>
                      <w:szCs w:val="21"/>
                      <w:highlight w:val="none"/>
                      <w:lang w:val="en-US" w:eastAsia="zh-CN"/>
                    </w:rPr>
                    <w:t>DW001</w:t>
                  </w:r>
                  <w:r>
                    <w:rPr>
                      <w:rFonts w:hint="eastAsia"/>
                      <w:color w:val="auto"/>
                      <w:sz w:val="21"/>
                      <w:szCs w:val="21"/>
                      <w:highlight w:val="none"/>
                      <w:lang w:eastAsia="zh-CN"/>
                    </w:rPr>
                    <w:t>）</w:t>
                  </w:r>
                </w:p>
              </w:tc>
              <w:tc>
                <w:tcPr>
                  <w:tcW w:w="2048" w:type="pct"/>
                  <w:tcBorders>
                    <w:tl2br w:val="nil"/>
                    <w:tr2bl w:val="nil"/>
                  </w:tcBorders>
                  <w:shd w:val="clear" w:color="auto" w:fill="auto"/>
                  <w:noWrap w:val="0"/>
                  <w:vAlign w:val="center"/>
                </w:tcPr>
                <w:p w14:paraId="6776F6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pH</w:t>
                  </w:r>
                </w:p>
              </w:tc>
              <w:tc>
                <w:tcPr>
                  <w:tcW w:w="1499" w:type="pct"/>
                  <w:tcBorders>
                    <w:tl2br w:val="nil"/>
                    <w:tr2bl w:val="nil"/>
                  </w:tcBorders>
                  <w:shd w:val="clear" w:color="auto" w:fill="auto"/>
                  <w:noWrap w:val="0"/>
                  <w:vAlign w:val="center"/>
                </w:tcPr>
                <w:p w14:paraId="410857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highlight w:val="none"/>
                    </w:rPr>
                  </w:pPr>
                  <w:r>
                    <w:rPr>
                      <w:rFonts w:hint="eastAsia"/>
                      <w:color w:val="auto"/>
                      <w:sz w:val="21"/>
                      <w:szCs w:val="21"/>
                      <w:highlight w:val="none"/>
                    </w:rPr>
                    <w:t>1次/</w:t>
                  </w:r>
                  <w:r>
                    <w:rPr>
                      <w:rFonts w:hint="eastAsia"/>
                      <w:color w:val="auto"/>
                      <w:sz w:val="21"/>
                      <w:szCs w:val="21"/>
                      <w:highlight w:val="none"/>
                      <w:lang w:val="en-US" w:eastAsia="zh-CN"/>
                    </w:rPr>
                    <w:t>半</w:t>
                  </w:r>
                  <w:r>
                    <w:rPr>
                      <w:rFonts w:hint="eastAsia"/>
                      <w:color w:val="auto"/>
                      <w:sz w:val="21"/>
                      <w:szCs w:val="21"/>
                      <w:highlight w:val="none"/>
                    </w:rPr>
                    <w:t>年</w:t>
                  </w:r>
                </w:p>
              </w:tc>
            </w:tr>
            <w:tr w14:paraId="1131A1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52" w:type="pct"/>
                  <w:vMerge w:val="continue"/>
                  <w:tcBorders>
                    <w:tl2br w:val="nil"/>
                    <w:tr2bl w:val="nil"/>
                  </w:tcBorders>
                  <w:noWrap w:val="0"/>
                  <w:vAlign w:val="center"/>
                </w:tcPr>
                <w:p w14:paraId="5392F7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p>
              </w:tc>
              <w:tc>
                <w:tcPr>
                  <w:tcW w:w="2048" w:type="pct"/>
                  <w:tcBorders>
                    <w:tl2br w:val="nil"/>
                    <w:tr2bl w:val="nil"/>
                  </w:tcBorders>
                  <w:shd w:val="clear" w:color="auto" w:fill="auto"/>
                  <w:noWrap w:val="0"/>
                  <w:vAlign w:val="center"/>
                </w:tcPr>
                <w:p w14:paraId="2119C7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COD</w:t>
                  </w:r>
                  <w:r>
                    <w:rPr>
                      <w:rFonts w:hint="eastAsia"/>
                      <w:color w:val="auto"/>
                      <w:sz w:val="21"/>
                      <w:szCs w:val="21"/>
                      <w:vertAlign w:val="subscript"/>
                      <w:lang w:val="en-US" w:eastAsia="zh-CN"/>
                    </w:rPr>
                    <w:t>Cr</w:t>
                  </w:r>
                </w:p>
              </w:tc>
              <w:tc>
                <w:tcPr>
                  <w:tcW w:w="1499" w:type="pct"/>
                  <w:tcBorders>
                    <w:tl2br w:val="nil"/>
                    <w:tr2bl w:val="nil"/>
                  </w:tcBorders>
                  <w:shd w:val="clear" w:color="auto" w:fill="auto"/>
                  <w:noWrap w:val="0"/>
                  <w:vAlign w:val="center"/>
                </w:tcPr>
                <w:p w14:paraId="7A1F93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rPr>
                  </w:pPr>
                  <w:r>
                    <w:rPr>
                      <w:rFonts w:hint="eastAsia"/>
                      <w:color w:val="auto"/>
                      <w:sz w:val="21"/>
                      <w:szCs w:val="21"/>
                      <w:highlight w:val="none"/>
                    </w:rPr>
                    <w:t>1次/</w:t>
                  </w:r>
                  <w:r>
                    <w:rPr>
                      <w:rFonts w:hint="eastAsia"/>
                      <w:color w:val="auto"/>
                      <w:sz w:val="21"/>
                      <w:szCs w:val="21"/>
                      <w:highlight w:val="none"/>
                      <w:lang w:val="en-US" w:eastAsia="zh-CN"/>
                    </w:rPr>
                    <w:t>半</w:t>
                  </w:r>
                  <w:r>
                    <w:rPr>
                      <w:rFonts w:hint="eastAsia"/>
                      <w:color w:val="auto"/>
                      <w:sz w:val="21"/>
                      <w:szCs w:val="21"/>
                      <w:highlight w:val="none"/>
                    </w:rPr>
                    <w:t>年</w:t>
                  </w:r>
                </w:p>
              </w:tc>
            </w:tr>
            <w:tr w14:paraId="15DFF7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52" w:type="pct"/>
                  <w:vMerge w:val="continue"/>
                  <w:tcBorders>
                    <w:tl2br w:val="nil"/>
                    <w:tr2bl w:val="nil"/>
                  </w:tcBorders>
                  <w:noWrap w:val="0"/>
                  <w:vAlign w:val="center"/>
                </w:tcPr>
                <w:p w14:paraId="32E5AA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p>
              </w:tc>
              <w:tc>
                <w:tcPr>
                  <w:tcW w:w="2048" w:type="pct"/>
                  <w:tcBorders>
                    <w:tl2br w:val="nil"/>
                    <w:tr2bl w:val="nil"/>
                  </w:tcBorders>
                  <w:shd w:val="clear" w:color="auto" w:fill="auto"/>
                  <w:noWrap w:val="0"/>
                  <w:vAlign w:val="center"/>
                </w:tcPr>
                <w:p w14:paraId="7F0BE2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BOD</w:t>
                  </w:r>
                  <w:r>
                    <w:rPr>
                      <w:rFonts w:hint="eastAsia"/>
                      <w:color w:val="auto"/>
                      <w:sz w:val="21"/>
                      <w:szCs w:val="21"/>
                      <w:vertAlign w:val="subscript"/>
                      <w:lang w:val="en-US" w:eastAsia="zh-CN"/>
                    </w:rPr>
                    <w:t>5</w:t>
                  </w:r>
                </w:p>
              </w:tc>
              <w:tc>
                <w:tcPr>
                  <w:tcW w:w="1499" w:type="pct"/>
                  <w:tcBorders>
                    <w:tl2br w:val="nil"/>
                    <w:tr2bl w:val="nil"/>
                  </w:tcBorders>
                  <w:shd w:val="clear" w:color="auto" w:fill="auto"/>
                  <w:noWrap w:val="0"/>
                  <w:vAlign w:val="center"/>
                </w:tcPr>
                <w:p w14:paraId="6AE20E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rPr>
                  </w:pPr>
                  <w:r>
                    <w:rPr>
                      <w:rFonts w:hint="eastAsia"/>
                      <w:color w:val="auto"/>
                      <w:sz w:val="21"/>
                      <w:szCs w:val="21"/>
                      <w:highlight w:val="none"/>
                    </w:rPr>
                    <w:t>1次/</w:t>
                  </w:r>
                  <w:r>
                    <w:rPr>
                      <w:rFonts w:hint="eastAsia"/>
                      <w:color w:val="auto"/>
                      <w:sz w:val="21"/>
                      <w:szCs w:val="21"/>
                      <w:highlight w:val="none"/>
                      <w:lang w:val="en-US" w:eastAsia="zh-CN"/>
                    </w:rPr>
                    <w:t>半</w:t>
                  </w:r>
                  <w:r>
                    <w:rPr>
                      <w:rFonts w:hint="eastAsia"/>
                      <w:color w:val="auto"/>
                      <w:sz w:val="21"/>
                      <w:szCs w:val="21"/>
                      <w:highlight w:val="none"/>
                    </w:rPr>
                    <w:t>年</w:t>
                  </w:r>
                </w:p>
              </w:tc>
            </w:tr>
            <w:tr w14:paraId="67772F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52" w:type="pct"/>
                  <w:vMerge w:val="continue"/>
                  <w:tcBorders>
                    <w:tl2br w:val="nil"/>
                    <w:tr2bl w:val="nil"/>
                  </w:tcBorders>
                  <w:noWrap w:val="0"/>
                  <w:vAlign w:val="center"/>
                </w:tcPr>
                <w:p w14:paraId="27090D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p>
              </w:tc>
              <w:tc>
                <w:tcPr>
                  <w:tcW w:w="2048" w:type="pct"/>
                  <w:tcBorders>
                    <w:tl2br w:val="nil"/>
                    <w:tr2bl w:val="nil"/>
                  </w:tcBorders>
                  <w:shd w:val="clear" w:color="auto" w:fill="auto"/>
                  <w:noWrap w:val="0"/>
                  <w:vAlign w:val="center"/>
                </w:tcPr>
                <w:p w14:paraId="6468D5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SS</w:t>
                  </w:r>
                </w:p>
              </w:tc>
              <w:tc>
                <w:tcPr>
                  <w:tcW w:w="1499" w:type="pct"/>
                  <w:tcBorders>
                    <w:tl2br w:val="nil"/>
                    <w:tr2bl w:val="nil"/>
                  </w:tcBorders>
                  <w:shd w:val="clear" w:color="auto" w:fill="auto"/>
                  <w:noWrap w:val="0"/>
                  <w:vAlign w:val="center"/>
                </w:tcPr>
                <w:p w14:paraId="70140B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rPr>
                  </w:pPr>
                  <w:r>
                    <w:rPr>
                      <w:rFonts w:hint="eastAsia"/>
                      <w:color w:val="auto"/>
                      <w:sz w:val="21"/>
                      <w:szCs w:val="21"/>
                      <w:highlight w:val="none"/>
                    </w:rPr>
                    <w:t>1次/</w:t>
                  </w:r>
                  <w:r>
                    <w:rPr>
                      <w:rFonts w:hint="eastAsia"/>
                      <w:color w:val="auto"/>
                      <w:sz w:val="21"/>
                      <w:szCs w:val="21"/>
                      <w:highlight w:val="none"/>
                      <w:lang w:val="en-US" w:eastAsia="zh-CN"/>
                    </w:rPr>
                    <w:t>半</w:t>
                  </w:r>
                  <w:r>
                    <w:rPr>
                      <w:rFonts w:hint="eastAsia"/>
                      <w:color w:val="auto"/>
                      <w:sz w:val="21"/>
                      <w:szCs w:val="21"/>
                      <w:highlight w:val="none"/>
                    </w:rPr>
                    <w:t>年</w:t>
                  </w:r>
                </w:p>
              </w:tc>
            </w:tr>
            <w:tr w14:paraId="528318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52" w:type="pct"/>
                  <w:vMerge w:val="continue"/>
                  <w:tcBorders>
                    <w:tl2br w:val="nil"/>
                    <w:tr2bl w:val="nil"/>
                  </w:tcBorders>
                  <w:noWrap w:val="0"/>
                  <w:vAlign w:val="center"/>
                </w:tcPr>
                <w:p w14:paraId="325184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p>
              </w:tc>
              <w:tc>
                <w:tcPr>
                  <w:tcW w:w="2048" w:type="pct"/>
                  <w:tcBorders>
                    <w:tl2br w:val="nil"/>
                    <w:tr2bl w:val="nil"/>
                  </w:tcBorders>
                  <w:shd w:val="clear" w:color="auto" w:fill="auto"/>
                  <w:noWrap w:val="0"/>
                  <w:vAlign w:val="center"/>
                </w:tcPr>
                <w:p w14:paraId="45E1B1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highlight w:val="none"/>
                      <w:vertAlign w:val="baseline"/>
                      <w:lang w:val="en-US" w:eastAsia="zh-CN"/>
                    </w:rPr>
                  </w:pPr>
                  <w:r>
                    <w:rPr>
                      <w:rFonts w:hint="eastAsia"/>
                      <w:color w:val="auto"/>
                      <w:sz w:val="21"/>
                      <w:szCs w:val="21"/>
                      <w:lang w:val="en-US" w:eastAsia="zh-CN"/>
                    </w:rPr>
                    <w:t>NH</w:t>
                  </w:r>
                  <w:r>
                    <w:rPr>
                      <w:rFonts w:hint="eastAsia"/>
                      <w:color w:val="auto"/>
                      <w:sz w:val="21"/>
                      <w:szCs w:val="21"/>
                      <w:vertAlign w:val="subscript"/>
                      <w:lang w:val="en-US" w:eastAsia="zh-CN"/>
                    </w:rPr>
                    <w:t>3</w:t>
                  </w:r>
                  <w:r>
                    <w:rPr>
                      <w:rFonts w:hint="eastAsia"/>
                      <w:color w:val="auto"/>
                      <w:sz w:val="21"/>
                      <w:szCs w:val="21"/>
                      <w:lang w:val="en-US" w:eastAsia="zh-CN"/>
                    </w:rPr>
                    <w:t>-N</w:t>
                  </w:r>
                </w:p>
              </w:tc>
              <w:tc>
                <w:tcPr>
                  <w:tcW w:w="1499" w:type="pct"/>
                  <w:tcBorders>
                    <w:tl2br w:val="nil"/>
                    <w:tr2bl w:val="nil"/>
                  </w:tcBorders>
                  <w:shd w:val="clear" w:color="auto" w:fill="auto"/>
                  <w:noWrap w:val="0"/>
                  <w:vAlign w:val="center"/>
                </w:tcPr>
                <w:p w14:paraId="3A4D26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highlight w:val="none"/>
                    </w:rPr>
                  </w:pPr>
                  <w:r>
                    <w:rPr>
                      <w:rFonts w:hint="eastAsia"/>
                      <w:color w:val="auto"/>
                      <w:sz w:val="21"/>
                      <w:szCs w:val="21"/>
                      <w:highlight w:val="none"/>
                    </w:rPr>
                    <w:t>1次/</w:t>
                  </w:r>
                  <w:r>
                    <w:rPr>
                      <w:rFonts w:hint="eastAsia"/>
                      <w:color w:val="auto"/>
                      <w:sz w:val="21"/>
                      <w:szCs w:val="21"/>
                      <w:highlight w:val="none"/>
                      <w:lang w:val="en-US" w:eastAsia="zh-CN"/>
                    </w:rPr>
                    <w:t>半</w:t>
                  </w:r>
                  <w:r>
                    <w:rPr>
                      <w:rFonts w:hint="eastAsia"/>
                      <w:color w:val="auto"/>
                      <w:sz w:val="21"/>
                      <w:szCs w:val="21"/>
                      <w:highlight w:val="none"/>
                    </w:rPr>
                    <w:t>年</w:t>
                  </w:r>
                </w:p>
              </w:tc>
            </w:tr>
            <w:tr w14:paraId="048C83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52" w:type="pct"/>
                  <w:vMerge w:val="continue"/>
                  <w:tcBorders>
                    <w:tl2br w:val="nil"/>
                    <w:tr2bl w:val="nil"/>
                  </w:tcBorders>
                  <w:noWrap w:val="0"/>
                  <w:vAlign w:val="center"/>
                </w:tcPr>
                <w:p w14:paraId="353498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p>
              </w:tc>
              <w:tc>
                <w:tcPr>
                  <w:tcW w:w="2048" w:type="pct"/>
                  <w:tcBorders>
                    <w:tl2br w:val="nil"/>
                    <w:tr2bl w:val="nil"/>
                  </w:tcBorders>
                  <w:shd w:val="clear" w:color="auto" w:fill="auto"/>
                  <w:noWrap w:val="0"/>
                  <w:vAlign w:val="center"/>
                </w:tcPr>
                <w:p w14:paraId="790ABA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highlight w:val="none"/>
                      <w:vertAlign w:val="baseline"/>
                      <w:lang w:val="en-US" w:eastAsia="zh-CN"/>
                    </w:rPr>
                  </w:pPr>
                  <w:r>
                    <w:rPr>
                      <w:rFonts w:hint="eastAsia"/>
                      <w:color w:val="auto"/>
                      <w:sz w:val="21"/>
                      <w:szCs w:val="21"/>
                      <w:lang w:val="en-US" w:eastAsia="zh-CN"/>
                    </w:rPr>
                    <w:t>总氮</w:t>
                  </w:r>
                </w:p>
              </w:tc>
              <w:tc>
                <w:tcPr>
                  <w:tcW w:w="1499" w:type="pct"/>
                  <w:tcBorders>
                    <w:tl2br w:val="nil"/>
                    <w:tr2bl w:val="nil"/>
                  </w:tcBorders>
                  <w:shd w:val="clear" w:color="auto" w:fill="auto"/>
                  <w:noWrap w:val="0"/>
                  <w:vAlign w:val="center"/>
                </w:tcPr>
                <w:p w14:paraId="3DCAD2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1"/>
                      <w:szCs w:val="21"/>
                      <w:highlight w:val="none"/>
                    </w:rPr>
                  </w:pPr>
                  <w:r>
                    <w:rPr>
                      <w:rFonts w:hint="eastAsia"/>
                      <w:color w:val="auto"/>
                      <w:sz w:val="21"/>
                      <w:szCs w:val="21"/>
                      <w:highlight w:val="none"/>
                    </w:rPr>
                    <w:t>1次/</w:t>
                  </w:r>
                  <w:r>
                    <w:rPr>
                      <w:rFonts w:hint="eastAsia"/>
                      <w:color w:val="auto"/>
                      <w:sz w:val="21"/>
                      <w:szCs w:val="21"/>
                      <w:highlight w:val="none"/>
                      <w:lang w:val="en-US" w:eastAsia="zh-CN"/>
                    </w:rPr>
                    <w:t>半</w:t>
                  </w:r>
                  <w:r>
                    <w:rPr>
                      <w:rFonts w:hint="eastAsia"/>
                      <w:color w:val="auto"/>
                      <w:sz w:val="21"/>
                      <w:szCs w:val="21"/>
                      <w:highlight w:val="none"/>
                    </w:rPr>
                    <w:t>年</w:t>
                  </w:r>
                </w:p>
              </w:tc>
            </w:tr>
            <w:tr w14:paraId="45C041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52" w:type="pct"/>
                  <w:vMerge w:val="continue"/>
                  <w:tcBorders>
                    <w:tl2br w:val="nil"/>
                    <w:tr2bl w:val="nil"/>
                  </w:tcBorders>
                  <w:noWrap w:val="0"/>
                  <w:vAlign w:val="center"/>
                </w:tcPr>
                <w:p w14:paraId="06B21F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highlight w:val="none"/>
                      <w:lang w:val="en-US" w:eastAsia="zh-CN"/>
                    </w:rPr>
                  </w:pPr>
                </w:p>
              </w:tc>
              <w:tc>
                <w:tcPr>
                  <w:tcW w:w="2048" w:type="pct"/>
                  <w:tcBorders>
                    <w:tl2br w:val="nil"/>
                    <w:tr2bl w:val="nil"/>
                  </w:tcBorders>
                  <w:shd w:val="clear" w:color="auto" w:fill="auto"/>
                  <w:noWrap w:val="0"/>
                  <w:vAlign w:val="center"/>
                </w:tcPr>
                <w:p w14:paraId="4F9E2A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总磷</w:t>
                  </w:r>
                </w:p>
              </w:tc>
              <w:tc>
                <w:tcPr>
                  <w:tcW w:w="1499" w:type="pct"/>
                  <w:tcBorders>
                    <w:tl2br w:val="nil"/>
                    <w:tr2bl w:val="nil"/>
                  </w:tcBorders>
                  <w:shd w:val="clear" w:color="auto" w:fill="auto"/>
                  <w:noWrap w:val="0"/>
                  <w:vAlign w:val="center"/>
                </w:tcPr>
                <w:p w14:paraId="1CB040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eastAsia="宋体"/>
                      <w:color w:val="auto"/>
                      <w:sz w:val="21"/>
                      <w:szCs w:val="21"/>
                      <w:highlight w:val="none"/>
                      <w:lang w:val="en-US" w:eastAsia="zh-CN"/>
                    </w:rPr>
                  </w:pPr>
                  <w:r>
                    <w:rPr>
                      <w:rFonts w:hint="eastAsia"/>
                      <w:color w:val="auto"/>
                      <w:sz w:val="21"/>
                      <w:szCs w:val="21"/>
                      <w:highlight w:val="none"/>
                    </w:rPr>
                    <w:t>1次/</w:t>
                  </w:r>
                  <w:r>
                    <w:rPr>
                      <w:rFonts w:hint="eastAsia"/>
                      <w:color w:val="auto"/>
                      <w:sz w:val="21"/>
                      <w:szCs w:val="21"/>
                      <w:highlight w:val="none"/>
                      <w:lang w:val="en-US" w:eastAsia="zh-CN"/>
                    </w:rPr>
                    <w:t>半</w:t>
                  </w:r>
                  <w:r>
                    <w:rPr>
                      <w:rFonts w:hint="eastAsia"/>
                      <w:color w:val="auto"/>
                      <w:sz w:val="21"/>
                      <w:szCs w:val="21"/>
                      <w:highlight w:val="none"/>
                    </w:rPr>
                    <w:t>年</w:t>
                  </w:r>
                </w:p>
              </w:tc>
            </w:tr>
          </w:tbl>
          <w:p w14:paraId="6E8C0F69">
            <w:pPr>
              <w:keepNext w:val="0"/>
              <w:keepLines w:val="0"/>
              <w:suppressLineNumbers w:val="0"/>
              <w:spacing w:before="0" w:beforeAutospacing="0" w:after="0" w:afterAutospacing="0" w:line="360" w:lineRule="auto"/>
              <w:ind w:left="0" w:right="0" w:firstLine="482" w:firstLineChars="200"/>
              <w:jc w:val="left"/>
              <w:rPr>
                <w:rFonts w:hint="default"/>
                <w:b/>
                <w:snapToGrid w:val="0"/>
                <w:color w:val="auto"/>
                <w:kern w:val="0"/>
                <w:sz w:val="24"/>
                <w:highlight w:val="none"/>
              </w:rPr>
            </w:pPr>
            <w:r>
              <w:rPr>
                <w:rFonts w:hint="eastAsia"/>
                <w:b/>
                <w:snapToGrid w:val="0"/>
                <w:color w:val="auto"/>
                <w:kern w:val="0"/>
                <w:sz w:val="24"/>
                <w:highlight w:val="none"/>
              </w:rPr>
              <w:t>三、</w:t>
            </w:r>
            <w:r>
              <w:rPr>
                <w:rFonts w:hint="default" w:hAnsi="宋体"/>
                <w:b/>
                <w:snapToGrid w:val="0"/>
                <w:color w:val="auto"/>
                <w:kern w:val="0"/>
                <w:sz w:val="24"/>
                <w:highlight w:val="none"/>
              </w:rPr>
              <w:t>噪声源强</w:t>
            </w:r>
            <w:r>
              <w:rPr>
                <w:rFonts w:hint="eastAsia"/>
                <w:b/>
                <w:bCs/>
                <w:color w:val="auto"/>
                <w:sz w:val="24"/>
                <w:szCs w:val="28"/>
                <w:highlight w:val="none"/>
              </w:rPr>
              <w:t>及环境影响和污染防治措施</w:t>
            </w:r>
          </w:p>
          <w:p w14:paraId="53E371B7">
            <w:pPr>
              <w:keepNext w:val="0"/>
              <w:keepLines w:val="0"/>
              <w:suppressLineNumbers w:val="0"/>
              <w:spacing w:before="0" w:beforeAutospacing="0" w:after="0" w:afterAutospacing="0" w:line="360" w:lineRule="auto"/>
              <w:ind w:left="0" w:right="0" w:firstLine="482" w:firstLineChars="200"/>
              <w:rPr>
                <w:rFonts w:hint="default"/>
                <w:b/>
                <w:color w:val="auto"/>
                <w:sz w:val="24"/>
                <w:highlight w:val="none"/>
              </w:rPr>
            </w:pPr>
            <w:r>
              <w:rPr>
                <w:rFonts w:hint="eastAsia"/>
                <w:b/>
                <w:color w:val="auto"/>
                <w:sz w:val="24"/>
                <w:highlight w:val="none"/>
              </w:rPr>
              <w:t>1</w:t>
            </w:r>
            <w:r>
              <w:rPr>
                <w:rFonts w:hint="eastAsia"/>
                <w:b/>
                <w:color w:val="auto"/>
                <w:sz w:val="24"/>
                <w:highlight w:val="none"/>
                <w:lang w:val="en-US" w:eastAsia="zh-CN"/>
              </w:rPr>
              <w:t>.</w:t>
            </w:r>
            <w:r>
              <w:rPr>
                <w:rFonts w:hint="eastAsia"/>
                <w:b/>
                <w:color w:val="auto"/>
                <w:sz w:val="24"/>
                <w:highlight w:val="none"/>
              </w:rPr>
              <w:t>噪声源强</w:t>
            </w:r>
          </w:p>
          <w:p w14:paraId="7C2F2F13">
            <w:pPr>
              <w:keepNext w:val="0"/>
              <w:keepLines w:val="0"/>
              <w:suppressLineNumbers w:val="0"/>
              <w:spacing w:before="0" w:beforeAutospacing="0" w:after="0" w:afterAutospacing="0" w:line="360" w:lineRule="auto"/>
              <w:ind w:left="0" w:right="0" w:firstLine="480" w:firstLineChars="200"/>
              <w:rPr>
                <w:rFonts w:hint="eastAsia"/>
                <w:color w:val="auto"/>
                <w:sz w:val="24"/>
                <w:highlight w:val="none"/>
              </w:rPr>
            </w:pPr>
            <w:r>
              <w:rPr>
                <w:rFonts w:hint="eastAsia"/>
                <w:color w:val="auto"/>
                <w:sz w:val="24"/>
                <w:highlight w:val="none"/>
                <w:lang w:val="en-US" w:eastAsia="zh-CN"/>
              </w:rPr>
              <w:t>本项目运营期噪声污染源主要为各类生产设备、泵及风机运行噪声，项目采用基础减振、厂房隔声等措施可降低对声环境影响。</w:t>
            </w:r>
            <w:r>
              <w:rPr>
                <w:rFonts w:hint="eastAsia"/>
                <w:color w:val="auto"/>
                <w:sz w:val="24"/>
                <w:highlight w:val="none"/>
              </w:rPr>
              <w:t>项目的设备噪声强度见下表。</w:t>
            </w:r>
          </w:p>
          <w:p w14:paraId="46D6A74A">
            <w:pPr>
              <w:keepNext w:val="0"/>
              <w:keepLines w:val="0"/>
              <w:suppressLineNumbers w:val="0"/>
              <w:spacing w:before="0" w:beforeAutospacing="0" w:after="0" w:afterAutospacing="0" w:line="360" w:lineRule="auto"/>
              <w:ind w:left="0" w:right="0"/>
              <w:jc w:val="center"/>
              <w:rPr>
                <w:rFonts w:hint="default" w:eastAsia="黑体"/>
                <w:color w:val="auto"/>
                <w:szCs w:val="21"/>
                <w:highlight w:val="none"/>
              </w:rPr>
            </w:pPr>
            <w:r>
              <w:rPr>
                <w:rFonts w:hint="eastAsia" w:hAnsi="黑体" w:eastAsia="黑体"/>
                <w:color w:val="auto"/>
                <w:sz w:val="24"/>
                <w:szCs w:val="24"/>
                <w:highlight w:val="none"/>
              </w:rPr>
              <w:t>表</w:t>
            </w:r>
            <w:r>
              <w:rPr>
                <w:rFonts w:hint="eastAsia" w:hAnsi="黑体" w:eastAsia="黑体"/>
                <w:color w:val="auto"/>
                <w:sz w:val="24"/>
                <w:szCs w:val="24"/>
                <w:highlight w:val="none"/>
                <w:lang w:val="en-US" w:eastAsia="zh-CN"/>
              </w:rPr>
              <w:t xml:space="preserve">4-14 </w:t>
            </w:r>
            <w:r>
              <w:rPr>
                <w:rFonts w:hint="eastAsia" w:hAnsi="黑体" w:eastAsia="黑体"/>
                <w:color w:val="auto"/>
                <w:sz w:val="24"/>
                <w:szCs w:val="24"/>
                <w:highlight w:val="none"/>
              </w:rPr>
              <w:t>工业企业噪声源强调查清单（室外声源）</w:t>
            </w:r>
          </w:p>
          <w:tbl>
            <w:tblPr>
              <w:tblStyle w:val="37"/>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78"/>
              <w:gridCol w:w="1148"/>
              <w:gridCol w:w="675"/>
              <w:gridCol w:w="724"/>
              <w:gridCol w:w="611"/>
              <w:gridCol w:w="1012"/>
              <w:gridCol w:w="854"/>
              <w:gridCol w:w="854"/>
              <w:gridCol w:w="791"/>
              <w:gridCol w:w="817"/>
            </w:tblGrid>
            <w:tr w14:paraId="2E4A8C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478" w:type="dxa"/>
                  <w:vMerge w:val="restart"/>
                  <w:vAlign w:val="center"/>
                </w:tcPr>
                <w:p w14:paraId="5BF3BA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color w:val="auto"/>
                      <w:szCs w:val="21"/>
                      <w:highlight w:val="none"/>
                    </w:rPr>
                  </w:pPr>
                  <w:r>
                    <w:rPr>
                      <w:rFonts w:hint="eastAsia"/>
                      <w:b/>
                      <w:color w:val="auto"/>
                      <w:szCs w:val="21"/>
                      <w:highlight w:val="none"/>
                    </w:rPr>
                    <w:t>序号</w:t>
                  </w:r>
                </w:p>
              </w:tc>
              <w:tc>
                <w:tcPr>
                  <w:tcW w:w="1148" w:type="dxa"/>
                  <w:vMerge w:val="restart"/>
                  <w:vAlign w:val="center"/>
                </w:tcPr>
                <w:p w14:paraId="1D1A1A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color w:val="auto"/>
                      <w:szCs w:val="21"/>
                      <w:highlight w:val="none"/>
                    </w:rPr>
                  </w:pPr>
                  <w:r>
                    <w:rPr>
                      <w:rFonts w:hint="eastAsia"/>
                      <w:b/>
                      <w:color w:val="auto"/>
                      <w:szCs w:val="21"/>
                      <w:highlight w:val="none"/>
                    </w:rPr>
                    <w:t>声源名称</w:t>
                  </w:r>
                </w:p>
              </w:tc>
              <w:tc>
                <w:tcPr>
                  <w:tcW w:w="2010" w:type="dxa"/>
                  <w:gridSpan w:val="3"/>
                  <w:vAlign w:val="center"/>
                </w:tcPr>
                <w:p w14:paraId="7EBA117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color w:val="auto"/>
                      <w:szCs w:val="21"/>
                      <w:highlight w:val="none"/>
                    </w:rPr>
                  </w:pPr>
                  <w:r>
                    <w:rPr>
                      <w:rFonts w:hint="eastAsia"/>
                      <w:b/>
                      <w:color w:val="auto"/>
                      <w:szCs w:val="21"/>
                      <w:highlight w:val="none"/>
                    </w:rPr>
                    <w:t>空间相对位置</w:t>
                  </w:r>
                  <w:r>
                    <w:rPr>
                      <w:rFonts w:hint="default"/>
                      <w:b/>
                      <w:color w:val="auto"/>
                      <w:szCs w:val="21"/>
                      <w:highlight w:val="none"/>
                    </w:rPr>
                    <w:t>/m</w:t>
                  </w:r>
                </w:p>
              </w:tc>
              <w:tc>
                <w:tcPr>
                  <w:tcW w:w="1866" w:type="dxa"/>
                  <w:gridSpan w:val="2"/>
                  <w:vAlign w:val="center"/>
                </w:tcPr>
                <w:p w14:paraId="0B5533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b/>
                      <w:color w:val="auto"/>
                      <w:szCs w:val="21"/>
                      <w:highlight w:val="none"/>
                    </w:rPr>
                  </w:pPr>
                  <w:r>
                    <w:rPr>
                      <w:rFonts w:hint="eastAsia"/>
                      <w:b/>
                      <w:color w:val="auto"/>
                      <w:szCs w:val="21"/>
                      <w:highlight w:val="none"/>
                    </w:rPr>
                    <w:t>声源源强</w:t>
                  </w:r>
                </w:p>
              </w:tc>
              <w:tc>
                <w:tcPr>
                  <w:tcW w:w="854" w:type="dxa"/>
                  <w:vMerge w:val="restart"/>
                  <w:vAlign w:val="center"/>
                </w:tcPr>
                <w:p w14:paraId="2934231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color w:val="auto"/>
                      <w:szCs w:val="21"/>
                      <w:highlight w:val="none"/>
                    </w:rPr>
                  </w:pPr>
                  <w:r>
                    <w:rPr>
                      <w:rFonts w:hint="eastAsia"/>
                      <w:b/>
                      <w:color w:val="auto"/>
                      <w:szCs w:val="21"/>
                      <w:highlight w:val="none"/>
                    </w:rPr>
                    <w:t>声源控制措施</w:t>
                  </w:r>
                </w:p>
              </w:tc>
              <w:tc>
                <w:tcPr>
                  <w:tcW w:w="791" w:type="dxa"/>
                  <w:vMerge w:val="restart"/>
                  <w:vAlign w:val="center"/>
                </w:tcPr>
                <w:p w14:paraId="1AF2D5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eastAsia="宋体"/>
                      <w:b/>
                      <w:color w:val="auto"/>
                      <w:szCs w:val="21"/>
                      <w:highlight w:val="none"/>
                      <w:lang w:val="en-US" w:eastAsia="zh-CN"/>
                    </w:rPr>
                  </w:pPr>
                  <w:r>
                    <w:rPr>
                      <w:rFonts w:hint="eastAsia"/>
                      <w:b/>
                      <w:color w:val="auto"/>
                      <w:szCs w:val="21"/>
                      <w:highlight w:val="none"/>
                      <w:lang w:val="en-US" w:eastAsia="zh-CN"/>
                    </w:rPr>
                    <w:t>削减后声压级</w:t>
                  </w:r>
                  <w:r>
                    <w:rPr>
                      <w:rFonts w:hint="default"/>
                      <w:b/>
                      <w:color w:val="auto"/>
                      <w:szCs w:val="21"/>
                      <w:highlight w:val="none"/>
                    </w:rPr>
                    <w:t>/dB</w:t>
                  </w:r>
                  <w:r>
                    <w:rPr>
                      <w:rFonts w:hint="eastAsia"/>
                      <w:b/>
                      <w:color w:val="auto"/>
                      <w:szCs w:val="21"/>
                      <w:highlight w:val="none"/>
                    </w:rPr>
                    <w:t>（</w:t>
                  </w:r>
                  <w:r>
                    <w:rPr>
                      <w:rFonts w:hint="default"/>
                      <w:b/>
                      <w:color w:val="auto"/>
                      <w:szCs w:val="21"/>
                      <w:highlight w:val="none"/>
                    </w:rPr>
                    <w:t>A</w:t>
                  </w:r>
                  <w:r>
                    <w:rPr>
                      <w:rFonts w:hint="eastAsia"/>
                      <w:b/>
                      <w:color w:val="auto"/>
                      <w:szCs w:val="21"/>
                      <w:highlight w:val="none"/>
                    </w:rPr>
                    <w:t>）</w:t>
                  </w:r>
                </w:p>
              </w:tc>
              <w:tc>
                <w:tcPr>
                  <w:tcW w:w="817" w:type="dxa"/>
                  <w:vMerge w:val="restart"/>
                  <w:vAlign w:val="center"/>
                </w:tcPr>
                <w:p w14:paraId="053D25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b/>
                      <w:color w:val="auto"/>
                      <w:szCs w:val="21"/>
                      <w:highlight w:val="none"/>
                    </w:rPr>
                  </w:pPr>
                  <w:r>
                    <w:rPr>
                      <w:rFonts w:hint="eastAsia"/>
                      <w:b/>
                      <w:color w:val="auto"/>
                      <w:szCs w:val="21"/>
                      <w:highlight w:val="none"/>
                    </w:rPr>
                    <w:t>运行</w:t>
                  </w:r>
                </w:p>
                <w:p w14:paraId="247BAA6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color w:val="auto"/>
                      <w:szCs w:val="21"/>
                      <w:highlight w:val="none"/>
                    </w:rPr>
                  </w:pPr>
                  <w:r>
                    <w:rPr>
                      <w:rFonts w:hint="eastAsia"/>
                      <w:b/>
                      <w:color w:val="auto"/>
                      <w:szCs w:val="21"/>
                      <w:highlight w:val="none"/>
                    </w:rPr>
                    <w:t>时段</w:t>
                  </w:r>
                </w:p>
              </w:tc>
            </w:tr>
            <w:tr w14:paraId="3D65246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478" w:type="dxa"/>
                  <w:vMerge w:val="continue"/>
                  <w:vAlign w:val="center"/>
                </w:tcPr>
                <w:p w14:paraId="467FE0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textAlignment w:val="auto"/>
                    <w:rPr>
                      <w:rFonts w:hint="default"/>
                      <w:b/>
                      <w:color w:val="auto"/>
                      <w:szCs w:val="21"/>
                      <w:highlight w:val="none"/>
                    </w:rPr>
                  </w:pPr>
                </w:p>
              </w:tc>
              <w:tc>
                <w:tcPr>
                  <w:tcW w:w="1148" w:type="dxa"/>
                  <w:vMerge w:val="continue"/>
                  <w:vAlign w:val="center"/>
                </w:tcPr>
                <w:p w14:paraId="05A445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textAlignment w:val="auto"/>
                    <w:rPr>
                      <w:rFonts w:hint="default"/>
                      <w:b/>
                      <w:color w:val="auto"/>
                      <w:szCs w:val="21"/>
                      <w:highlight w:val="none"/>
                    </w:rPr>
                  </w:pPr>
                </w:p>
              </w:tc>
              <w:tc>
                <w:tcPr>
                  <w:tcW w:w="675" w:type="dxa"/>
                  <w:vAlign w:val="center"/>
                </w:tcPr>
                <w:p w14:paraId="5386EE9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color w:val="auto"/>
                      <w:szCs w:val="21"/>
                      <w:highlight w:val="none"/>
                    </w:rPr>
                  </w:pPr>
                  <w:r>
                    <w:rPr>
                      <w:rFonts w:hint="default"/>
                      <w:b/>
                      <w:color w:val="auto"/>
                      <w:szCs w:val="21"/>
                      <w:highlight w:val="none"/>
                    </w:rPr>
                    <w:t>X</w:t>
                  </w:r>
                </w:p>
              </w:tc>
              <w:tc>
                <w:tcPr>
                  <w:tcW w:w="724" w:type="dxa"/>
                  <w:vAlign w:val="center"/>
                </w:tcPr>
                <w:p w14:paraId="3CE7B4B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color w:val="auto"/>
                      <w:szCs w:val="21"/>
                      <w:highlight w:val="none"/>
                    </w:rPr>
                  </w:pPr>
                  <w:r>
                    <w:rPr>
                      <w:rFonts w:hint="default"/>
                      <w:b/>
                      <w:color w:val="auto"/>
                      <w:szCs w:val="21"/>
                      <w:highlight w:val="none"/>
                    </w:rPr>
                    <w:t>Y</w:t>
                  </w:r>
                </w:p>
              </w:tc>
              <w:tc>
                <w:tcPr>
                  <w:tcW w:w="611" w:type="dxa"/>
                  <w:vAlign w:val="center"/>
                </w:tcPr>
                <w:p w14:paraId="6B43FA5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color w:val="auto"/>
                      <w:szCs w:val="21"/>
                      <w:highlight w:val="none"/>
                    </w:rPr>
                  </w:pPr>
                  <w:r>
                    <w:rPr>
                      <w:rFonts w:hint="default"/>
                      <w:b/>
                      <w:color w:val="auto"/>
                      <w:szCs w:val="21"/>
                      <w:highlight w:val="none"/>
                    </w:rPr>
                    <w:t>Z</w:t>
                  </w:r>
                </w:p>
              </w:tc>
              <w:tc>
                <w:tcPr>
                  <w:tcW w:w="1012" w:type="dxa"/>
                  <w:vAlign w:val="center"/>
                </w:tcPr>
                <w:p w14:paraId="6C36F7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color w:val="auto"/>
                      <w:szCs w:val="21"/>
                      <w:highlight w:val="none"/>
                    </w:rPr>
                  </w:pPr>
                  <w:r>
                    <w:rPr>
                      <w:rFonts w:hint="eastAsia"/>
                      <w:b/>
                      <w:color w:val="auto"/>
                      <w:szCs w:val="21"/>
                      <w:highlight w:val="none"/>
                    </w:rPr>
                    <w:t>声压级</w:t>
                  </w:r>
                  <w:r>
                    <w:rPr>
                      <w:rFonts w:hint="default"/>
                      <w:b/>
                      <w:color w:val="auto"/>
                      <w:szCs w:val="21"/>
                      <w:highlight w:val="none"/>
                    </w:rPr>
                    <w:t>/</w:t>
                  </w:r>
                </w:p>
                <w:p w14:paraId="7477FB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color w:val="auto"/>
                      <w:szCs w:val="21"/>
                      <w:highlight w:val="none"/>
                    </w:rPr>
                  </w:pPr>
                  <w:r>
                    <w:rPr>
                      <w:rFonts w:hint="default"/>
                      <w:b/>
                      <w:color w:val="auto"/>
                      <w:szCs w:val="21"/>
                      <w:highlight w:val="none"/>
                    </w:rPr>
                    <w:t>dB</w:t>
                  </w:r>
                  <w:r>
                    <w:rPr>
                      <w:rFonts w:hint="eastAsia"/>
                      <w:b/>
                      <w:color w:val="auto"/>
                      <w:szCs w:val="21"/>
                      <w:highlight w:val="none"/>
                    </w:rPr>
                    <w:t>（</w:t>
                  </w:r>
                  <w:r>
                    <w:rPr>
                      <w:rFonts w:hint="default"/>
                      <w:b/>
                      <w:color w:val="auto"/>
                      <w:szCs w:val="21"/>
                      <w:highlight w:val="none"/>
                    </w:rPr>
                    <w:t>A</w:t>
                  </w:r>
                  <w:r>
                    <w:rPr>
                      <w:rFonts w:hint="eastAsia"/>
                      <w:b/>
                      <w:color w:val="auto"/>
                      <w:szCs w:val="21"/>
                      <w:highlight w:val="none"/>
                    </w:rPr>
                    <w:t>）</w:t>
                  </w:r>
                </w:p>
              </w:tc>
              <w:tc>
                <w:tcPr>
                  <w:tcW w:w="854" w:type="dxa"/>
                  <w:vAlign w:val="center"/>
                </w:tcPr>
                <w:p w14:paraId="201091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eastAsia="宋体"/>
                      <w:b/>
                      <w:color w:val="auto"/>
                      <w:szCs w:val="21"/>
                      <w:highlight w:val="none"/>
                      <w:lang w:val="en-US" w:eastAsia="zh-CN"/>
                    </w:rPr>
                  </w:pPr>
                  <w:r>
                    <w:rPr>
                      <w:rFonts w:hint="eastAsia"/>
                      <w:b/>
                      <w:color w:val="auto"/>
                      <w:szCs w:val="21"/>
                      <w:highlight w:val="none"/>
                      <w:lang w:val="en-US" w:eastAsia="zh-CN"/>
                    </w:rPr>
                    <w:t>距离声源/m</w:t>
                  </w:r>
                </w:p>
              </w:tc>
              <w:tc>
                <w:tcPr>
                  <w:tcW w:w="854" w:type="dxa"/>
                  <w:vMerge w:val="continue"/>
                  <w:vAlign w:val="center"/>
                </w:tcPr>
                <w:p w14:paraId="16ACEB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textAlignment w:val="auto"/>
                    <w:rPr>
                      <w:rFonts w:hint="default"/>
                      <w:b/>
                      <w:color w:val="auto"/>
                      <w:szCs w:val="21"/>
                      <w:highlight w:val="none"/>
                    </w:rPr>
                  </w:pPr>
                </w:p>
              </w:tc>
              <w:tc>
                <w:tcPr>
                  <w:tcW w:w="791" w:type="dxa"/>
                  <w:vMerge w:val="continue"/>
                  <w:vAlign w:val="center"/>
                </w:tcPr>
                <w:p w14:paraId="126219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textAlignment w:val="auto"/>
                    <w:rPr>
                      <w:rFonts w:hint="default"/>
                      <w:b/>
                      <w:color w:val="auto"/>
                      <w:szCs w:val="21"/>
                      <w:highlight w:val="none"/>
                    </w:rPr>
                  </w:pPr>
                </w:p>
              </w:tc>
              <w:tc>
                <w:tcPr>
                  <w:tcW w:w="817" w:type="dxa"/>
                  <w:vMerge w:val="continue"/>
                  <w:vAlign w:val="center"/>
                </w:tcPr>
                <w:p w14:paraId="0569DD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textAlignment w:val="auto"/>
                    <w:rPr>
                      <w:rFonts w:hint="default"/>
                      <w:b/>
                      <w:color w:val="auto"/>
                      <w:szCs w:val="21"/>
                      <w:highlight w:val="none"/>
                    </w:rPr>
                  </w:pPr>
                </w:p>
              </w:tc>
            </w:tr>
            <w:tr w14:paraId="201346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478" w:type="dxa"/>
                  <w:vAlign w:val="center"/>
                </w:tcPr>
                <w:p w14:paraId="6941E3A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eastAsia="宋体"/>
                      <w:color w:val="auto"/>
                      <w:szCs w:val="21"/>
                      <w:highlight w:val="none"/>
                      <w:lang w:val="en-US" w:eastAsia="zh-CN"/>
                    </w:rPr>
                  </w:pPr>
                  <w:r>
                    <w:rPr>
                      <w:rFonts w:hint="eastAsia"/>
                      <w:color w:val="auto"/>
                      <w:szCs w:val="21"/>
                      <w:highlight w:val="none"/>
                      <w:lang w:val="en-US" w:eastAsia="zh-CN"/>
                    </w:rPr>
                    <w:t>1</w:t>
                  </w:r>
                </w:p>
              </w:tc>
              <w:tc>
                <w:tcPr>
                  <w:tcW w:w="1148" w:type="dxa"/>
                  <w:vAlign w:val="center"/>
                </w:tcPr>
                <w:p w14:paraId="4B03180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eastAsia="宋体"/>
                      <w:color w:val="auto"/>
                      <w:szCs w:val="21"/>
                      <w:highlight w:val="none"/>
                      <w:lang w:val="en-US" w:eastAsia="zh-CN"/>
                    </w:rPr>
                  </w:pPr>
                  <w:r>
                    <w:rPr>
                      <w:rFonts w:hint="eastAsia"/>
                      <w:color w:val="auto"/>
                      <w:szCs w:val="21"/>
                      <w:highlight w:val="none"/>
                      <w:lang w:val="en-US" w:eastAsia="zh-CN"/>
                    </w:rPr>
                    <w:t>注塑废气治理设施配套风机*1</w:t>
                  </w:r>
                </w:p>
              </w:tc>
              <w:tc>
                <w:tcPr>
                  <w:tcW w:w="675" w:type="dxa"/>
                  <w:vAlign w:val="center"/>
                </w:tcPr>
                <w:p w14:paraId="68F52A8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eastAsia="宋体"/>
                      <w:color w:val="auto"/>
                      <w:szCs w:val="21"/>
                      <w:highlight w:val="none"/>
                      <w:lang w:val="en-US" w:eastAsia="zh-CN"/>
                    </w:rPr>
                  </w:pPr>
                  <w:r>
                    <w:rPr>
                      <w:rFonts w:hint="eastAsia"/>
                      <w:color w:val="auto"/>
                      <w:szCs w:val="21"/>
                      <w:highlight w:val="none"/>
                      <w:lang w:val="en-US" w:eastAsia="zh-CN"/>
                    </w:rPr>
                    <w:t>4.6</w:t>
                  </w:r>
                </w:p>
              </w:tc>
              <w:tc>
                <w:tcPr>
                  <w:tcW w:w="724" w:type="dxa"/>
                  <w:vAlign w:val="center"/>
                </w:tcPr>
                <w:p w14:paraId="08AB80A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eastAsia="宋体"/>
                      <w:color w:val="auto"/>
                      <w:szCs w:val="21"/>
                      <w:highlight w:val="none"/>
                      <w:lang w:val="en-US" w:eastAsia="zh-CN"/>
                    </w:rPr>
                  </w:pPr>
                  <w:r>
                    <w:rPr>
                      <w:rFonts w:hint="eastAsia"/>
                      <w:color w:val="auto"/>
                      <w:szCs w:val="21"/>
                      <w:highlight w:val="none"/>
                      <w:lang w:val="en-US" w:eastAsia="zh-CN"/>
                    </w:rPr>
                    <w:t>0.3</w:t>
                  </w:r>
                </w:p>
              </w:tc>
              <w:tc>
                <w:tcPr>
                  <w:tcW w:w="611" w:type="dxa"/>
                  <w:vAlign w:val="center"/>
                </w:tcPr>
                <w:p w14:paraId="09A05D3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eastAsia="宋体"/>
                      <w:color w:val="auto"/>
                      <w:szCs w:val="21"/>
                      <w:highlight w:val="none"/>
                      <w:lang w:val="en-US" w:eastAsia="zh-CN"/>
                    </w:rPr>
                  </w:pPr>
                  <w:r>
                    <w:rPr>
                      <w:rFonts w:hint="eastAsia"/>
                      <w:color w:val="auto"/>
                      <w:szCs w:val="21"/>
                      <w:highlight w:val="none"/>
                      <w:lang w:val="en-US" w:eastAsia="zh-CN"/>
                    </w:rPr>
                    <w:t>21</w:t>
                  </w:r>
                </w:p>
              </w:tc>
              <w:tc>
                <w:tcPr>
                  <w:tcW w:w="1012" w:type="dxa"/>
                  <w:vAlign w:val="center"/>
                </w:tcPr>
                <w:p w14:paraId="3EE7A15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eastAsia="宋体"/>
                      <w:color w:val="auto"/>
                      <w:szCs w:val="21"/>
                      <w:highlight w:val="none"/>
                      <w:lang w:val="en-US" w:eastAsia="zh-CN"/>
                    </w:rPr>
                  </w:pPr>
                  <w:r>
                    <w:rPr>
                      <w:rFonts w:hint="eastAsia"/>
                      <w:color w:val="auto"/>
                      <w:szCs w:val="21"/>
                      <w:highlight w:val="none"/>
                      <w:lang w:val="en-US" w:eastAsia="zh-CN"/>
                    </w:rPr>
                    <w:t>75</w:t>
                  </w:r>
                </w:p>
              </w:tc>
              <w:tc>
                <w:tcPr>
                  <w:tcW w:w="854" w:type="dxa"/>
                  <w:vAlign w:val="center"/>
                </w:tcPr>
                <w:p w14:paraId="30B758A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Cs w:val="21"/>
                      <w:highlight w:val="none"/>
                      <w:lang w:val="en-US" w:eastAsia="zh-CN"/>
                    </w:rPr>
                  </w:pPr>
                  <w:r>
                    <w:rPr>
                      <w:rFonts w:hint="eastAsia"/>
                      <w:color w:val="auto"/>
                      <w:szCs w:val="21"/>
                      <w:highlight w:val="none"/>
                      <w:lang w:val="en-US" w:eastAsia="zh-CN"/>
                    </w:rPr>
                    <w:t>1</w:t>
                  </w:r>
                </w:p>
              </w:tc>
              <w:tc>
                <w:tcPr>
                  <w:tcW w:w="854" w:type="dxa"/>
                  <w:vAlign w:val="center"/>
                </w:tcPr>
                <w:p w14:paraId="621C7C2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Cs w:val="21"/>
                      <w:highlight w:val="none"/>
                    </w:rPr>
                  </w:pPr>
                  <w:r>
                    <w:rPr>
                      <w:rFonts w:hint="eastAsia"/>
                      <w:color w:val="auto"/>
                      <w:szCs w:val="21"/>
                      <w:highlight w:val="none"/>
                    </w:rPr>
                    <w:t>减振、消声</w:t>
                  </w:r>
                </w:p>
              </w:tc>
              <w:tc>
                <w:tcPr>
                  <w:tcW w:w="791" w:type="dxa"/>
                  <w:vAlign w:val="center"/>
                </w:tcPr>
                <w:p w14:paraId="614BBA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eastAsia="宋体"/>
                      <w:color w:val="auto"/>
                      <w:szCs w:val="21"/>
                      <w:highlight w:val="none"/>
                      <w:lang w:val="en-US" w:eastAsia="zh-CN"/>
                    </w:rPr>
                  </w:pPr>
                  <w:r>
                    <w:rPr>
                      <w:rFonts w:hint="eastAsia"/>
                      <w:color w:val="auto"/>
                      <w:szCs w:val="21"/>
                      <w:highlight w:val="none"/>
                      <w:lang w:val="en-US" w:eastAsia="zh-CN"/>
                    </w:rPr>
                    <w:t>60~65</w:t>
                  </w:r>
                </w:p>
              </w:tc>
              <w:tc>
                <w:tcPr>
                  <w:tcW w:w="817" w:type="dxa"/>
                  <w:vAlign w:val="center"/>
                </w:tcPr>
                <w:p w14:paraId="538E48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Cs w:val="21"/>
                      <w:highlight w:val="none"/>
                    </w:rPr>
                  </w:pPr>
                  <w:r>
                    <w:rPr>
                      <w:rFonts w:hint="default"/>
                      <w:color w:val="auto"/>
                      <w:szCs w:val="21"/>
                      <w:highlight w:val="none"/>
                    </w:rPr>
                    <w:t>昼间、夜间</w:t>
                  </w:r>
                </w:p>
              </w:tc>
            </w:tr>
            <w:tr w14:paraId="7A2F20F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478" w:type="dxa"/>
                  <w:vAlign w:val="center"/>
                </w:tcPr>
                <w:p w14:paraId="28A2D1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Cs w:val="21"/>
                      <w:highlight w:val="none"/>
                      <w:lang w:val="en-US" w:eastAsia="zh-CN"/>
                    </w:rPr>
                  </w:pPr>
                  <w:r>
                    <w:rPr>
                      <w:rFonts w:hint="eastAsia"/>
                      <w:color w:val="auto"/>
                      <w:szCs w:val="21"/>
                      <w:highlight w:val="none"/>
                      <w:lang w:val="en-US" w:eastAsia="zh-CN"/>
                    </w:rPr>
                    <w:t>2</w:t>
                  </w:r>
                </w:p>
              </w:tc>
              <w:tc>
                <w:tcPr>
                  <w:tcW w:w="1148" w:type="dxa"/>
                  <w:vAlign w:val="center"/>
                </w:tcPr>
                <w:p w14:paraId="6C08663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Cs w:val="21"/>
                      <w:highlight w:val="none"/>
                      <w:lang w:val="en-US" w:eastAsia="zh-CN"/>
                    </w:rPr>
                  </w:pPr>
                  <w:r>
                    <w:rPr>
                      <w:rFonts w:hint="eastAsia"/>
                      <w:color w:val="auto"/>
                      <w:szCs w:val="21"/>
                      <w:highlight w:val="none"/>
                      <w:lang w:val="en-US" w:eastAsia="zh-CN"/>
                    </w:rPr>
                    <w:t>粉碎废气治理设施配套风机*1</w:t>
                  </w:r>
                </w:p>
              </w:tc>
              <w:tc>
                <w:tcPr>
                  <w:tcW w:w="675" w:type="dxa"/>
                  <w:vAlign w:val="center"/>
                </w:tcPr>
                <w:p w14:paraId="260EBBE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Cs w:val="21"/>
                      <w:highlight w:val="none"/>
                      <w:lang w:val="en-US" w:eastAsia="zh-CN"/>
                    </w:rPr>
                  </w:pPr>
                  <w:r>
                    <w:rPr>
                      <w:rFonts w:hint="eastAsia"/>
                      <w:color w:val="auto"/>
                      <w:szCs w:val="21"/>
                      <w:highlight w:val="none"/>
                      <w:lang w:val="en-US" w:eastAsia="zh-CN"/>
                    </w:rPr>
                    <w:t>4.9</w:t>
                  </w:r>
                </w:p>
              </w:tc>
              <w:tc>
                <w:tcPr>
                  <w:tcW w:w="724" w:type="dxa"/>
                  <w:vAlign w:val="center"/>
                </w:tcPr>
                <w:p w14:paraId="5E7C8F5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Cs w:val="21"/>
                      <w:highlight w:val="none"/>
                      <w:lang w:val="en-US" w:eastAsia="zh-CN"/>
                    </w:rPr>
                  </w:pPr>
                  <w:r>
                    <w:rPr>
                      <w:rFonts w:hint="eastAsia"/>
                      <w:color w:val="auto"/>
                      <w:szCs w:val="21"/>
                      <w:highlight w:val="none"/>
                      <w:lang w:val="en-US" w:eastAsia="zh-CN"/>
                    </w:rPr>
                    <w:t>10.7</w:t>
                  </w:r>
                </w:p>
              </w:tc>
              <w:tc>
                <w:tcPr>
                  <w:tcW w:w="611" w:type="dxa"/>
                  <w:vAlign w:val="center"/>
                </w:tcPr>
                <w:p w14:paraId="228F2AB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Cs w:val="21"/>
                      <w:highlight w:val="none"/>
                      <w:lang w:val="en-US" w:eastAsia="zh-CN"/>
                    </w:rPr>
                  </w:pPr>
                  <w:r>
                    <w:rPr>
                      <w:rFonts w:hint="eastAsia"/>
                      <w:color w:val="auto"/>
                      <w:szCs w:val="21"/>
                      <w:highlight w:val="none"/>
                      <w:lang w:val="en-US" w:eastAsia="zh-CN"/>
                    </w:rPr>
                    <w:t>21</w:t>
                  </w:r>
                </w:p>
              </w:tc>
              <w:tc>
                <w:tcPr>
                  <w:tcW w:w="1012" w:type="dxa"/>
                  <w:vAlign w:val="center"/>
                </w:tcPr>
                <w:p w14:paraId="445CA12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Cs w:val="21"/>
                      <w:highlight w:val="none"/>
                      <w:lang w:val="en-US" w:eastAsia="zh-CN"/>
                    </w:rPr>
                  </w:pPr>
                  <w:r>
                    <w:rPr>
                      <w:rFonts w:hint="eastAsia"/>
                      <w:color w:val="auto"/>
                      <w:szCs w:val="21"/>
                      <w:highlight w:val="none"/>
                      <w:lang w:val="en-US" w:eastAsia="zh-CN"/>
                    </w:rPr>
                    <w:t>75</w:t>
                  </w:r>
                </w:p>
              </w:tc>
              <w:tc>
                <w:tcPr>
                  <w:tcW w:w="854" w:type="dxa"/>
                  <w:vAlign w:val="center"/>
                </w:tcPr>
                <w:p w14:paraId="3363FE5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Cs w:val="21"/>
                      <w:highlight w:val="none"/>
                      <w:lang w:val="en-US" w:eastAsia="zh-CN"/>
                    </w:rPr>
                  </w:pPr>
                  <w:r>
                    <w:rPr>
                      <w:rFonts w:hint="eastAsia"/>
                      <w:color w:val="auto"/>
                      <w:szCs w:val="21"/>
                      <w:highlight w:val="none"/>
                      <w:lang w:val="en-US" w:eastAsia="zh-CN"/>
                    </w:rPr>
                    <w:t>1</w:t>
                  </w:r>
                </w:p>
              </w:tc>
              <w:tc>
                <w:tcPr>
                  <w:tcW w:w="854" w:type="dxa"/>
                  <w:vAlign w:val="center"/>
                </w:tcPr>
                <w:p w14:paraId="23BD897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Cs w:val="21"/>
                      <w:highlight w:val="none"/>
                    </w:rPr>
                  </w:pPr>
                  <w:r>
                    <w:rPr>
                      <w:rFonts w:hint="eastAsia"/>
                      <w:color w:val="auto"/>
                      <w:szCs w:val="21"/>
                      <w:highlight w:val="none"/>
                    </w:rPr>
                    <w:t>减振、消声</w:t>
                  </w:r>
                </w:p>
              </w:tc>
              <w:tc>
                <w:tcPr>
                  <w:tcW w:w="791" w:type="dxa"/>
                  <w:vAlign w:val="center"/>
                </w:tcPr>
                <w:p w14:paraId="59BED57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eastAsia="宋体"/>
                      <w:color w:val="auto"/>
                      <w:szCs w:val="21"/>
                      <w:highlight w:val="none"/>
                      <w:lang w:val="en-US" w:eastAsia="zh-CN"/>
                    </w:rPr>
                  </w:pPr>
                  <w:r>
                    <w:rPr>
                      <w:rFonts w:hint="eastAsia"/>
                      <w:color w:val="auto"/>
                      <w:szCs w:val="21"/>
                      <w:highlight w:val="none"/>
                      <w:lang w:val="en-US" w:eastAsia="zh-CN"/>
                    </w:rPr>
                    <w:t>60~65</w:t>
                  </w:r>
                </w:p>
              </w:tc>
              <w:tc>
                <w:tcPr>
                  <w:tcW w:w="817" w:type="dxa"/>
                  <w:vAlign w:val="center"/>
                </w:tcPr>
                <w:p w14:paraId="55F31EE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Cs w:val="21"/>
                      <w:highlight w:val="none"/>
                    </w:rPr>
                  </w:pPr>
                  <w:r>
                    <w:rPr>
                      <w:rFonts w:hint="default"/>
                      <w:color w:val="auto"/>
                      <w:szCs w:val="21"/>
                      <w:highlight w:val="none"/>
                    </w:rPr>
                    <w:t>昼间、夜间</w:t>
                  </w:r>
                </w:p>
              </w:tc>
            </w:tr>
            <w:tr w14:paraId="7652CB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478" w:type="dxa"/>
                  <w:vAlign w:val="center"/>
                </w:tcPr>
                <w:p w14:paraId="2890FF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Cs w:val="21"/>
                      <w:highlight w:val="none"/>
                      <w:lang w:val="en-US" w:eastAsia="zh-CN"/>
                    </w:rPr>
                  </w:pPr>
                  <w:r>
                    <w:rPr>
                      <w:rFonts w:hint="eastAsia"/>
                      <w:color w:val="auto"/>
                      <w:szCs w:val="21"/>
                      <w:highlight w:val="none"/>
                      <w:lang w:val="en-US" w:eastAsia="zh-CN"/>
                    </w:rPr>
                    <w:t>3</w:t>
                  </w:r>
                </w:p>
              </w:tc>
              <w:tc>
                <w:tcPr>
                  <w:tcW w:w="1148" w:type="dxa"/>
                  <w:vAlign w:val="center"/>
                </w:tcPr>
                <w:p w14:paraId="6B96FB2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Cs w:val="21"/>
                      <w:highlight w:val="none"/>
                      <w:lang w:val="en-US" w:eastAsia="zh-CN"/>
                    </w:rPr>
                  </w:pPr>
                  <w:r>
                    <w:rPr>
                      <w:rFonts w:hint="eastAsia"/>
                      <w:color w:val="auto"/>
                      <w:szCs w:val="21"/>
                      <w:highlight w:val="none"/>
                      <w:lang w:val="en-US" w:eastAsia="zh-CN"/>
                    </w:rPr>
                    <w:t>循环水泵*10</w:t>
                  </w:r>
                </w:p>
              </w:tc>
              <w:tc>
                <w:tcPr>
                  <w:tcW w:w="675" w:type="dxa"/>
                  <w:vAlign w:val="center"/>
                </w:tcPr>
                <w:p w14:paraId="56CFACA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Cs w:val="21"/>
                      <w:highlight w:val="none"/>
                      <w:lang w:val="en-US" w:eastAsia="zh-CN"/>
                    </w:rPr>
                  </w:pPr>
                  <w:r>
                    <w:rPr>
                      <w:rFonts w:hint="eastAsia"/>
                      <w:color w:val="auto"/>
                      <w:szCs w:val="21"/>
                      <w:highlight w:val="none"/>
                      <w:lang w:val="en-US" w:eastAsia="zh-CN"/>
                    </w:rPr>
                    <w:t>4.6</w:t>
                  </w:r>
                </w:p>
              </w:tc>
              <w:tc>
                <w:tcPr>
                  <w:tcW w:w="724" w:type="dxa"/>
                  <w:vAlign w:val="center"/>
                </w:tcPr>
                <w:p w14:paraId="470A7F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Cs w:val="21"/>
                      <w:highlight w:val="none"/>
                      <w:lang w:val="en-US" w:eastAsia="zh-CN"/>
                    </w:rPr>
                  </w:pPr>
                  <w:r>
                    <w:rPr>
                      <w:rFonts w:hint="eastAsia"/>
                      <w:color w:val="auto"/>
                      <w:szCs w:val="21"/>
                      <w:highlight w:val="none"/>
                      <w:lang w:val="en-US" w:eastAsia="zh-CN"/>
                    </w:rPr>
                    <w:t>-3.9</w:t>
                  </w:r>
                </w:p>
              </w:tc>
              <w:tc>
                <w:tcPr>
                  <w:tcW w:w="611" w:type="dxa"/>
                  <w:vAlign w:val="center"/>
                </w:tcPr>
                <w:p w14:paraId="730DCA5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Cs w:val="21"/>
                      <w:highlight w:val="none"/>
                      <w:lang w:val="en-US" w:eastAsia="zh-CN"/>
                    </w:rPr>
                  </w:pPr>
                  <w:r>
                    <w:rPr>
                      <w:rFonts w:hint="eastAsia"/>
                      <w:color w:val="auto"/>
                      <w:szCs w:val="21"/>
                      <w:highlight w:val="none"/>
                      <w:lang w:val="en-US" w:eastAsia="zh-CN"/>
                    </w:rPr>
                    <w:t>21</w:t>
                  </w:r>
                </w:p>
              </w:tc>
              <w:tc>
                <w:tcPr>
                  <w:tcW w:w="1012" w:type="dxa"/>
                  <w:vAlign w:val="center"/>
                </w:tcPr>
                <w:p w14:paraId="1945F4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Cs w:val="21"/>
                      <w:highlight w:val="none"/>
                      <w:lang w:val="en-US" w:eastAsia="zh-CN"/>
                    </w:rPr>
                  </w:pPr>
                  <w:r>
                    <w:rPr>
                      <w:rFonts w:hint="eastAsia"/>
                      <w:color w:val="auto"/>
                      <w:szCs w:val="21"/>
                      <w:highlight w:val="none"/>
                      <w:lang w:val="en-US" w:eastAsia="zh-CN"/>
                    </w:rPr>
                    <w:t>80</w:t>
                  </w:r>
                </w:p>
              </w:tc>
              <w:tc>
                <w:tcPr>
                  <w:tcW w:w="854" w:type="dxa"/>
                  <w:vAlign w:val="center"/>
                </w:tcPr>
                <w:p w14:paraId="0B94BA3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Cs w:val="21"/>
                      <w:highlight w:val="none"/>
                      <w:lang w:val="en-US" w:eastAsia="zh-CN"/>
                    </w:rPr>
                  </w:pPr>
                  <w:r>
                    <w:rPr>
                      <w:rFonts w:hint="eastAsia"/>
                      <w:color w:val="auto"/>
                      <w:szCs w:val="21"/>
                      <w:highlight w:val="none"/>
                      <w:lang w:val="en-US" w:eastAsia="zh-CN"/>
                    </w:rPr>
                    <w:t>1</w:t>
                  </w:r>
                </w:p>
              </w:tc>
              <w:tc>
                <w:tcPr>
                  <w:tcW w:w="854" w:type="dxa"/>
                  <w:vAlign w:val="center"/>
                </w:tcPr>
                <w:p w14:paraId="1E9BF40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eastAsia="宋体"/>
                      <w:color w:val="auto"/>
                      <w:szCs w:val="21"/>
                      <w:highlight w:val="none"/>
                      <w:lang w:val="en-US" w:eastAsia="zh-CN"/>
                    </w:rPr>
                  </w:pPr>
                  <w:r>
                    <w:rPr>
                      <w:rFonts w:hint="eastAsia"/>
                      <w:color w:val="auto"/>
                      <w:szCs w:val="21"/>
                      <w:highlight w:val="none"/>
                      <w:lang w:val="en-US" w:eastAsia="zh-CN"/>
                    </w:rPr>
                    <w:t>减振</w:t>
                  </w:r>
                </w:p>
              </w:tc>
              <w:tc>
                <w:tcPr>
                  <w:tcW w:w="791" w:type="dxa"/>
                  <w:vAlign w:val="center"/>
                </w:tcPr>
                <w:p w14:paraId="0F7256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Cs w:val="21"/>
                      <w:highlight w:val="none"/>
                      <w:lang w:val="en-US" w:eastAsia="zh-CN"/>
                    </w:rPr>
                  </w:pPr>
                  <w:r>
                    <w:rPr>
                      <w:rFonts w:hint="eastAsia"/>
                      <w:color w:val="auto"/>
                      <w:szCs w:val="21"/>
                      <w:highlight w:val="none"/>
                      <w:lang w:val="en-US" w:eastAsia="zh-CN"/>
                    </w:rPr>
                    <w:t>65~70</w:t>
                  </w:r>
                </w:p>
              </w:tc>
              <w:tc>
                <w:tcPr>
                  <w:tcW w:w="817" w:type="dxa"/>
                  <w:vAlign w:val="center"/>
                </w:tcPr>
                <w:p w14:paraId="0F61DDF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Cs w:val="21"/>
                      <w:highlight w:val="none"/>
                    </w:rPr>
                  </w:pPr>
                  <w:r>
                    <w:rPr>
                      <w:rFonts w:hint="default"/>
                      <w:color w:val="auto"/>
                      <w:szCs w:val="21"/>
                      <w:highlight w:val="none"/>
                    </w:rPr>
                    <w:t>昼间、夜间</w:t>
                  </w:r>
                </w:p>
              </w:tc>
            </w:tr>
          </w:tbl>
          <w:p w14:paraId="5A8F40C5">
            <w:pPr>
              <w:keepNext w:val="0"/>
              <w:keepLines w:val="0"/>
              <w:suppressLineNumbers w:val="0"/>
              <w:spacing w:before="0" w:beforeAutospacing="0" w:after="0" w:afterAutospacing="0" w:line="360" w:lineRule="auto"/>
              <w:ind w:left="0" w:right="0"/>
              <w:rPr>
                <w:rFonts w:hint="eastAsia"/>
                <w:b/>
                <w:color w:val="auto"/>
                <w:szCs w:val="21"/>
                <w:highlight w:val="none"/>
                <w:lang w:eastAsia="zh-CN"/>
              </w:rPr>
            </w:pPr>
            <w:r>
              <w:rPr>
                <w:rFonts w:hint="eastAsia"/>
                <w:b/>
                <w:color w:val="auto"/>
                <w:szCs w:val="21"/>
                <w:highlight w:val="none"/>
              </w:rPr>
              <w:t>注：以厂区</w:t>
            </w:r>
            <w:r>
              <w:rPr>
                <w:rFonts w:hint="eastAsia"/>
                <w:b/>
                <w:color w:val="auto"/>
                <w:szCs w:val="21"/>
                <w:highlight w:val="none"/>
                <w:lang w:val="en-US" w:eastAsia="zh-CN"/>
              </w:rPr>
              <w:t>中心</w:t>
            </w:r>
            <w:r>
              <w:rPr>
                <w:rFonts w:hint="eastAsia"/>
                <w:b/>
                <w:color w:val="auto"/>
                <w:szCs w:val="21"/>
                <w:highlight w:val="none"/>
              </w:rPr>
              <w:t>为坐标原点</w:t>
            </w:r>
            <w:r>
              <w:rPr>
                <w:rFonts w:hint="eastAsia"/>
                <w:b/>
                <w:color w:val="auto"/>
                <w:szCs w:val="21"/>
                <w:highlight w:val="none"/>
                <w:lang w:eastAsia="zh-CN"/>
              </w:rPr>
              <w:t>。</w:t>
            </w:r>
          </w:p>
          <w:p w14:paraId="260F2BE9">
            <w:pPr>
              <w:keepNext w:val="0"/>
              <w:keepLines w:val="0"/>
              <w:suppressLineNumbers w:val="0"/>
              <w:bidi w:val="0"/>
              <w:spacing w:before="0" w:beforeAutospacing="0" w:after="0" w:afterAutospacing="0" w:line="360" w:lineRule="auto"/>
              <w:ind w:left="0" w:right="0"/>
              <w:rPr>
                <w:rFonts w:hint="eastAsia"/>
                <w:color w:val="auto"/>
                <w:sz w:val="24"/>
                <w:szCs w:val="24"/>
                <w:lang w:eastAsia="zh-CN"/>
              </w:rPr>
            </w:pPr>
          </w:p>
          <w:p w14:paraId="18BD16CB">
            <w:pPr>
              <w:keepNext w:val="0"/>
              <w:keepLines w:val="0"/>
              <w:suppressLineNumbers w:val="0"/>
              <w:bidi w:val="0"/>
              <w:spacing w:before="0" w:beforeAutospacing="0" w:after="0" w:afterAutospacing="0" w:line="360" w:lineRule="auto"/>
              <w:ind w:left="0" w:right="0"/>
              <w:rPr>
                <w:rFonts w:hint="eastAsia"/>
                <w:color w:val="auto"/>
                <w:sz w:val="24"/>
                <w:szCs w:val="24"/>
                <w:lang w:eastAsia="zh-CN"/>
              </w:rPr>
            </w:pPr>
          </w:p>
          <w:p w14:paraId="68FDA0D6">
            <w:pPr>
              <w:keepNext w:val="0"/>
              <w:keepLines w:val="0"/>
              <w:suppressLineNumbers w:val="0"/>
              <w:bidi w:val="0"/>
              <w:spacing w:before="0" w:beforeAutospacing="0" w:after="0" w:afterAutospacing="0" w:line="360" w:lineRule="auto"/>
              <w:ind w:left="0" w:right="0"/>
              <w:rPr>
                <w:rFonts w:hint="eastAsia"/>
                <w:color w:val="auto"/>
                <w:sz w:val="24"/>
                <w:szCs w:val="24"/>
                <w:lang w:eastAsia="zh-CN"/>
              </w:rPr>
            </w:pPr>
          </w:p>
          <w:p w14:paraId="7DF90372">
            <w:pPr>
              <w:keepNext w:val="0"/>
              <w:keepLines w:val="0"/>
              <w:suppressLineNumbers w:val="0"/>
              <w:bidi w:val="0"/>
              <w:spacing w:before="0" w:beforeAutospacing="0" w:after="0" w:afterAutospacing="0" w:line="360" w:lineRule="auto"/>
              <w:ind w:left="0" w:right="0"/>
              <w:rPr>
                <w:rFonts w:hint="eastAsia"/>
                <w:color w:val="auto"/>
                <w:sz w:val="24"/>
                <w:szCs w:val="24"/>
                <w:lang w:eastAsia="zh-CN"/>
              </w:rPr>
            </w:pPr>
          </w:p>
          <w:p w14:paraId="440EDBF3">
            <w:pPr>
              <w:keepNext w:val="0"/>
              <w:keepLines w:val="0"/>
              <w:suppressLineNumbers w:val="0"/>
              <w:bidi w:val="0"/>
              <w:spacing w:before="0" w:beforeAutospacing="0" w:after="0" w:afterAutospacing="0" w:line="360" w:lineRule="auto"/>
              <w:ind w:left="0" w:right="0"/>
              <w:rPr>
                <w:rFonts w:hint="eastAsia"/>
                <w:color w:val="auto"/>
                <w:sz w:val="24"/>
                <w:szCs w:val="24"/>
                <w:lang w:eastAsia="zh-CN"/>
              </w:rPr>
            </w:pPr>
          </w:p>
          <w:p w14:paraId="3C5D0999">
            <w:pPr>
              <w:keepNext w:val="0"/>
              <w:keepLines w:val="0"/>
              <w:suppressLineNumbers w:val="0"/>
              <w:bidi w:val="0"/>
              <w:spacing w:before="0" w:beforeAutospacing="0" w:after="0" w:afterAutospacing="0" w:line="360" w:lineRule="auto"/>
              <w:ind w:left="0" w:right="0"/>
              <w:rPr>
                <w:rFonts w:hint="eastAsia"/>
                <w:color w:val="auto"/>
                <w:sz w:val="24"/>
                <w:szCs w:val="24"/>
                <w:lang w:eastAsia="zh-CN"/>
              </w:rPr>
            </w:pPr>
          </w:p>
          <w:p w14:paraId="4248E175">
            <w:pPr>
              <w:keepNext w:val="0"/>
              <w:keepLines w:val="0"/>
              <w:suppressLineNumbers w:val="0"/>
              <w:bidi w:val="0"/>
              <w:spacing w:before="0" w:beforeAutospacing="0" w:after="0" w:afterAutospacing="0" w:line="360" w:lineRule="auto"/>
              <w:ind w:left="0" w:right="0"/>
              <w:rPr>
                <w:rFonts w:hint="eastAsia"/>
                <w:color w:val="auto"/>
                <w:sz w:val="24"/>
                <w:szCs w:val="24"/>
                <w:lang w:eastAsia="zh-CN"/>
              </w:rPr>
            </w:pPr>
          </w:p>
          <w:p w14:paraId="4575461C">
            <w:pPr>
              <w:keepNext w:val="0"/>
              <w:keepLines w:val="0"/>
              <w:suppressLineNumbers w:val="0"/>
              <w:bidi w:val="0"/>
              <w:spacing w:before="0" w:beforeAutospacing="0" w:after="0" w:afterAutospacing="0" w:line="360" w:lineRule="auto"/>
              <w:ind w:left="0" w:right="0"/>
              <w:rPr>
                <w:rFonts w:hint="eastAsia"/>
                <w:color w:val="auto"/>
                <w:sz w:val="24"/>
                <w:szCs w:val="24"/>
                <w:lang w:eastAsia="zh-CN"/>
              </w:rPr>
            </w:pPr>
          </w:p>
          <w:p w14:paraId="698A3901">
            <w:pPr>
              <w:keepNext w:val="0"/>
              <w:keepLines w:val="0"/>
              <w:suppressLineNumbers w:val="0"/>
              <w:bidi w:val="0"/>
              <w:spacing w:before="0" w:beforeAutospacing="0" w:after="0" w:afterAutospacing="0" w:line="360" w:lineRule="auto"/>
              <w:ind w:left="0" w:right="0"/>
              <w:rPr>
                <w:rFonts w:hint="eastAsia"/>
                <w:color w:val="auto"/>
                <w:sz w:val="24"/>
                <w:szCs w:val="24"/>
                <w:lang w:eastAsia="zh-CN"/>
              </w:rPr>
            </w:pPr>
          </w:p>
          <w:p w14:paraId="45CFEAE9">
            <w:pPr>
              <w:keepNext w:val="0"/>
              <w:keepLines w:val="0"/>
              <w:suppressLineNumbers w:val="0"/>
              <w:bidi w:val="0"/>
              <w:spacing w:before="0" w:beforeAutospacing="0" w:after="0" w:afterAutospacing="0" w:line="360" w:lineRule="auto"/>
              <w:ind w:left="0" w:right="0"/>
              <w:rPr>
                <w:rFonts w:hint="eastAsia"/>
                <w:color w:val="auto"/>
                <w:sz w:val="24"/>
                <w:szCs w:val="24"/>
                <w:lang w:eastAsia="zh-CN"/>
              </w:rPr>
            </w:pPr>
          </w:p>
          <w:p w14:paraId="637316CC">
            <w:pPr>
              <w:keepNext w:val="0"/>
              <w:keepLines w:val="0"/>
              <w:suppressLineNumbers w:val="0"/>
              <w:bidi w:val="0"/>
              <w:spacing w:before="0" w:beforeAutospacing="0" w:after="0" w:afterAutospacing="0" w:line="360" w:lineRule="auto"/>
              <w:ind w:left="0" w:right="0"/>
              <w:rPr>
                <w:rFonts w:hint="eastAsia"/>
                <w:color w:val="auto"/>
                <w:sz w:val="24"/>
                <w:szCs w:val="24"/>
                <w:lang w:eastAsia="zh-CN"/>
              </w:rPr>
            </w:pPr>
          </w:p>
          <w:p w14:paraId="0A842142">
            <w:pPr>
              <w:keepNext w:val="0"/>
              <w:keepLines w:val="0"/>
              <w:suppressLineNumbers w:val="0"/>
              <w:bidi w:val="0"/>
              <w:spacing w:before="0" w:beforeAutospacing="0" w:after="0" w:afterAutospacing="0" w:line="360" w:lineRule="auto"/>
              <w:ind w:left="0" w:right="0"/>
              <w:rPr>
                <w:rFonts w:hint="eastAsia"/>
                <w:color w:val="auto"/>
                <w:sz w:val="24"/>
                <w:szCs w:val="24"/>
                <w:lang w:eastAsia="zh-CN"/>
              </w:rPr>
            </w:pPr>
          </w:p>
          <w:p w14:paraId="4AB3E21F">
            <w:pPr>
              <w:keepNext w:val="0"/>
              <w:keepLines w:val="0"/>
              <w:suppressLineNumbers w:val="0"/>
              <w:bidi w:val="0"/>
              <w:spacing w:before="0" w:beforeAutospacing="0" w:after="0" w:afterAutospacing="0" w:line="360" w:lineRule="auto"/>
              <w:ind w:left="0" w:right="0"/>
              <w:rPr>
                <w:rFonts w:hint="eastAsia"/>
                <w:color w:val="auto"/>
                <w:sz w:val="24"/>
                <w:szCs w:val="24"/>
                <w:lang w:eastAsia="zh-CN"/>
              </w:rPr>
            </w:pPr>
          </w:p>
          <w:p w14:paraId="3FCC214F">
            <w:pPr>
              <w:keepNext w:val="0"/>
              <w:keepLines w:val="0"/>
              <w:suppressLineNumbers w:val="0"/>
              <w:bidi w:val="0"/>
              <w:spacing w:before="0" w:beforeAutospacing="0" w:after="0" w:afterAutospacing="0" w:line="360" w:lineRule="auto"/>
              <w:ind w:left="0" w:right="0"/>
              <w:rPr>
                <w:rFonts w:hint="eastAsia"/>
                <w:color w:val="auto"/>
                <w:sz w:val="24"/>
                <w:szCs w:val="24"/>
                <w:lang w:eastAsia="zh-CN"/>
              </w:rPr>
            </w:pPr>
          </w:p>
          <w:p w14:paraId="74B20391">
            <w:pPr>
              <w:keepNext w:val="0"/>
              <w:keepLines w:val="0"/>
              <w:suppressLineNumbers w:val="0"/>
              <w:bidi w:val="0"/>
              <w:spacing w:before="0" w:beforeAutospacing="0" w:after="0" w:afterAutospacing="0" w:line="360" w:lineRule="auto"/>
              <w:ind w:left="0" w:right="0"/>
              <w:rPr>
                <w:rFonts w:hint="eastAsia"/>
                <w:color w:val="auto"/>
                <w:sz w:val="24"/>
                <w:szCs w:val="24"/>
                <w:lang w:eastAsia="zh-CN"/>
              </w:rPr>
            </w:pPr>
          </w:p>
          <w:p w14:paraId="61DA96F4">
            <w:pPr>
              <w:keepNext w:val="0"/>
              <w:keepLines w:val="0"/>
              <w:suppressLineNumbers w:val="0"/>
              <w:bidi w:val="0"/>
              <w:spacing w:before="0" w:beforeAutospacing="0" w:after="0" w:afterAutospacing="0" w:line="360" w:lineRule="auto"/>
              <w:ind w:left="0" w:right="0"/>
              <w:rPr>
                <w:rFonts w:hint="eastAsia"/>
                <w:color w:val="auto"/>
                <w:sz w:val="24"/>
                <w:szCs w:val="24"/>
                <w:lang w:eastAsia="zh-CN"/>
              </w:rPr>
            </w:pPr>
          </w:p>
          <w:p w14:paraId="5880CCDB">
            <w:pPr>
              <w:keepNext w:val="0"/>
              <w:keepLines w:val="0"/>
              <w:suppressLineNumbers w:val="0"/>
              <w:bidi w:val="0"/>
              <w:spacing w:before="0" w:beforeAutospacing="0" w:after="0" w:afterAutospacing="0" w:line="360" w:lineRule="auto"/>
              <w:ind w:left="0" w:right="0"/>
              <w:rPr>
                <w:rFonts w:hint="eastAsia"/>
                <w:color w:val="auto"/>
                <w:sz w:val="24"/>
                <w:szCs w:val="24"/>
                <w:lang w:eastAsia="zh-CN"/>
              </w:rPr>
            </w:pPr>
          </w:p>
          <w:p w14:paraId="3D644674">
            <w:pPr>
              <w:keepNext w:val="0"/>
              <w:keepLines w:val="0"/>
              <w:suppressLineNumbers w:val="0"/>
              <w:bidi w:val="0"/>
              <w:spacing w:before="0" w:beforeAutospacing="0" w:after="0" w:afterAutospacing="0" w:line="360" w:lineRule="auto"/>
              <w:ind w:left="0" w:right="0"/>
              <w:rPr>
                <w:rFonts w:hint="eastAsia"/>
                <w:color w:val="auto"/>
                <w:sz w:val="24"/>
                <w:szCs w:val="24"/>
                <w:lang w:eastAsia="zh-CN"/>
              </w:rPr>
            </w:pPr>
          </w:p>
          <w:p w14:paraId="3A9A8394">
            <w:pPr>
              <w:keepNext w:val="0"/>
              <w:keepLines w:val="0"/>
              <w:suppressLineNumbers w:val="0"/>
              <w:bidi w:val="0"/>
              <w:spacing w:before="0" w:beforeAutospacing="0" w:after="0" w:afterAutospacing="0" w:line="360" w:lineRule="auto"/>
              <w:ind w:left="0" w:right="0"/>
              <w:rPr>
                <w:rFonts w:hint="eastAsia"/>
                <w:color w:val="auto"/>
                <w:sz w:val="24"/>
                <w:szCs w:val="24"/>
                <w:lang w:eastAsia="zh-CN"/>
              </w:rPr>
            </w:pPr>
          </w:p>
          <w:p w14:paraId="29E0D01A">
            <w:pPr>
              <w:keepNext w:val="0"/>
              <w:keepLines w:val="0"/>
              <w:suppressLineNumbers w:val="0"/>
              <w:bidi w:val="0"/>
              <w:spacing w:before="0" w:beforeAutospacing="0" w:after="0" w:afterAutospacing="0" w:line="360" w:lineRule="auto"/>
              <w:ind w:left="0" w:right="0"/>
              <w:rPr>
                <w:rFonts w:hint="eastAsia"/>
                <w:color w:val="auto"/>
                <w:sz w:val="24"/>
                <w:szCs w:val="24"/>
                <w:lang w:eastAsia="zh-CN"/>
              </w:rPr>
            </w:pPr>
          </w:p>
          <w:p w14:paraId="44085E1A">
            <w:pPr>
              <w:keepNext w:val="0"/>
              <w:keepLines w:val="0"/>
              <w:suppressLineNumbers w:val="0"/>
              <w:bidi w:val="0"/>
              <w:spacing w:before="0" w:beforeAutospacing="0" w:after="0" w:afterAutospacing="0" w:line="360" w:lineRule="auto"/>
              <w:ind w:left="0" w:right="0"/>
              <w:rPr>
                <w:rFonts w:hint="eastAsia"/>
                <w:color w:val="auto"/>
                <w:sz w:val="24"/>
                <w:szCs w:val="24"/>
                <w:lang w:eastAsia="zh-CN"/>
              </w:rPr>
            </w:pPr>
          </w:p>
          <w:p w14:paraId="0792A841">
            <w:pPr>
              <w:keepNext w:val="0"/>
              <w:keepLines w:val="0"/>
              <w:suppressLineNumbers w:val="0"/>
              <w:bidi w:val="0"/>
              <w:spacing w:before="0" w:beforeAutospacing="0" w:after="0" w:afterAutospacing="0" w:line="360" w:lineRule="auto"/>
              <w:ind w:left="0" w:right="0"/>
              <w:rPr>
                <w:rFonts w:hint="eastAsia"/>
                <w:color w:val="auto"/>
                <w:sz w:val="24"/>
                <w:szCs w:val="24"/>
                <w:lang w:eastAsia="zh-CN"/>
              </w:rPr>
            </w:pPr>
          </w:p>
          <w:p w14:paraId="0011CE49">
            <w:pPr>
              <w:pStyle w:val="19"/>
              <w:keepNext w:val="0"/>
              <w:keepLines w:val="0"/>
              <w:suppressLineNumbers w:val="0"/>
              <w:spacing w:before="0" w:beforeAutospacing="0" w:afterAutospacing="0"/>
              <w:ind w:left="0" w:leftChars="0" w:right="0" w:firstLine="0" w:firstLineChars="0"/>
              <w:rPr>
                <w:rFonts w:hint="default"/>
                <w:color w:val="auto"/>
              </w:rPr>
            </w:pPr>
          </w:p>
        </w:tc>
      </w:tr>
    </w:tbl>
    <w:p w14:paraId="5E3E1F25">
      <w:pPr>
        <w:pStyle w:val="11"/>
        <w:rPr>
          <w:color w:val="auto"/>
        </w:rPr>
        <w:sectPr>
          <w:pgSz w:w="11906" w:h="16838"/>
          <w:pgMar w:top="1440" w:right="1508" w:bottom="1440" w:left="1797" w:header="851" w:footer="992" w:gutter="0"/>
          <w:pgBorders>
            <w:top w:val="none" w:sz="0" w:space="0"/>
            <w:left w:val="none" w:sz="0" w:space="0"/>
            <w:bottom w:val="none" w:sz="0" w:space="0"/>
            <w:right w:val="none" w:sz="0" w:space="0"/>
          </w:pgBorders>
          <w:cols w:space="720" w:num="1"/>
          <w:docGrid w:type="lines" w:linePitch="312" w:charSpace="0"/>
        </w:sectPr>
      </w:pP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3454"/>
      </w:tblGrid>
      <w:tr w14:paraId="3DE0C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8" w:hRule="atLeast"/>
          <w:jc w:val="center"/>
        </w:trPr>
        <w:tc>
          <w:tcPr>
            <w:tcW w:w="526" w:type="dxa"/>
            <w:vAlign w:val="center"/>
          </w:tcPr>
          <w:p w14:paraId="79D88C60">
            <w:pPr>
              <w:keepNext w:val="0"/>
              <w:keepLines w:val="0"/>
              <w:widowControl/>
              <w:suppressLineNumbers w:val="0"/>
              <w:spacing w:before="0" w:beforeAutospacing="0" w:after="0" w:afterAutospacing="0" w:line="360" w:lineRule="auto"/>
              <w:ind w:left="0" w:right="0"/>
              <w:jc w:val="center"/>
              <w:outlineLvl w:val="0"/>
              <w:rPr>
                <w:rFonts w:hint="default"/>
                <w:color w:val="auto"/>
                <w:vertAlign w:val="baseline"/>
              </w:rPr>
            </w:pPr>
            <w:r>
              <w:rPr>
                <w:rFonts w:hint="eastAsia" w:hAnsi="宋体"/>
                <w:color w:val="auto"/>
                <w:kern w:val="0"/>
                <w:sz w:val="24"/>
                <w:szCs w:val="24"/>
                <w:highlight w:val="none"/>
              </w:rPr>
              <w:t>运营期环境影响和保护措施</w:t>
            </w:r>
          </w:p>
        </w:tc>
        <w:tc>
          <w:tcPr>
            <w:tcW w:w="13454" w:type="dxa"/>
          </w:tcPr>
          <w:p w14:paraId="74C432EA">
            <w:pPr>
              <w:keepNext w:val="0"/>
              <w:keepLines w:val="0"/>
              <w:suppressLineNumbers w:val="0"/>
              <w:spacing w:before="0" w:beforeAutospacing="0" w:after="0" w:afterAutospacing="0" w:line="360" w:lineRule="auto"/>
              <w:ind w:left="0" w:right="0"/>
              <w:jc w:val="center"/>
              <w:rPr>
                <w:rFonts w:hint="eastAsia"/>
                <w:b/>
                <w:color w:val="auto"/>
                <w:szCs w:val="21"/>
              </w:rPr>
            </w:pPr>
            <w:r>
              <w:rPr>
                <w:rFonts w:hint="eastAsia" w:hAnsi="黑体" w:eastAsia="黑体"/>
                <w:color w:val="auto"/>
                <w:sz w:val="24"/>
                <w:szCs w:val="24"/>
              </w:rPr>
              <w:t>表</w:t>
            </w:r>
            <w:r>
              <w:rPr>
                <w:rFonts w:hint="eastAsia" w:hAnsi="黑体" w:eastAsia="黑体"/>
                <w:color w:val="auto"/>
                <w:sz w:val="24"/>
                <w:szCs w:val="24"/>
                <w:lang w:val="en-US" w:eastAsia="zh-CN"/>
              </w:rPr>
              <w:t>4-15</w:t>
            </w:r>
            <w:r>
              <w:rPr>
                <w:rFonts w:hint="eastAsia" w:hAnsi="黑体" w:eastAsia="黑体"/>
                <w:color w:val="auto"/>
                <w:sz w:val="24"/>
                <w:szCs w:val="24"/>
              </w:rPr>
              <w:t xml:space="preserve"> 工业企业噪声源强调查清单（室内声源）</w:t>
            </w:r>
          </w:p>
          <w:tbl>
            <w:tblPr>
              <w:tblStyle w:val="37"/>
              <w:tblW w:w="499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80"/>
              <w:gridCol w:w="392"/>
              <w:gridCol w:w="692"/>
              <w:gridCol w:w="522"/>
              <w:gridCol w:w="472"/>
              <w:gridCol w:w="537"/>
              <w:gridCol w:w="535"/>
              <w:gridCol w:w="498"/>
              <w:gridCol w:w="561"/>
              <w:gridCol w:w="540"/>
              <w:gridCol w:w="553"/>
              <w:gridCol w:w="585"/>
              <w:gridCol w:w="530"/>
              <w:gridCol w:w="530"/>
              <w:gridCol w:w="530"/>
              <w:gridCol w:w="561"/>
              <w:gridCol w:w="569"/>
              <w:gridCol w:w="844"/>
              <w:gridCol w:w="747"/>
              <w:gridCol w:w="535"/>
              <w:gridCol w:w="535"/>
              <w:gridCol w:w="535"/>
              <w:gridCol w:w="931"/>
            </w:tblGrid>
            <w:tr w14:paraId="73B230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385" w:hRule="atLeast"/>
                <w:jc w:val="center"/>
              </w:trPr>
              <w:tc>
                <w:tcPr>
                  <w:tcW w:w="181" w:type="pct"/>
                  <w:vMerge w:val="restart"/>
                  <w:vAlign w:val="center"/>
                </w:tcPr>
                <w:p w14:paraId="3EC71C5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序号</w:t>
                  </w:r>
                </w:p>
              </w:tc>
              <w:tc>
                <w:tcPr>
                  <w:tcW w:w="148" w:type="pct"/>
                  <w:vMerge w:val="restart"/>
                  <w:vAlign w:val="center"/>
                </w:tcPr>
                <w:p w14:paraId="571B96C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建筑物名称</w:t>
                  </w:r>
                </w:p>
              </w:tc>
              <w:tc>
                <w:tcPr>
                  <w:tcW w:w="261" w:type="pct"/>
                  <w:vMerge w:val="restart"/>
                  <w:vAlign w:val="center"/>
                </w:tcPr>
                <w:p w14:paraId="468999A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声源名称</w:t>
                  </w:r>
                </w:p>
              </w:tc>
              <w:tc>
                <w:tcPr>
                  <w:tcW w:w="197" w:type="pct"/>
                  <w:vMerge w:val="restart"/>
                  <w:vAlign w:val="center"/>
                </w:tcPr>
                <w:p w14:paraId="4F27ED9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声源源强</w:t>
                  </w:r>
                </w:p>
                <w:p w14:paraId="0BC5CBF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w:t>
                  </w:r>
                  <w:r>
                    <w:rPr>
                      <w:rFonts w:hint="eastAsia" w:cs="Times New Roman"/>
                      <w:b/>
                      <w:bCs/>
                      <w:color w:val="auto"/>
                      <w:szCs w:val="21"/>
                      <w:lang w:val="en-US" w:eastAsia="zh-CN"/>
                    </w:rPr>
                    <w:t>声压级</w:t>
                  </w:r>
                  <w:r>
                    <w:rPr>
                      <w:rFonts w:hint="default" w:ascii="Times New Roman" w:hAnsi="Times New Roman" w:eastAsia="宋体" w:cs="Times New Roman"/>
                      <w:b/>
                      <w:bCs/>
                      <w:color w:val="auto"/>
                      <w:szCs w:val="21"/>
                    </w:rPr>
                    <w:t>dB（A）</w:t>
                  </w:r>
                </w:p>
              </w:tc>
              <w:tc>
                <w:tcPr>
                  <w:tcW w:w="178" w:type="pct"/>
                  <w:vMerge w:val="restart"/>
                  <w:vAlign w:val="center"/>
                </w:tcPr>
                <w:p w14:paraId="75A27A4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声源控制措施</w:t>
                  </w:r>
                </w:p>
              </w:tc>
              <w:tc>
                <w:tcPr>
                  <w:tcW w:w="594" w:type="pct"/>
                  <w:gridSpan w:val="3"/>
                  <w:vAlign w:val="center"/>
                </w:tcPr>
                <w:p w14:paraId="451E050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空间相对位置</w:t>
                  </w:r>
                </w:p>
                <w:p w14:paraId="226B0A6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eastAsia" w:cs="Times New Roman"/>
                      <w:b/>
                      <w:bCs/>
                      <w:color w:val="auto"/>
                      <w:szCs w:val="21"/>
                      <w:lang w:val="en-US" w:eastAsia="zh-CN"/>
                    </w:rPr>
                    <w:t>/</w:t>
                  </w:r>
                  <w:r>
                    <w:rPr>
                      <w:rFonts w:hint="default" w:ascii="Times New Roman" w:hAnsi="Times New Roman" w:eastAsia="宋体" w:cs="Times New Roman"/>
                      <w:b/>
                      <w:bCs/>
                      <w:color w:val="auto"/>
                      <w:szCs w:val="21"/>
                    </w:rPr>
                    <w:t>m</w:t>
                  </w:r>
                </w:p>
              </w:tc>
              <w:tc>
                <w:tcPr>
                  <w:tcW w:w="847" w:type="pct"/>
                  <w:gridSpan w:val="4"/>
                  <w:vAlign w:val="center"/>
                </w:tcPr>
                <w:p w14:paraId="5B19C74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距室内边界距离</w:t>
                  </w:r>
                </w:p>
                <w:p w14:paraId="16E1816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/m</w:t>
                  </w:r>
                </w:p>
              </w:tc>
              <w:tc>
                <w:tcPr>
                  <w:tcW w:w="813" w:type="pct"/>
                  <w:gridSpan w:val="4"/>
                  <w:vAlign w:val="center"/>
                </w:tcPr>
                <w:p w14:paraId="76C8063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室内边界声级</w:t>
                  </w:r>
                </w:p>
                <w:p w14:paraId="6683D9F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/dB（A）</w:t>
                  </w:r>
                </w:p>
              </w:tc>
              <w:tc>
                <w:tcPr>
                  <w:tcW w:w="215" w:type="pct"/>
                  <w:vMerge w:val="restart"/>
                  <w:vAlign w:val="center"/>
                </w:tcPr>
                <w:p w14:paraId="04E3054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运行时段</w:t>
                  </w:r>
                </w:p>
              </w:tc>
              <w:tc>
                <w:tcPr>
                  <w:tcW w:w="319" w:type="pct"/>
                  <w:vMerge w:val="restart"/>
                  <w:vAlign w:val="center"/>
                </w:tcPr>
                <w:p w14:paraId="21E2D4D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建筑物插入损失</w:t>
                  </w:r>
                </w:p>
                <w:p w14:paraId="53E08EF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/dB（A）</w:t>
                  </w:r>
                </w:p>
              </w:tc>
              <w:tc>
                <w:tcPr>
                  <w:tcW w:w="1242" w:type="pct"/>
                  <w:gridSpan w:val="5"/>
                  <w:vAlign w:val="center"/>
                </w:tcPr>
                <w:p w14:paraId="2E9D938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建筑物外噪声声压级</w:t>
                  </w:r>
                </w:p>
                <w:p w14:paraId="7D7A40F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/dB（A）</w:t>
                  </w:r>
                </w:p>
              </w:tc>
            </w:tr>
            <w:tr w14:paraId="16BD54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1807" w:hRule="atLeast"/>
                <w:jc w:val="center"/>
              </w:trPr>
              <w:tc>
                <w:tcPr>
                  <w:tcW w:w="181" w:type="pct"/>
                  <w:vMerge w:val="continue"/>
                  <w:vAlign w:val="center"/>
                </w:tcPr>
                <w:p w14:paraId="59C395F7">
                  <w:pPr>
                    <w:keepNext w:val="0"/>
                    <w:keepLines w:val="0"/>
                    <w:suppressLineNumbers w:val="0"/>
                    <w:spacing w:before="0" w:beforeAutospacing="0" w:after="0" w:afterAutospacing="0" w:line="240" w:lineRule="auto"/>
                    <w:ind w:left="0" w:right="0"/>
                    <w:jc w:val="center"/>
                    <w:rPr>
                      <w:rFonts w:hint="default"/>
                      <w:b/>
                      <w:bCs/>
                      <w:color w:val="auto"/>
                      <w:szCs w:val="21"/>
                    </w:rPr>
                  </w:pPr>
                </w:p>
              </w:tc>
              <w:tc>
                <w:tcPr>
                  <w:tcW w:w="148" w:type="pct"/>
                  <w:vMerge w:val="continue"/>
                  <w:vAlign w:val="center"/>
                </w:tcPr>
                <w:p w14:paraId="59E27A5E">
                  <w:pPr>
                    <w:keepNext w:val="0"/>
                    <w:keepLines w:val="0"/>
                    <w:suppressLineNumbers w:val="0"/>
                    <w:spacing w:before="0" w:beforeAutospacing="0" w:after="0" w:afterAutospacing="0" w:line="240" w:lineRule="auto"/>
                    <w:ind w:left="0" w:right="0"/>
                    <w:jc w:val="center"/>
                    <w:rPr>
                      <w:rFonts w:hint="default"/>
                      <w:b/>
                      <w:bCs/>
                      <w:color w:val="auto"/>
                      <w:szCs w:val="21"/>
                    </w:rPr>
                  </w:pPr>
                </w:p>
              </w:tc>
              <w:tc>
                <w:tcPr>
                  <w:tcW w:w="261" w:type="pct"/>
                  <w:vMerge w:val="continue"/>
                  <w:vAlign w:val="center"/>
                </w:tcPr>
                <w:p w14:paraId="384E1F26">
                  <w:pPr>
                    <w:keepNext w:val="0"/>
                    <w:keepLines w:val="0"/>
                    <w:suppressLineNumbers w:val="0"/>
                    <w:spacing w:before="0" w:beforeAutospacing="0" w:after="0" w:afterAutospacing="0" w:line="240" w:lineRule="auto"/>
                    <w:ind w:left="0" w:right="0"/>
                    <w:jc w:val="center"/>
                    <w:rPr>
                      <w:rFonts w:hint="default"/>
                      <w:b/>
                      <w:bCs/>
                      <w:color w:val="auto"/>
                      <w:szCs w:val="21"/>
                    </w:rPr>
                  </w:pPr>
                </w:p>
              </w:tc>
              <w:tc>
                <w:tcPr>
                  <w:tcW w:w="197" w:type="pct"/>
                  <w:vMerge w:val="continue"/>
                  <w:vAlign w:val="center"/>
                </w:tcPr>
                <w:p w14:paraId="658B6531">
                  <w:pPr>
                    <w:keepNext w:val="0"/>
                    <w:keepLines w:val="0"/>
                    <w:suppressLineNumbers w:val="0"/>
                    <w:spacing w:before="0" w:beforeAutospacing="0" w:after="0" w:afterAutospacing="0" w:line="240" w:lineRule="auto"/>
                    <w:ind w:left="0" w:right="0"/>
                    <w:jc w:val="center"/>
                    <w:rPr>
                      <w:rFonts w:hint="default"/>
                      <w:b/>
                      <w:bCs/>
                      <w:color w:val="auto"/>
                      <w:szCs w:val="21"/>
                    </w:rPr>
                  </w:pPr>
                </w:p>
              </w:tc>
              <w:tc>
                <w:tcPr>
                  <w:tcW w:w="178" w:type="pct"/>
                  <w:vMerge w:val="continue"/>
                  <w:vAlign w:val="center"/>
                </w:tcPr>
                <w:p w14:paraId="6BC0415F">
                  <w:pPr>
                    <w:keepNext w:val="0"/>
                    <w:keepLines w:val="0"/>
                    <w:suppressLineNumbers w:val="0"/>
                    <w:spacing w:before="0" w:beforeAutospacing="0" w:after="0" w:afterAutospacing="0" w:line="240" w:lineRule="auto"/>
                    <w:ind w:left="0" w:right="0"/>
                    <w:jc w:val="center"/>
                    <w:rPr>
                      <w:rFonts w:hint="default"/>
                      <w:b/>
                      <w:bCs/>
                      <w:color w:val="auto"/>
                      <w:szCs w:val="21"/>
                    </w:rPr>
                  </w:pPr>
                </w:p>
              </w:tc>
              <w:tc>
                <w:tcPr>
                  <w:tcW w:w="203" w:type="pct"/>
                  <w:vAlign w:val="center"/>
                </w:tcPr>
                <w:p w14:paraId="5CF895B3">
                  <w:pPr>
                    <w:keepNext w:val="0"/>
                    <w:keepLines w:val="0"/>
                    <w:suppressLineNumbers w:val="0"/>
                    <w:spacing w:before="0" w:beforeAutospacing="0" w:after="0" w:afterAutospacing="0" w:line="240" w:lineRule="auto"/>
                    <w:ind w:left="0" w:right="0"/>
                    <w:jc w:val="center"/>
                    <w:rPr>
                      <w:rFonts w:hint="default"/>
                      <w:b/>
                      <w:bCs/>
                      <w:color w:val="auto"/>
                      <w:szCs w:val="21"/>
                    </w:rPr>
                  </w:pPr>
                  <w:r>
                    <w:rPr>
                      <w:rFonts w:hint="default"/>
                      <w:b/>
                      <w:bCs/>
                      <w:color w:val="auto"/>
                      <w:szCs w:val="21"/>
                    </w:rPr>
                    <w:t>X</w:t>
                  </w:r>
                </w:p>
              </w:tc>
              <w:tc>
                <w:tcPr>
                  <w:tcW w:w="202" w:type="pct"/>
                  <w:vAlign w:val="center"/>
                </w:tcPr>
                <w:p w14:paraId="214E497F">
                  <w:pPr>
                    <w:keepNext w:val="0"/>
                    <w:keepLines w:val="0"/>
                    <w:suppressLineNumbers w:val="0"/>
                    <w:spacing w:before="0" w:beforeAutospacing="0" w:after="0" w:afterAutospacing="0" w:line="240" w:lineRule="auto"/>
                    <w:ind w:left="0" w:right="0"/>
                    <w:jc w:val="center"/>
                    <w:rPr>
                      <w:rFonts w:hint="default"/>
                      <w:b/>
                      <w:bCs/>
                      <w:color w:val="auto"/>
                      <w:szCs w:val="21"/>
                    </w:rPr>
                  </w:pPr>
                  <w:r>
                    <w:rPr>
                      <w:rFonts w:hint="default"/>
                      <w:b/>
                      <w:bCs/>
                      <w:color w:val="auto"/>
                      <w:szCs w:val="21"/>
                    </w:rPr>
                    <w:t>Y</w:t>
                  </w:r>
                </w:p>
              </w:tc>
              <w:tc>
                <w:tcPr>
                  <w:tcW w:w="188" w:type="pct"/>
                  <w:vAlign w:val="center"/>
                </w:tcPr>
                <w:p w14:paraId="025D7290">
                  <w:pPr>
                    <w:keepNext w:val="0"/>
                    <w:keepLines w:val="0"/>
                    <w:suppressLineNumbers w:val="0"/>
                    <w:spacing w:before="0" w:beforeAutospacing="0" w:after="0" w:afterAutospacing="0" w:line="240" w:lineRule="auto"/>
                    <w:ind w:left="0" w:right="0"/>
                    <w:jc w:val="center"/>
                    <w:rPr>
                      <w:rFonts w:hint="default"/>
                      <w:b/>
                      <w:bCs/>
                      <w:color w:val="auto"/>
                      <w:szCs w:val="21"/>
                    </w:rPr>
                  </w:pPr>
                  <w:r>
                    <w:rPr>
                      <w:rFonts w:hint="default"/>
                      <w:b/>
                      <w:bCs/>
                      <w:color w:val="auto"/>
                      <w:szCs w:val="21"/>
                      <w:lang w:val="en-US" w:eastAsia="zh-CN"/>
                    </w:rPr>
                    <w:t>Z</w:t>
                  </w:r>
                </w:p>
              </w:tc>
              <w:tc>
                <w:tcPr>
                  <w:tcW w:w="212" w:type="pct"/>
                  <w:vAlign w:val="center"/>
                </w:tcPr>
                <w:p w14:paraId="4C881292">
                  <w:pPr>
                    <w:keepNext w:val="0"/>
                    <w:keepLines w:val="0"/>
                    <w:suppressLineNumbers w:val="0"/>
                    <w:spacing w:before="0" w:beforeAutospacing="0" w:after="0" w:afterAutospacing="0" w:line="240" w:lineRule="auto"/>
                    <w:ind w:left="0" w:right="0"/>
                    <w:jc w:val="center"/>
                    <w:rPr>
                      <w:rFonts w:hint="default"/>
                      <w:b/>
                      <w:bCs/>
                      <w:color w:val="auto"/>
                      <w:szCs w:val="21"/>
                    </w:rPr>
                  </w:pPr>
                  <w:r>
                    <w:rPr>
                      <w:rFonts w:hint="default"/>
                      <w:b/>
                      <w:bCs/>
                      <w:color w:val="auto"/>
                      <w:szCs w:val="21"/>
                    </w:rPr>
                    <w:t>东</w:t>
                  </w:r>
                </w:p>
              </w:tc>
              <w:tc>
                <w:tcPr>
                  <w:tcW w:w="204" w:type="pct"/>
                  <w:vAlign w:val="center"/>
                </w:tcPr>
                <w:p w14:paraId="2E130DF1">
                  <w:pPr>
                    <w:keepNext w:val="0"/>
                    <w:keepLines w:val="0"/>
                    <w:suppressLineNumbers w:val="0"/>
                    <w:spacing w:before="0" w:beforeAutospacing="0" w:after="0" w:afterAutospacing="0" w:line="240" w:lineRule="auto"/>
                    <w:ind w:left="0" w:right="0"/>
                    <w:jc w:val="center"/>
                    <w:rPr>
                      <w:rFonts w:hint="default"/>
                      <w:b/>
                      <w:bCs/>
                      <w:color w:val="auto"/>
                      <w:szCs w:val="21"/>
                    </w:rPr>
                  </w:pPr>
                  <w:r>
                    <w:rPr>
                      <w:rFonts w:hint="default"/>
                      <w:b/>
                      <w:bCs/>
                      <w:color w:val="auto"/>
                      <w:szCs w:val="21"/>
                    </w:rPr>
                    <w:t>南</w:t>
                  </w:r>
                </w:p>
              </w:tc>
              <w:tc>
                <w:tcPr>
                  <w:tcW w:w="209" w:type="pct"/>
                  <w:vAlign w:val="center"/>
                </w:tcPr>
                <w:p w14:paraId="68B1FFA8">
                  <w:pPr>
                    <w:keepNext w:val="0"/>
                    <w:keepLines w:val="0"/>
                    <w:suppressLineNumbers w:val="0"/>
                    <w:spacing w:before="0" w:beforeAutospacing="0" w:after="0" w:afterAutospacing="0" w:line="240" w:lineRule="auto"/>
                    <w:ind w:left="0" w:right="0"/>
                    <w:jc w:val="center"/>
                    <w:rPr>
                      <w:rFonts w:hint="default"/>
                      <w:b/>
                      <w:bCs/>
                      <w:color w:val="auto"/>
                      <w:szCs w:val="21"/>
                    </w:rPr>
                  </w:pPr>
                  <w:r>
                    <w:rPr>
                      <w:rFonts w:hint="default"/>
                      <w:b/>
                      <w:bCs/>
                      <w:color w:val="auto"/>
                      <w:szCs w:val="21"/>
                    </w:rPr>
                    <w:t>西</w:t>
                  </w:r>
                </w:p>
              </w:tc>
              <w:tc>
                <w:tcPr>
                  <w:tcW w:w="221" w:type="pct"/>
                  <w:vAlign w:val="center"/>
                </w:tcPr>
                <w:p w14:paraId="674208F7">
                  <w:pPr>
                    <w:keepNext w:val="0"/>
                    <w:keepLines w:val="0"/>
                    <w:suppressLineNumbers w:val="0"/>
                    <w:spacing w:before="0" w:beforeAutospacing="0" w:after="0" w:afterAutospacing="0" w:line="240" w:lineRule="auto"/>
                    <w:ind w:left="0" w:right="0"/>
                    <w:jc w:val="center"/>
                    <w:rPr>
                      <w:rFonts w:hint="default"/>
                      <w:b/>
                      <w:bCs/>
                      <w:color w:val="auto"/>
                      <w:szCs w:val="21"/>
                    </w:rPr>
                  </w:pPr>
                  <w:r>
                    <w:rPr>
                      <w:rFonts w:hint="default"/>
                      <w:b/>
                      <w:bCs/>
                      <w:color w:val="auto"/>
                      <w:szCs w:val="21"/>
                    </w:rPr>
                    <w:t>北</w:t>
                  </w:r>
                </w:p>
              </w:tc>
              <w:tc>
                <w:tcPr>
                  <w:tcW w:w="200" w:type="pct"/>
                  <w:vAlign w:val="center"/>
                </w:tcPr>
                <w:p w14:paraId="217B1840">
                  <w:pPr>
                    <w:keepNext w:val="0"/>
                    <w:keepLines w:val="0"/>
                    <w:suppressLineNumbers w:val="0"/>
                    <w:spacing w:before="0" w:beforeAutospacing="0" w:after="0" w:afterAutospacing="0" w:line="240" w:lineRule="auto"/>
                    <w:ind w:left="0" w:right="0"/>
                    <w:jc w:val="center"/>
                    <w:rPr>
                      <w:rFonts w:hint="default"/>
                      <w:b/>
                      <w:bCs/>
                      <w:color w:val="auto"/>
                      <w:szCs w:val="21"/>
                    </w:rPr>
                  </w:pPr>
                  <w:r>
                    <w:rPr>
                      <w:rFonts w:hint="default"/>
                      <w:b/>
                      <w:bCs/>
                      <w:color w:val="auto"/>
                      <w:szCs w:val="21"/>
                    </w:rPr>
                    <w:t>东</w:t>
                  </w:r>
                </w:p>
              </w:tc>
              <w:tc>
                <w:tcPr>
                  <w:tcW w:w="200" w:type="pct"/>
                  <w:vAlign w:val="center"/>
                </w:tcPr>
                <w:p w14:paraId="434F1456">
                  <w:pPr>
                    <w:keepNext w:val="0"/>
                    <w:keepLines w:val="0"/>
                    <w:suppressLineNumbers w:val="0"/>
                    <w:spacing w:before="0" w:beforeAutospacing="0" w:after="0" w:afterAutospacing="0" w:line="240" w:lineRule="auto"/>
                    <w:ind w:left="0" w:right="0"/>
                    <w:jc w:val="center"/>
                    <w:rPr>
                      <w:rFonts w:hint="default"/>
                      <w:b/>
                      <w:bCs/>
                      <w:color w:val="auto"/>
                      <w:szCs w:val="21"/>
                    </w:rPr>
                  </w:pPr>
                  <w:r>
                    <w:rPr>
                      <w:rFonts w:hint="default"/>
                      <w:b/>
                      <w:bCs/>
                      <w:color w:val="auto"/>
                      <w:szCs w:val="21"/>
                    </w:rPr>
                    <w:t>南</w:t>
                  </w:r>
                </w:p>
              </w:tc>
              <w:tc>
                <w:tcPr>
                  <w:tcW w:w="200" w:type="pct"/>
                  <w:vAlign w:val="center"/>
                </w:tcPr>
                <w:p w14:paraId="6D316A9A">
                  <w:pPr>
                    <w:keepNext w:val="0"/>
                    <w:keepLines w:val="0"/>
                    <w:suppressLineNumbers w:val="0"/>
                    <w:spacing w:before="0" w:beforeAutospacing="0" w:after="0" w:afterAutospacing="0" w:line="240" w:lineRule="auto"/>
                    <w:ind w:left="0" w:right="0"/>
                    <w:jc w:val="center"/>
                    <w:rPr>
                      <w:rFonts w:hint="default"/>
                      <w:b/>
                      <w:bCs/>
                      <w:color w:val="auto"/>
                      <w:szCs w:val="21"/>
                    </w:rPr>
                  </w:pPr>
                  <w:r>
                    <w:rPr>
                      <w:rFonts w:hint="default"/>
                      <w:b/>
                      <w:bCs/>
                      <w:color w:val="auto"/>
                      <w:szCs w:val="21"/>
                    </w:rPr>
                    <w:t>西</w:t>
                  </w:r>
                </w:p>
              </w:tc>
              <w:tc>
                <w:tcPr>
                  <w:tcW w:w="212" w:type="pct"/>
                  <w:vAlign w:val="center"/>
                </w:tcPr>
                <w:p w14:paraId="511FA7B8">
                  <w:pPr>
                    <w:keepNext w:val="0"/>
                    <w:keepLines w:val="0"/>
                    <w:suppressLineNumbers w:val="0"/>
                    <w:spacing w:before="0" w:beforeAutospacing="0" w:after="0" w:afterAutospacing="0" w:line="240" w:lineRule="auto"/>
                    <w:ind w:left="0" w:right="0"/>
                    <w:jc w:val="center"/>
                    <w:rPr>
                      <w:rFonts w:hint="default"/>
                      <w:b/>
                      <w:bCs/>
                      <w:color w:val="auto"/>
                      <w:szCs w:val="21"/>
                    </w:rPr>
                  </w:pPr>
                  <w:r>
                    <w:rPr>
                      <w:rFonts w:hint="default"/>
                      <w:b/>
                      <w:bCs/>
                      <w:color w:val="auto"/>
                      <w:szCs w:val="21"/>
                    </w:rPr>
                    <w:t>北</w:t>
                  </w:r>
                </w:p>
              </w:tc>
              <w:tc>
                <w:tcPr>
                  <w:tcW w:w="215" w:type="pct"/>
                  <w:vMerge w:val="continue"/>
                  <w:vAlign w:val="center"/>
                </w:tcPr>
                <w:p w14:paraId="551ED213">
                  <w:pPr>
                    <w:keepNext w:val="0"/>
                    <w:keepLines w:val="0"/>
                    <w:suppressLineNumbers w:val="0"/>
                    <w:spacing w:before="0" w:beforeAutospacing="0" w:after="0" w:afterAutospacing="0" w:line="240" w:lineRule="auto"/>
                    <w:ind w:left="0" w:right="0"/>
                    <w:jc w:val="center"/>
                    <w:rPr>
                      <w:rFonts w:hint="default"/>
                      <w:b/>
                      <w:bCs/>
                      <w:color w:val="auto"/>
                      <w:szCs w:val="21"/>
                    </w:rPr>
                  </w:pPr>
                </w:p>
              </w:tc>
              <w:tc>
                <w:tcPr>
                  <w:tcW w:w="319" w:type="pct"/>
                  <w:vMerge w:val="continue"/>
                  <w:vAlign w:val="center"/>
                </w:tcPr>
                <w:p w14:paraId="0C01DE01">
                  <w:pPr>
                    <w:keepNext w:val="0"/>
                    <w:keepLines w:val="0"/>
                    <w:suppressLineNumbers w:val="0"/>
                    <w:spacing w:before="0" w:beforeAutospacing="0" w:after="0" w:afterAutospacing="0" w:line="240" w:lineRule="auto"/>
                    <w:ind w:left="0" w:right="0"/>
                    <w:jc w:val="center"/>
                    <w:rPr>
                      <w:rFonts w:hint="default"/>
                      <w:b/>
                      <w:bCs/>
                      <w:color w:val="auto"/>
                      <w:szCs w:val="21"/>
                    </w:rPr>
                  </w:pPr>
                </w:p>
              </w:tc>
              <w:tc>
                <w:tcPr>
                  <w:tcW w:w="282" w:type="pct"/>
                  <w:vAlign w:val="center"/>
                </w:tcPr>
                <w:p w14:paraId="392E2FEB">
                  <w:pPr>
                    <w:keepNext w:val="0"/>
                    <w:keepLines w:val="0"/>
                    <w:suppressLineNumbers w:val="0"/>
                    <w:spacing w:before="0" w:beforeAutospacing="0" w:after="0" w:afterAutospacing="0" w:line="240" w:lineRule="auto"/>
                    <w:ind w:left="0" w:right="0"/>
                    <w:jc w:val="center"/>
                    <w:rPr>
                      <w:rFonts w:hint="default"/>
                      <w:b/>
                      <w:bCs/>
                      <w:color w:val="auto"/>
                      <w:szCs w:val="21"/>
                    </w:rPr>
                  </w:pPr>
                  <w:r>
                    <w:rPr>
                      <w:rFonts w:hint="default"/>
                      <w:b/>
                      <w:bCs/>
                      <w:color w:val="auto"/>
                      <w:szCs w:val="21"/>
                    </w:rPr>
                    <w:t>东</w:t>
                  </w:r>
                </w:p>
              </w:tc>
              <w:tc>
                <w:tcPr>
                  <w:tcW w:w="202" w:type="pct"/>
                  <w:vAlign w:val="center"/>
                </w:tcPr>
                <w:p w14:paraId="745F0779">
                  <w:pPr>
                    <w:keepNext w:val="0"/>
                    <w:keepLines w:val="0"/>
                    <w:suppressLineNumbers w:val="0"/>
                    <w:spacing w:before="0" w:beforeAutospacing="0" w:after="0" w:afterAutospacing="0" w:line="240" w:lineRule="auto"/>
                    <w:ind w:left="0" w:right="0"/>
                    <w:jc w:val="center"/>
                    <w:rPr>
                      <w:rFonts w:hint="default"/>
                      <w:b/>
                      <w:bCs/>
                      <w:color w:val="auto"/>
                      <w:szCs w:val="21"/>
                    </w:rPr>
                  </w:pPr>
                  <w:r>
                    <w:rPr>
                      <w:rFonts w:hint="default"/>
                      <w:b/>
                      <w:bCs/>
                      <w:color w:val="auto"/>
                      <w:szCs w:val="21"/>
                    </w:rPr>
                    <w:t>南</w:t>
                  </w:r>
                </w:p>
              </w:tc>
              <w:tc>
                <w:tcPr>
                  <w:tcW w:w="202" w:type="pct"/>
                  <w:vAlign w:val="center"/>
                </w:tcPr>
                <w:p w14:paraId="4BCC253F">
                  <w:pPr>
                    <w:keepNext w:val="0"/>
                    <w:keepLines w:val="0"/>
                    <w:suppressLineNumbers w:val="0"/>
                    <w:spacing w:before="0" w:beforeAutospacing="0" w:after="0" w:afterAutospacing="0" w:line="240" w:lineRule="auto"/>
                    <w:ind w:left="0" w:right="0"/>
                    <w:jc w:val="center"/>
                    <w:rPr>
                      <w:rFonts w:hint="default"/>
                      <w:b/>
                      <w:bCs/>
                      <w:color w:val="auto"/>
                      <w:szCs w:val="21"/>
                    </w:rPr>
                  </w:pPr>
                  <w:r>
                    <w:rPr>
                      <w:rFonts w:hint="default"/>
                      <w:b/>
                      <w:bCs/>
                      <w:color w:val="auto"/>
                      <w:szCs w:val="21"/>
                    </w:rPr>
                    <w:t>西</w:t>
                  </w:r>
                </w:p>
              </w:tc>
              <w:tc>
                <w:tcPr>
                  <w:tcW w:w="202" w:type="pct"/>
                  <w:vAlign w:val="center"/>
                </w:tcPr>
                <w:p w14:paraId="010A7647">
                  <w:pPr>
                    <w:keepNext w:val="0"/>
                    <w:keepLines w:val="0"/>
                    <w:suppressLineNumbers w:val="0"/>
                    <w:spacing w:before="0" w:beforeAutospacing="0" w:after="0" w:afterAutospacing="0" w:line="240" w:lineRule="auto"/>
                    <w:ind w:left="0" w:right="0"/>
                    <w:jc w:val="center"/>
                    <w:rPr>
                      <w:rFonts w:hint="default"/>
                      <w:b/>
                      <w:bCs/>
                      <w:color w:val="auto"/>
                      <w:szCs w:val="21"/>
                    </w:rPr>
                  </w:pPr>
                  <w:r>
                    <w:rPr>
                      <w:rFonts w:hint="default"/>
                      <w:b/>
                      <w:bCs/>
                      <w:color w:val="auto"/>
                      <w:szCs w:val="21"/>
                    </w:rPr>
                    <w:t>北</w:t>
                  </w:r>
                </w:p>
              </w:tc>
              <w:tc>
                <w:tcPr>
                  <w:tcW w:w="352" w:type="pct"/>
                  <w:vAlign w:val="center"/>
                </w:tcPr>
                <w:p w14:paraId="71B1C6E4">
                  <w:pPr>
                    <w:keepNext w:val="0"/>
                    <w:keepLines w:val="0"/>
                    <w:suppressLineNumbers w:val="0"/>
                    <w:spacing w:before="0" w:beforeAutospacing="0" w:after="0" w:afterAutospacing="0" w:line="240" w:lineRule="auto"/>
                    <w:ind w:left="0" w:right="0"/>
                    <w:jc w:val="center"/>
                    <w:rPr>
                      <w:rFonts w:hint="default"/>
                      <w:b/>
                      <w:bCs/>
                      <w:color w:val="auto"/>
                      <w:szCs w:val="21"/>
                    </w:rPr>
                  </w:pPr>
                  <w:r>
                    <w:rPr>
                      <w:rFonts w:hint="default"/>
                      <w:b/>
                      <w:bCs/>
                      <w:color w:val="auto"/>
                      <w:szCs w:val="21"/>
                    </w:rPr>
                    <w:t>建筑物外距离/m</w:t>
                  </w:r>
                </w:p>
              </w:tc>
            </w:tr>
            <w:tr w14:paraId="3887C2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1076" w:hRule="atLeast"/>
                <w:jc w:val="center"/>
              </w:trPr>
              <w:tc>
                <w:tcPr>
                  <w:tcW w:w="181" w:type="pct"/>
                  <w:vAlign w:val="center"/>
                </w:tcPr>
                <w:p w14:paraId="0D035DDC">
                  <w:pPr>
                    <w:keepNext w:val="0"/>
                    <w:keepLines w:val="0"/>
                    <w:suppressLineNumbers w:val="0"/>
                    <w:spacing w:before="0" w:beforeAutospacing="0" w:after="0" w:afterAutospacing="0" w:line="240" w:lineRule="auto"/>
                    <w:ind w:left="0" w:right="0"/>
                    <w:jc w:val="center"/>
                    <w:rPr>
                      <w:rFonts w:hint="default" w:cs="Times New Roman"/>
                      <w:color w:val="auto"/>
                      <w:szCs w:val="21"/>
                      <w:lang w:val="en-US" w:eastAsia="zh-CN"/>
                    </w:rPr>
                  </w:pPr>
                  <w:r>
                    <w:rPr>
                      <w:rFonts w:hint="eastAsia" w:cs="Times New Roman"/>
                      <w:color w:val="auto"/>
                      <w:szCs w:val="21"/>
                      <w:lang w:val="en-US" w:eastAsia="zh-CN"/>
                    </w:rPr>
                    <w:t>1</w:t>
                  </w:r>
                </w:p>
              </w:tc>
              <w:tc>
                <w:tcPr>
                  <w:tcW w:w="148" w:type="pct"/>
                  <w:vAlign w:val="center"/>
                </w:tcPr>
                <w:p w14:paraId="6332F97C">
                  <w:pPr>
                    <w:keepNext w:val="0"/>
                    <w:keepLines w:val="0"/>
                    <w:suppressLineNumbers w:val="0"/>
                    <w:spacing w:before="0" w:beforeAutospacing="0" w:after="0" w:afterAutospacing="0" w:line="240" w:lineRule="auto"/>
                    <w:ind w:left="0" w:right="0"/>
                    <w:jc w:val="center"/>
                    <w:rPr>
                      <w:rFonts w:hint="default" w:cs="Times New Roman"/>
                      <w:color w:val="auto"/>
                      <w:szCs w:val="21"/>
                      <w:lang w:val="en-US" w:eastAsia="zh-CN"/>
                    </w:rPr>
                  </w:pPr>
                  <w:r>
                    <w:rPr>
                      <w:rFonts w:hint="eastAsia" w:cs="Times New Roman"/>
                      <w:color w:val="auto"/>
                      <w:szCs w:val="21"/>
                      <w:lang w:val="en-US" w:eastAsia="zh-CN"/>
                    </w:rPr>
                    <w:t>厂房1F</w:t>
                  </w:r>
                </w:p>
              </w:tc>
              <w:tc>
                <w:tcPr>
                  <w:tcW w:w="261" w:type="pct"/>
                  <w:vAlign w:val="center"/>
                </w:tcPr>
                <w:p w14:paraId="6A5B6DA2">
                  <w:pPr>
                    <w:keepNext w:val="0"/>
                    <w:keepLines w:val="0"/>
                    <w:suppressLineNumbers w:val="0"/>
                    <w:spacing w:before="0" w:beforeAutospacing="0" w:after="0" w:afterAutospacing="0" w:line="240" w:lineRule="auto"/>
                    <w:ind w:left="0" w:right="0"/>
                    <w:jc w:val="center"/>
                    <w:rPr>
                      <w:rFonts w:hint="default" w:cs="Times New Roman"/>
                      <w:color w:val="auto"/>
                      <w:szCs w:val="21"/>
                      <w:lang w:val="en-US" w:eastAsia="zh-CN"/>
                    </w:rPr>
                  </w:pPr>
                  <w:r>
                    <w:rPr>
                      <w:rFonts w:hint="eastAsia" w:cs="Times New Roman"/>
                      <w:color w:val="auto"/>
                      <w:szCs w:val="21"/>
                      <w:lang w:val="en-US" w:eastAsia="zh-CN"/>
                    </w:rPr>
                    <w:t>注塑机*16</w:t>
                  </w:r>
                </w:p>
              </w:tc>
              <w:tc>
                <w:tcPr>
                  <w:tcW w:w="197" w:type="pct"/>
                  <w:vAlign w:val="center"/>
                </w:tcPr>
                <w:p w14:paraId="232E2043">
                  <w:pPr>
                    <w:keepNext w:val="0"/>
                    <w:keepLines w:val="0"/>
                    <w:suppressLineNumbers w:val="0"/>
                    <w:spacing w:before="0" w:beforeAutospacing="0" w:after="0" w:afterAutospacing="0" w:line="240" w:lineRule="auto"/>
                    <w:ind w:left="0" w:leftChars="0" w:right="0" w:rightChars="0"/>
                    <w:jc w:val="center"/>
                    <w:rPr>
                      <w:rFonts w:hint="default" w:cs="Times New Roman"/>
                      <w:color w:val="auto"/>
                      <w:szCs w:val="21"/>
                      <w:lang w:val="en-US" w:eastAsia="zh-CN"/>
                    </w:rPr>
                  </w:pPr>
                  <w:r>
                    <w:rPr>
                      <w:rFonts w:hint="eastAsia" w:cs="Times New Roman"/>
                      <w:color w:val="auto"/>
                      <w:szCs w:val="21"/>
                      <w:lang w:val="en-US" w:eastAsia="zh-CN"/>
                    </w:rPr>
                    <w:t>82</w:t>
                  </w:r>
                </w:p>
              </w:tc>
              <w:tc>
                <w:tcPr>
                  <w:tcW w:w="178" w:type="pct"/>
                  <w:shd w:val="clear" w:color="auto" w:fill="auto"/>
                  <w:vAlign w:val="center"/>
                </w:tcPr>
                <w:p w14:paraId="0F6A2662">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基础减振、隔声</w:t>
                  </w:r>
                </w:p>
              </w:tc>
              <w:tc>
                <w:tcPr>
                  <w:tcW w:w="203" w:type="pct"/>
                  <w:shd w:val="clear" w:color="auto" w:fill="auto"/>
                  <w:vAlign w:val="center"/>
                </w:tcPr>
                <w:p w14:paraId="2C47D1D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-1.4</w:t>
                  </w:r>
                </w:p>
              </w:tc>
              <w:tc>
                <w:tcPr>
                  <w:tcW w:w="202" w:type="pct"/>
                  <w:shd w:val="clear" w:color="auto" w:fill="auto"/>
                  <w:vAlign w:val="center"/>
                </w:tcPr>
                <w:p w14:paraId="1CE43C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1.8</w:t>
                  </w:r>
                </w:p>
              </w:tc>
              <w:tc>
                <w:tcPr>
                  <w:tcW w:w="188" w:type="pct"/>
                  <w:shd w:val="clear" w:color="auto" w:fill="auto"/>
                  <w:vAlign w:val="center"/>
                </w:tcPr>
                <w:p w14:paraId="69A5AB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1.0</w:t>
                  </w:r>
                </w:p>
              </w:tc>
              <w:tc>
                <w:tcPr>
                  <w:tcW w:w="212" w:type="pct"/>
                  <w:shd w:val="clear" w:color="auto" w:fill="auto"/>
                  <w:vAlign w:val="center"/>
                </w:tcPr>
                <w:p w14:paraId="52EE3A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16.1</w:t>
                  </w:r>
                </w:p>
              </w:tc>
              <w:tc>
                <w:tcPr>
                  <w:tcW w:w="204" w:type="pct"/>
                  <w:shd w:val="clear" w:color="auto" w:fill="auto"/>
                  <w:vAlign w:val="center"/>
                </w:tcPr>
                <w:p w14:paraId="0375EC17">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15.6</w:t>
                  </w:r>
                </w:p>
              </w:tc>
              <w:tc>
                <w:tcPr>
                  <w:tcW w:w="209" w:type="pct"/>
                  <w:shd w:val="clear" w:color="auto" w:fill="auto"/>
                  <w:vAlign w:val="center"/>
                </w:tcPr>
                <w:p w14:paraId="4325AB0C">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13.1</w:t>
                  </w:r>
                </w:p>
              </w:tc>
              <w:tc>
                <w:tcPr>
                  <w:tcW w:w="221" w:type="pct"/>
                  <w:shd w:val="clear" w:color="auto" w:fill="auto"/>
                  <w:vAlign w:val="center"/>
                </w:tcPr>
                <w:p w14:paraId="41DE02C9">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12.3</w:t>
                  </w:r>
                </w:p>
              </w:tc>
              <w:tc>
                <w:tcPr>
                  <w:tcW w:w="200" w:type="pct"/>
                  <w:shd w:val="clear" w:color="auto" w:fill="auto"/>
                  <w:vAlign w:val="center"/>
                </w:tcPr>
                <w:p w14:paraId="790A5B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57.8</w:t>
                  </w:r>
                </w:p>
              </w:tc>
              <w:tc>
                <w:tcPr>
                  <w:tcW w:w="200" w:type="pct"/>
                  <w:shd w:val="clear" w:color="auto" w:fill="auto"/>
                  <w:vAlign w:val="center"/>
                </w:tcPr>
                <w:p w14:paraId="46762B7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58.2</w:t>
                  </w:r>
                </w:p>
              </w:tc>
              <w:tc>
                <w:tcPr>
                  <w:tcW w:w="200" w:type="pct"/>
                  <w:shd w:val="clear" w:color="auto" w:fill="auto"/>
                  <w:vAlign w:val="center"/>
                </w:tcPr>
                <w:p w14:paraId="433E245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59.7</w:t>
                  </w:r>
                </w:p>
              </w:tc>
              <w:tc>
                <w:tcPr>
                  <w:tcW w:w="212" w:type="pct"/>
                  <w:shd w:val="clear" w:color="auto" w:fill="auto"/>
                  <w:vAlign w:val="center"/>
                </w:tcPr>
                <w:p w14:paraId="545B2C2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60.2</w:t>
                  </w:r>
                </w:p>
              </w:tc>
              <w:tc>
                <w:tcPr>
                  <w:tcW w:w="215" w:type="pct"/>
                  <w:shd w:val="clear" w:color="auto" w:fill="auto"/>
                  <w:vAlign w:val="center"/>
                </w:tcPr>
                <w:p w14:paraId="6C587DE6">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Cs w:val="21"/>
                      <w:lang w:val="en-US" w:eastAsia="zh-CN"/>
                    </w:rPr>
                    <w:t>昼间、夜间</w:t>
                  </w:r>
                </w:p>
              </w:tc>
              <w:tc>
                <w:tcPr>
                  <w:tcW w:w="319" w:type="pct"/>
                  <w:shd w:val="clear" w:color="auto" w:fill="auto"/>
                  <w:vAlign w:val="center"/>
                </w:tcPr>
                <w:p w14:paraId="7105D7A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15</w:t>
                  </w:r>
                </w:p>
              </w:tc>
              <w:tc>
                <w:tcPr>
                  <w:tcW w:w="282" w:type="pct"/>
                  <w:shd w:val="clear" w:color="auto" w:fill="auto"/>
                  <w:vAlign w:val="center"/>
                </w:tcPr>
                <w:p w14:paraId="0FBE59F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42.8</w:t>
                  </w:r>
                </w:p>
              </w:tc>
              <w:tc>
                <w:tcPr>
                  <w:tcW w:w="202" w:type="pct"/>
                  <w:shd w:val="clear" w:color="auto" w:fill="auto"/>
                  <w:vAlign w:val="center"/>
                </w:tcPr>
                <w:p w14:paraId="7552965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43.2</w:t>
                  </w:r>
                </w:p>
              </w:tc>
              <w:tc>
                <w:tcPr>
                  <w:tcW w:w="202" w:type="pct"/>
                  <w:shd w:val="clear" w:color="auto" w:fill="auto"/>
                  <w:vAlign w:val="center"/>
                </w:tcPr>
                <w:p w14:paraId="2F631A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44.7</w:t>
                  </w:r>
                </w:p>
              </w:tc>
              <w:tc>
                <w:tcPr>
                  <w:tcW w:w="202" w:type="pct"/>
                  <w:shd w:val="clear" w:color="auto" w:fill="auto"/>
                  <w:vAlign w:val="center"/>
                </w:tcPr>
                <w:p w14:paraId="1C8909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45.2</w:t>
                  </w:r>
                </w:p>
              </w:tc>
              <w:tc>
                <w:tcPr>
                  <w:tcW w:w="352" w:type="pct"/>
                  <w:shd w:val="clear" w:color="auto" w:fill="auto"/>
                  <w:vAlign w:val="center"/>
                </w:tcPr>
                <w:p w14:paraId="08D2027D">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color w:val="auto"/>
                      <w:szCs w:val="21"/>
                      <w:lang w:val="en-US" w:eastAsia="zh-CN"/>
                    </w:rPr>
                    <w:t>1.0</w:t>
                  </w:r>
                </w:p>
              </w:tc>
            </w:tr>
            <w:tr w14:paraId="26B0C0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1076" w:hRule="atLeast"/>
                <w:jc w:val="center"/>
              </w:trPr>
              <w:tc>
                <w:tcPr>
                  <w:tcW w:w="181" w:type="pct"/>
                  <w:vAlign w:val="center"/>
                </w:tcPr>
                <w:p w14:paraId="3D58AE66">
                  <w:pPr>
                    <w:keepNext w:val="0"/>
                    <w:keepLines w:val="0"/>
                    <w:suppressLineNumbers w:val="0"/>
                    <w:spacing w:before="0" w:beforeAutospacing="0" w:after="0" w:afterAutospacing="0" w:line="240" w:lineRule="auto"/>
                    <w:ind w:left="0" w:right="0"/>
                    <w:jc w:val="center"/>
                    <w:rPr>
                      <w:rFonts w:hint="default" w:cs="Times New Roman"/>
                      <w:color w:val="auto"/>
                      <w:szCs w:val="21"/>
                      <w:lang w:val="en-US" w:eastAsia="zh-CN"/>
                    </w:rPr>
                  </w:pPr>
                  <w:r>
                    <w:rPr>
                      <w:rFonts w:hint="eastAsia" w:cs="Times New Roman"/>
                      <w:color w:val="auto"/>
                      <w:szCs w:val="21"/>
                      <w:lang w:val="en-US" w:eastAsia="zh-CN"/>
                    </w:rPr>
                    <w:t>2</w:t>
                  </w:r>
                </w:p>
              </w:tc>
              <w:tc>
                <w:tcPr>
                  <w:tcW w:w="148" w:type="pct"/>
                  <w:vAlign w:val="center"/>
                </w:tcPr>
                <w:p w14:paraId="1731E66F">
                  <w:pPr>
                    <w:keepNext w:val="0"/>
                    <w:keepLines w:val="0"/>
                    <w:suppressLineNumbers w:val="0"/>
                    <w:spacing w:before="0" w:beforeAutospacing="0" w:after="0" w:afterAutospacing="0" w:line="240" w:lineRule="auto"/>
                    <w:ind w:left="0" w:right="0"/>
                    <w:jc w:val="center"/>
                    <w:rPr>
                      <w:rFonts w:hint="eastAsia" w:cs="Times New Roman"/>
                      <w:color w:val="auto"/>
                      <w:szCs w:val="21"/>
                      <w:lang w:val="en-US" w:eastAsia="zh-CN"/>
                    </w:rPr>
                  </w:pPr>
                  <w:r>
                    <w:rPr>
                      <w:rFonts w:hint="eastAsia" w:cs="Times New Roman"/>
                      <w:color w:val="auto"/>
                      <w:szCs w:val="21"/>
                      <w:lang w:val="en-US" w:eastAsia="zh-CN"/>
                    </w:rPr>
                    <w:t>厂房1F</w:t>
                  </w:r>
                </w:p>
              </w:tc>
              <w:tc>
                <w:tcPr>
                  <w:tcW w:w="261" w:type="pct"/>
                  <w:vAlign w:val="center"/>
                </w:tcPr>
                <w:p w14:paraId="2A71B924">
                  <w:pPr>
                    <w:keepNext w:val="0"/>
                    <w:keepLines w:val="0"/>
                    <w:suppressLineNumbers w:val="0"/>
                    <w:spacing w:before="0" w:beforeAutospacing="0" w:after="0" w:afterAutospacing="0" w:line="240" w:lineRule="auto"/>
                    <w:ind w:left="0" w:right="0"/>
                    <w:jc w:val="center"/>
                    <w:rPr>
                      <w:rFonts w:hint="default" w:cs="Times New Roman"/>
                      <w:color w:val="auto"/>
                      <w:szCs w:val="21"/>
                      <w:lang w:val="en-US" w:eastAsia="zh-CN"/>
                    </w:rPr>
                  </w:pPr>
                  <w:r>
                    <w:rPr>
                      <w:rFonts w:hint="eastAsia" w:cs="Times New Roman"/>
                      <w:color w:val="auto"/>
                      <w:szCs w:val="21"/>
                      <w:lang w:val="en-US" w:eastAsia="zh-CN"/>
                    </w:rPr>
                    <w:t>冷水机</w:t>
                  </w:r>
                </w:p>
              </w:tc>
              <w:tc>
                <w:tcPr>
                  <w:tcW w:w="197" w:type="pct"/>
                  <w:vAlign w:val="center"/>
                </w:tcPr>
                <w:p w14:paraId="7E0E1D5E">
                  <w:pPr>
                    <w:keepNext w:val="0"/>
                    <w:keepLines w:val="0"/>
                    <w:suppressLineNumbers w:val="0"/>
                    <w:spacing w:before="0" w:beforeAutospacing="0" w:after="0" w:afterAutospacing="0" w:line="240" w:lineRule="auto"/>
                    <w:ind w:left="0" w:leftChars="0" w:right="0" w:rightChars="0"/>
                    <w:jc w:val="center"/>
                    <w:rPr>
                      <w:rFonts w:hint="default" w:cs="Times New Roman"/>
                      <w:color w:val="auto"/>
                      <w:szCs w:val="21"/>
                      <w:lang w:val="en-US" w:eastAsia="zh-CN"/>
                    </w:rPr>
                  </w:pPr>
                  <w:r>
                    <w:rPr>
                      <w:rFonts w:hint="eastAsia" w:cs="Times New Roman"/>
                      <w:color w:val="auto"/>
                      <w:szCs w:val="21"/>
                      <w:lang w:val="en-US" w:eastAsia="zh-CN"/>
                    </w:rPr>
                    <w:t>80</w:t>
                  </w:r>
                </w:p>
              </w:tc>
              <w:tc>
                <w:tcPr>
                  <w:tcW w:w="178" w:type="pct"/>
                  <w:shd w:val="clear" w:color="auto" w:fill="auto"/>
                  <w:vAlign w:val="center"/>
                </w:tcPr>
                <w:p w14:paraId="72B3B4CF">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基础减振、隔声</w:t>
                  </w:r>
                </w:p>
              </w:tc>
              <w:tc>
                <w:tcPr>
                  <w:tcW w:w="203" w:type="pct"/>
                  <w:shd w:val="clear" w:color="auto" w:fill="auto"/>
                  <w:vAlign w:val="center"/>
                </w:tcPr>
                <w:p w14:paraId="20E950D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6.6</w:t>
                  </w:r>
                </w:p>
              </w:tc>
              <w:tc>
                <w:tcPr>
                  <w:tcW w:w="202" w:type="pct"/>
                  <w:shd w:val="clear" w:color="auto" w:fill="auto"/>
                  <w:vAlign w:val="center"/>
                </w:tcPr>
                <w:p w14:paraId="201703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-3.9</w:t>
                  </w:r>
                </w:p>
              </w:tc>
              <w:tc>
                <w:tcPr>
                  <w:tcW w:w="188" w:type="pct"/>
                  <w:shd w:val="clear" w:color="auto" w:fill="auto"/>
                  <w:vAlign w:val="center"/>
                </w:tcPr>
                <w:p w14:paraId="3171FB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1.0</w:t>
                  </w:r>
                </w:p>
              </w:tc>
              <w:tc>
                <w:tcPr>
                  <w:tcW w:w="212" w:type="pct"/>
                  <w:shd w:val="clear" w:color="auto" w:fill="auto"/>
                  <w:vAlign w:val="center"/>
                </w:tcPr>
                <w:p w14:paraId="48F45F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8.3</w:t>
                  </w:r>
                </w:p>
              </w:tc>
              <w:tc>
                <w:tcPr>
                  <w:tcW w:w="204" w:type="pct"/>
                  <w:shd w:val="clear" w:color="auto" w:fill="auto"/>
                  <w:vAlign w:val="center"/>
                </w:tcPr>
                <w:p w14:paraId="0C1C87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9.9</w:t>
                  </w:r>
                </w:p>
              </w:tc>
              <w:tc>
                <w:tcPr>
                  <w:tcW w:w="209" w:type="pct"/>
                  <w:shd w:val="clear" w:color="auto" w:fill="auto"/>
                  <w:vAlign w:val="center"/>
                </w:tcPr>
                <w:p w14:paraId="614EAD5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21.1</w:t>
                  </w:r>
                </w:p>
              </w:tc>
              <w:tc>
                <w:tcPr>
                  <w:tcW w:w="221" w:type="pct"/>
                  <w:shd w:val="clear" w:color="auto" w:fill="auto"/>
                  <w:vAlign w:val="center"/>
                </w:tcPr>
                <w:p w14:paraId="7EC3B1B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18.1</w:t>
                  </w:r>
                </w:p>
              </w:tc>
              <w:tc>
                <w:tcPr>
                  <w:tcW w:w="200" w:type="pct"/>
                  <w:shd w:val="clear" w:color="auto" w:fill="auto"/>
                  <w:vAlign w:val="center"/>
                </w:tcPr>
                <w:p w14:paraId="302134D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61.6</w:t>
                  </w:r>
                </w:p>
              </w:tc>
              <w:tc>
                <w:tcPr>
                  <w:tcW w:w="200" w:type="pct"/>
                  <w:shd w:val="clear" w:color="auto" w:fill="auto"/>
                  <w:vAlign w:val="center"/>
                </w:tcPr>
                <w:p w14:paraId="0E6A467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60.0</w:t>
                  </w:r>
                </w:p>
              </w:tc>
              <w:tc>
                <w:tcPr>
                  <w:tcW w:w="200" w:type="pct"/>
                  <w:shd w:val="clear" w:color="auto" w:fill="auto"/>
                  <w:vAlign w:val="center"/>
                </w:tcPr>
                <w:p w14:paraId="394E87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53.5</w:t>
                  </w:r>
                </w:p>
              </w:tc>
              <w:tc>
                <w:tcPr>
                  <w:tcW w:w="212" w:type="pct"/>
                  <w:shd w:val="clear" w:color="auto" w:fill="auto"/>
                  <w:vAlign w:val="center"/>
                </w:tcPr>
                <w:p w14:paraId="0A8D937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54.8</w:t>
                  </w:r>
                </w:p>
              </w:tc>
              <w:tc>
                <w:tcPr>
                  <w:tcW w:w="215" w:type="pct"/>
                  <w:shd w:val="clear" w:color="auto" w:fill="auto"/>
                  <w:vAlign w:val="center"/>
                </w:tcPr>
                <w:p w14:paraId="76B71688">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Cs w:val="21"/>
                      <w:lang w:val="en-US" w:eastAsia="zh-CN"/>
                    </w:rPr>
                    <w:t>昼间、夜间</w:t>
                  </w:r>
                </w:p>
              </w:tc>
              <w:tc>
                <w:tcPr>
                  <w:tcW w:w="319" w:type="pct"/>
                  <w:shd w:val="clear" w:color="auto" w:fill="auto"/>
                  <w:vAlign w:val="center"/>
                </w:tcPr>
                <w:p w14:paraId="7F012AA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15</w:t>
                  </w:r>
                </w:p>
              </w:tc>
              <w:tc>
                <w:tcPr>
                  <w:tcW w:w="282" w:type="pct"/>
                  <w:shd w:val="clear" w:color="auto" w:fill="auto"/>
                  <w:vAlign w:val="center"/>
                </w:tcPr>
                <w:p w14:paraId="374FE91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46.6</w:t>
                  </w:r>
                </w:p>
              </w:tc>
              <w:tc>
                <w:tcPr>
                  <w:tcW w:w="202" w:type="pct"/>
                  <w:shd w:val="clear" w:color="auto" w:fill="auto"/>
                  <w:vAlign w:val="center"/>
                </w:tcPr>
                <w:p w14:paraId="0D1D9CF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45</w:t>
                  </w:r>
                </w:p>
              </w:tc>
              <w:tc>
                <w:tcPr>
                  <w:tcW w:w="202" w:type="pct"/>
                  <w:shd w:val="clear" w:color="auto" w:fill="auto"/>
                  <w:vAlign w:val="center"/>
                </w:tcPr>
                <w:p w14:paraId="0695458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38.5</w:t>
                  </w:r>
                </w:p>
              </w:tc>
              <w:tc>
                <w:tcPr>
                  <w:tcW w:w="202" w:type="pct"/>
                  <w:shd w:val="clear" w:color="auto" w:fill="auto"/>
                  <w:vAlign w:val="center"/>
                </w:tcPr>
                <w:p w14:paraId="24E5790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39.8</w:t>
                  </w:r>
                </w:p>
              </w:tc>
              <w:tc>
                <w:tcPr>
                  <w:tcW w:w="352" w:type="pct"/>
                  <w:shd w:val="clear" w:color="auto" w:fill="auto"/>
                  <w:vAlign w:val="center"/>
                </w:tcPr>
                <w:p w14:paraId="69515E04">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color w:val="auto"/>
                      <w:szCs w:val="21"/>
                      <w:lang w:val="en-US" w:eastAsia="zh-CN"/>
                    </w:rPr>
                    <w:t>1.0</w:t>
                  </w:r>
                </w:p>
              </w:tc>
            </w:tr>
            <w:tr w14:paraId="5850FB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1076" w:hRule="atLeast"/>
                <w:jc w:val="center"/>
              </w:trPr>
              <w:tc>
                <w:tcPr>
                  <w:tcW w:w="181" w:type="pct"/>
                  <w:vAlign w:val="center"/>
                </w:tcPr>
                <w:p w14:paraId="0D0F2A51">
                  <w:pPr>
                    <w:keepNext w:val="0"/>
                    <w:keepLines w:val="0"/>
                    <w:suppressLineNumbers w:val="0"/>
                    <w:spacing w:before="0" w:beforeAutospacing="0" w:after="0" w:afterAutospacing="0" w:line="240" w:lineRule="auto"/>
                    <w:ind w:left="0" w:right="0"/>
                    <w:jc w:val="center"/>
                    <w:rPr>
                      <w:rFonts w:hint="default" w:cs="Times New Roman"/>
                      <w:color w:val="auto"/>
                      <w:szCs w:val="21"/>
                      <w:lang w:val="en-US" w:eastAsia="zh-CN"/>
                    </w:rPr>
                  </w:pPr>
                  <w:r>
                    <w:rPr>
                      <w:rFonts w:hint="eastAsia" w:cs="Times New Roman"/>
                      <w:color w:val="auto"/>
                      <w:szCs w:val="21"/>
                      <w:lang w:val="en-US" w:eastAsia="zh-CN"/>
                    </w:rPr>
                    <w:t>3</w:t>
                  </w:r>
                </w:p>
              </w:tc>
              <w:tc>
                <w:tcPr>
                  <w:tcW w:w="148" w:type="pct"/>
                  <w:vAlign w:val="center"/>
                </w:tcPr>
                <w:p w14:paraId="64E8CCF7">
                  <w:pPr>
                    <w:keepNext w:val="0"/>
                    <w:keepLines w:val="0"/>
                    <w:suppressLineNumbers w:val="0"/>
                    <w:spacing w:before="0" w:beforeAutospacing="0" w:after="0" w:afterAutospacing="0" w:line="240" w:lineRule="auto"/>
                    <w:ind w:left="0" w:right="0"/>
                    <w:jc w:val="center"/>
                    <w:rPr>
                      <w:rFonts w:hint="default" w:cs="Times New Roman"/>
                      <w:color w:val="auto"/>
                      <w:szCs w:val="21"/>
                      <w:lang w:val="en-US" w:eastAsia="zh-CN"/>
                    </w:rPr>
                  </w:pPr>
                  <w:r>
                    <w:rPr>
                      <w:rFonts w:hint="eastAsia" w:cs="Times New Roman"/>
                      <w:color w:val="auto"/>
                      <w:szCs w:val="21"/>
                      <w:lang w:val="en-US" w:eastAsia="zh-CN"/>
                    </w:rPr>
                    <w:t>厂房2F</w:t>
                  </w:r>
                </w:p>
              </w:tc>
              <w:tc>
                <w:tcPr>
                  <w:tcW w:w="261" w:type="pct"/>
                  <w:vAlign w:val="center"/>
                </w:tcPr>
                <w:p w14:paraId="4EEB0421">
                  <w:pPr>
                    <w:keepNext w:val="0"/>
                    <w:keepLines w:val="0"/>
                    <w:suppressLineNumbers w:val="0"/>
                    <w:spacing w:before="0" w:beforeAutospacing="0" w:after="0" w:afterAutospacing="0" w:line="240" w:lineRule="auto"/>
                    <w:ind w:left="0" w:right="0"/>
                    <w:jc w:val="center"/>
                    <w:rPr>
                      <w:rFonts w:hint="default" w:cs="Times New Roman"/>
                      <w:color w:val="auto"/>
                      <w:szCs w:val="21"/>
                      <w:lang w:val="en-US" w:eastAsia="zh-CN"/>
                    </w:rPr>
                  </w:pPr>
                  <w:r>
                    <w:rPr>
                      <w:rFonts w:hint="eastAsia" w:cs="Times New Roman"/>
                      <w:color w:val="auto"/>
                      <w:szCs w:val="21"/>
                      <w:lang w:val="en-US" w:eastAsia="zh-CN"/>
                    </w:rPr>
                    <w:t>拌料机*3</w:t>
                  </w:r>
                </w:p>
              </w:tc>
              <w:tc>
                <w:tcPr>
                  <w:tcW w:w="197" w:type="pct"/>
                  <w:vAlign w:val="center"/>
                </w:tcPr>
                <w:p w14:paraId="6BA26F3D">
                  <w:pPr>
                    <w:keepNext w:val="0"/>
                    <w:keepLines w:val="0"/>
                    <w:suppressLineNumbers w:val="0"/>
                    <w:spacing w:before="0" w:beforeAutospacing="0" w:after="0" w:afterAutospacing="0" w:line="240" w:lineRule="auto"/>
                    <w:ind w:left="0" w:leftChars="0" w:right="0" w:rightChars="0"/>
                    <w:jc w:val="center"/>
                    <w:rPr>
                      <w:rFonts w:hint="default" w:cs="Times New Roman"/>
                      <w:color w:val="auto"/>
                      <w:szCs w:val="21"/>
                      <w:lang w:val="en-US" w:eastAsia="zh-CN"/>
                    </w:rPr>
                  </w:pPr>
                  <w:r>
                    <w:rPr>
                      <w:rFonts w:hint="eastAsia" w:cs="Times New Roman"/>
                      <w:color w:val="auto"/>
                      <w:szCs w:val="21"/>
                      <w:lang w:val="en-US" w:eastAsia="zh-CN"/>
                    </w:rPr>
                    <w:t>75</w:t>
                  </w:r>
                </w:p>
              </w:tc>
              <w:tc>
                <w:tcPr>
                  <w:tcW w:w="178" w:type="pct"/>
                  <w:shd w:val="clear" w:color="auto" w:fill="auto"/>
                  <w:vAlign w:val="center"/>
                </w:tcPr>
                <w:p w14:paraId="42752C60">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基础减振、隔声</w:t>
                  </w:r>
                </w:p>
              </w:tc>
              <w:tc>
                <w:tcPr>
                  <w:tcW w:w="203" w:type="pct"/>
                  <w:shd w:val="clear" w:color="auto" w:fill="auto"/>
                  <w:vAlign w:val="center"/>
                </w:tcPr>
                <w:p w14:paraId="1472054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-7.0</w:t>
                  </w:r>
                </w:p>
              </w:tc>
              <w:tc>
                <w:tcPr>
                  <w:tcW w:w="202" w:type="pct"/>
                  <w:shd w:val="clear" w:color="auto" w:fill="auto"/>
                  <w:vAlign w:val="center"/>
                </w:tcPr>
                <w:p w14:paraId="3BB0D7F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10</w:t>
                  </w:r>
                </w:p>
              </w:tc>
              <w:tc>
                <w:tcPr>
                  <w:tcW w:w="188" w:type="pct"/>
                  <w:shd w:val="clear" w:color="auto" w:fill="auto"/>
                  <w:vAlign w:val="center"/>
                </w:tcPr>
                <w:p w14:paraId="68D6487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7.5</w:t>
                  </w:r>
                </w:p>
              </w:tc>
              <w:tc>
                <w:tcPr>
                  <w:tcW w:w="212" w:type="pct"/>
                  <w:shd w:val="clear" w:color="auto" w:fill="auto"/>
                  <w:vAlign w:val="center"/>
                </w:tcPr>
                <w:p w14:paraId="7622F6E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21.4</w:t>
                  </w:r>
                </w:p>
              </w:tc>
              <w:tc>
                <w:tcPr>
                  <w:tcW w:w="204" w:type="pct"/>
                  <w:shd w:val="clear" w:color="auto" w:fill="auto"/>
                  <w:vAlign w:val="center"/>
                </w:tcPr>
                <w:p w14:paraId="66D108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23.7</w:t>
                  </w:r>
                </w:p>
              </w:tc>
              <w:tc>
                <w:tcPr>
                  <w:tcW w:w="209" w:type="pct"/>
                  <w:shd w:val="clear" w:color="auto" w:fill="auto"/>
                  <w:vAlign w:val="center"/>
                </w:tcPr>
                <w:p w14:paraId="305A8E2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7.6</w:t>
                  </w:r>
                </w:p>
              </w:tc>
              <w:tc>
                <w:tcPr>
                  <w:tcW w:w="221" w:type="pct"/>
                  <w:shd w:val="clear" w:color="auto" w:fill="auto"/>
                  <w:vAlign w:val="center"/>
                </w:tcPr>
                <w:p w14:paraId="329AEC7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4.1</w:t>
                  </w:r>
                </w:p>
              </w:tc>
              <w:tc>
                <w:tcPr>
                  <w:tcW w:w="200" w:type="pct"/>
                  <w:shd w:val="clear" w:color="auto" w:fill="auto"/>
                  <w:vAlign w:val="center"/>
                </w:tcPr>
                <w:p w14:paraId="7A10E0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48.4</w:t>
                  </w:r>
                </w:p>
              </w:tc>
              <w:tc>
                <w:tcPr>
                  <w:tcW w:w="200" w:type="pct"/>
                  <w:shd w:val="clear" w:color="auto" w:fill="auto"/>
                  <w:vAlign w:val="center"/>
                </w:tcPr>
                <w:p w14:paraId="6D31D1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47.5</w:t>
                  </w:r>
                </w:p>
              </w:tc>
              <w:tc>
                <w:tcPr>
                  <w:tcW w:w="200" w:type="pct"/>
                  <w:shd w:val="clear" w:color="auto" w:fill="auto"/>
                  <w:vAlign w:val="center"/>
                </w:tcPr>
                <w:p w14:paraId="262179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57.4</w:t>
                  </w:r>
                </w:p>
              </w:tc>
              <w:tc>
                <w:tcPr>
                  <w:tcW w:w="212" w:type="pct"/>
                  <w:shd w:val="clear" w:color="auto" w:fill="auto"/>
                  <w:vAlign w:val="center"/>
                </w:tcPr>
                <w:p w14:paraId="152E870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62.8</w:t>
                  </w:r>
                </w:p>
              </w:tc>
              <w:tc>
                <w:tcPr>
                  <w:tcW w:w="215" w:type="pct"/>
                  <w:shd w:val="clear" w:color="auto" w:fill="auto"/>
                  <w:vAlign w:val="center"/>
                </w:tcPr>
                <w:p w14:paraId="755D63D7">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Cs w:val="21"/>
                      <w:lang w:val="en-US" w:eastAsia="zh-CN"/>
                    </w:rPr>
                    <w:t>昼间、夜间</w:t>
                  </w:r>
                </w:p>
              </w:tc>
              <w:tc>
                <w:tcPr>
                  <w:tcW w:w="319" w:type="pct"/>
                  <w:shd w:val="clear" w:color="auto" w:fill="auto"/>
                  <w:vAlign w:val="center"/>
                </w:tcPr>
                <w:p w14:paraId="11851BB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15</w:t>
                  </w:r>
                </w:p>
              </w:tc>
              <w:tc>
                <w:tcPr>
                  <w:tcW w:w="282" w:type="pct"/>
                  <w:shd w:val="clear" w:color="auto" w:fill="auto"/>
                  <w:vAlign w:val="center"/>
                </w:tcPr>
                <w:p w14:paraId="6968A5E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33.4</w:t>
                  </w:r>
                </w:p>
              </w:tc>
              <w:tc>
                <w:tcPr>
                  <w:tcW w:w="202" w:type="pct"/>
                  <w:shd w:val="clear" w:color="auto" w:fill="auto"/>
                  <w:vAlign w:val="center"/>
                </w:tcPr>
                <w:p w14:paraId="094A105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32.5</w:t>
                  </w:r>
                </w:p>
              </w:tc>
              <w:tc>
                <w:tcPr>
                  <w:tcW w:w="202" w:type="pct"/>
                  <w:shd w:val="clear" w:color="auto" w:fill="auto"/>
                  <w:vAlign w:val="center"/>
                </w:tcPr>
                <w:p w14:paraId="041F67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42.4</w:t>
                  </w:r>
                </w:p>
              </w:tc>
              <w:tc>
                <w:tcPr>
                  <w:tcW w:w="202" w:type="pct"/>
                  <w:shd w:val="clear" w:color="auto" w:fill="auto"/>
                  <w:vAlign w:val="center"/>
                </w:tcPr>
                <w:p w14:paraId="4C646D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47.8</w:t>
                  </w:r>
                </w:p>
              </w:tc>
              <w:tc>
                <w:tcPr>
                  <w:tcW w:w="352" w:type="pct"/>
                  <w:shd w:val="clear" w:color="auto" w:fill="auto"/>
                  <w:vAlign w:val="center"/>
                </w:tcPr>
                <w:p w14:paraId="30E05464">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color w:val="auto"/>
                      <w:szCs w:val="21"/>
                      <w:lang w:val="en-US" w:eastAsia="zh-CN"/>
                    </w:rPr>
                    <w:t>1.0</w:t>
                  </w:r>
                </w:p>
              </w:tc>
            </w:tr>
            <w:tr w14:paraId="3F33A29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1076" w:hRule="atLeast"/>
                <w:jc w:val="center"/>
              </w:trPr>
              <w:tc>
                <w:tcPr>
                  <w:tcW w:w="181" w:type="pct"/>
                  <w:vAlign w:val="center"/>
                </w:tcPr>
                <w:p w14:paraId="5F4C63AD">
                  <w:pPr>
                    <w:keepNext w:val="0"/>
                    <w:keepLines w:val="0"/>
                    <w:suppressLineNumbers w:val="0"/>
                    <w:spacing w:before="0" w:beforeAutospacing="0" w:after="0" w:afterAutospacing="0" w:line="240" w:lineRule="auto"/>
                    <w:ind w:left="0" w:right="0"/>
                    <w:jc w:val="center"/>
                    <w:rPr>
                      <w:rFonts w:hint="default" w:cs="Times New Roman"/>
                      <w:color w:val="auto"/>
                      <w:szCs w:val="21"/>
                      <w:lang w:val="en-US" w:eastAsia="zh-CN"/>
                    </w:rPr>
                  </w:pPr>
                  <w:r>
                    <w:rPr>
                      <w:rFonts w:hint="eastAsia" w:cs="Times New Roman"/>
                      <w:color w:val="auto"/>
                      <w:szCs w:val="21"/>
                      <w:lang w:val="en-US" w:eastAsia="zh-CN"/>
                    </w:rPr>
                    <w:t>4</w:t>
                  </w:r>
                </w:p>
              </w:tc>
              <w:tc>
                <w:tcPr>
                  <w:tcW w:w="148" w:type="pct"/>
                  <w:vAlign w:val="center"/>
                </w:tcPr>
                <w:p w14:paraId="710C79BC">
                  <w:pPr>
                    <w:keepNext w:val="0"/>
                    <w:keepLines w:val="0"/>
                    <w:suppressLineNumbers w:val="0"/>
                    <w:spacing w:before="0" w:beforeAutospacing="0" w:after="0" w:afterAutospacing="0" w:line="240" w:lineRule="auto"/>
                    <w:ind w:left="0" w:right="0"/>
                    <w:jc w:val="center"/>
                    <w:rPr>
                      <w:rFonts w:hint="eastAsia" w:cs="Times New Roman"/>
                      <w:color w:val="auto"/>
                      <w:szCs w:val="21"/>
                      <w:lang w:val="en-US" w:eastAsia="zh-CN"/>
                    </w:rPr>
                  </w:pPr>
                  <w:r>
                    <w:rPr>
                      <w:rFonts w:hint="eastAsia" w:cs="Times New Roman"/>
                      <w:color w:val="auto"/>
                      <w:szCs w:val="21"/>
                      <w:lang w:val="en-US" w:eastAsia="zh-CN"/>
                    </w:rPr>
                    <w:t>厂房2F</w:t>
                  </w:r>
                </w:p>
              </w:tc>
              <w:tc>
                <w:tcPr>
                  <w:tcW w:w="261" w:type="pct"/>
                  <w:vAlign w:val="center"/>
                </w:tcPr>
                <w:p w14:paraId="00D76B90">
                  <w:pPr>
                    <w:keepNext w:val="0"/>
                    <w:keepLines w:val="0"/>
                    <w:suppressLineNumbers w:val="0"/>
                    <w:spacing w:before="0" w:beforeAutospacing="0" w:after="0" w:afterAutospacing="0" w:line="240" w:lineRule="auto"/>
                    <w:ind w:left="0" w:right="0"/>
                    <w:jc w:val="center"/>
                    <w:rPr>
                      <w:rFonts w:hint="default" w:cs="Times New Roman"/>
                      <w:color w:val="auto"/>
                      <w:szCs w:val="21"/>
                      <w:lang w:val="en-US" w:eastAsia="zh-CN"/>
                    </w:rPr>
                  </w:pPr>
                  <w:r>
                    <w:rPr>
                      <w:rFonts w:hint="eastAsia" w:cs="Times New Roman"/>
                      <w:color w:val="auto"/>
                      <w:szCs w:val="21"/>
                      <w:lang w:val="en-US" w:eastAsia="zh-CN"/>
                    </w:rPr>
                    <w:t>粉碎机*6</w:t>
                  </w:r>
                </w:p>
              </w:tc>
              <w:tc>
                <w:tcPr>
                  <w:tcW w:w="197" w:type="pct"/>
                  <w:vAlign w:val="center"/>
                </w:tcPr>
                <w:p w14:paraId="08ED3675">
                  <w:pPr>
                    <w:keepNext w:val="0"/>
                    <w:keepLines w:val="0"/>
                    <w:suppressLineNumbers w:val="0"/>
                    <w:spacing w:before="0" w:beforeAutospacing="0" w:after="0" w:afterAutospacing="0" w:line="240" w:lineRule="auto"/>
                    <w:ind w:left="0" w:leftChars="0" w:right="0" w:rightChars="0"/>
                    <w:jc w:val="center"/>
                    <w:rPr>
                      <w:rFonts w:hint="default" w:cs="Times New Roman"/>
                      <w:color w:val="auto"/>
                      <w:szCs w:val="21"/>
                      <w:lang w:val="en-US" w:eastAsia="zh-CN"/>
                    </w:rPr>
                  </w:pPr>
                  <w:r>
                    <w:rPr>
                      <w:rFonts w:hint="eastAsia" w:cs="Times New Roman"/>
                      <w:color w:val="auto"/>
                      <w:szCs w:val="21"/>
                      <w:lang w:val="en-US" w:eastAsia="zh-CN"/>
                    </w:rPr>
                    <w:t>83</w:t>
                  </w:r>
                </w:p>
              </w:tc>
              <w:tc>
                <w:tcPr>
                  <w:tcW w:w="178" w:type="pct"/>
                  <w:shd w:val="clear" w:color="auto" w:fill="auto"/>
                  <w:vAlign w:val="center"/>
                </w:tcPr>
                <w:p w14:paraId="24F82780">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基础减振、隔声</w:t>
                  </w:r>
                </w:p>
              </w:tc>
              <w:tc>
                <w:tcPr>
                  <w:tcW w:w="203" w:type="pct"/>
                  <w:shd w:val="clear" w:color="auto" w:fill="auto"/>
                  <w:vAlign w:val="center"/>
                </w:tcPr>
                <w:p w14:paraId="22A1224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4.9</w:t>
                  </w:r>
                </w:p>
              </w:tc>
              <w:tc>
                <w:tcPr>
                  <w:tcW w:w="202" w:type="pct"/>
                  <w:shd w:val="clear" w:color="auto" w:fill="auto"/>
                  <w:vAlign w:val="center"/>
                </w:tcPr>
                <w:p w14:paraId="5F38275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8.2</w:t>
                  </w:r>
                </w:p>
              </w:tc>
              <w:tc>
                <w:tcPr>
                  <w:tcW w:w="188" w:type="pct"/>
                  <w:shd w:val="clear" w:color="auto" w:fill="auto"/>
                  <w:vAlign w:val="center"/>
                </w:tcPr>
                <w:p w14:paraId="3D848B9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7.5</w:t>
                  </w:r>
                </w:p>
              </w:tc>
              <w:tc>
                <w:tcPr>
                  <w:tcW w:w="212" w:type="pct"/>
                  <w:shd w:val="clear" w:color="auto" w:fill="auto"/>
                  <w:vAlign w:val="center"/>
                </w:tcPr>
                <w:p w14:paraId="591B3E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9.6</w:t>
                  </w:r>
                </w:p>
              </w:tc>
              <w:tc>
                <w:tcPr>
                  <w:tcW w:w="204" w:type="pct"/>
                  <w:shd w:val="clear" w:color="auto" w:fill="auto"/>
                  <w:vAlign w:val="center"/>
                </w:tcPr>
                <w:p w14:paraId="12FA593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21.9</w:t>
                  </w:r>
                </w:p>
              </w:tc>
              <w:tc>
                <w:tcPr>
                  <w:tcW w:w="209" w:type="pct"/>
                  <w:shd w:val="clear" w:color="auto" w:fill="auto"/>
                  <w:vAlign w:val="center"/>
                </w:tcPr>
                <w:p w14:paraId="06A4AD7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19.5</w:t>
                  </w:r>
                </w:p>
              </w:tc>
              <w:tc>
                <w:tcPr>
                  <w:tcW w:w="221" w:type="pct"/>
                  <w:shd w:val="clear" w:color="auto" w:fill="auto"/>
                  <w:vAlign w:val="center"/>
                </w:tcPr>
                <w:p w14:paraId="482E81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6.1</w:t>
                  </w:r>
                </w:p>
              </w:tc>
              <w:tc>
                <w:tcPr>
                  <w:tcW w:w="200" w:type="pct"/>
                  <w:shd w:val="clear" w:color="auto" w:fill="auto"/>
                  <w:vAlign w:val="center"/>
                </w:tcPr>
                <w:p w14:paraId="67D70F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63.4</w:t>
                  </w:r>
                </w:p>
              </w:tc>
              <w:tc>
                <w:tcPr>
                  <w:tcW w:w="200" w:type="pct"/>
                  <w:shd w:val="clear" w:color="auto" w:fill="auto"/>
                  <w:vAlign w:val="center"/>
                </w:tcPr>
                <w:p w14:paraId="23FE85E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56.2</w:t>
                  </w:r>
                </w:p>
              </w:tc>
              <w:tc>
                <w:tcPr>
                  <w:tcW w:w="200" w:type="pct"/>
                  <w:shd w:val="clear" w:color="auto" w:fill="auto"/>
                  <w:vAlign w:val="center"/>
                </w:tcPr>
                <w:p w14:paraId="0E1BF8A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57.2</w:t>
                  </w:r>
                </w:p>
              </w:tc>
              <w:tc>
                <w:tcPr>
                  <w:tcW w:w="212" w:type="pct"/>
                  <w:shd w:val="clear" w:color="auto" w:fill="auto"/>
                  <w:vAlign w:val="center"/>
                </w:tcPr>
                <w:p w14:paraId="1007D10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67.3</w:t>
                  </w:r>
                </w:p>
              </w:tc>
              <w:tc>
                <w:tcPr>
                  <w:tcW w:w="215" w:type="pct"/>
                  <w:shd w:val="clear" w:color="auto" w:fill="auto"/>
                  <w:vAlign w:val="center"/>
                </w:tcPr>
                <w:p w14:paraId="13988670">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Cs w:val="21"/>
                      <w:lang w:val="en-US" w:eastAsia="zh-CN"/>
                    </w:rPr>
                    <w:t>昼间、夜间</w:t>
                  </w:r>
                </w:p>
              </w:tc>
              <w:tc>
                <w:tcPr>
                  <w:tcW w:w="319" w:type="pct"/>
                  <w:shd w:val="clear" w:color="auto" w:fill="auto"/>
                  <w:vAlign w:val="center"/>
                </w:tcPr>
                <w:p w14:paraId="55BBE6A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15</w:t>
                  </w:r>
                </w:p>
              </w:tc>
              <w:tc>
                <w:tcPr>
                  <w:tcW w:w="282" w:type="pct"/>
                  <w:shd w:val="clear" w:color="auto" w:fill="auto"/>
                  <w:vAlign w:val="center"/>
                </w:tcPr>
                <w:p w14:paraId="1F7C92B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48.4</w:t>
                  </w:r>
                </w:p>
              </w:tc>
              <w:tc>
                <w:tcPr>
                  <w:tcW w:w="202" w:type="pct"/>
                  <w:shd w:val="clear" w:color="auto" w:fill="auto"/>
                  <w:vAlign w:val="center"/>
                </w:tcPr>
                <w:p w14:paraId="2723DEA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41.2</w:t>
                  </w:r>
                </w:p>
              </w:tc>
              <w:tc>
                <w:tcPr>
                  <w:tcW w:w="202" w:type="pct"/>
                  <w:shd w:val="clear" w:color="auto" w:fill="auto"/>
                  <w:vAlign w:val="center"/>
                </w:tcPr>
                <w:p w14:paraId="6AD634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42.2</w:t>
                  </w:r>
                </w:p>
              </w:tc>
              <w:tc>
                <w:tcPr>
                  <w:tcW w:w="202" w:type="pct"/>
                  <w:shd w:val="clear" w:color="auto" w:fill="auto"/>
                  <w:vAlign w:val="center"/>
                </w:tcPr>
                <w:p w14:paraId="30020C2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52.3</w:t>
                  </w:r>
                </w:p>
              </w:tc>
              <w:tc>
                <w:tcPr>
                  <w:tcW w:w="352" w:type="pct"/>
                  <w:shd w:val="clear" w:color="auto" w:fill="auto"/>
                  <w:vAlign w:val="center"/>
                </w:tcPr>
                <w:p w14:paraId="4C9094B3">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color w:val="auto"/>
                      <w:szCs w:val="21"/>
                      <w:lang w:val="en-US" w:eastAsia="zh-CN"/>
                    </w:rPr>
                    <w:t>1.0</w:t>
                  </w:r>
                </w:p>
              </w:tc>
            </w:tr>
            <w:tr w14:paraId="2F3AAA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1076" w:hRule="atLeast"/>
                <w:jc w:val="center"/>
              </w:trPr>
              <w:tc>
                <w:tcPr>
                  <w:tcW w:w="181" w:type="pct"/>
                  <w:vAlign w:val="center"/>
                </w:tcPr>
                <w:p w14:paraId="3FE66E83">
                  <w:pPr>
                    <w:keepNext w:val="0"/>
                    <w:keepLines w:val="0"/>
                    <w:suppressLineNumbers w:val="0"/>
                    <w:spacing w:before="0" w:beforeAutospacing="0" w:after="0" w:afterAutospacing="0" w:line="240" w:lineRule="auto"/>
                    <w:ind w:left="0" w:right="0"/>
                    <w:jc w:val="center"/>
                    <w:rPr>
                      <w:rFonts w:hint="default" w:cs="Times New Roman"/>
                      <w:color w:val="auto"/>
                      <w:szCs w:val="21"/>
                      <w:lang w:val="en-US" w:eastAsia="zh-CN"/>
                    </w:rPr>
                  </w:pPr>
                  <w:r>
                    <w:rPr>
                      <w:rFonts w:hint="eastAsia" w:cs="Times New Roman"/>
                      <w:color w:val="auto"/>
                      <w:szCs w:val="21"/>
                      <w:lang w:val="en-US" w:eastAsia="zh-CN"/>
                    </w:rPr>
                    <w:t>5</w:t>
                  </w:r>
                </w:p>
              </w:tc>
              <w:tc>
                <w:tcPr>
                  <w:tcW w:w="148" w:type="pct"/>
                  <w:vAlign w:val="center"/>
                </w:tcPr>
                <w:p w14:paraId="09B47430">
                  <w:pPr>
                    <w:keepNext w:val="0"/>
                    <w:keepLines w:val="0"/>
                    <w:suppressLineNumbers w:val="0"/>
                    <w:spacing w:before="0" w:beforeAutospacing="0" w:after="0" w:afterAutospacing="0" w:line="240" w:lineRule="auto"/>
                    <w:ind w:left="0" w:right="0"/>
                    <w:jc w:val="center"/>
                    <w:rPr>
                      <w:rFonts w:hint="eastAsia" w:cs="Times New Roman"/>
                      <w:color w:val="auto"/>
                      <w:szCs w:val="21"/>
                      <w:lang w:val="en-US" w:eastAsia="zh-CN"/>
                    </w:rPr>
                  </w:pPr>
                  <w:r>
                    <w:rPr>
                      <w:rFonts w:hint="eastAsia" w:cs="Times New Roman"/>
                      <w:color w:val="auto"/>
                      <w:szCs w:val="21"/>
                      <w:lang w:val="en-US" w:eastAsia="zh-CN"/>
                    </w:rPr>
                    <w:t>厂房1F</w:t>
                  </w:r>
                </w:p>
              </w:tc>
              <w:tc>
                <w:tcPr>
                  <w:tcW w:w="261" w:type="pct"/>
                  <w:vAlign w:val="center"/>
                </w:tcPr>
                <w:p w14:paraId="57631235">
                  <w:pPr>
                    <w:keepNext w:val="0"/>
                    <w:keepLines w:val="0"/>
                    <w:suppressLineNumbers w:val="0"/>
                    <w:spacing w:before="0" w:beforeAutospacing="0" w:after="0" w:afterAutospacing="0" w:line="240" w:lineRule="auto"/>
                    <w:ind w:left="0" w:right="0"/>
                    <w:jc w:val="center"/>
                    <w:rPr>
                      <w:rFonts w:hint="default" w:cs="Times New Roman"/>
                      <w:color w:val="auto"/>
                      <w:szCs w:val="21"/>
                      <w:lang w:val="en-US" w:eastAsia="zh-CN"/>
                    </w:rPr>
                  </w:pPr>
                  <w:r>
                    <w:rPr>
                      <w:rFonts w:hint="eastAsia" w:cs="Times New Roman"/>
                      <w:color w:val="auto"/>
                      <w:szCs w:val="21"/>
                      <w:lang w:val="en-US" w:eastAsia="zh-CN"/>
                    </w:rPr>
                    <w:t>空压机*1</w:t>
                  </w:r>
                </w:p>
              </w:tc>
              <w:tc>
                <w:tcPr>
                  <w:tcW w:w="197" w:type="pct"/>
                  <w:vAlign w:val="center"/>
                </w:tcPr>
                <w:p w14:paraId="4710772D">
                  <w:pPr>
                    <w:keepNext w:val="0"/>
                    <w:keepLines w:val="0"/>
                    <w:suppressLineNumbers w:val="0"/>
                    <w:spacing w:before="0" w:beforeAutospacing="0" w:after="0" w:afterAutospacing="0" w:line="240" w:lineRule="auto"/>
                    <w:ind w:left="0" w:leftChars="0" w:right="0" w:rightChars="0"/>
                    <w:jc w:val="center"/>
                    <w:rPr>
                      <w:rFonts w:hint="default" w:cs="Times New Roman"/>
                      <w:color w:val="auto"/>
                      <w:szCs w:val="21"/>
                      <w:lang w:val="en-US" w:eastAsia="zh-CN"/>
                    </w:rPr>
                  </w:pPr>
                  <w:r>
                    <w:rPr>
                      <w:rFonts w:hint="eastAsia" w:cs="Times New Roman"/>
                      <w:color w:val="auto"/>
                      <w:szCs w:val="21"/>
                      <w:lang w:val="en-US" w:eastAsia="zh-CN"/>
                    </w:rPr>
                    <w:t>80</w:t>
                  </w:r>
                </w:p>
              </w:tc>
              <w:tc>
                <w:tcPr>
                  <w:tcW w:w="178" w:type="pct"/>
                  <w:shd w:val="clear" w:color="auto" w:fill="auto"/>
                  <w:vAlign w:val="center"/>
                </w:tcPr>
                <w:p w14:paraId="6C8B8F3D">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基础减振、隔声</w:t>
                  </w:r>
                </w:p>
              </w:tc>
              <w:tc>
                <w:tcPr>
                  <w:tcW w:w="203" w:type="pct"/>
                  <w:shd w:val="clear" w:color="auto" w:fill="auto"/>
                  <w:vAlign w:val="center"/>
                </w:tcPr>
                <w:p w14:paraId="2FAE77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4.4</w:t>
                  </w:r>
                </w:p>
              </w:tc>
              <w:tc>
                <w:tcPr>
                  <w:tcW w:w="202" w:type="pct"/>
                  <w:shd w:val="clear" w:color="auto" w:fill="auto"/>
                  <w:vAlign w:val="center"/>
                </w:tcPr>
                <w:p w14:paraId="3E0278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3.0</w:t>
                  </w:r>
                </w:p>
              </w:tc>
              <w:tc>
                <w:tcPr>
                  <w:tcW w:w="188" w:type="pct"/>
                  <w:shd w:val="clear" w:color="auto" w:fill="auto"/>
                  <w:vAlign w:val="center"/>
                </w:tcPr>
                <w:p w14:paraId="6ECECB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1.0</w:t>
                  </w:r>
                </w:p>
              </w:tc>
              <w:tc>
                <w:tcPr>
                  <w:tcW w:w="212" w:type="pct"/>
                  <w:shd w:val="clear" w:color="auto" w:fill="auto"/>
                  <w:vAlign w:val="center"/>
                </w:tcPr>
                <w:p w14:paraId="295111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10.2</w:t>
                  </w:r>
                </w:p>
              </w:tc>
              <w:tc>
                <w:tcPr>
                  <w:tcW w:w="204" w:type="pct"/>
                  <w:shd w:val="clear" w:color="auto" w:fill="auto"/>
                  <w:vAlign w:val="center"/>
                </w:tcPr>
                <w:p w14:paraId="62BFB4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16.8</w:t>
                  </w:r>
                </w:p>
              </w:tc>
              <w:tc>
                <w:tcPr>
                  <w:tcW w:w="209" w:type="pct"/>
                  <w:shd w:val="clear" w:color="auto" w:fill="auto"/>
                  <w:vAlign w:val="center"/>
                </w:tcPr>
                <w:p w14:paraId="22BEA0A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19.0</w:t>
                  </w:r>
                </w:p>
              </w:tc>
              <w:tc>
                <w:tcPr>
                  <w:tcW w:w="221" w:type="pct"/>
                  <w:shd w:val="clear" w:color="auto" w:fill="auto"/>
                  <w:vAlign w:val="center"/>
                </w:tcPr>
                <w:p w14:paraId="5BCE54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11.3</w:t>
                  </w:r>
                </w:p>
              </w:tc>
              <w:tc>
                <w:tcPr>
                  <w:tcW w:w="200" w:type="pct"/>
                  <w:shd w:val="clear" w:color="auto" w:fill="auto"/>
                  <w:vAlign w:val="center"/>
                </w:tcPr>
                <w:p w14:paraId="00FB9CA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59.8</w:t>
                  </w:r>
                </w:p>
              </w:tc>
              <w:tc>
                <w:tcPr>
                  <w:tcW w:w="200" w:type="pct"/>
                  <w:shd w:val="clear" w:color="auto" w:fill="auto"/>
                  <w:vAlign w:val="center"/>
                </w:tcPr>
                <w:p w14:paraId="2BC303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55.5</w:t>
                  </w:r>
                </w:p>
              </w:tc>
              <w:tc>
                <w:tcPr>
                  <w:tcW w:w="200" w:type="pct"/>
                  <w:shd w:val="clear" w:color="auto" w:fill="auto"/>
                  <w:vAlign w:val="center"/>
                </w:tcPr>
                <w:p w14:paraId="7A61A80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54.5</w:t>
                  </w:r>
                </w:p>
              </w:tc>
              <w:tc>
                <w:tcPr>
                  <w:tcW w:w="212" w:type="pct"/>
                  <w:shd w:val="clear" w:color="auto" w:fill="auto"/>
                  <w:vAlign w:val="center"/>
                </w:tcPr>
                <w:p w14:paraId="70E28D2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59.0</w:t>
                  </w:r>
                </w:p>
              </w:tc>
              <w:tc>
                <w:tcPr>
                  <w:tcW w:w="215" w:type="pct"/>
                  <w:shd w:val="clear" w:color="auto" w:fill="auto"/>
                  <w:vAlign w:val="center"/>
                </w:tcPr>
                <w:p w14:paraId="16234A9C">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Cs w:val="21"/>
                      <w:lang w:val="en-US" w:eastAsia="zh-CN"/>
                    </w:rPr>
                    <w:t>昼间、夜间</w:t>
                  </w:r>
                </w:p>
              </w:tc>
              <w:tc>
                <w:tcPr>
                  <w:tcW w:w="319" w:type="pct"/>
                  <w:shd w:val="clear" w:color="auto" w:fill="auto"/>
                  <w:vAlign w:val="center"/>
                </w:tcPr>
                <w:p w14:paraId="05E2D16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15</w:t>
                  </w:r>
                </w:p>
              </w:tc>
              <w:tc>
                <w:tcPr>
                  <w:tcW w:w="282" w:type="pct"/>
                  <w:shd w:val="clear" w:color="auto" w:fill="auto"/>
                  <w:vAlign w:val="center"/>
                </w:tcPr>
                <w:p w14:paraId="7E279D9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44.8</w:t>
                  </w:r>
                </w:p>
              </w:tc>
              <w:tc>
                <w:tcPr>
                  <w:tcW w:w="202" w:type="pct"/>
                  <w:shd w:val="clear" w:color="auto" w:fill="auto"/>
                  <w:vAlign w:val="center"/>
                </w:tcPr>
                <w:p w14:paraId="37419C8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40.5</w:t>
                  </w:r>
                </w:p>
              </w:tc>
              <w:tc>
                <w:tcPr>
                  <w:tcW w:w="202" w:type="pct"/>
                  <w:shd w:val="clear" w:color="auto" w:fill="auto"/>
                  <w:vAlign w:val="center"/>
                </w:tcPr>
                <w:p w14:paraId="4191099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39.5</w:t>
                  </w:r>
                </w:p>
              </w:tc>
              <w:tc>
                <w:tcPr>
                  <w:tcW w:w="202" w:type="pct"/>
                  <w:shd w:val="clear" w:color="auto" w:fill="auto"/>
                  <w:vAlign w:val="center"/>
                </w:tcPr>
                <w:p w14:paraId="08E95BA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44</w:t>
                  </w:r>
                </w:p>
              </w:tc>
              <w:tc>
                <w:tcPr>
                  <w:tcW w:w="352" w:type="pct"/>
                  <w:shd w:val="clear" w:color="auto" w:fill="auto"/>
                  <w:vAlign w:val="center"/>
                </w:tcPr>
                <w:p w14:paraId="41545B6A">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color w:val="auto"/>
                      <w:szCs w:val="21"/>
                      <w:lang w:val="en-US" w:eastAsia="zh-CN"/>
                    </w:rPr>
                    <w:t>1.0</w:t>
                  </w:r>
                </w:p>
              </w:tc>
            </w:tr>
          </w:tbl>
          <w:p w14:paraId="20488A6C">
            <w:pPr>
              <w:pStyle w:val="11"/>
              <w:keepNext w:val="0"/>
              <w:keepLines w:val="0"/>
              <w:suppressLineNumbers w:val="0"/>
              <w:spacing w:before="0" w:beforeAutospacing="0" w:afterAutospacing="0"/>
              <w:ind w:left="0" w:right="0"/>
              <w:rPr>
                <w:rFonts w:hint="default" w:eastAsia="宋体"/>
                <w:color w:val="auto"/>
                <w:vertAlign w:val="baseline"/>
                <w:lang w:val="en-US" w:eastAsia="zh-CN"/>
              </w:rPr>
            </w:pPr>
            <w:r>
              <w:rPr>
                <w:rFonts w:hint="eastAsia"/>
                <w:b/>
                <w:bCs/>
                <w:color w:val="auto"/>
                <w:vertAlign w:val="baseline"/>
                <w:lang w:val="en-US" w:eastAsia="zh-CN"/>
              </w:rPr>
              <w:t>注：厂区中心为坐标原点。</w:t>
            </w:r>
          </w:p>
        </w:tc>
      </w:tr>
    </w:tbl>
    <w:p w14:paraId="21B36662">
      <w:pPr>
        <w:pStyle w:val="11"/>
        <w:rPr>
          <w:color w:val="auto"/>
        </w:rPr>
      </w:pPr>
    </w:p>
    <w:p w14:paraId="6D31163A">
      <w:pPr>
        <w:pStyle w:val="11"/>
        <w:rPr>
          <w:color w:val="auto"/>
        </w:rPr>
        <w:sectPr>
          <w:pgSz w:w="16838" w:h="11906" w:orient="landscape"/>
          <w:pgMar w:top="1797" w:right="1440" w:bottom="1508" w:left="1440" w:header="851" w:footer="992" w:gutter="0"/>
          <w:pgBorders>
            <w:top w:val="none" w:sz="0" w:space="0"/>
            <w:left w:val="none" w:sz="0" w:space="0"/>
            <w:bottom w:val="none" w:sz="0" w:space="0"/>
            <w:right w:val="none" w:sz="0" w:space="0"/>
          </w:pgBorders>
          <w:cols w:space="720" w:num="1"/>
          <w:docGrid w:type="lines" w:linePitch="312" w:charSpace="0"/>
        </w:sectPr>
      </w:pP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1"/>
        <w:gridCol w:w="8133"/>
      </w:tblGrid>
      <w:tr w14:paraId="6C138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Align w:val="center"/>
          </w:tcPr>
          <w:p w14:paraId="66B72B31">
            <w:pPr>
              <w:keepNext w:val="0"/>
              <w:keepLines w:val="0"/>
              <w:widowControl/>
              <w:suppressLineNumbers w:val="0"/>
              <w:spacing w:before="0" w:beforeAutospacing="0" w:after="0" w:afterAutospacing="0" w:line="360" w:lineRule="auto"/>
              <w:ind w:left="0" w:right="0"/>
              <w:jc w:val="center"/>
              <w:outlineLvl w:val="0"/>
              <w:rPr>
                <w:rFonts w:hint="default"/>
                <w:color w:val="auto"/>
                <w:sz w:val="24"/>
                <w:szCs w:val="24"/>
                <w:vertAlign w:val="baseline"/>
              </w:rPr>
            </w:pPr>
            <w:r>
              <w:rPr>
                <w:rFonts w:hint="eastAsia" w:ascii="Times New Roman" w:hAnsi="宋体" w:eastAsia="宋体" w:cs="Times New Roman"/>
                <w:color w:val="auto"/>
                <w:kern w:val="0"/>
                <w:sz w:val="24"/>
                <w:szCs w:val="24"/>
                <w:vertAlign w:val="baseline"/>
              </w:rPr>
              <w:t>运营期环境影响和保护措施</w:t>
            </w:r>
          </w:p>
        </w:tc>
        <w:tc>
          <w:tcPr>
            <w:tcW w:w="8133" w:type="dxa"/>
          </w:tcPr>
          <w:p w14:paraId="6ED40AF1">
            <w:pPr>
              <w:keepNext w:val="0"/>
              <w:keepLines w:val="0"/>
              <w:suppressLineNumbers w:val="0"/>
              <w:spacing w:before="0" w:beforeAutospacing="0" w:after="0" w:afterAutospacing="0" w:line="360" w:lineRule="auto"/>
              <w:ind w:left="0" w:right="0" w:firstLine="482" w:firstLineChars="200"/>
              <w:rPr>
                <w:rFonts w:hint="default"/>
                <w:b/>
                <w:color w:val="auto"/>
                <w:sz w:val="24"/>
              </w:rPr>
            </w:pPr>
            <w:r>
              <w:rPr>
                <w:rFonts w:hint="eastAsia"/>
                <w:b/>
                <w:color w:val="auto"/>
                <w:sz w:val="24"/>
              </w:rPr>
              <w:t>2</w:t>
            </w:r>
            <w:r>
              <w:rPr>
                <w:rFonts w:hint="eastAsia"/>
                <w:b/>
                <w:color w:val="auto"/>
                <w:sz w:val="24"/>
                <w:lang w:val="en-US" w:eastAsia="zh-CN"/>
              </w:rPr>
              <w:t>.</w:t>
            </w:r>
            <w:r>
              <w:rPr>
                <w:rFonts w:hint="eastAsia"/>
                <w:b/>
                <w:color w:val="auto"/>
                <w:sz w:val="24"/>
              </w:rPr>
              <w:t>噪声预测结果</w:t>
            </w:r>
          </w:p>
          <w:p w14:paraId="188F7C97">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根据《环境影响评价技术导则</w:t>
            </w:r>
            <w:r>
              <w:rPr>
                <w:rFonts w:hint="eastAsia"/>
                <w:color w:val="auto"/>
                <w:sz w:val="24"/>
              </w:rPr>
              <w:t xml:space="preserve"> </w:t>
            </w:r>
            <w:r>
              <w:rPr>
                <w:rFonts w:hint="default"/>
                <w:color w:val="auto"/>
                <w:sz w:val="24"/>
              </w:rPr>
              <w:t>声环</w:t>
            </w:r>
            <w:r>
              <w:rPr>
                <w:rFonts w:hint="eastAsia"/>
                <w:color w:val="auto"/>
                <w:sz w:val="24"/>
              </w:rPr>
              <w:t>境》（HJ2.4-2021）的要求，本次声环境影响评价选用室内噪声模式和室外噪声模式进行预测，具体预测方法如下。</w:t>
            </w:r>
          </w:p>
          <w:p w14:paraId="49AD4ECB">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color w:val="auto"/>
                <w:sz w:val="24"/>
              </w:rPr>
              <w:t>①指向性点声源的几何发散衰减</w:t>
            </w:r>
          </w:p>
          <w:p w14:paraId="3EBC39B7">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color w:val="auto"/>
                <w:sz w:val="24"/>
              </w:rPr>
              <w:t>无指向性点声源几何发散衰减的基本公式是：</w:t>
            </w:r>
          </w:p>
          <w:p w14:paraId="30E650E9">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4"/>
              </w:rPr>
            </w:pPr>
            <w:r>
              <w:rPr>
                <w:rFonts w:hint="default"/>
                <w:color w:val="auto"/>
                <w:kern w:val="0"/>
                <w:sz w:val="24"/>
                <w:szCs w:val="24"/>
              </w:rPr>
              <w:drawing>
                <wp:anchor distT="0" distB="0" distL="114300" distR="114300" simplePos="0" relativeHeight="251663360" behindDoc="0" locked="0" layoutInCell="1" allowOverlap="1">
                  <wp:simplePos x="0" y="0"/>
                  <wp:positionH relativeFrom="column">
                    <wp:posOffset>1016000</wp:posOffset>
                  </wp:positionH>
                  <wp:positionV relativeFrom="paragraph">
                    <wp:posOffset>86360</wp:posOffset>
                  </wp:positionV>
                  <wp:extent cx="2731770" cy="284480"/>
                  <wp:effectExtent l="0" t="0" r="11430" b="1270"/>
                  <wp:wrapNone/>
                  <wp:docPr id="215" name="图片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703"/>
                          <pic:cNvPicPr>
                            <a:picLocks noChangeAspect="1" noChangeArrowheads="1"/>
                          </pic:cNvPicPr>
                        </pic:nvPicPr>
                        <pic:blipFill>
                          <a:blip r:embed="rId17" cstate="print"/>
                          <a:srcRect/>
                          <a:stretch>
                            <a:fillRect/>
                          </a:stretch>
                        </pic:blipFill>
                        <pic:spPr>
                          <a:xfrm>
                            <a:off x="0" y="0"/>
                            <a:ext cx="2731878" cy="284671"/>
                          </a:xfrm>
                          <a:prstGeom prst="rect">
                            <a:avLst/>
                          </a:prstGeom>
                          <a:noFill/>
                          <a:ln w="9525">
                            <a:noFill/>
                            <a:miter lim="800000"/>
                            <a:headEnd/>
                            <a:tailEnd/>
                          </a:ln>
                        </pic:spPr>
                      </pic:pic>
                    </a:graphicData>
                  </a:graphic>
                </wp:anchor>
              </w:drawing>
            </w:r>
          </w:p>
          <w:p w14:paraId="41FB6CB9">
            <w:pPr>
              <w:keepNext w:val="0"/>
              <w:keepLines w:val="0"/>
              <w:suppressLineNumbers w:val="0"/>
              <w:spacing w:before="0" w:beforeAutospacing="0" w:after="0" w:afterAutospacing="0" w:line="360" w:lineRule="auto"/>
              <w:ind w:left="0" w:right="0"/>
              <w:rPr>
                <w:rFonts w:hint="default"/>
                <w:color w:val="auto"/>
                <w:sz w:val="24"/>
              </w:rPr>
            </w:pPr>
          </w:p>
          <w:p w14:paraId="556CBC4F">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color w:val="auto"/>
                <w:sz w:val="24"/>
              </w:rPr>
              <w:t>式中：Lp（r）—预测点处声压级，dB；</w:t>
            </w:r>
          </w:p>
          <w:p w14:paraId="0AB017F0">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color w:val="auto"/>
                <w:sz w:val="24"/>
              </w:rPr>
              <w:t>Lp（r</w:t>
            </w:r>
            <w:r>
              <w:rPr>
                <w:rFonts w:hint="eastAsia"/>
                <w:color w:val="auto"/>
                <w:sz w:val="24"/>
                <w:vertAlign w:val="subscript"/>
              </w:rPr>
              <w:t>0</w:t>
            </w:r>
            <w:r>
              <w:rPr>
                <w:rFonts w:hint="eastAsia"/>
                <w:color w:val="auto"/>
                <w:sz w:val="24"/>
              </w:rPr>
              <w:t>）—参考位置r</w:t>
            </w:r>
            <w:r>
              <w:rPr>
                <w:rFonts w:hint="eastAsia"/>
                <w:color w:val="auto"/>
                <w:sz w:val="24"/>
                <w:vertAlign w:val="subscript"/>
              </w:rPr>
              <w:t>0</w:t>
            </w:r>
            <w:r>
              <w:rPr>
                <w:rFonts w:hint="eastAsia"/>
                <w:color w:val="auto"/>
                <w:sz w:val="24"/>
              </w:rPr>
              <w:t>处的声压级，dB；</w:t>
            </w:r>
          </w:p>
          <w:p w14:paraId="5D71063E">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color w:val="auto"/>
                <w:sz w:val="24"/>
              </w:rPr>
              <w:t>r—预测点距声源的距离；</w:t>
            </w:r>
          </w:p>
          <w:p w14:paraId="4BF5A3DC">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color w:val="auto"/>
                <w:sz w:val="24"/>
              </w:rPr>
              <w:t>r</w:t>
            </w:r>
            <w:r>
              <w:rPr>
                <w:rFonts w:hint="eastAsia"/>
                <w:color w:val="auto"/>
                <w:sz w:val="24"/>
                <w:vertAlign w:val="subscript"/>
              </w:rPr>
              <w:t>0</w:t>
            </w:r>
            <w:r>
              <w:rPr>
                <w:rFonts w:hint="eastAsia"/>
                <w:color w:val="auto"/>
                <w:sz w:val="24"/>
              </w:rPr>
              <w:t>—参考位置距声源的距离；</w:t>
            </w:r>
          </w:p>
          <w:p w14:paraId="5075F15A">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color w:val="auto"/>
                <w:sz w:val="24"/>
              </w:rPr>
              <w:t>上式中第二项表示了点声源的几何发散衰减；</w:t>
            </w:r>
          </w:p>
          <w:p w14:paraId="1DA1B399">
            <w:pPr>
              <w:keepNext w:val="0"/>
              <w:keepLines w:val="0"/>
              <w:suppressLineNumbers w:val="0"/>
              <w:spacing w:before="0" w:beforeAutospacing="0" w:after="0" w:afterAutospacing="0"/>
              <w:ind w:left="0" w:right="0"/>
              <w:rPr>
                <w:rFonts w:hint="default" w:ascii="宋体" w:hAnsi="Courier New"/>
                <w:color w:val="auto"/>
                <w:kern w:val="0"/>
                <w:sz w:val="26"/>
                <w:szCs w:val="20"/>
              </w:rPr>
            </w:pPr>
            <w:r>
              <w:rPr>
                <w:rFonts w:hint="default" w:ascii="宋体" w:hAnsi="Courier New"/>
                <w:color w:val="auto"/>
                <w:kern w:val="0"/>
                <w:sz w:val="26"/>
                <w:szCs w:val="20"/>
              </w:rPr>
              <w:drawing>
                <wp:anchor distT="0" distB="0" distL="114300" distR="114300" simplePos="0" relativeHeight="251664384" behindDoc="0" locked="0" layoutInCell="1" allowOverlap="1">
                  <wp:simplePos x="0" y="0"/>
                  <wp:positionH relativeFrom="column">
                    <wp:posOffset>1719580</wp:posOffset>
                  </wp:positionH>
                  <wp:positionV relativeFrom="paragraph">
                    <wp:posOffset>17780</wp:posOffset>
                  </wp:positionV>
                  <wp:extent cx="2066925" cy="295275"/>
                  <wp:effectExtent l="0" t="0" r="9525" b="9525"/>
                  <wp:wrapNone/>
                  <wp:docPr id="216" name="图片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704"/>
                          <pic:cNvPicPr>
                            <a:picLocks noChangeAspect="1" noChangeArrowheads="1"/>
                          </pic:cNvPicPr>
                        </pic:nvPicPr>
                        <pic:blipFill>
                          <a:blip r:embed="rId18" cstate="print"/>
                          <a:srcRect/>
                          <a:stretch>
                            <a:fillRect/>
                          </a:stretch>
                        </pic:blipFill>
                        <pic:spPr>
                          <a:xfrm>
                            <a:off x="0" y="0"/>
                            <a:ext cx="2066925" cy="295275"/>
                          </a:xfrm>
                          <a:prstGeom prst="rect">
                            <a:avLst/>
                          </a:prstGeom>
                          <a:noFill/>
                          <a:ln w="9525">
                            <a:noFill/>
                            <a:miter lim="800000"/>
                            <a:headEnd/>
                            <a:tailEnd/>
                          </a:ln>
                        </pic:spPr>
                      </pic:pic>
                    </a:graphicData>
                  </a:graphic>
                </wp:anchor>
              </w:drawing>
            </w:r>
          </w:p>
          <w:p w14:paraId="6CD8B70A">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color w:val="auto"/>
                <w:sz w:val="24"/>
              </w:rPr>
              <w:t>式中：A</w:t>
            </w:r>
            <w:r>
              <w:rPr>
                <w:rFonts w:hint="eastAsia"/>
                <w:color w:val="auto"/>
                <w:sz w:val="24"/>
                <w:vertAlign w:val="subscript"/>
              </w:rPr>
              <w:t>div</w:t>
            </w:r>
            <w:r>
              <w:rPr>
                <w:rFonts w:hint="eastAsia"/>
                <w:color w:val="auto"/>
                <w:sz w:val="24"/>
              </w:rPr>
              <w:t>—几何发散引起的衰减，dB；</w:t>
            </w:r>
          </w:p>
          <w:p w14:paraId="679F956E">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color w:val="auto"/>
                <w:sz w:val="24"/>
              </w:rPr>
              <w:t>r—预测点距声源的距离；</w:t>
            </w:r>
          </w:p>
          <w:p w14:paraId="526F3518">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color w:val="auto"/>
                <w:sz w:val="24"/>
              </w:rPr>
              <w:t>r</w:t>
            </w:r>
            <w:r>
              <w:rPr>
                <w:rFonts w:hint="eastAsia"/>
                <w:color w:val="auto"/>
                <w:sz w:val="24"/>
                <w:vertAlign w:val="subscript"/>
              </w:rPr>
              <w:t>0</w:t>
            </w:r>
            <w:r>
              <w:rPr>
                <w:rFonts w:hint="eastAsia"/>
                <w:color w:val="auto"/>
                <w:sz w:val="24"/>
              </w:rPr>
              <w:t>—参考位置距声源的距离。</w:t>
            </w:r>
          </w:p>
          <w:p w14:paraId="4946C95F">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color w:val="auto"/>
                <w:sz w:val="24"/>
              </w:rPr>
              <w:t>②面声源的几何发散衰减</w:t>
            </w:r>
          </w:p>
          <w:p w14:paraId="5EAD4A9F">
            <w:pPr>
              <w:keepNext w:val="0"/>
              <w:keepLines w:val="0"/>
              <w:suppressLineNumbers w:val="0"/>
              <w:tabs>
                <w:tab w:val="left" w:pos="462"/>
              </w:tabs>
              <w:spacing w:before="0" w:beforeAutospacing="0" w:after="0" w:afterAutospacing="0" w:line="360" w:lineRule="auto"/>
              <w:ind w:left="0" w:right="0" w:firstLine="480" w:firstLineChars="200"/>
              <w:rPr>
                <w:rFonts w:hint="default"/>
                <w:color w:val="auto"/>
                <w:sz w:val="24"/>
              </w:rPr>
            </w:pPr>
            <w:r>
              <w:rPr>
                <w:rFonts w:hint="eastAsia"/>
                <w:color w:val="auto"/>
                <w:sz w:val="24"/>
              </w:rPr>
              <w:t>车间透声的墙壁可认为是面声源。</w:t>
            </w:r>
            <w:r>
              <w:rPr>
                <w:rFonts w:hint="default"/>
                <w:color w:val="auto"/>
                <w:sz w:val="24"/>
              </w:rPr>
              <w:t>面声源衰减规律如下：当预测点和面声源中心距离r处于以下条件时，可按下述方法近似计算：r&lt;a/π时，几乎不衰减（Adiv≈0）；当a/π&lt;r&lt;b/π，距离加倍衰减3dB左右，类似线声源衰减特性（Adiv≈10lg（r/r0））；当r&gt;b/π时，距离加倍衰减趋近于6dB，类似点声源衰减特性（Adiv≈20lg（r/r0））。其中面声源的b&gt;a。下图中虚线为实际衰减量。</w:t>
            </w:r>
          </w:p>
          <w:p w14:paraId="6893FA19">
            <w:pPr>
              <w:keepNext w:val="0"/>
              <w:keepLines w:val="0"/>
              <w:suppressLineNumbers w:val="0"/>
              <w:spacing w:before="0" w:beforeAutospacing="0" w:after="0" w:afterAutospacing="0"/>
              <w:ind w:left="0" w:right="0"/>
              <w:rPr>
                <w:rFonts w:hint="default"/>
                <w:color w:val="auto"/>
                <w:sz w:val="28"/>
                <w:szCs w:val="20"/>
              </w:rPr>
            </w:pPr>
          </w:p>
          <w:p w14:paraId="3998E332">
            <w:pPr>
              <w:keepNext w:val="0"/>
              <w:keepLines w:val="0"/>
              <w:suppressLineNumbers w:val="0"/>
              <w:spacing w:before="0" w:beforeAutospacing="0" w:after="0" w:afterAutospacing="0"/>
              <w:ind w:left="0" w:right="0"/>
              <w:rPr>
                <w:rFonts w:hint="default"/>
                <w:color w:val="auto"/>
                <w:sz w:val="28"/>
                <w:szCs w:val="20"/>
              </w:rPr>
            </w:pPr>
          </w:p>
          <w:p w14:paraId="44984BBF">
            <w:pPr>
              <w:keepNext w:val="0"/>
              <w:keepLines w:val="0"/>
              <w:suppressLineNumbers w:val="0"/>
              <w:spacing w:before="0" w:beforeAutospacing="0" w:after="0" w:afterAutospacing="0"/>
              <w:ind w:left="0" w:right="0"/>
              <w:rPr>
                <w:rFonts w:hint="default"/>
                <w:color w:val="auto"/>
                <w:sz w:val="28"/>
                <w:szCs w:val="20"/>
              </w:rPr>
            </w:pPr>
          </w:p>
          <w:p w14:paraId="462CE63C">
            <w:pPr>
              <w:keepNext w:val="0"/>
              <w:keepLines w:val="0"/>
              <w:suppressLineNumbers w:val="0"/>
              <w:spacing w:before="0" w:beforeAutospacing="0" w:after="0" w:afterAutospacing="0"/>
              <w:ind w:left="0" w:right="0"/>
              <w:rPr>
                <w:rFonts w:hint="default"/>
                <w:color w:val="auto"/>
                <w:sz w:val="28"/>
                <w:szCs w:val="20"/>
              </w:rPr>
            </w:pPr>
          </w:p>
          <w:p w14:paraId="0459EB16">
            <w:pPr>
              <w:keepNext w:val="0"/>
              <w:keepLines w:val="0"/>
              <w:suppressLineNumbers w:val="0"/>
              <w:spacing w:before="0" w:beforeAutospacing="0" w:after="0" w:afterAutospacing="0"/>
              <w:ind w:left="0" w:right="0"/>
              <w:rPr>
                <w:rFonts w:hint="default"/>
                <w:color w:val="auto"/>
                <w:sz w:val="28"/>
                <w:szCs w:val="20"/>
              </w:rPr>
            </w:pPr>
            <w:r>
              <w:rPr>
                <w:rFonts w:hint="default"/>
                <w:color w:val="auto"/>
                <w:sz w:val="28"/>
                <w:szCs w:val="20"/>
              </w:rPr>
              <w:drawing>
                <wp:anchor distT="0" distB="0" distL="114300" distR="114300" simplePos="0" relativeHeight="251665408" behindDoc="0" locked="0" layoutInCell="1" allowOverlap="1">
                  <wp:simplePos x="0" y="0"/>
                  <wp:positionH relativeFrom="column">
                    <wp:posOffset>1087755</wp:posOffset>
                  </wp:positionH>
                  <wp:positionV relativeFrom="paragraph">
                    <wp:posOffset>25400</wp:posOffset>
                  </wp:positionV>
                  <wp:extent cx="2686050" cy="1990725"/>
                  <wp:effectExtent l="0" t="0" r="0" b="9525"/>
                  <wp:wrapNone/>
                  <wp:docPr id="2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5"/>
                          <pic:cNvPicPr>
                            <a:picLocks noChangeAspect="1" noChangeArrowheads="1"/>
                          </pic:cNvPicPr>
                        </pic:nvPicPr>
                        <pic:blipFill>
                          <a:blip r:embed="rId19" cstate="print"/>
                          <a:srcRect/>
                          <a:stretch>
                            <a:fillRect/>
                          </a:stretch>
                        </pic:blipFill>
                        <pic:spPr>
                          <a:xfrm>
                            <a:off x="0" y="0"/>
                            <a:ext cx="2686050" cy="1990725"/>
                          </a:xfrm>
                          <a:prstGeom prst="rect">
                            <a:avLst/>
                          </a:prstGeom>
                          <a:noFill/>
                          <a:ln w="9525">
                            <a:noFill/>
                            <a:miter lim="800000"/>
                            <a:headEnd/>
                            <a:tailEnd/>
                          </a:ln>
                        </pic:spPr>
                      </pic:pic>
                    </a:graphicData>
                  </a:graphic>
                </wp:anchor>
              </w:drawing>
            </w:r>
          </w:p>
          <w:p w14:paraId="2EB587B8">
            <w:pPr>
              <w:keepNext w:val="0"/>
              <w:keepLines w:val="0"/>
              <w:suppressLineNumbers w:val="0"/>
              <w:spacing w:before="0" w:beforeAutospacing="0" w:after="0" w:afterAutospacing="0"/>
              <w:ind w:left="0" w:right="0"/>
              <w:rPr>
                <w:rFonts w:hint="default"/>
                <w:color w:val="auto"/>
              </w:rPr>
            </w:pPr>
          </w:p>
          <w:p w14:paraId="4CE316DB">
            <w:pPr>
              <w:keepNext w:val="0"/>
              <w:keepLines w:val="0"/>
              <w:suppressLineNumbers w:val="0"/>
              <w:spacing w:before="0" w:beforeAutospacing="0" w:after="0" w:afterAutospacing="0"/>
              <w:ind w:left="0" w:right="0"/>
              <w:rPr>
                <w:rFonts w:hint="default" w:ascii="宋体" w:hAnsi="Courier New"/>
                <w:color w:val="auto"/>
                <w:kern w:val="0"/>
                <w:sz w:val="26"/>
                <w:szCs w:val="20"/>
              </w:rPr>
            </w:pPr>
          </w:p>
          <w:p w14:paraId="6E163AA7">
            <w:pPr>
              <w:keepNext w:val="0"/>
              <w:keepLines w:val="0"/>
              <w:suppressLineNumbers w:val="0"/>
              <w:spacing w:before="0" w:beforeAutospacing="0" w:after="0" w:afterAutospacing="0"/>
              <w:ind w:left="0" w:right="0"/>
              <w:rPr>
                <w:rFonts w:hint="default"/>
                <w:color w:val="auto"/>
                <w:sz w:val="28"/>
                <w:szCs w:val="20"/>
              </w:rPr>
            </w:pPr>
          </w:p>
          <w:p w14:paraId="151CF808">
            <w:pPr>
              <w:keepNext w:val="0"/>
              <w:keepLines w:val="0"/>
              <w:suppressLineNumbers w:val="0"/>
              <w:spacing w:before="0" w:beforeAutospacing="0" w:after="0" w:afterAutospacing="0"/>
              <w:ind w:left="0" w:right="0"/>
              <w:rPr>
                <w:rFonts w:hint="default"/>
                <w:color w:val="auto"/>
              </w:rPr>
            </w:pPr>
          </w:p>
          <w:p w14:paraId="2B527400">
            <w:pPr>
              <w:keepNext w:val="0"/>
              <w:keepLines w:val="0"/>
              <w:suppressLineNumbers w:val="0"/>
              <w:spacing w:before="0" w:beforeAutospacing="0" w:after="0" w:afterAutospacing="0"/>
              <w:ind w:left="0" w:right="0"/>
              <w:rPr>
                <w:rFonts w:hint="default" w:ascii="宋体" w:hAnsi="Courier New"/>
                <w:color w:val="auto"/>
                <w:kern w:val="0"/>
                <w:sz w:val="26"/>
                <w:szCs w:val="20"/>
              </w:rPr>
            </w:pPr>
          </w:p>
          <w:p w14:paraId="21A86BE8">
            <w:pPr>
              <w:keepNext w:val="0"/>
              <w:keepLines w:val="0"/>
              <w:suppressLineNumbers w:val="0"/>
              <w:spacing w:before="0" w:beforeAutospacing="0" w:after="0" w:afterAutospacing="0" w:line="360" w:lineRule="auto"/>
              <w:ind w:left="0" w:right="0"/>
              <w:jc w:val="center"/>
              <w:rPr>
                <w:rFonts w:hint="default" w:eastAsia="黑体"/>
                <w:color w:val="auto"/>
                <w:sz w:val="24"/>
              </w:rPr>
            </w:pPr>
            <w:r>
              <w:rPr>
                <w:rFonts w:hint="eastAsia" w:eastAsia="黑体"/>
                <w:color w:val="auto"/>
                <w:sz w:val="24"/>
              </w:rPr>
              <w:t>图</w:t>
            </w:r>
            <w:r>
              <w:rPr>
                <w:rFonts w:hint="eastAsia" w:eastAsia="黑体"/>
                <w:color w:val="auto"/>
                <w:sz w:val="24"/>
                <w:lang w:val="en-US" w:eastAsia="zh-CN"/>
              </w:rPr>
              <w:t>4-3</w:t>
            </w:r>
            <w:r>
              <w:rPr>
                <w:rFonts w:hint="eastAsia" w:eastAsia="黑体"/>
                <w:color w:val="auto"/>
                <w:sz w:val="24"/>
              </w:rPr>
              <w:t xml:space="preserve"> </w:t>
            </w:r>
            <w:r>
              <w:rPr>
                <w:rFonts w:hint="default" w:eastAsia="黑体"/>
                <w:color w:val="auto"/>
                <w:sz w:val="24"/>
              </w:rPr>
              <w:t>长方形面声源中心轴线上的衰减特性</w:t>
            </w:r>
          </w:p>
          <w:p w14:paraId="2ED35A05">
            <w:pPr>
              <w:keepNext w:val="0"/>
              <w:keepLines w:val="0"/>
              <w:suppressLineNumbers w:val="0"/>
              <w:tabs>
                <w:tab w:val="left" w:pos="462"/>
              </w:tabs>
              <w:spacing w:before="0" w:beforeAutospacing="0" w:after="0" w:afterAutospacing="0" w:line="360" w:lineRule="auto"/>
              <w:ind w:left="0" w:right="0" w:firstLine="480" w:firstLineChars="200"/>
              <w:rPr>
                <w:rFonts w:hint="default"/>
                <w:color w:val="auto"/>
                <w:sz w:val="24"/>
              </w:rPr>
            </w:pPr>
            <w:r>
              <w:rPr>
                <w:rFonts w:hint="eastAsia"/>
                <w:color w:val="auto"/>
                <w:sz w:val="24"/>
              </w:rPr>
              <w:t>③预测点的等效声级贡献值</w:t>
            </w:r>
          </w:p>
          <w:p w14:paraId="37370CC3">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设第i个室外声源在预测点产生的A声级为L</w:t>
            </w:r>
            <w:r>
              <w:rPr>
                <w:rFonts w:hint="eastAsia"/>
                <w:color w:val="auto"/>
                <w:sz w:val="24"/>
                <w:vertAlign w:val="subscript"/>
              </w:rPr>
              <w:t>A</w:t>
            </w:r>
            <w:r>
              <w:rPr>
                <w:rFonts w:hint="default"/>
                <w:color w:val="auto"/>
                <w:sz w:val="24"/>
                <w:vertAlign w:val="subscript"/>
              </w:rPr>
              <w:t>i</w:t>
            </w:r>
            <w:r>
              <w:rPr>
                <w:rFonts w:hint="default"/>
                <w:color w:val="auto"/>
                <w:sz w:val="24"/>
              </w:rPr>
              <w:t>，在T时间内该声源工作时间为t</w:t>
            </w:r>
            <w:r>
              <w:rPr>
                <w:rFonts w:hint="default"/>
                <w:color w:val="auto"/>
                <w:sz w:val="24"/>
                <w:vertAlign w:val="subscript"/>
              </w:rPr>
              <w:t>i</w:t>
            </w:r>
            <w:r>
              <w:rPr>
                <w:rFonts w:hint="default"/>
                <w:color w:val="auto"/>
                <w:sz w:val="24"/>
              </w:rPr>
              <w:t>；第j个等效室外声源在预测点产生的A声级为L</w:t>
            </w:r>
            <w:r>
              <w:rPr>
                <w:rFonts w:hint="default"/>
                <w:color w:val="auto"/>
                <w:sz w:val="24"/>
                <w:vertAlign w:val="subscript"/>
              </w:rPr>
              <w:t>Aj</w:t>
            </w:r>
            <w:r>
              <w:rPr>
                <w:rFonts w:hint="default"/>
                <w:color w:val="auto"/>
                <w:sz w:val="24"/>
              </w:rPr>
              <w:t>，在T时间内该声源工作时间为t</w:t>
            </w:r>
            <w:r>
              <w:rPr>
                <w:rFonts w:hint="default"/>
                <w:color w:val="auto"/>
                <w:sz w:val="24"/>
                <w:vertAlign w:val="subscript"/>
              </w:rPr>
              <w:t>j</w:t>
            </w:r>
            <w:r>
              <w:rPr>
                <w:rFonts w:hint="default"/>
                <w:color w:val="auto"/>
                <w:sz w:val="24"/>
              </w:rPr>
              <w:t>，则拟建工程声源对预测点产生的贡献值（L</w:t>
            </w:r>
            <w:r>
              <w:rPr>
                <w:rFonts w:hint="default"/>
                <w:color w:val="auto"/>
                <w:sz w:val="24"/>
                <w:vertAlign w:val="subscript"/>
              </w:rPr>
              <w:t>eqg</w:t>
            </w:r>
            <w:r>
              <w:rPr>
                <w:rFonts w:hint="default"/>
                <w:color w:val="auto"/>
                <w:sz w:val="24"/>
              </w:rPr>
              <w:t>）为：</w:t>
            </w:r>
          </w:p>
          <w:p w14:paraId="42687D48">
            <w:pPr>
              <w:keepNext w:val="0"/>
              <w:keepLines w:val="0"/>
              <w:suppressLineNumbers w:val="0"/>
              <w:spacing w:before="0" w:beforeAutospacing="0" w:after="0" w:afterAutospacing="0" w:line="360" w:lineRule="auto"/>
              <w:ind w:left="0" w:right="0" w:firstLine="480" w:firstLineChars="200"/>
              <w:jc w:val="center"/>
              <w:rPr>
                <w:rFonts w:hint="default"/>
                <w:color w:val="auto"/>
                <w:sz w:val="24"/>
              </w:rPr>
            </w:pPr>
            <m:oMathPara>
              <m:oMath>
                <m:sSub>
                  <m:sSubPr>
                    <m:ctrlPr>
                      <w:rPr>
                        <w:rFonts w:hint="default" w:ascii="Cambria Math" w:hAnsi="Cambria Math"/>
                        <w:color w:val="auto"/>
                        <w:sz w:val="24"/>
                      </w:rPr>
                    </m:ctrlPr>
                  </m:sSubPr>
                  <m:e>
                    <m:r>
                      <m:rPr>
                        <m:nor/>
                        <m:sty m:val="p"/>
                      </m:rPr>
                      <w:rPr>
                        <w:rFonts w:hint="default"/>
                        <w:b w:val="0"/>
                        <w:i w:val="0"/>
                        <w:color w:val="auto"/>
                        <w:sz w:val="24"/>
                      </w:rPr>
                      <m:t>L</m:t>
                    </m:r>
                    <m:ctrlPr>
                      <w:rPr>
                        <w:rFonts w:hint="default" w:ascii="Cambria Math" w:hAnsi="Cambria Math"/>
                        <w:color w:val="auto"/>
                        <w:sz w:val="24"/>
                      </w:rPr>
                    </m:ctrlPr>
                  </m:e>
                  <m:sub>
                    <m:r>
                      <m:rPr>
                        <m:nor/>
                        <m:sty m:val="p"/>
                      </m:rPr>
                      <w:rPr>
                        <w:rFonts w:hint="default"/>
                        <w:b w:val="0"/>
                        <w:i w:val="0"/>
                        <w:color w:val="auto"/>
                        <w:sz w:val="24"/>
                      </w:rPr>
                      <m:t>eqg</m:t>
                    </m:r>
                    <m:ctrlPr>
                      <w:rPr>
                        <w:rFonts w:hint="default" w:ascii="Cambria Math" w:hAnsi="Cambria Math"/>
                        <w:color w:val="auto"/>
                        <w:sz w:val="24"/>
                      </w:rPr>
                    </m:ctrlPr>
                  </m:sub>
                </m:sSub>
                <m:r>
                  <m:rPr>
                    <m:nor/>
                    <m:sty m:val="p"/>
                  </m:rPr>
                  <w:rPr>
                    <w:rFonts w:hint="default"/>
                    <w:b w:val="0"/>
                    <w:i w:val="0"/>
                    <w:color w:val="auto"/>
                    <w:sz w:val="24"/>
                  </w:rPr>
                  <m:t>=10lg</m:t>
                </m:r>
                <m:d>
                  <m:dPr>
                    <m:begChr m:val="["/>
                    <m:endChr m:val="]"/>
                    <m:ctrlPr>
                      <w:rPr>
                        <w:rFonts w:hint="default" w:ascii="Cambria Math" w:hAnsi="Cambria Math"/>
                        <w:color w:val="auto"/>
                        <w:sz w:val="24"/>
                      </w:rPr>
                    </m:ctrlPr>
                  </m:dPr>
                  <m:e>
                    <m:f>
                      <m:fPr>
                        <m:ctrlPr>
                          <w:rPr>
                            <w:rFonts w:hint="default" w:ascii="Cambria Math" w:hAnsi="Cambria Math"/>
                            <w:color w:val="auto"/>
                            <w:sz w:val="24"/>
                          </w:rPr>
                        </m:ctrlPr>
                      </m:fPr>
                      <m:num>
                        <m:r>
                          <m:rPr>
                            <m:nor/>
                            <m:sty m:val="p"/>
                          </m:rPr>
                          <w:rPr>
                            <w:rFonts w:hint="default"/>
                            <w:b w:val="0"/>
                            <w:i w:val="0"/>
                            <w:color w:val="auto"/>
                            <w:sz w:val="24"/>
                          </w:rPr>
                          <m:t>1</m:t>
                        </m:r>
                        <m:ctrlPr>
                          <w:rPr>
                            <w:rFonts w:hint="default" w:ascii="Cambria Math" w:hAnsi="Cambria Math"/>
                            <w:color w:val="auto"/>
                            <w:sz w:val="24"/>
                          </w:rPr>
                        </m:ctrlPr>
                      </m:num>
                      <m:den>
                        <m:r>
                          <m:rPr>
                            <m:nor/>
                            <m:sty m:val="p"/>
                          </m:rPr>
                          <w:rPr>
                            <w:rFonts w:hint="default"/>
                            <w:b w:val="0"/>
                            <w:i w:val="0"/>
                            <w:color w:val="auto"/>
                            <w:sz w:val="24"/>
                          </w:rPr>
                          <m:t>T</m:t>
                        </m:r>
                        <m:ctrlPr>
                          <w:rPr>
                            <w:rFonts w:hint="default" w:ascii="Cambria Math" w:hAnsi="Cambria Math"/>
                            <w:color w:val="auto"/>
                            <w:sz w:val="24"/>
                          </w:rPr>
                        </m:ctrlPr>
                      </m:den>
                    </m:f>
                    <m:d>
                      <m:dPr>
                        <m:ctrlPr>
                          <w:rPr>
                            <w:rFonts w:hint="default" w:ascii="Cambria Math" w:hAnsi="Cambria Math"/>
                            <w:color w:val="auto"/>
                            <w:sz w:val="24"/>
                          </w:rPr>
                        </m:ctrlPr>
                      </m:dPr>
                      <m:e>
                        <m:nary>
                          <m:naryPr>
                            <m:chr m:val="∑"/>
                            <m:limLoc m:val="undOvr"/>
                            <m:ctrlPr>
                              <w:rPr>
                                <w:rFonts w:hint="default" w:ascii="Cambria Math" w:hAnsi="Cambria Math"/>
                                <w:color w:val="auto"/>
                                <w:sz w:val="24"/>
                              </w:rPr>
                            </m:ctrlPr>
                          </m:naryPr>
                          <m:sub>
                            <m:r>
                              <m:rPr>
                                <m:nor/>
                                <m:sty m:val="p"/>
                              </m:rPr>
                              <w:rPr>
                                <w:rFonts w:hint="default"/>
                                <w:b w:val="0"/>
                                <w:i w:val="0"/>
                                <w:color w:val="auto"/>
                                <w:sz w:val="24"/>
                              </w:rPr>
                              <m:t>i=1</m:t>
                            </m:r>
                            <m:ctrlPr>
                              <w:rPr>
                                <w:rFonts w:hint="default" w:ascii="Cambria Math" w:hAnsi="Cambria Math"/>
                                <w:color w:val="auto"/>
                                <w:sz w:val="24"/>
                              </w:rPr>
                            </m:ctrlPr>
                          </m:sub>
                          <m:sup>
                            <m:r>
                              <m:rPr>
                                <m:nor/>
                                <m:sty m:val="p"/>
                              </m:rPr>
                              <w:rPr>
                                <w:rFonts w:hint="default"/>
                                <w:b w:val="0"/>
                                <w:i w:val="0"/>
                                <w:color w:val="auto"/>
                                <w:sz w:val="24"/>
                              </w:rPr>
                              <m:t>N</m:t>
                            </m:r>
                            <m:ctrlPr>
                              <w:rPr>
                                <w:rFonts w:hint="default" w:ascii="Cambria Math" w:hAnsi="Cambria Math"/>
                                <w:color w:val="auto"/>
                                <w:sz w:val="24"/>
                              </w:rPr>
                            </m:ctrlPr>
                          </m:sup>
                          <m:e>
                            <m:sSub>
                              <m:sSubPr>
                                <m:ctrlPr>
                                  <w:rPr>
                                    <w:rFonts w:hint="default" w:ascii="Cambria Math" w:hAnsi="Cambria Math"/>
                                    <w:color w:val="auto"/>
                                    <w:sz w:val="24"/>
                                  </w:rPr>
                                </m:ctrlPr>
                              </m:sSubPr>
                              <m:e>
                                <m:r>
                                  <m:rPr>
                                    <m:nor/>
                                    <m:sty m:val="p"/>
                                  </m:rPr>
                                  <w:rPr>
                                    <w:rFonts w:hint="default"/>
                                    <w:b w:val="0"/>
                                    <w:i w:val="0"/>
                                    <w:color w:val="auto"/>
                                    <w:sz w:val="24"/>
                                  </w:rPr>
                                  <m:t>t</m:t>
                                </m:r>
                                <m:ctrlPr>
                                  <w:rPr>
                                    <w:rFonts w:hint="default" w:ascii="Cambria Math" w:hAnsi="Cambria Math"/>
                                    <w:color w:val="auto"/>
                                    <w:sz w:val="24"/>
                                  </w:rPr>
                                </m:ctrlPr>
                              </m:e>
                              <m:sub>
                                <m:r>
                                  <m:rPr>
                                    <m:nor/>
                                    <m:sty m:val="p"/>
                                  </m:rPr>
                                  <w:rPr>
                                    <w:rFonts w:hint="default"/>
                                    <w:b w:val="0"/>
                                    <w:i w:val="0"/>
                                    <w:color w:val="auto"/>
                                    <w:sz w:val="24"/>
                                  </w:rPr>
                                  <m:t>i</m:t>
                                </m:r>
                                <m:ctrlPr>
                                  <w:rPr>
                                    <w:rFonts w:hint="default" w:ascii="Cambria Math" w:hAnsi="Cambria Math"/>
                                    <w:color w:val="auto"/>
                                    <w:sz w:val="24"/>
                                  </w:rPr>
                                </m:ctrlPr>
                              </m:sub>
                            </m:sSub>
                            <m:sSup>
                              <m:sSupPr>
                                <m:ctrlPr>
                                  <w:rPr>
                                    <w:rFonts w:hint="default" w:ascii="Cambria Math" w:hAnsi="Cambria Math"/>
                                    <w:color w:val="auto"/>
                                    <w:sz w:val="24"/>
                                  </w:rPr>
                                </m:ctrlPr>
                              </m:sSupPr>
                              <m:e>
                                <m:r>
                                  <m:rPr>
                                    <m:nor/>
                                    <m:sty m:val="p"/>
                                  </m:rPr>
                                  <w:rPr>
                                    <w:rFonts w:hint="default"/>
                                    <w:b w:val="0"/>
                                    <w:i w:val="0"/>
                                    <w:color w:val="auto"/>
                                    <w:sz w:val="24"/>
                                  </w:rPr>
                                  <m:t>10</m:t>
                                </m:r>
                                <m:ctrlPr>
                                  <w:rPr>
                                    <w:rFonts w:hint="default" w:ascii="Cambria Math" w:hAnsi="Cambria Math"/>
                                    <w:color w:val="auto"/>
                                    <w:sz w:val="24"/>
                                  </w:rPr>
                                </m:ctrlPr>
                              </m:e>
                              <m:sup>
                                <m:r>
                                  <m:rPr>
                                    <m:nor/>
                                    <m:sty m:val="p"/>
                                  </m:rPr>
                                  <w:rPr>
                                    <w:rFonts w:hint="default"/>
                                    <w:b w:val="0"/>
                                    <w:i w:val="0"/>
                                    <w:color w:val="auto"/>
                                    <w:sz w:val="24"/>
                                  </w:rPr>
                                  <m:t>0.1</m:t>
                                </m:r>
                                <m:sSub>
                                  <m:sSubPr>
                                    <m:ctrlPr>
                                      <w:rPr>
                                        <w:rFonts w:hint="default" w:ascii="Cambria Math" w:hAnsi="Cambria Math"/>
                                        <w:color w:val="auto"/>
                                        <w:sz w:val="24"/>
                                      </w:rPr>
                                    </m:ctrlPr>
                                  </m:sSubPr>
                                  <m:e>
                                    <m:r>
                                      <m:rPr>
                                        <m:nor/>
                                        <m:sty m:val="p"/>
                                      </m:rPr>
                                      <w:rPr>
                                        <w:rFonts w:hint="default"/>
                                        <w:b w:val="0"/>
                                        <w:i w:val="0"/>
                                        <w:color w:val="auto"/>
                                        <w:sz w:val="24"/>
                                      </w:rPr>
                                      <m:t>L</m:t>
                                    </m:r>
                                    <m:ctrlPr>
                                      <w:rPr>
                                        <w:rFonts w:hint="default" w:ascii="Cambria Math" w:hAnsi="Cambria Math"/>
                                        <w:color w:val="auto"/>
                                        <w:sz w:val="24"/>
                                      </w:rPr>
                                    </m:ctrlPr>
                                  </m:e>
                                  <m:sub>
                                    <m:r>
                                      <m:rPr>
                                        <m:nor/>
                                        <m:sty m:val="p"/>
                                      </m:rPr>
                                      <w:rPr>
                                        <w:rFonts w:hint="default"/>
                                        <w:b w:val="0"/>
                                        <w:i w:val="0"/>
                                        <w:color w:val="auto"/>
                                        <w:sz w:val="24"/>
                                      </w:rPr>
                                      <m:t>Ai</m:t>
                                    </m:r>
                                    <m:ctrlPr>
                                      <w:rPr>
                                        <w:rFonts w:hint="default" w:ascii="Cambria Math" w:hAnsi="Cambria Math"/>
                                        <w:color w:val="auto"/>
                                        <w:sz w:val="24"/>
                                      </w:rPr>
                                    </m:ctrlPr>
                                  </m:sub>
                                </m:sSub>
                                <m:ctrlPr>
                                  <w:rPr>
                                    <w:rFonts w:hint="default" w:ascii="Cambria Math" w:hAnsi="Cambria Math"/>
                                    <w:color w:val="auto"/>
                                    <w:sz w:val="24"/>
                                  </w:rPr>
                                </m:ctrlPr>
                              </m:sup>
                            </m:sSup>
                            <m:r>
                              <m:rPr>
                                <m:nor/>
                                <m:sty m:val="p"/>
                              </m:rPr>
                              <w:rPr>
                                <w:rFonts w:hint="default"/>
                                <w:b w:val="0"/>
                                <w:i w:val="0"/>
                                <w:color w:val="auto"/>
                                <w:sz w:val="24"/>
                              </w:rPr>
                              <m:t>+</m:t>
                            </m:r>
                            <m:nary>
                              <m:naryPr>
                                <m:chr m:val="∑"/>
                                <m:limLoc m:val="undOvr"/>
                                <m:ctrlPr>
                                  <w:rPr>
                                    <w:rFonts w:hint="default" w:ascii="Cambria Math" w:hAnsi="Cambria Math"/>
                                    <w:color w:val="auto"/>
                                    <w:sz w:val="24"/>
                                  </w:rPr>
                                </m:ctrlPr>
                              </m:naryPr>
                              <m:sub>
                                <m:r>
                                  <m:rPr>
                                    <m:nor/>
                                    <m:sty m:val="p"/>
                                  </m:rPr>
                                  <w:rPr>
                                    <w:rFonts w:hint="default"/>
                                    <w:b w:val="0"/>
                                    <w:i w:val="0"/>
                                    <w:color w:val="auto"/>
                                    <w:sz w:val="24"/>
                                  </w:rPr>
                                  <m:t>j=1</m:t>
                                </m:r>
                                <m:ctrlPr>
                                  <w:rPr>
                                    <w:rFonts w:hint="default" w:ascii="Cambria Math" w:hAnsi="Cambria Math"/>
                                    <w:color w:val="auto"/>
                                    <w:sz w:val="24"/>
                                  </w:rPr>
                                </m:ctrlPr>
                              </m:sub>
                              <m:sup>
                                <m:r>
                                  <m:rPr>
                                    <m:nor/>
                                    <m:sty m:val="p"/>
                                  </m:rPr>
                                  <w:rPr>
                                    <w:rFonts w:hint="default"/>
                                    <w:b w:val="0"/>
                                    <w:i w:val="0"/>
                                    <w:color w:val="auto"/>
                                    <w:sz w:val="24"/>
                                  </w:rPr>
                                  <m:t>M</m:t>
                                </m:r>
                                <m:ctrlPr>
                                  <w:rPr>
                                    <w:rFonts w:hint="default" w:ascii="Cambria Math" w:hAnsi="Cambria Math"/>
                                    <w:color w:val="auto"/>
                                    <w:sz w:val="24"/>
                                  </w:rPr>
                                </m:ctrlPr>
                              </m:sup>
                              <m:e>
                                <m:sSub>
                                  <m:sSubPr>
                                    <m:ctrlPr>
                                      <w:rPr>
                                        <w:rFonts w:hint="default" w:ascii="Cambria Math" w:hAnsi="Cambria Math"/>
                                        <w:color w:val="auto"/>
                                        <w:sz w:val="24"/>
                                      </w:rPr>
                                    </m:ctrlPr>
                                  </m:sSubPr>
                                  <m:e>
                                    <m:r>
                                      <m:rPr>
                                        <m:nor/>
                                        <m:sty m:val="p"/>
                                      </m:rPr>
                                      <w:rPr>
                                        <w:rFonts w:hint="default"/>
                                        <w:b w:val="0"/>
                                        <w:i w:val="0"/>
                                        <w:color w:val="auto"/>
                                        <w:sz w:val="24"/>
                                      </w:rPr>
                                      <m:t>t</m:t>
                                    </m:r>
                                    <m:ctrlPr>
                                      <w:rPr>
                                        <w:rFonts w:hint="default" w:ascii="Cambria Math" w:hAnsi="Cambria Math"/>
                                        <w:color w:val="auto"/>
                                        <w:sz w:val="24"/>
                                      </w:rPr>
                                    </m:ctrlPr>
                                  </m:e>
                                  <m:sub>
                                    <m:r>
                                      <m:rPr>
                                        <m:nor/>
                                        <m:sty m:val="p"/>
                                      </m:rPr>
                                      <w:rPr>
                                        <w:rFonts w:hint="default"/>
                                        <w:b w:val="0"/>
                                        <w:i w:val="0"/>
                                        <w:color w:val="auto"/>
                                        <w:sz w:val="24"/>
                                      </w:rPr>
                                      <m:t>j</m:t>
                                    </m:r>
                                    <m:ctrlPr>
                                      <w:rPr>
                                        <w:rFonts w:hint="default" w:ascii="Cambria Math" w:hAnsi="Cambria Math"/>
                                        <w:color w:val="auto"/>
                                        <w:sz w:val="24"/>
                                      </w:rPr>
                                    </m:ctrlPr>
                                  </m:sub>
                                </m:sSub>
                                <m:sSup>
                                  <m:sSupPr>
                                    <m:ctrlPr>
                                      <w:rPr>
                                        <w:rFonts w:hint="default" w:ascii="Cambria Math" w:hAnsi="Cambria Math"/>
                                        <w:color w:val="auto"/>
                                        <w:sz w:val="24"/>
                                      </w:rPr>
                                    </m:ctrlPr>
                                  </m:sSupPr>
                                  <m:e>
                                    <m:r>
                                      <m:rPr>
                                        <m:nor/>
                                        <m:sty m:val="p"/>
                                      </m:rPr>
                                      <w:rPr>
                                        <w:rFonts w:hint="default"/>
                                        <w:b w:val="0"/>
                                        <w:i w:val="0"/>
                                        <w:color w:val="auto"/>
                                        <w:sz w:val="24"/>
                                      </w:rPr>
                                      <m:t>10</m:t>
                                    </m:r>
                                    <m:ctrlPr>
                                      <w:rPr>
                                        <w:rFonts w:hint="default" w:ascii="Cambria Math" w:hAnsi="Cambria Math"/>
                                        <w:color w:val="auto"/>
                                        <w:sz w:val="24"/>
                                      </w:rPr>
                                    </m:ctrlPr>
                                  </m:e>
                                  <m:sup>
                                    <m:r>
                                      <m:rPr>
                                        <m:nor/>
                                        <m:sty m:val="p"/>
                                      </m:rPr>
                                      <w:rPr>
                                        <w:rFonts w:hint="default"/>
                                        <w:b w:val="0"/>
                                        <w:i w:val="0"/>
                                        <w:color w:val="auto"/>
                                        <w:sz w:val="24"/>
                                      </w:rPr>
                                      <m:t>0.1</m:t>
                                    </m:r>
                                    <m:sSub>
                                      <m:sSubPr>
                                        <m:ctrlPr>
                                          <w:rPr>
                                            <w:rFonts w:hint="default" w:ascii="Cambria Math" w:hAnsi="Cambria Math"/>
                                            <w:color w:val="auto"/>
                                            <w:sz w:val="24"/>
                                          </w:rPr>
                                        </m:ctrlPr>
                                      </m:sSubPr>
                                      <m:e>
                                        <m:r>
                                          <m:rPr>
                                            <m:nor/>
                                            <m:sty m:val="p"/>
                                          </m:rPr>
                                          <w:rPr>
                                            <w:rFonts w:hint="default"/>
                                            <w:b w:val="0"/>
                                            <w:i w:val="0"/>
                                            <w:color w:val="auto"/>
                                            <w:sz w:val="24"/>
                                          </w:rPr>
                                          <m:t>L</m:t>
                                        </m:r>
                                        <m:ctrlPr>
                                          <w:rPr>
                                            <w:rFonts w:hint="default" w:ascii="Cambria Math" w:hAnsi="Cambria Math"/>
                                            <w:color w:val="auto"/>
                                            <w:sz w:val="24"/>
                                          </w:rPr>
                                        </m:ctrlPr>
                                      </m:e>
                                      <m:sub>
                                        <m:r>
                                          <m:rPr>
                                            <m:nor/>
                                            <m:sty m:val="p"/>
                                          </m:rPr>
                                          <w:rPr>
                                            <w:rFonts w:hint="default"/>
                                            <w:b w:val="0"/>
                                            <w:i w:val="0"/>
                                            <w:color w:val="auto"/>
                                            <w:sz w:val="24"/>
                                          </w:rPr>
                                          <m:t>Aj</m:t>
                                        </m:r>
                                        <m:ctrlPr>
                                          <w:rPr>
                                            <w:rFonts w:hint="default" w:ascii="Cambria Math" w:hAnsi="Cambria Math"/>
                                            <w:color w:val="auto"/>
                                            <w:sz w:val="24"/>
                                          </w:rPr>
                                        </m:ctrlPr>
                                      </m:sub>
                                    </m:sSub>
                                    <m:ctrlPr>
                                      <w:rPr>
                                        <w:rFonts w:hint="default" w:ascii="Cambria Math" w:hAnsi="Cambria Math"/>
                                        <w:color w:val="auto"/>
                                        <w:sz w:val="24"/>
                                      </w:rPr>
                                    </m:ctrlPr>
                                  </m:sup>
                                </m:sSup>
                                <m:ctrlPr>
                                  <w:rPr>
                                    <w:rFonts w:hint="default" w:ascii="Cambria Math" w:hAnsi="Cambria Math"/>
                                    <w:color w:val="auto"/>
                                    <w:sz w:val="24"/>
                                  </w:rPr>
                                </m:ctrlPr>
                              </m:e>
                            </m:nary>
                            <m:ctrlPr>
                              <w:rPr>
                                <w:rFonts w:hint="default" w:ascii="Cambria Math" w:hAnsi="Cambria Math"/>
                                <w:color w:val="auto"/>
                                <w:sz w:val="24"/>
                              </w:rPr>
                            </m:ctrlPr>
                          </m:e>
                        </m:nary>
                        <m:ctrlPr>
                          <w:rPr>
                            <w:rFonts w:hint="default" w:ascii="Cambria Math" w:hAnsi="Cambria Math"/>
                            <w:color w:val="auto"/>
                            <w:sz w:val="24"/>
                          </w:rPr>
                        </m:ctrlPr>
                      </m:e>
                    </m:d>
                    <m:ctrlPr>
                      <w:rPr>
                        <w:rFonts w:hint="default" w:ascii="Cambria Math" w:hAnsi="Cambria Math"/>
                        <w:color w:val="auto"/>
                        <w:sz w:val="24"/>
                      </w:rPr>
                    </m:ctrlPr>
                  </m:e>
                </m:d>
              </m:oMath>
            </m:oMathPara>
          </w:p>
          <w:p w14:paraId="29786CCA">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hAnsi="宋体"/>
                <w:color w:val="auto"/>
                <w:sz w:val="24"/>
              </w:rPr>
              <w:t>式中：</w:t>
            </w:r>
            <w:r>
              <w:rPr>
                <w:rFonts w:hint="default"/>
                <w:color w:val="auto"/>
                <w:sz w:val="24"/>
              </w:rPr>
              <w:t>tj—</w:t>
            </w:r>
            <w:r>
              <w:rPr>
                <w:rFonts w:hint="default" w:hAnsi="宋体"/>
                <w:color w:val="auto"/>
                <w:sz w:val="24"/>
              </w:rPr>
              <w:t>在</w:t>
            </w:r>
            <w:r>
              <w:rPr>
                <w:rFonts w:hint="default"/>
                <w:color w:val="auto"/>
                <w:sz w:val="24"/>
              </w:rPr>
              <w:t>T</w:t>
            </w:r>
            <w:r>
              <w:rPr>
                <w:rFonts w:hint="default" w:hAnsi="宋体"/>
                <w:color w:val="auto"/>
                <w:sz w:val="24"/>
              </w:rPr>
              <w:t>时间内</w:t>
            </w:r>
            <w:r>
              <w:rPr>
                <w:rFonts w:hint="default"/>
                <w:color w:val="auto"/>
                <w:sz w:val="24"/>
              </w:rPr>
              <w:t>j</w:t>
            </w:r>
            <w:r>
              <w:rPr>
                <w:rFonts w:hint="default" w:hAnsi="宋体"/>
                <w:color w:val="auto"/>
                <w:sz w:val="24"/>
              </w:rPr>
              <w:t>声源工作时间，</w:t>
            </w:r>
            <w:r>
              <w:rPr>
                <w:rFonts w:hint="default"/>
                <w:color w:val="auto"/>
                <w:sz w:val="24"/>
              </w:rPr>
              <w:t>s</w:t>
            </w:r>
            <w:r>
              <w:rPr>
                <w:rFonts w:hint="default" w:hAnsi="宋体"/>
                <w:color w:val="auto"/>
                <w:sz w:val="24"/>
              </w:rPr>
              <w:t>；</w:t>
            </w:r>
          </w:p>
          <w:p w14:paraId="595EFD63">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Ti—</w:t>
            </w:r>
            <w:r>
              <w:rPr>
                <w:rFonts w:hint="default" w:hAnsi="宋体"/>
                <w:color w:val="auto"/>
                <w:sz w:val="24"/>
              </w:rPr>
              <w:t>在</w:t>
            </w:r>
            <w:r>
              <w:rPr>
                <w:rFonts w:hint="default"/>
                <w:color w:val="auto"/>
                <w:sz w:val="24"/>
              </w:rPr>
              <w:t>T</w:t>
            </w:r>
            <w:r>
              <w:rPr>
                <w:rFonts w:hint="default" w:hAnsi="宋体"/>
                <w:color w:val="auto"/>
                <w:sz w:val="24"/>
              </w:rPr>
              <w:t>时间内</w:t>
            </w:r>
            <w:r>
              <w:rPr>
                <w:rFonts w:hint="default"/>
                <w:color w:val="auto"/>
                <w:sz w:val="24"/>
              </w:rPr>
              <w:t>i</w:t>
            </w:r>
            <w:r>
              <w:rPr>
                <w:rFonts w:hint="default" w:hAnsi="宋体"/>
                <w:color w:val="auto"/>
                <w:sz w:val="24"/>
              </w:rPr>
              <w:t>声源工作时间，</w:t>
            </w:r>
            <w:r>
              <w:rPr>
                <w:rFonts w:hint="default"/>
                <w:color w:val="auto"/>
                <w:sz w:val="24"/>
              </w:rPr>
              <w:t>s</w:t>
            </w:r>
            <w:r>
              <w:rPr>
                <w:rFonts w:hint="default" w:hAnsi="宋体"/>
                <w:color w:val="auto"/>
                <w:sz w:val="24"/>
              </w:rPr>
              <w:t>；</w:t>
            </w:r>
          </w:p>
          <w:p w14:paraId="40DA4D11">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T—</w:t>
            </w:r>
            <w:r>
              <w:rPr>
                <w:rFonts w:hint="default" w:hAnsi="宋体"/>
                <w:color w:val="auto"/>
                <w:sz w:val="24"/>
              </w:rPr>
              <w:t>用于计算等效声级的时间，</w:t>
            </w:r>
            <w:r>
              <w:rPr>
                <w:rFonts w:hint="default"/>
                <w:color w:val="auto"/>
                <w:sz w:val="24"/>
              </w:rPr>
              <w:t>s</w:t>
            </w:r>
            <w:r>
              <w:rPr>
                <w:rFonts w:hint="default" w:hAnsi="宋体"/>
                <w:color w:val="auto"/>
                <w:sz w:val="24"/>
              </w:rPr>
              <w:t>；</w:t>
            </w:r>
          </w:p>
          <w:p w14:paraId="208AAD4A">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N—</w:t>
            </w:r>
            <w:r>
              <w:rPr>
                <w:rFonts w:hint="default" w:hAnsi="宋体"/>
                <w:color w:val="auto"/>
                <w:sz w:val="24"/>
              </w:rPr>
              <w:t>室外声源个数；</w:t>
            </w:r>
          </w:p>
          <w:p w14:paraId="2F3893A1">
            <w:pPr>
              <w:keepNext w:val="0"/>
              <w:keepLines w:val="0"/>
              <w:suppressLineNumbers w:val="0"/>
              <w:spacing w:before="0" w:beforeAutospacing="0" w:after="0" w:afterAutospacing="0" w:line="360" w:lineRule="auto"/>
              <w:ind w:left="0" w:right="0" w:firstLine="480" w:firstLineChars="200"/>
              <w:rPr>
                <w:rFonts w:hint="default" w:hAnsi="宋体"/>
                <w:color w:val="auto"/>
                <w:sz w:val="24"/>
              </w:rPr>
            </w:pPr>
            <w:r>
              <w:rPr>
                <w:rFonts w:hint="default"/>
                <w:color w:val="auto"/>
                <w:sz w:val="24"/>
              </w:rPr>
              <w:t>M—</w:t>
            </w:r>
            <w:r>
              <w:rPr>
                <w:rFonts w:hint="default" w:hAnsi="宋体"/>
                <w:color w:val="auto"/>
                <w:sz w:val="24"/>
              </w:rPr>
              <w:t>等效室外声源个数。</w:t>
            </w:r>
          </w:p>
          <w:p w14:paraId="4BFE6A9F">
            <w:pPr>
              <w:keepNext w:val="0"/>
              <w:keepLines w:val="0"/>
              <w:suppressLineNumbers w:val="0"/>
              <w:spacing w:before="0" w:beforeAutospacing="0" w:after="0" w:afterAutospacing="0" w:line="360" w:lineRule="auto"/>
              <w:ind w:left="0" w:right="0" w:firstLine="480" w:firstLineChars="200"/>
              <w:rPr>
                <w:rFonts w:hint="default" w:hAnsi="宋体"/>
                <w:color w:val="auto"/>
                <w:sz w:val="24"/>
              </w:rPr>
            </w:pPr>
            <w:r>
              <w:rPr>
                <w:rFonts w:hint="eastAsia" w:hAnsi="宋体"/>
                <w:color w:val="auto"/>
                <w:sz w:val="24"/>
              </w:rPr>
              <w:t>④预测结果及评价</w:t>
            </w:r>
          </w:p>
          <w:p w14:paraId="56BD75B1">
            <w:pPr>
              <w:keepNext w:val="0"/>
              <w:keepLines w:val="0"/>
              <w:suppressLineNumbers w:val="0"/>
              <w:spacing w:before="0" w:beforeAutospacing="0" w:after="0" w:afterAutospacing="0" w:line="360" w:lineRule="auto"/>
              <w:ind w:left="0" w:right="0" w:firstLine="480" w:firstLineChars="200"/>
              <w:rPr>
                <w:rFonts w:hint="default"/>
                <w:color w:val="auto"/>
                <w:spacing w:val="-4"/>
                <w:sz w:val="24"/>
                <w:szCs w:val="24"/>
              </w:rPr>
            </w:pPr>
            <w:r>
              <w:rPr>
                <w:rFonts w:hint="eastAsia" w:hAnsi="宋体"/>
                <w:color w:val="auto"/>
                <w:sz w:val="24"/>
              </w:rPr>
              <w:t>根据项目设备噪声源强分布，利用上述的噪声预测模式，预测本工程的主要设备噪声源在采取相应的降噪措施后对厂界环境噪声的贡献值，得出预测结果见下表。</w:t>
            </w:r>
          </w:p>
          <w:p w14:paraId="680A05E9">
            <w:pPr>
              <w:keepNext w:val="0"/>
              <w:keepLines w:val="0"/>
              <w:suppressLineNumbers w:val="0"/>
              <w:spacing w:before="0" w:beforeAutospacing="0" w:after="0" w:afterAutospacing="0" w:line="360" w:lineRule="auto"/>
              <w:ind w:left="0" w:right="0" w:firstLine="464" w:firstLineChars="200"/>
              <w:rPr>
                <w:rFonts w:hint="default"/>
                <w:color w:val="auto"/>
                <w:spacing w:val="-4"/>
                <w:sz w:val="24"/>
                <w:szCs w:val="24"/>
              </w:rPr>
            </w:pPr>
            <w:r>
              <w:rPr>
                <w:rFonts w:hint="eastAsia"/>
                <w:color w:val="auto"/>
                <w:spacing w:val="-4"/>
                <w:sz w:val="24"/>
                <w:szCs w:val="24"/>
              </w:rPr>
              <w:t>根据预测模式计算出噪声源传播至</w:t>
            </w:r>
            <w:r>
              <w:rPr>
                <w:rFonts w:hint="eastAsia"/>
                <w:color w:val="auto"/>
                <w:spacing w:val="-4"/>
                <w:sz w:val="24"/>
                <w:szCs w:val="24"/>
                <w:lang w:val="en-US" w:eastAsia="zh-CN"/>
              </w:rPr>
              <w:t>厂房外</w:t>
            </w:r>
            <w:r>
              <w:rPr>
                <w:rFonts w:hint="default"/>
                <w:color w:val="auto"/>
                <w:spacing w:val="-4"/>
                <w:sz w:val="24"/>
                <w:szCs w:val="24"/>
              </w:rPr>
              <w:t>1m</w:t>
            </w:r>
            <w:r>
              <w:rPr>
                <w:rFonts w:hint="eastAsia"/>
                <w:color w:val="auto"/>
                <w:spacing w:val="-4"/>
                <w:sz w:val="24"/>
                <w:szCs w:val="24"/>
              </w:rPr>
              <w:t>处噪声值，结果见下表：</w:t>
            </w:r>
          </w:p>
          <w:p w14:paraId="0E7A7B0B">
            <w:pPr>
              <w:keepNext w:val="0"/>
              <w:keepLines w:val="0"/>
              <w:suppressLineNumbers w:val="0"/>
              <w:spacing w:before="0" w:beforeAutospacing="0" w:after="0" w:afterAutospacing="0" w:line="360" w:lineRule="auto"/>
              <w:ind w:left="0" w:right="0"/>
              <w:jc w:val="center"/>
              <w:rPr>
                <w:rFonts w:hint="default" w:eastAsia="黑体"/>
                <w:color w:val="auto"/>
                <w:szCs w:val="21"/>
              </w:rPr>
            </w:pPr>
            <w:r>
              <w:rPr>
                <w:rFonts w:hint="eastAsia" w:hAnsi="黑体" w:eastAsia="黑体"/>
                <w:color w:val="auto"/>
                <w:sz w:val="24"/>
                <w:szCs w:val="24"/>
              </w:rPr>
              <w:t>表</w:t>
            </w:r>
            <w:r>
              <w:rPr>
                <w:rFonts w:hint="eastAsia" w:hAnsi="黑体" w:eastAsia="黑体"/>
                <w:color w:val="auto"/>
                <w:sz w:val="24"/>
                <w:szCs w:val="24"/>
                <w:lang w:val="en-US" w:eastAsia="zh-CN"/>
              </w:rPr>
              <w:t>4-16</w:t>
            </w:r>
            <w:r>
              <w:rPr>
                <w:rFonts w:hint="default" w:hAnsi="黑体" w:eastAsia="黑体"/>
                <w:color w:val="auto"/>
                <w:sz w:val="24"/>
                <w:szCs w:val="24"/>
              </w:rPr>
              <w:t xml:space="preserve"> </w:t>
            </w:r>
            <w:r>
              <w:rPr>
                <w:rFonts w:hint="eastAsia" w:hAnsi="黑体" w:eastAsia="黑体"/>
                <w:color w:val="auto"/>
                <w:sz w:val="24"/>
                <w:szCs w:val="24"/>
              </w:rPr>
              <w:t>项目噪声预测结果</w:t>
            </w:r>
            <w:r>
              <w:rPr>
                <w:rFonts w:hint="eastAsia" w:hAnsi="黑体" w:eastAsia="黑体"/>
                <w:color w:val="auto"/>
                <w:sz w:val="24"/>
                <w:szCs w:val="24"/>
                <w:lang w:val="en-US" w:eastAsia="zh-CN"/>
              </w:rPr>
              <w:t xml:space="preserve"> </w:t>
            </w:r>
            <w:r>
              <w:rPr>
                <w:rFonts w:hint="eastAsia" w:hAnsi="黑体" w:eastAsia="黑体"/>
                <w:color w:val="auto"/>
                <w:sz w:val="24"/>
                <w:szCs w:val="24"/>
              </w:rPr>
              <w:t>单位</w:t>
            </w:r>
            <w:r>
              <w:rPr>
                <w:rFonts w:hint="default" w:hAnsi="黑体" w:eastAsia="黑体"/>
                <w:color w:val="auto"/>
                <w:sz w:val="24"/>
                <w:szCs w:val="24"/>
              </w:rPr>
              <w:t>dB</w:t>
            </w:r>
            <w:r>
              <w:rPr>
                <w:rFonts w:hint="eastAsia" w:hAnsi="黑体" w:eastAsia="黑体"/>
                <w:color w:val="auto"/>
                <w:sz w:val="24"/>
                <w:szCs w:val="24"/>
              </w:rPr>
              <w:t>（</w:t>
            </w:r>
            <w:r>
              <w:rPr>
                <w:rFonts w:hint="default" w:hAnsi="黑体" w:eastAsia="黑体"/>
                <w:color w:val="auto"/>
                <w:sz w:val="24"/>
                <w:szCs w:val="24"/>
              </w:rPr>
              <w:t>A</w:t>
            </w:r>
            <w:r>
              <w:rPr>
                <w:rFonts w:hint="eastAsia" w:hAnsi="黑体" w:eastAsia="黑体"/>
                <w:color w:val="auto"/>
                <w:sz w:val="24"/>
                <w:szCs w:val="24"/>
              </w:rPr>
              <w:t>）</w:t>
            </w:r>
          </w:p>
          <w:tbl>
            <w:tblPr>
              <w:tblStyle w:val="37"/>
              <w:tblW w:w="8018" w:type="dxa"/>
              <w:jc w:val="center"/>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Layout w:type="fixed"/>
              <w:tblCellMar>
                <w:top w:w="0" w:type="dxa"/>
                <w:left w:w="108" w:type="dxa"/>
                <w:bottom w:w="0" w:type="dxa"/>
                <w:right w:w="108" w:type="dxa"/>
              </w:tblCellMar>
            </w:tblPr>
            <w:tblGrid>
              <w:gridCol w:w="947"/>
              <w:gridCol w:w="807"/>
              <w:gridCol w:w="1048"/>
              <w:gridCol w:w="1036"/>
              <w:gridCol w:w="1049"/>
              <w:gridCol w:w="1040"/>
              <w:gridCol w:w="1048"/>
              <w:gridCol w:w="1043"/>
            </w:tblGrid>
            <w:tr w14:paraId="60A60766">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189" w:hRule="atLeast"/>
                <w:jc w:val="center"/>
              </w:trPr>
              <w:tc>
                <w:tcPr>
                  <w:tcW w:w="591" w:type="pct"/>
                  <w:vMerge w:val="restart"/>
                  <w:vAlign w:val="center"/>
                </w:tcPr>
                <w:p w14:paraId="7EBE2646">
                  <w:pPr>
                    <w:pStyle w:val="12"/>
                    <w:keepNext w:val="0"/>
                    <w:keepLines w:val="0"/>
                    <w:suppressLineNumbers w:val="0"/>
                    <w:spacing w:before="0" w:beforeAutospacing="0" w:after="0" w:afterAutospacing="0" w:line="276" w:lineRule="auto"/>
                    <w:ind w:left="0" w:leftChars="0" w:right="0"/>
                    <w:jc w:val="center"/>
                    <w:rPr>
                      <w:rFonts w:hint="default"/>
                      <w:b/>
                      <w:bCs/>
                      <w:color w:val="auto"/>
                      <w:szCs w:val="21"/>
                    </w:rPr>
                  </w:pPr>
                  <w:r>
                    <w:rPr>
                      <w:rFonts w:hint="eastAsia"/>
                      <w:b/>
                      <w:bCs/>
                      <w:color w:val="auto"/>
                      <w:szCs w:val="21"/>
                    </w:rPr>
                    <w:t>预测点</w:t>
                  </w:r>
                </w:p>
              </w:tc>
              <w:tc>
                <w:tcPr>
                  <w:tcW w:w="1156" w:type="pct"/>
                  <w:gridSpan w:val="2"/>
                  <w:vAlign w:val="center"/>
                </w:tcPr>
                <w:p w14:paraId="4785B642">
                  <w:pPr>
                    <w:pStyle w:val="12"/>
                    <w:keepNext w:val="0"/>
                    <w:keepLines w:val="0"/>
                    <w:suppressLineNumbers w:val="0"/>
                    <w:spacing w:before="0" w:beforeAutospacing="0" w:after="0" w:afterAutospacing="0" w:line="276" w:lineRule="auto"/>
                    <w:ind w:left="0" w:leftChars="0" w:right="0"/>
                    <w:jc w:val="center"/>
                    <w:rPr>
                      <w:rFonts w:hint="default"/>
                      <w:b/>
                      <w:bCs/>
                      <w:color w:val="auto"/>
                      <w:szCs w:val="21"/>
                    </w:rPr>
                  </w:pPr>
                  <w:r>
                    <w:rPr>
                      <w:rFonts w:hint="eastAsia"/>
                      <w:b/>
                      <w:bCs/>
                      <w:color w:val="auto"/>
                      <w:szCs w:val="21"/>
                      <w:lang w:val="en-US" w:eastAsia="zh-CN"/>
                    </w:rPr>
                    <w:t>现状</w:t>
                  </w:r>
                  <w:r>
                    <w:rPr>
                      <w:rFonts w:hint="eastAsia"/>
                      <w:b/>
                      <w:bCs/>
                      <w:color w:val="auto"/>
                      <w:szCs w:val="21"/>
                    </w:rPr>
                    <w:t>值</w:t>
                  </w:r>
                </w:p>
              </w:tc>
              <w:tc>
                <w:tcPr>
                  <w:tcW w:w="1300" w:type="pct"/>
                  <w:gridSpan w:val="2"/>
                  <w:vAlign w:val="center"/>
                </w:tcPr>
                <w:p w14:paraId="536AF6B8">
                  <w:pPr>
                    <w:pStyle w:val="12"/>
                    <w:keepNext w:val="0"/>
                    <w:keepLines w:val="0"/>
                    <w:suppressLineNumbers w:val="0"/>
                    <w:spacing w:before="0" w:beforeAutospacing="0" w:after="0" w:afterAutospacing="0" w:line="276" w:lineRule="auto"/>
                    <w:ind w:left="0" w:leftChars="0" w:right="0"/>
                    <w:jc w:val="center"/>
                    <w:rPr>
                      <w:rFonts w:hint="default"/>
                      <w:b/>
                      <w:bCs/>
                      <w:color w:val="auto"/>
                      <w:szCs w:val="21"/>
                      <w:highlight w:val="none"/>
                    </w:rPr>
                  </w:pPr>
                  <w:r>
                    <w:rPr>
                      <w:rFonts w:hint="eastAsia"/>
                      <w:b/>
                      <w:bCs/>
                      <w:color w:val="auto"/>
                      <w:szCs w:val="21"/>
                      <w:highlight w:val="none"/>
                    </w:rPr>
                    <w:t>贡献值</w:t>
                  </w:r>
                </w:p>
              </w:tc>
              <w:tc>
                <w:tcPr>
                  <w:tcW w:w="1301" w:type="pct"/>
                  <w:gridSpan w:val="2"/>
                  <w:vAlign w:val="center"/>
                </w:tcPr>
                <w:p w14:paraId="4F7CD1DA">
                  <w:pPr>
                    <w:pStyle w:val="12"/>
                    <w:keepNext w:val="0"/>
                    <w:keepLines w:val="0"/>
                    <w:suppressLineNumbers w:val="0"/>
                    <w:spacing w:before="0" w:beforeAutospacing="0" w:after="0" w:afterAutospacing="0" w:line="276" w:lineRule="auto"/>
                    <w:ind w:left="0" w:leftChars="0" w:right="0"/>
                    <w:jc w:val="center"/>
                    <w:rPr>
                      <w:rFonts w:hint="default"/>
                      <w:b/>
                      <w:bCs/>
                      <w:color w:val="auto"/>
                      <w:szCs w:val="21"/>
                      <w:highlight w:val="none"/>
                    </w:rPr>
                  </w:pPr>
                  <w:r>
                    <w:rPr>
                      <w:rFonts w:hint="eastAsia"/>
                      <w:b/>
                      <w:bCs/>
                      <w:color w:val="auto"/>
                      <w:szCs w:val="21"/>
                      <w:highlight w:val="none"/>
                    </w:rPr>
                    <w:t>预测值</w:t>
                  </w:r>
                </w:p>
              </w:tc>
              <w:tc>
                <w:tcPr>
                  <w:tcW w:w="650" w:type="pct"/>
                  <w:vMerge w:val="restart"/>
                  <w:vAlign w:val="center"/>
                </w:tcPr>
                <w:p w14:paraId="739D47C5">
                  <w:pPr>
                    <w:pStyle w:val="12"/>
                    <w:keepNext w:val="0"/>
                    <w:keepLines w:val="0"/>
                    <w:suppressLineNumbers w:val="0"/>
                    <w:spacing w:before="0" w:beforeAutospacing="0" w:after="0" w:afterAutospacing="0" w:line="276" w:lineRule="auto"/>
                    <w:ind w:left="0" w:leftChars="0" w:right="0"/>
                    <w:jc w:val="center"/>
                    <w:rPr>
                      <w:rFonts w:hint="eastAsia"/>
                      <w:b/>
                      <w:bCs/>
                      <w:color w:val="auto"/>
                      <w:szCs w:val="21"/>
                      <w:highlight w:val="none"/>
                    </w:rPr>
                  </w:pPr>
                  <w:r>
                    <w:rPr>
                      <w:rFonts w:hint="eastAsia"/>
                      <w:b/>
                      <w:bCs/>
                      <w:color w:val="auto"/>
                      <w:szCs w:val="21"/>
                      <w:highlight w:val="none"/>
                    </w:rPr>
                    <w:t>达标</w:t>
                  </w:r>
                </w:p>
                <w:p w14:paraId="0B09C183">
                  <w:pPr>
                    <w:pStyle w:val="12"/>
                    <w:keepNext w:val="0"/>
                    <w:keepLines w:val="0"/>
                    <w:suppressLineNumbers w:val="0"/>
                    <w:spacing w:before="0" w:beforeAutospacing="0" w:after="0" w:afterAutospacing="0" w:line="276" w:lineRule="auto"/>
                    <w:ind w:left="0" w:leftChars="0" w:right="0"/>
                    <w:jc w:val="center"/>
                    <w:rPr>
                      <w:rFonts w:hint="default"/>
                      <w:b/>
                      <w:bCs/>
                      <w:color w:val="auto"/>
                      <w:szCs w:val="21"/>
                      <w:highlight w:val="none"/>
                    </w:rPr>
                  </w:pPr>
                  <w:r>
                    <w:rPr>
                      <w:rFonts w:hint="eastAsia"/>
                      <w:b/>
                      <w:bCs/>
                      <w:color w:val="auto"/>
                      <w:szCs w:val="21"/>
                      <w:highlight w:val="none"/>
                    </w:rPr>
                    <w:t>情况</w:t>
                  </w:r>
                </w:p>
              </w:tc>
            </w:tr>
            <w:tr w14:paraId="1F73A2AB">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184" w:hRule="atLeast"/>
                <w:jc w:val="center"/>
              </w:trPr>
              <w:tc>
                <w:tcPr>
                  <w:tcW w:w="591" w:type="pct"/>
                  <w:vMerge w:val="continue"/>
                  <w:vAlign w:val="center"/>
                </w:tcPr>
                <w:p w14:paraId="21D63409">
                  <w:pPr>
                    <w:keepNext w:val="0"/>
                    <w:keepLines w:val="0"/>
                    <w:widowControl/>
                    <w:suppressLineNumbers w:val="0"/>
                    <w:spacing w:before="0" w:beforeAutospacing="0" w:after="0" w:afterAutospacing="0" w:line="276" w:lineRule="auto"/>
                    <w:ind w:left="0" w:right="0"/>
                    <w:jc w:val="left"/>
                    <w:rPr>
                      <w:rFonts w:hint="default"/>
                      <w:b/>
                      <w:bCs/>
                      <w:color w:val="auto"/>
                      <w:szCs w:val="21"/>
                    </w:rPr>
                  </w:pPr>
                </w:p>
              </w:tc>
              <w:tc>
                <w:tcPr>
                  <w:tcW w:w="503" w:type="pct"/>
                  <w:vAlign w:val="center"/>
                </w:tcPr>
                <w:p w14:paraId="03299D9A">
                  <w:pPr>
                    <w:pStyle w:val="12"/>
                    <w:keepNext w:val="0"/>
                    <w:keepLines w:val="0"/>
                    <w:suppressLineNumbers w:val="0"/>
                    <w:spacing w:before="0" w:beforeAutospacing="0" w:after="0" w:afterAutospacing="0" w:line="276" w:lineRule="auto"/>
                    <w:ind w:left="0" w:leftChars="0" w:right="0"/>
                    <w:jc w:val="center"/>
                    <w:rPr>
                      <w:rFonts w:hint="default"/>
                      <w:b/>
                      <w:bCs/>
                      <w:color w:val="auto"/>
                      <w:szCs w:val="21"/>
                    </w:rPr>
                  </w:pPr>
                  <w:r>
                    <w:rPr>
                      <w:rFonts w:hint="eastAsia"/>
                      <w:b/>
                      <w:bCs/>
                      <w:color w:val="auto"/>
                      <w:szCs w:val="21"/>
                    </w:rPr>
                    <w:t>昼间</w:t>
                  </w:r>
                </w:p>
              </w:tc>
              <w:tc>
                <w:tcPr>
                  <w:tcW w:w="652" w:type="pct"/>
                  <w:vAlign w:val="center"/>
                </w:tcPr>
                <w:p w14:paraId="2C3776A8">
                  <w:pPr>
                    <w:pStyle w:val="12"/>
                    <w:keepNext w:val="0"/>
                    <w:keepLines w:val="0"/>
                    <w:suppressLineNumbers w:val="0"/>
                    <w:spacing w:before="0" w:beforeAutospacing="0" w:after="0" w:afterAutospacing="0" w:line="276" w:lineRule="auto"/>
                    <w:ind w:left="0" w:leftChars="0" w:right="0"/>
                    <w:jc w:val="center"/>
                    <w:rPr>
                      <w:rFonts w:hint="default"/>
                      <w:b/>
                      <w:bCs/>
                      <w:color w:val="auto"/>
                      <w:szCs w:val="21"/>
                    </w:rPr>
                  </w:pPr>
                  <w:r>
                    <w:rPr>
                      <w:rFonts w:hint="eastAsia"/>
                      <w:b/>
                      <w:bCs/>
                      <w:color w:val="auto"/>
                      <w:szCs w:val="21"/>
                    </w:rPr>
                    <w:t>夜间</w:t>
                  </w:r>
                </w:p>
              </w:tc>
              <w:tc>
                <w:tcPr>
                  <w:tcW w:w="646" w:type="pct"/>
                  <w:vAlign w:val="center"/>
                </w:tcPr>
                <w:p w14:paraId="165796E6">
                  <w:pPr>
                    <w:pStyle w:val="12"/>
                    <w:keepNext w:val="0"/>
                    <w:keepLines w:val="0"/>
                    <w:suppressLineNumbers w:val="0"/>
                    <w:spacing w:before="0" w:beforeAutospacing="0" w:after="0" w:afterAutospacing="0" w:line="276" w:lineRule="auto"/>
                    <w:ind w:left="0" w:leftChars="0" w:right="0"/>
                    <w:jc w:val="center"/>
                    <w:rPr>
                      <w:rFonts w:hint="default"/>
                      <w:b/>
                      <w:bCs/>
                      <w:color w:val="auto"/>
                      <w:szCs w:val="21"/>
                      <w:highlight w:val="none"/>
                    </w:rPr>
                  </w:pPr>
                  <w:r>
                    <w:rPr>
                      <w:rFonts w:hint="eastAsia"/>
                      <w:b/>
                      <w:bCs/>
                      <w:color w:val="auto"/>
                      <w:szCs w:val="21"/>
                      <w:highlight w:val="none"/>
                    </w:rPr>
                    <w:t>昼间</w:t>
                  </w:r>
                </w:p>
              </w:tc>
              <w:tc>
                <w:tcPr>
                  <w:tcW w:w="653" w:type="pct"/>
                  <w:vAlign w:val="center"/>
                </w:tcPr>
                <w:p w14:paraId="7263976D">
                  <w:pPr>
                    <w:pStyle w:val="12"/>
                    <w:keepNext w:val="0"/>
                    <w:keepLines w:val="0"/>
                    <w:suppressLineNumbers w:val="0"/>
                    <w:spacing w:before="0" w:beforeAutospacing="0" w:after="0" w:afterAutospacing="0" w:line="276" w:lineRule="auto"/>
                    <w:ind w:left="0" w:leftChars="0" w:right="0"/>
                    <w:jc w:val="center"/>
                    <w:rPr>
                      <w:rFonts w:hint="default"/>
                      <w:b/>
                      <w:bCs/>
                      <w:color w:val="auto"/>
                      <w:szCs w:val="21"/>
                      <w:highlight w:val="none"/>
                    </w:rPr>
                  </w:pPr>
                  <w:r>
                    <w:rPr>
                      <w:rFonts w:hint="eastAsia"/>
                      <w:b/>
                      <w:bCs/>
                      <w:color w:val="auto"/>
                      <w:szCs w:val="21"/>
                      <w:highlight w:val="none"/>
                    </w:rPr>
                    <w:t>夜间</w:t>
                  </w:r>
                </w:p>
              </w:tc>
              <w:tc>
                <w:tcPr>
                  <w:tcW w:w="648" w:type="pct"/>
                  <w:vAlign w:val="center"/>
                </w:tcPr>
                <w:p w14:paraId="5B4F09D3">
                  <w:pPr>
                    <w:pStyle w:val="12"/>
                    <w:keepNext w:val="0"/>
                    <w:keepLines w:val="0"/>
                    <w:suppressLineNumbers w:val="0"/>
                    <w:spacing w:before="0" w:beforeAutospacing="0" w:after="0" w:afterAutospacing="0" w:line="276" w:lineRule="auto"/>
                    <w:ind w:left="0" w:leftChars="0" w:right="0"/>
                    <w:jc w:val="center"/>
                    <w:rPr>
                      <w:rFonts w:hint="default"/>
                      <w:b/>
                      <w:bCs/>
                      <w:color w:val="auto"/>
                      <w:szCs w:val="21"/>
                      <w:highlight w:val="none"/>
                    </w:rPr>
                  </w:pPr>
                  <w:r>
                    <w:rPr>
                      <w:rFonts w:hint="eastAsia"/>
                      <w:b/>
                      <w:bCs/>
                      <w:color w:val="auto"/>
                      <w:szCs w:val="21"/>
                      <w:highlight w:val="none"/>
                    </w:rPr>
                    <w:t>昼间</w:t>
                  </w:r>
                </w:p>
              </w:tc>
              <w:tc>
                <w:tcPr>
                  <w:tcW w:w="652" w:type="pct"/>
                  <w:vAlign w:val="center"/>
                </w:tcPr>
                <w:p w14:paraId="5831B849">
                  <w:pPr>
                    <w:pStyle w:val="12"/>
                    <w:keepNext w:val="0"/>
                    <w:keepLines w:val="0"/>
                    <w:suppressLineNumbers w:val="0"/>
                    <w:spacing w:before="0" w:beforeAutospacing="0" w:after="0" w:afterAutospacing="0" w:line="276" w:lineRule="auto"/>
                    <w:ind w:left="0" w:leftChars="0" w:right="0"/>
                    <w:jc w:val="center"/>
                    <w:rPr>
                      <w:rFonts w:hint="default"/>
                      <w:b/>
                      <w:bCs/>
                      <w:color w:val="auto"/>
                      <w:szCs w:val="21"/>
                      <w:highlight w:val="none"/>
                    </w:rPr>
                  </w:pPr>
                  <w:r>
                    <w:rPr>
                      <w:rFonts w:hint="eastAsia"/>
                      <w:b/>
                      <w:bCs/>
                      <w:color w:val="auto"/>
                      <w:szCs w:val="21"/>
                      <w:highlight w:val="none"/>
                    </w:rPr>
                    <w:t>夜间</w:t>
                  </w:r>
                </w:p>
              </w:tc>
              <w:tc>
                <w:tcPr>
                  <w:tcW w:w="650" w:type="pct"/>
                  <w:vMerge w:val="continue"/>
                  <w:vAlign w:val="center"/>
                </w:tcPr>
                <w:p w14:paraId="2120C48D">
                  <w:pPr>
                    <w:pStyle w:val="12"/>
                    <w:keepNext w:val="0"/>
                    <w:keepLines w:val="0"/>
                    <w:suppressLineNumbers w:val="0"/>
                    <w:spacing w:before="0" w:beforeAutospacing="0" w:after="0" w:afterAutospacing="0" w:line="276" w:lineRule="auto"/>
                    <w:ind w:left="0" w:leftChars="0" w:right="0"/>
                    <w:jc w:val="center"/>
                    <w:rPr>
                      <w:rFonts w:hint="default"/>
                      <w:b/>
                      <w:bCs/>
                      <w:color w:val="auto"/>
                      <w:szCs w:val="21"/>
                      <w:highlight w:val="none"/>
                    </w:rPr>
                  </w:pPr>
                </w:p>
              </w:tc>
            </w:tr>
            <w:tr w14:paraId="5CC9E4CF">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268" w:hRule="atLeast"/>
                <w:jc w:val="center"/>
              </w:trPr>
              <w:tc>
                <w:tcPr>
                  <w:tcW w:w="591" w:type="pct"/>
                  <w:vAlign w:val="center"/>
                </w:tcPr>
                <w:p w14:paraId="2CFFCA97">
                  <w:pPr>
                    <w:pStyle w:val="12"/>
                    <w:keepNext w:val="0"/>
                    <w:keepLines w:val="0"/>
                    <w:suppressLineNumbers w:val="0"/>
                    <w:spacing w:before="0" w:beforeAutospacing="0" w:after="0" w:afterAutospacing="0" w:line="276" w:lineRule="auto"/>
                    <w:ind w:left="0" w:leftChars="0" w:right="0"/>
                    <w:jc w:val="center"/>
                    <w:rPr>
                      <w:rFonts w:hint="default"/>
                      <w:color w:val="auto"/>
                      <w:szCs w:val="21"/>
                    </w:rPr>
                  </w:pPr>
                  <w:r>
                    <w:rPr>
                      <w:rFonts w:hint="eastAsia"/>
                      <w:color w:val="auto"/>
                      <w:szCs w:val="21"/>
                    </w:rPr>
                    <w:t>东厂界</w:t>
                  </w:r>
                </w:p>
              </w:tc>
              <w:tc>
                <w:tcPr>
                  <w:tcW w:w="503" w:type="pct"/>
                  <w:vAlign w:val="center"/>
                </w:tcPr>
                <w:p w14:paraId="0F6EB825">
                  <w:pPr>
                    <w:keepNext w:val="0"/>
                    <w:keepLines w:val="0"/>
                    <w:suppressLineNumbers w:val="0"/>
                    <w:spacing w:before="0" w:beforeAutospacing="0" w:after="0" w:afterAutospacing="0" w:line="276" w:lineRule="auto"/>
                    <w:ind w:left="0" w:right="0"/>
                    <w:jc w:val="center"/>
                    <w:rPr>
                      <w:rFonts w:hint="eastAsia" w:eastAsia="宋体"/>
                      <w:color w:val="auto"/>
                      <w:szCs w:val="21"/>
                      <w:lang w:val="en-US" w:eastAsia="zh-CN"/>
                    </w:rPr>
                  </w:pPr>
                  <w:r>
                    <w:rPr>
                      <w:rFonts w:hint="eastAsia"/>
                      <w:color w:val="auto"/>
                      <w:szCs w:val="21"/>
                      <w:lang w:val="en-US" w:eastAsia="zh-CN"/>
                    </w:rPr>
                    <w:t>/</w:t>
                  </w:r>
                </w:p>
              </w:tc>
              <w:tc>
                <w:tcPr>
                  <w:tcW w:w="652" w:type="pct"/>
                  <w:vAlign w:val="center"/>
                </w:tcPr>
                <w:p w14:paraId="52282FE3">
                  <w:pPr>
                    <w:keepNext w:val="0"/>
                    <w:keepLines w:val="0"/>
                    <w:suppressLineNumbers w:val="0"/>
                    <w:spacing w:before="0" w:beforeAutospacing="0" w:after="0" w:afterAutospacing="0" w:line="276" w:lineRule="auto"/>
                    <w:ind w:left="0" w:right="0"/>
                    <w:jc w:val="center"/>
                    <w:rPr>
                      <w:rFonts w:hint="eastAsia" w:eastAsia="宋体"/>
                      <w:color w:val="auto"/>
                      <w:szCs w:val="21"/>
                      <w:lang w:val="en-US" w:eastAsia="zh-CN"/>
                    </w:rPr>
                  </w:pPr>
                  <w:r>
                    <w:rPr>
                      <w:rFonts w:hint="eastAsia"/>
                      <w:color w:val="auto"/>
                      <w:szCs w:val="21"/>
                      <w:lang w:val="en-US" w:eastAsia="zh-CN"/>
                    </w:rPr>
                    <w:t>/</w:t>
                  </w:r>
                </w:p>
              </w:tc>
              <w:tc>
                <w:tcPr>
                  <w:tcW w:w="646" w:type="pct"/>
                  <w:vAlign w:val="center"/>
                </w:tcPr>
                <w:p w14:paraId="4A7EC084">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48.6</w:t>
                  </w:r>
                </w:p>
              </w:tc>
              <w:tc>
                <w:tcPr>
                  <w:tcW w:w="1048" w:type="dxa"/>
                  <w:vAlign w:val="center"/>
                </w:tcPr>
                <w:p w14:paraId="57B7B8E3">
                  <w:pPr>
                    <w:keepNext w:val="0"/>
                    <w:keepLines w:val="0"/>
                    <w:suppressLineNumbers w:val="0"/>
                    <w:spacing w:before="0" w:beforeAutospacing="0" w:after="0" w:afterAutospacing="0" w:line="276" w:lineRule="auto"/>
                    <w:ind w:left="0" w:leftChars="0" w:right="0" w:rightChars="0"/>
                    <w:jc w:val="center"/>
                    <w:rPr>
                      <w:rFonts w:hint="default" w:eastAsia="宋体"/>
                      <w:color w:val="auto"/>
                      <w:szCs w:val="21"/>
                      <w:lang w:val="en-US" w:eastAsia="zh-CN"/>
                    </w:rPr>
                  </w:pPr>
                  <w:r>
                    <w:rPr>
                      <w:rFonts w:hint="eastAsia"/>
                      <w:color w:val="auto"/>
                      <w:szCs w:val="21"/>
                      <w:lang w:val="en-US" w:eastAsia="zh-CN"/>
                    </w:rPr>
                    <w:t>48.6</w:t>
                  </w:r>
                </w:p>
              </w:tc>
              <w:tc>
                <w:tcPr>
                  <w:tcW w:w="1040" w:type="dxa"/>
                  <w:vAlign w:val="center"/>
                </w:tcPr>
                <w:p w14:paraId="3BAE6743">
                  <w:pPr>
                    <w:keepNext w:val="0"/>
                    <w:keepLines w:val="0"/>
                    <w:suppressLineNumbers w:val="0"/>
                    <w:spacing w:before="0" w:beforeAutospacing="0" w:after="0" w:afterAutospacing="0" w:line="276" w:lineRule="auto"/>
                    <w:ind w:left="0" w:leftChars="0" w:right="0" w:rightChars="0"/>
                    <w:jc w:val="center"/>
                    <w:rPr>
                      <w:rFonts w:hint="default" w:eastAsia="宋体"/>
                      <w:color w:val="auto"/>
                      <w:szCs w:val="21"/>
                      <w:highlight w:val="none"/>
                      <w:lang w:val="en-US" w:eastAsia="zh-CN"/>
                    </w:rPr>
                  </w:pPr>
                  <w:r>
                    <w:rPr>
                      <w:rFonts w:hint="eastAsia"/>
                      <w:color w:val="auto"/>
                      <w:szCs w:val="21"/>
                      <w:lang w:val="en-US" w:eastAsia="zh-CN"/>
                    </w:rPr>
                    <w:t>48.6</w:t>
                  </w:r>
                </w:p>
              </w:tc>
              <w:tc>
                <w:tcPr>
                  <w:tcW w:w="1048" w:type="dxa"/>
                  <w:vAlign w:val="center"/>
                </w:tcPr>
                <w:p w14:paraId="09E9409A">
                  <w:pPr>
                    <w:keepNext w:val="0"/>
                    <w:keepLines w:val="0"/>
                    <w:suppressLineNumbers w:val="0"/>
                    <w:spacing w:before="0" w:beforeAutospacing="0" w:after="0" w:afterAutospacing="0" w:line="276" w:lineRule="auto"/>
                    <w:ind w:left="0" w:leftChars="0" w:right="0" w:rightChars="0"/>
                    <w:jc w:val="center"/>
                    <w:rPr>
                      <w:rFonts w:hint="default" w:eastAsia="宋体"/>
                      <w:color w:val="auto"/>
                      <w:szCs w:val="21"/>
                      <w:highlight w:val="none"/>
                      <w:lang w:val="en-US" w:eastAsia="zh-CN"/>
                    </w:rPr>
                  </w:pPr>
                  <w:r>
                    <w:rPr>
                      <w:rFonts w:hint="eastAsia"/>
                      <w:color w:val="auto"/>
                      <w:szCs w:val="21"/>
                      <w:lang w:val="en-US" w:eastAsia="zh-CN"/>
                    </w:rPr>
                    <w:t>48.6</w:t>
                  </w:r>
                </w:p>
              </w:tc>
              <w:tc>
                <w:tcPr>
                  <w:tcW w:w="650" w:type="pct"/>
                  <w:vAlign w:val="center"/>
                </w:tcPr>
                <w:p w14:paraId="5BC09A78">
                  <w:pPr>
                    <w:keepNext w:val="0"/>
                    <w:keepLines w:val="0"/>
                    <w:suppressLineNumbers w:val="0"/>
                    <w:spacing w:before="0" w:beforeAutospacing="0" w:after="0" w:afterAutospacing="0" w:line="276" w:lineRule="auto"/>
                    <w:ind w:left="0" w:right="0"/>
                    <w:jc w:val="center"/>
                    <w:rPr>
                      <w:rFonts w:hint="default"/>
                      <w:color w:val="auto"/>
                      <w:szCs w:val="21"/>
                      <w:highlight w:val="none"/>
                    </w:rPr>
                  </w:pPr>
                  <w:r>
                    <w:rPr>
                      <w:rFonts w:hint="default"/>
                      <w:color w:val="auto"/>
                      <w:szCs w:val="21"/>
                      <w:highlight w:val="none"/>
                    </w:rPr>
                    <w:t>达标</w:t>
                  </w:r>
                </w:p>
              </w:tc>
            </w:tr>
            <w:tr w14:paraId="15FB617E">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274" w:hRule="atLeast"/>
                <w:jc w:val="center"/>
              </w:trPr>
              <w:tc>
                <w:tcPr>
                  <w:tcW w:w="591" w:type="pct"/>
                  <w:vAlign w:val="center"/>
                </w:tcPr>
                <w:p w14:paraId="0DD9CE2E">
                  <w:pPr>
                    <w:pStyle w:val="12"/>
                    <w:keepNext w:val="0"/>
                    <w:keepLines w:val="0"/>
                    <w:suppressLineNumbers w:val="0"/>
                    <w:spacing w:before="0" w:beforeAutospacing="0" w:after="0" w:afterAutospacing="0" w:line="276" w:lineRule="auto"/>
                    <w:ind w:left="0" w:leftChars="0" w:right="0"/>
                    <w:jc w:val="center"/>
                    <w:rPr>
                      <w:rFonts w:hint="default"/>
                      <w:color w:val="auto"/>
                      <w:szCs w:val="21"/>
                    </w:rPr>
                  </w:pPr>
                  <w:r>
                    <w:rPr>
                      <w:rFonts w:hint="eastAsia"/>
                      <w:color w:val="auto"/>
                      <w:szCs w:val="21"/>
                    </w:rPr>
                    <w:t>南厂界</w:t>
                  </w:r>
                </w:p>
              </w:tc>
              <w:tc>
                <w:tcPr>
                  <w:tcW w:w="503" w:type="pct"/>
                  <w:vAlign w:val="center"/>
                </w:tcPr>
                <w:p w14:paraId="498F63DE">
                  <w:pPr>
                    <w:keepNext w:val="0"/>
                    <w:keepLines w:val="0"/>
                    <w:suppressLineNumbers w:val="0"/>
                    <w:spacing w:before="0" w:beforeAutospacing="0" w:after="0" w:afterAutospacing="0" w:line="276" w:lineRule="auto"/>
                    <w:ind w:left="0" w:right="0"/>
                    <w:jc w:val="center"/>
                    <w:rPr>
                      <w:rFonts w:hint="eastAsia" w:eastAsia="宋体"/>
                      <w:color w:val="auto"/>
                      <w:szCs w:val="21"/>
                      <w:lang w:val="en-US" w:eastAsia="zh-CN"/>
                    </w:rPr>
                  </w:pPr>
                  <w:r>
                    <w:rPr>
                      <w:rFonts w:hint="eastAsia"/>
                      <w:color w:val="auto"/>
                      <w:szCs w:val="21"/>
                      <w:lang w:val="en-US" w:eastAsia="zh-CN"/>
                    </w:rPr>
                    <w:t>/</w:t>
                  </w:r>
                </w:p>
              </w:tc>
              <w:tc>
                <w:tcPr>
                  <w:tcW w:w="652" w:type="pct"/>
                  <w:vAlign w:val="center"/>
                </w:tcPr>
                <w:p w14:paraId="6445ED1E">
                  <w:pPr>
                    <w:keepNext w:val="0"/>
                    <w:keepLines w:val="0"/>
                    <w:suppressLineNumbers w:val="0"/>
                    <w:spacing w:before="0" w:beforeAutospacing="0" w:after="0" w:afterAutospacing="0" w:line="276" w:lineRule="auto"/>
                    <w:ind w:left="0" w:right="0"/>
                    <w:jc w:val="center"/>
                    <w:rPr>
                      <w:rFonts w:hint="eastAsia" w:eastAsia="宋体"/>
                      <w:color w:val="auto"/>
                      <w:szCs w:val="21"/>
                      <w:lang w:val="en-US" w:eastAsia="zh-CN"/>
                    </w:rPr>
                  </w:pPr>
                  <w:r>
                    <w:rPr>
                      <w:rFonts w:hint="eastAsia"/>
                      <w:color w:val="auto"/>
                      <w:szCs w:val="21"/>
                      <w:lang w:val="en-US" w:eastAsia="zh-CN"/>
                    </w:rPr>
                    <w:t>/</w:t>
                  </w:r>
                </w:p>
              </w:tc>
              <w:tc>
                <w:tcPr>
                  <w:tcW w:w="646" w:type="pct"/>
                  <w:vAlign w:val="center"/>
                </w:tcPr>
                <w:p w14:paraId="3681D98A">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47.3</w:t>
                  </w:r>
                </w:p>
              </w:tc>
              <w:tc>
                <w:tcPr>
                  <w:tcW w:w="1048" w:type="dxa"/>
                  <w:vAlign w:val="center"/>
                </w:tcPr>
                <w:p w14:paraId="3A4A3754">
                  <w:pPr>
                    <w:keepNext w:val="0"/>
                    <w:keepLines w:val="0"/>
                    <w:suppressLineNumbers w:val="0"/>
                    <w:spacing w:before="0" w:beforeAutospacing="0" w:after="0" w:afterAutospacing="0" w:line="276" w:lineRule="auto"/>
                    <w:ind w:left="0" w:leftChars="0" w:right="0" w:rightChars="0"/>
                    <w:jc w:val="center"/>
                    <w:rPr>
                      <w:rFonts w:hint="default" w:eastAsia="宋体"/>
                      <w:color w:val="auto"/>
                      <w:szCs w:val="21"/>
                      <w:lang w:val="en-US" w:eastAsia="zh-CN"/>
                    </w:rPr>
                  </w:pPr>
                  <w:r>
                    <w:rPr>
                      <w:rFonts w:hint="eastAsia"/>
                      <w:color w:val="auto"/>
                      <w:szCs w:val="21"/>
                      <w:lang w:val="en-US" w:eastAsia="zh-CN"/>
                    </w:rPr>
                    <w:t>47.3</w:t>
                  </w:r>
                </w:p>
              </w:tc>
              <w:tc>
                <w:tcPr>
                  <w:tcW w:w="1040" w:type="dxa"/>
                  <w:vAlign w:val="center"/>
                </w:tcPr>
                <w:p w14:paraId="41609BE9">
                  <w:pPr>
                    <w:keepNext w:val="0"/>
                    <w:keepLines w:val="0"/>
                    <w:suppressLineNumbers w:val="0"/>
                    <w:spacing w:before="0" w:beforeAutospacing="0" w:after="0" w:afterAutospacing="0" w:line="276" w:lineRule="auto"/>
                    <w:ind w:left="0" w:leftChars="0" w:right="0" w:rightChars="0"/>
                    <w:jc w:val="center"/>
                    <w:rPr>
                      <w:rFonts w:hint="default" w:eastAsia="宋体"/>
                      <w:color w:val="auto"/>
                      <w:szCs w:val="21"/>
                      <w:highlight w:val="none"/>
                      <w:lang w:val="en-US" w:eastAsia="zh-CN"/>
                    </w:rPr>
                  </w:pPr>
                  <w:r>
                    <w:rPr>
                      <w:rFonts w:hint="eastAsia"/>
                      <w:color w:val="auto"/>
                      <w:szCs w:val="21"/>
                      <w:lang w:val="en-US" w:eastAsia="zh-CN"/>
                    </w:rPr>
                    <w:t>47.3</w:t>
                  </w:r>
                </w:p>
              </w:tc>
              <w:tc>
                <w:tcPr>
                  <w:tcW w:w="1048" w:type="dxa"/>
                  <w:vAlign w:val="center"/>
                </w:tcPr>
                <w:p w14:paraId="0BBAEC2B">
                  <w:pPr>
                    <w:keepNext w:val="0"/>
                    <w:keepLines w:val="0"/>
                    <w:suppressLineNumbers w:val="0"/>
                    <w:spacing w:before="0" w:beforeAutospacing="0" w:after="0" w:afterAutospacing="0" w:line="276" w:lineRule="auto"/>
                    <w:ind w:left="0" w:leftChars="0" w:right="0" w:rightChars="0"/>
                    <w:jc w:val="center"/>
                    <w:rPr>
                      <w:rFonts w:hint="default" w:eastAsia="宋体"/>
                      <w:color w:val="auto"/>
                      <w:szCs w:val="21"/>
                      <w:highlight w:val="none"/>
                      <w:lang w:val="en-US" w:eastAsia="zh-CN"/>
                    </w:rPr>
                  </w:pPr>
                  <w:r>
                    <w:rPr>
                      <w:rFonts w:hint="eastAsia"/>
                      <w:color w:val="auto"/>
                      <w:szCs w:val="21"/>
                      <w:lang w:val="en-US" w:eastAsia="zh-CN"/>
                    </w:rPr>
                    <w:t>47.3</w:t>
                  </w:r>
                </w:p>
              </w:tc>
              <w:tc>
                <w:tcPr>
                  <w:tcW w:w="650" w:type="pct"/>
                  <w:vAlign w:val="center"/>
                </w:tcPr>
                <w:p w14:paraId="5961AC0A">
                  <w:pPr>
                    <w:keepNext w:val="0"/>
                    <w:keepLines w:val="0"/>
                    <w:suppressLineNumbers w:val="0"/>
                    <w:spacing w:before="0" w:beforeAutospacing="0" w:after="0" w:afterAutospacing="0" w:line="276" w:lineRule="auto"/>
                    <w:ind w:left="0" w:right="0"/>
                    <w:jc w:val="center"/>
                    <w:rPr>
                      <w:rFonts w:hint="default"/>
                      <w:color w:val="auto"/>
                      <w:szCs w:val="21"/>
                      <w:highlight w:val="none"/>
                    </w:rPr>
                  </w:pPr>
                  <w:r>
                    <w:rPr>
                      <w:rFonts w:hint="default"/>
                      <w:color w:val="auto"/>
                      <w:szCs w:val="21"/>
                      <w:highlight w:val="none"/>
                    </w:rPr>
                    <w:t>达标</w:t>
                  </w:r>
                </w:p>
              </w:tc>
            </w:tr>
            <w:tr w14:paraId="64F6E11B">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273" w:hRule="atLeast"/>
                <w:jc w:val="center"/>
              </w:trPr>
              <w:tc>
                <w:tcPr>
                  <w:tcW w:w="591" w:type="pct"/>
                  <w:vAlign w:val="center"/>
                </w:tcPr>
                <w:p w14:paraId="6088BB3F">
                  <w:pPr>
                    <w:pStyle w:val="12"/>
                    <w:keepNext w:val="0"/>
                    <w:keepLines w:val="0"/>
                    <w:suppressLineNumbers w:val="0"/>
                    <w:spacing w:before="0" w:beforeAutospacing="0" w:after="0" w:afterAutospacing="0" w:line="276" w:lineRule="auto"/>
                    <w:ind w:left="0" w:leftChars="0" w:right="0"/>
                    <w:jc w:val="center"/>
                    <w:rPr>
                      <w:rFonts w:hint="default"/>
                      <w:color w:val="auto"/>
                      <w:szCs w:val="21"/>
                    </w:rPr>
                  </w:pPr>
                  <w:r>
                    <w:rPr>
                      <w:rFonts w:hint="eastAsia"/>
                      <w:color w:val="auto"/>
                      <w:szCs w:val="21"/>
                    </w:rPr>
                    <w:t>西厂界</w:t>
                  </w:r>
                </w:p>
              </w:tc>
              <w:tc>
                <w:tcPr>
                  <w:tcW w:w="503" w:type="pct"/>
                  <w:vAlign w:val="center"/>
                </w:tcPr>
                <w:p w14:paraId="2E227E3B">
                  <w:pPr>
                    <w:keepNext w:val="0"/>
                    <w:keepLines w:val="0"/>
                    <w:suppressLineNumbers w:val="0"/>
                    <w:spacing w:before="0" w:beforeAutospacing="0" w:after="0" w:afterAutospacing="0" w:line="276" w:lineRule="auto"/>
                    <w:ind w:left="0" w:right="0"/>
                    <w:jc w:val="center"/>
                    <w:rPr>
                      <w:rFonts w:hint="eastAsia" w:eastAsia="宋体"/>
                      <w:color w:val="auto"/>
                      <w:szCs w:val="21"/>
                      <w:lang w:val="en-US" w:eastAsia="zh-CN"/>
                    </w:rPr>
                  </w:pPr>
                  <w:r>
                    <w:rPr>
                      <w:rFonts w:hint="eastAsia"/>
                      <w:color w:val="auto"/>
                      <w:szCs w:val="21"/>
                      <w:lang w:val="en-US" w:eastAsia="zh-CN"/>
                    </w:rPr>
                    <w:t>/</w:t>
                  </w:r>
                </w:p>
              </w:tc>
              <w:tc>
                <w:tcPr>
                  <w:tcW w:w="652" w:type="pct"/>
                  <w:vAlign w:val="center"/>
                </w:tcPr>
                <w:p w14:paraId="5B4AEF0C">
                  <w:pPr>
                    <w:keepNext w:val="0"/>
                    <w:keepLines w:val="0"/>
                    <w:suppressLineNumbers w:val="0"/>
                    <w:spacing w:before="0" w:beforeAutospacing="0" w:after="0" w:afterAutospacing="0" w:line="276" w:lineRule="auto"/>
                    <w:ind w:left="0" w:right="0"/>
                    <w:jc w:val="center"/>
                    <w:rPr>
                      <w:rFonts w:hint="eastAsia" w:eastAsia="宋体"/>
                      <w:color w:val="auto"/>
                      <w:szCs w:val="21"/>
                      <w:lang w:val="en-US" w:eastAsia="zh-CN"/>
                    </w:rPr>
                  </w:pPr>
                  <w:r>
                    <w:rPr>
                      <w:rFonts w:hint="eastAsia"/>
                      <w:color w:val="auto"/>
                      <w:szCs w:val="21"/>
                      <w:lang w:val="en-US" w:eastAsia="zh-CN"/>
                    </w:rPr>
                    <w:t>/</w:t>
                  </w:r>
                </w:p>
              </w:tc>
              <w:tc>
                <w:tcPr>
                  <w:tcW w:w="646" w:type="pct"/>
                  <w:vAlign w:val="center"/>
                </w:tcPr>
                <w:p w14:paraId="6604F5D1">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47.4</w:t>
                  </w:r>
                </w:p>
              </w:tc>
              <w:tc>
                <w:tcPr>
                  <w:tcW w:w="1048" w:type="dxa"/>
                  <w:vAlign w:val="center"/>
                </w:tcPr>
                <w:p w14:paraId="3C2D6AC8">
                  <w:pPr>
                    <w:keepNext w:val="0"/>
                    <w:keepLines w:val="0"/>
                    <w:suppressLineNumbers w:val="0"/>
                    <w:spacing w:before="0" w:beforeAutospacing="0" w:after="0" w:afterAutospacing="0" w:line="276" w:lineRule="auto"/>
                    <w:ind w:left="0" w:leftChars="0" w:right="0" w:rightChars="0"/>
                    <w:jc w:val="center"/>
                    <w:rPr>
                      <w:rFonts w:hint="default" w:eastAsia="宋体"/>
                      <w:color w:val="auto"/>
                      <w:szCs w:val="21"/>
                      <w:lang w:val="en-US" w:eastAsia="zh-CN"/>
                    </w:rPr>
                  </w:pPr>
                  <w:r>
                    <w:rPr>
                      <w:rFonts w:hint="eastAsia"/>
                      <w:color w:val="auto"/>
                      <w:szCs w:val="21"/>
                      <w:lang w:val="en-US" w:eastAsia="zh-CN"/>
                    </w:rPr>
                    <w:t>47.4</w:t>
                  </w:r>
                </w:p>
              </w:tc>
              <w:tc>
                <w:tcPr>
                  <w:tcW w:w="1040" w:type="dxa"/>
                  <w:vAlign w:val="center"/>
                </w:tcPr>
                <w:p w14:paraId="54DFC435">
                  <w:pPr>
                    <w:keepNext w:val="0"/>
                    <w:keepLines w:val="0"/>
                    <w:suppressLineNumbers w:val="0"/>
                    <w:spacing w:before="0" w:beforeAutospacing="0" w:after="0" w:afterAutospacing="0" w:line="276" w:lineRule="auto"/>
                    <w:ind w:left="0" w:leftChars="0" w:right="0" w:rightChars="0"/>
                    <w:jc w:val="center"/>
                    <w:rPr>
                      <w:rFonts w:hint="default" w:eastAsia="宋体"/>
                      <w:color w:val="auto"/>
                      <w:szCs w:val="21"/>
                      <w:highlight w:val="none"/>
                      <w:lang w:val="en-US" w:eastAsia="zh-CN"/>
                    </w:rPr>
                  </w:pPr>
                  <w:r>
                    <w:rPr>
                      <w:rFonts w:hint="eastAsia"/>
                      <w:color w:val="auto"/>
                      <w:szCs w:val="21"/>
                      <w:lang w:val="en-US" w:eastAsia="zh-CN"/>
                    </w:rPr>
                    <w:t>47.4</w:t>
                  </w:r>
                </w:p>
              </w:tc>
              <w:tc>
                <w:tcPr>
                  <w:tcW w:w="1048" w:type="dxa"/>
                  <w:vAlign w:val="center"/>
                </w:tcPr>
                <w:p w14:paraId="23767C59">
                  <w:pPr>
                    <w:keepNext w:val="0"/>
                    <w:keepLines w:val="0"/>
                    <w:suppressLineNumbers w:val="0"/>
                    <w:spacing w:before="0" w:beforeAutospacing="0" w:after="0" w:afterAutospacing="0" w:line="276" w:lineRule="auto"/>
                    <w:ind w:left="0" w:leftChars="0" w:right="0" w:rightChars="0"/>
                    <w:jc w:val="center"/>
                    <w:rPr>
                      <w:rFonts w:hint="default" w:eastAsia="宋体"/>
                      <w:color w:val="auto"/>
                      <w:szCs w:val="21"/>
                      <w:highlight w:val="none"/>
                      <w:lang w:val="en-US" w:eastAsia="zh-CN"/>
                    </w:rPr>
                  </w:pPr>
                  <w:r>
                    <w:rPr>
                      <w:rFonts w:hint="eastAsia"/>
                      <w:color w:val="auto"/>
                      <w:szCs w:val="21"/>
                      <w:lang w:val="en-US" w:eastAsia="zh-CN"/>
                    </w:rPr>
                    <w:t>47.4</w:t>
                  </w:r>
                </w:p>
              </w:tc>
              <w:tc>
                <w:tcPr>
                  <w:tcW w:w="650" w:type="pct"/>
                  <w:vAlign w:val="center"/>
                </w:tcPr>
                <w:p w14:paraId="11B28124">
                  <w:pPr>
                    <w:keepNext w:val="0"/>
                    <w:keepLines w:val="0"/>
                    <w:suppressLineNumbers w:val="0"/>
                    <w:spacing w:before="0" w:beforeAutospacing="0" w:after="0" w:afterAutospacing="0" w:line="276" w:lineRule="auto"/>
                    <w:ind w:left="0" w:right="0"/>
                    <w:jc w:val="center"/>
                    <w:rPr>
                      <w:rFonts w:hint="default"/>
                      <w:color w:val="auto"/>
                      <w:szCs w:val="21"/>
                      <w:highlight w:val="none"/>
                    </w:rPr>
                  </w:pPr>
                  <w:r>
                    <w:rPr>
                      <w:rFonts w:hint="default"/>
                      <w:color w:val="auto"/>
                      <w:szCs w:val="21"/>
                      <w:highlight w:val="none"/>
                    </w:rPr>
                    <w:t>达标</w:t>
                  </w:r>
                </w:p>
              </w:tc>
            </w:tr>
            <w:tr w14:paraId="726AF3AD">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324" w:hRule="atLeast"/>
                <w:jc w:val="center"/>
              </w:trPr>
              <w:tc>
                <w:tcPr>
                  <w:tcW w:w="591" w:type="pct"/>
                  <w:vAlign w:val="center"/>
                </w:tcPr>
                <w:p w14:paraId="7E3746E7">
                  <w:pPr>
                    <w:pStyle w:val="12"/>
                    <w:keepNext w:val="0"/>
                    <w:keepLines w:val="0"/>
                    <w:suppressLineNumbers w:val="0"/>
                    <w:spacing w:before="0" w:beforeAutospacing="0" w:after="0" w:afterAutospacing="0" w:line="276" w:lineRule="auto"/>
                    <w:ind w:left="0" w:leftChars="0" w:right="0"/>
                    <w:jc w:val="center"/>
                    <w:rPr>
                      <w:rFonts w:hint="default"/>
                      <w:color w:val="auto"/>
                      <w:szCs w:val="21"/>
                    </w:rPr>
                  </w:pPr>
                  <w:r>
                    <w:rPr>
                      <w:rFonts w:hint="eastAsia"/>
                      <w:color w:val="auto"/>
                      <w:szCs w:val="21"/>
                    </w:rPr>
                    <w:t>北厂界</w:t>
                  </w:r>
                </w:p>
              </w:tc>
              <w:tc>
                <w:tcPr>
                  <w:tcW w:w="503" w:type="pct"/>
                  <w:vAlign w:val="center"/>
                </w:tcPr>
                <w:p w14:paraId="3E9FA809">
                  <w:pPr>
                    <w:keepNext w:val="0"/>
                    <w:keepLines w:val="0"/>
                    <w:suppressLineNumbers w:val="0"/>
                    <w:spacing w:before="0" w:beforeAutospacing="0" w:after="0" w:afterAutospacing="0" w:line="276" w:lineRule="auto"/>
                    <w:ind w:left="0" w:right="0"/>
                    <w:jc w:val="center"/>
                    <w:rPr>
                      <w:rFonts w:hint="eastAsia" w:eastAsia="宋体"/>
                      <w:color w:val="auto"/>
                      <w:szCs w:val="21"/>
                      <w:lang w:val="en-US" w:eastAsia="zh-CN"/>
                    </w:rPr>
                  </w:pPr>
                  <w:r>
                    <w:rPr>
                      <w:rFonts w:hint="eastAsia"/>
                      <w:color w:val="auto"/>
                      <w:szCs w:val="21"/>
                      <w:lang w:val="en-US" w:eastAsia="zh-CN"/>
                    </w:rPr>
                    <w:t>/</w:t>
                  </w:r>
                </w:p>
              </w:tc>
              <w:tc>
                <w:tcPr>
                  <w:tcW w:w="652" w:type="pct"/>
                  <w:vAlign w:val="center"/>
                </w:tcPr>
                <w:p w14:paraId="5029E4E3">
                  <w:pPr>
                    <w:keepNext w:val="0"/>
                    <w:keepLines w:val="0"/>
                    <w:suppressLineNumbers w:val="0"/>
                    <w:spacing w:before="0" w:beforeAutospacing="0" w:after="0" w:afterAutospacing="0" w:line="276" w:lineRule="auto"/>
                    <w:ind w:left="0" w:right="0"/>
                    <w:jc w:val="center"/>
                    <w:rPr>
                      <w:rFonts w:hint="eastAsia" w:eastAsia="宋体"/>
                      <w:color w:val="auto"/>
                      <w:szCs w:val="21"/>
                      <w:lang w:val="en-US" w:eastAsia="zh-CN"/>
                    </w:rPr>
                  </w:pPr>
                  <w:r>
                    <w:rPr>
                      <w:rFonts w:hint="eastAsia"/>
                      <w:color w:val="auto"/>
                      <w:szCs w:val="21"/>
                      <w:lang w:val="en-US" w:eastAsia="zh-CN"/>
                    </w:rPr>
                    <w:t>/</w:t>
                  </w:r>
                </w:p>
              </w:tc>
              <w:tc>
                <w:tcPr>
                  <w:tcW w:w="646" w:type="pct"/>
                  <w:vAlign w:val="center"/>
                </w:tcPr>
                <w:p w14:paraId="7B474D8F">
                  <w:pPr>
                    <w:keepNext w:val="0"/>
                    <w:keepLines w:val="0"/>
                    <w:suppressLineNumbers w:val="0"/>
                    <w:spacing w:before="0" w:beforeAutospacing="0" w:after="0" w:afterAutospacing="0" w:line="276" w:lineRule="auto"/>
                    <w:ind w:left="0" w:right="0"/>
                    <w:jc w:val="center"/>
                    <w:rPr>
                      <w:rFonts w:hint="default" w:eastAsia="宋体"/>
                      <w:color w:val="auto"/>
                      <w:szCs w:val="21"/>
                      <w:lang w:val="en-US" w:eastAsia="zh-CN"/>
                    </w:rPr>
                  </w:pPr>
                  <w:r>
                    <w:rPr>
                      <w:rFonts w:hint="eastAsia"/>
                      <w:color w:val="auto"/>
                      <w:szCs w:val="21"/>
                      <w:lang w:val="en-US" w:eastAsia="zh-CN"/>
                    </w:rPr>
                    <w:t>49.7</w:t>
                  </w:r>
                </w:p>
              </w:tc>
              <w:tc>
                <w:tcPr>
                  <w:tcW w:w="1048" w:type="dxa"/>
                  <w:vAlign w:val="center"/>
                </w:tcPr>
                <w:p w14:paraId="34A8980F">
                  <w:pPr>
                    <w:keepNext w:val="0"/>
                    <w:keepLines w:val="0"/>
                    <w:suppressLineNumbers w:val="0"/>
                    <w:spacing w:before="0" w:beforeAutospacing="0" w:after="0" w:afterAutospacing="0" w:line="276" w:lineRule="auto"/>
                    <w:ind w:left="0" w:leftChars="0" w:right="0" w:rightChars="0"/>
                    <w:jc w:val="center"/>
                    <w:rPr>
                      <w:rFonts w:hint="default" w:eastAsia="宋体"/>
                      <w:color w:val="auto"/>
                      <w:szCs w:val="21"/>
                      <w:lang w:val="en-US" w:eastAsia="zh-CN"/>
                    </w:rPr>
                  </w:pPr>
                  <w:r>
                    <w:rPr>
                      <w:rFonts w:hint="eastAsia"/>
                      <w:color w:val="auto"/>
                      <w:szCs w:val="21"/>
                      <w:lang w:val="en-US" w:eastAsia="zh-CN"/>
                    </w:rPr>
                    <w:t>49.7</w:t>
                  </w:r>
                </w:p>
              </w:tc>
              <w:tc>
                <w:tcPr>
                  <w:tcW w:w="1040" w:type="dxa"/>
                  <w:vAlign w:val="center"/>
                </w:tcPr>
                <w:p w14:paraId="063F50ED">
                  <w:pPr>
                    <w:keepNext w:val="0"/>
                    <w:keepLines w:val="0"/>
                    <w:suppressLineNumbers w:val="0"/>
                    <w:spacing w:before="0" w:beforeAutospacing="0" w:after="0" w:afterAutospacing="0" w:line="276" w:lineRule="auto"/>
                    <w:ind w:left="0" w:leftChars="0" w:right="0" w:rightChars="0"/>
                    <w:jc w:val="center"/>
                    <w:rPr>
                      <w:rFonts w:hint="default" w:eastAsia="宋体"/>
                      <w:color w:val="auto"/>
                      <w:szCs w:val="21"/>
                      <w:highlight w:val="none"/>
                      <w:lang w:val="en-US" w:eastAsia="zh-CN"/>
                    </w:rPr>
                  </w:pPr>
                  <w:r>
                    <w:rPr>
                      <w:rFonts w:hint="eastAsia"/>
                      <w:color w:val="auto"/>
                      <w:szCs w:val="21"/>
                      <w:lang w:val="en-US" w:eastAsia="zh-CN"/>
                    </w:rPr>
                    <w:t>49.7</w:t>
                  </w:r>
                </w:p>
              </w:tc>
              <w:tc>
                <w:tcPr>
                  <w:tcW w:w="1048" w:type="dxa"/>
                  <w:vAlign w:val="center"/>
                </w:tcPr>
                <w:p w14:paraId="694D5BFD">
                  <w:pPr>
                    <w:keepNext w:val="0"/>
                    <w:keepLines w:val="0"/>
                    <w:suppressLineNumbers w:val="0"/>
                    <w:spacing w:before="0" w:beforeAutospacing="0" w:after="0" w:afterAutospacing="0" w:line="276" w:lineRule="auto"/>
                    <w:ind w:left="0" w:leftChars="0" w:right="0" w:rightChars="0"/>
                    <w:jc w:val="center"/>
                    <w:rPr>
                      <w:rFonts w:hint="default" w:eastAsia="宋体"/>
                      <w:color w:val="auto"/>
                      <w:szCs w:val="21"/>
                      <w:highlight w:val="none"/>
                      <w:lang w:val="en-US" w:eastAsia="zh-CN"/>
                    </w:rPr>
                  </w:pPr>
                  <w:r>
                    <w:rPr>
                      <w:rFonts w:hint="eastAsia"/>
                      <w:color w:val="auto"/>
                      <w:szCs w:val="21"/>
                      <w:lang w:val="en-US" w:eastAsia="zh-CN"/>
                    </w:rPr>
                    <w:t>49.7</w:t>
                  </w:r>
                </w:p>
              </w:tc>
              <w:tc>
                <w:tcPr>
                  <w:tcW w:w="650" w:type="pct"/>
                  <w:vAlign w:val="center"/>
                </w:tcPr>
                <w:p w14:paraId="4A54CE86">
                  <w:pPr>
                    <w:keepNext w:val="0"/>
                    <w:keepLines w:val="0"/>
                    <w:suppressLineNumbers w:val="0"/>
                    <w:spacing w:before="0" w:beforeAutospacing="0" w:after="0" w:afterAutospacing="0" w:line="276" w:lineRule="auto"/>
                    <w:ind w:left="0" w:right="0"/>
                    <w:jc w:val="center"/>
                    <w:rPr>
                      <w:rFonts w:hint="default"/>
                      <w:color w:val="auto"/>
                      <w:szCs w:val="21"/>
                      <w:highlight w:val="none"/>
                    </w:rPr>
                  </w:pPr>
                  <w:r>
                    <w:rPr>
                      <w:rFonts w:hint="default"/>
                      <w:color w:val="auto"/>
                      <w:szCs w:val="21"/>
                      <w:highlight w:val="none"/>
                    </w:rPr>
                    <w:t>达标</w:t>
                  </w:r>
                </w:p>
              </w:tc>
            </w:tr>
          </w:tbl>
          <w:p w14:paraId="2A10D613">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color w:val="auto"/>
                <w:sz w:val="24"/>
                <w:szCs w:val="28"/>
              </w:rPr>
              <w:t>根据预测结果可知，项目厂界昼、夜间噪声</w:t>
            </w:r>
            <w:r>
              <w:rPr>
                <w:rFonts w:hint="eastAsia"/>
                <w:color w:val="auto"/>
                <w:sz w:val="24"/>
                <w:szCs w:val="28"/>
                <w:lang w:val="en-US" w:eastAsia="zh-CN"/>
              </w:rPr>
              <w:t>均</w:t>
            </w:r>
            <w:r>
              <w:rPr>
                <w:rFonts w:hint="eastAsia"/>
                <w:color w:val="auto"/>
                <w:sz w:val="24"/>
                <w:szCs w:val="28"/>
              </w:rPr>
              <w:t>能够达到《</w:t>
            </w:r>
            <w:r>
              <w:rPr>
                <w:rFonts w:hint="eastAsia"/>
                <w:color w:val="auto"/>
                <w:sz w:val="24"/>
                <w:szCs w:val="28"/>
                <w:lang w:val="en-US" w:eastAsia="zh-CN"/>
              </w:rPr>
              <w:t>工业企业厂界环境噪声排放标准</w:t>
            </w:r>
            <w:r>
              <w:rPr>
                <w:rFonts w:hint="eastAsia"/>
                <w:color w:val="auto"/>
                <w:sz w:val="24"/>
                <w:szCs w:val="28"/>
              </w:rPr>
              <w:t>》（</w:t>
            </w:r>
            <w:r>
              <w:rPr>
                <w:rFonts w:hint="eastAsia"/>
                <w:color w:val="auto"/>
                <w:sz w:val="24"/>
                <w:szCs w:val="28"/>
                <w:lang w:val="en-US" w:eastAsia="zh-CN"/>
              </w:rPr>
              <w:t>GB12348</w:t>
            </w:r>
            <w:r>
              <w:rPr>
                <w:rFonts w:hint="eastAsia"/>
                <w:color w:val="auto"/>
                <w:sz w:val="24"/>
                <w:szCs w:val="28"/>
              </w:rPr>
              <w:t>-2008）中</w:t>
            </w:r>
            <w:r>
              <w:rPr>
                <w:rFonts w:hint="eastAsia"/>
                <w:color w:val="auto"/>
                <w:sz w:val="24"/>
                <w:szCs w:val="28"/>
                <w:lang w:val="en-US" w:eastAsia="zh-CN"/>
              </w:rPr>
              <w:t>3</w:t>
            </w:r>
            <w:r>
              <w:rPr>
                <w:rFonts w:hint="eastAsia"/>
                <w:color w:val="auto"/>
                <w:sz w:val="24"/>
                <w:szCs w:val="28"/>
              </w:rPr>
              <w:t>类标准（昼间：</w:t>
            </w:r>
            <w:r>
              <w:rPr>
                <w:rFonts w:hint="eastAsia"/>
                <w:color w:val="auto"/>
                <w:sz w:val="24"/>
                <w:szCs w:val="28"/>
                <w:lang w:val="en-US" w:eastAsia="zh-CN"/>
              </w:rPr>
              <w:t>65</w:t>
            </w:r>
            <w:r>
              <w:rPr>
                <w:rFonts w:hint="default"/>
                <w:color w:val="auto"/>
                <w:sz w:val="24"/>
                <w:szCs w:val="28"/>
              </w:rPr>
              <w:t>d</w:t>
            </w:r>
            <w:r>
              <w:rPr>
                <w:rFonts w:hint="eastAsia"/>
                <w:color w:val="auto"/>
                <w:sz w:val="24"/>
                <w:szCs w:val="28"/>
              </w:rPr>
              <w:t>B（A）、夜间：</w:t>
            </w:r>
            <w:r>
              <w:rPr>
                <w:rFonts w:hint="eastAsia"/>
                <w:color w:val="auto"/>
                <w:sz w:val="24"/>
                <w:szCs w:val="28"/>
                <w:lang w:val="en-US" w:eastAsia="zh-CN"/>
              </w:rPr>
              <w:t>55</w:t>
            </w:r>
            <w:r>
              <w:rPr>
                <w:rFonts w:hint="default"/>
                <w:color w:val="auto"/>
                <w:sz w:val="24"/>
                <w:szCs w:val="28"/>
              </w:rPr>
              <w:t>d</w:t>
            </w:r>
            <w:r>
              <w:rPr>
                <w:rFonts w:hint="eastAsia"/>
                <w:color w:val="auto"/>
                <w:sz w:val="24"/>
                <w:szCs w:val="28"/>
              </w:rPr>
              <w:t>B（A）），对周边环境影响较小。</w:t>
            </w:r>
          </w:p>
          <w:p w14:paraId="48A99369">
            <w:pPr>
              <w:keepNext w:val="0"/>
              <w:keepLines w:val="0"/>
              <w:suppressLineNumbers w:val="0"/>
              <w:spacing w:before="0" w:beforeAutospacing="0" w:after="0" w:afterAutospacing="0" w:line="360" w:lineRule="auto"/>
              <w:ind w:left="0" w:right="0" w:firstLine="482" w:firstLineChars="200"/>
              <w:rPr>
                <w:rFonts w:hint="default"/>
                <w:b/>
                <w:color w:val="auto"/>
                <w:sz w:val="24"/>
                <w:szCs w:val="28"/>
              </w:rPr>
            </w:pPr>
            <w:r>
              <w:rPr>
                <w:rFonts w:hint="eastAsia"/>
                <w:b/>
                <w:color w:val="auto"/>
                <w:sz w:val="24"/>
                <w:szCs w:val="28"/>
              </w:rPr>
              <w:t>3</w:t>
            </w:r>
            <w:r>
              <w:rPr>
                <w:rFonts w:hint="eastAsia"/>
                <w:b/>
                <w:color w:val="auto"/>
                <w:sz w:val="24"/>
                <w:szCs w:val="28"/>
                <w:lang w:val="en-US" w:eastAsia="zh-CN"/>
              </w:rPr>
              <w:t>.</w:t>
            </w:r>
            <w:r>
              <w:rPr>
                <w:rFonts w:hint="eastAsia"/>
                <w:b/>
                <w:bCs/>
                <w:color w:val="auto"/>
                <w:sz w:val="24"/>
              </w:rPr>
              <w:t>噪声污染防治措施</w:t>
            </w:r>
          </w:p>
          <w:p w14:paraId="50C6728F">
            <w:pPr>
              <w:keepNext w:val="0"/>
              <w:keepLines w:val="0"/>
              <w:widowControl/>
              <w:suppressLineNumbers w:val="0"/>
              <w:spacing w:before="0" w:beforeAutospacing="0" w:after="0" w:afterAutospacing="0" w:line="360" w:lineRule="auto"/>
              <w:ind w:left="0" w:right="0" w:firstLine="480" w:firstLineChars="200"/>
              <w:rPr>
                <w:rFonts w:hint="default"/>
                <w:color w:val="auto"/>
              </w:rPr>
            </w:pPr>
            <w:r>
              <w:rPr>
                <w:rFonts w:hint="eastAsia" w:ascii="宋体" w:hAnsi="宋体" w:cs="宋体"/>
                <w:color w:val="auto"/>
                <w:kern w:val="0"/>
                <w:sz w:val="24"/>
              </w:rPr>
              <w:t>为尽可能降低噪声对周围环境的影响，建议采取如下防治措施：</w:t>
            </w:r>
          </w:p>
          <w:p w14:paraId="1857156B">
            <w:pPr>
              <w:keepNext w:val="0"/>
              <w:keepLines w:val="0"/>
              <w:widowControl/>
              <w:suppressLineNumbers w:val="0"/>
              <w:spacing w:before="0" w:beforeAutospacing="0" w:after="0" w:afterAutospacing="0" w:line="360" w:lineRule="auto"/>
              <w:ind w:left="0" w:right="0" w:firstLine="480" w:firstLineChars="200"/>
              <w:rPr>
                <w:rFonts w:hint="default"/>
                <w:color w:val="auto"/>
              </w:rPr>
            </w:pPr>
            <w:r>
              <w:rPr>
                <w:rFonts w:hint="eastAsia" w:ascii="宋体" w:hAnsi="宋体" w:cs="宋体"/>
                <w:color w:val="auto"/>
                <w:kern w:val="0"/>
                <w:sz w:val="24"/>
              </w:rPr>
              <w:t>（</w:t>
            </w:r>
            <w:r>
              <w:rPr>
                <w:rFonts w:hint="default"/>
                <w:color w:val="auto"/>
                <w:kern w:val="0"/>
                <w:sz w:val="24"/>
              </w:rPr>
              <w:t>1</w:t>
            </w:r>
            <w:r>
              <w:rPr>
                <w:rFonts w:hint="eastAsia" w:ascii="宋体" w:hAnsi="宋体" w:cs="宋体"/>
                <w:color w:val="auto"/>
                <w:kern w:val="0"/>
                <w:sz w:val="24"/>
              </w:rPr>
              <w:t>）从声源上降低噪声是最积极的措施，设备选型考虑尽可能采用低噪声设备，</w:t>
            </w:r>
            <w:r>
              <w:rPr>
                <w:rFonts w:hint="eastAsia" w:ascii="宋体" w:hAnsi="宋体" w:cs="宋体"/>
                <w:color w:val="auto"/>
                <w:kern w:val="0"/>
                <w:sz w:val="24"/>
                <w:lang w:val="en-US" w:eastAsia="zh-CN"/>
              </w:rPr>
              <w:t>产</w:t>
            </w:r>
            <w:r>
              <w:rPr>
                <w:rFonts w:hint="eastAsia" w:ascii="宋体" w:hAnsi="宋体" w:cs="宋体"/>
                <w:color w:val="auto"/>
                <w:kern w:val="0"/>
                <w:sz w:val="24"/>
              </w:rPr>
              <w:t>噪设备底部应安装</w:t>
            </w:r>
            <w:r>
              <w:rPr>
                <w:rFonts w:hint="eastAsia" w:ascii="宋体" w:hAnsi="宋体" w:cs="宋体"/>
                <w:color w:val="auto"/>
                <w:kern w:val="0"/>
                <w:sz w:val="24"/>
                <w:lang w:val="en-US" w:eastAsia="zh-CN"/>
              </w:rPr>
              <w:t>减振垫等</w:t>
            </w:r>
            <w:r>
              <w:rPr>
                <w:rFonts w:hint="eastAsia" w:ascii="宋体" w:hAnsi="宋体" w:cs="宋体"/>
                <w:color w:val="auto"/>
                <w:kern w:val="0"/>
                <w:sz w:val="24"/>
              </w:rPr>
              <w:t>减振基础；</w:t>
            </w:r>
          </w:p>
          <w:p w14:paraId="6BFB7D36">
            <w:pPr>
              <w:keepNext w:val="0"/>
              <w:keepLines w:val="0"/>
              <w:widowControl/>
              <w:suppressLineNumbers w:val="0"/>
              <w:spacing w:before="0" w:beforeAutospacing="0" w:after="0" w:afterAutospacing="0" w:line="360" w:lineRule="auto"/>
              <w:ind w:left="0" w:right="0" w:firstLine="480" w:firstLineChars="200"/>
              <w:rPr>
                <w:rFonts w:hint="default"/>
                <w:color w:val="auto"/>
              </w:rPr>
            </w:pPr>
            <w:r>
              <w:rPr>
                <w:rFonts w:hint="eastAsia" w:ascii="宋体" w:hAnsi="宋体" w:cs="宋体"/>
                <w:color w:val="auto"/>
                <w:kern w:val="0"/>
                <w:sz w:val="24"/>
              </w:rPr>
              <w:t>（</w:t>
            </w:r>
            <w:r>
              <w:rPr>
                <w:rFonts w:hint="eastAsia"/>
                <w:color w:val="auto"/>
                <w:kern w:val="0"/>
                <w:sz w:val="24"/>
                <w:lang w:val="en-US" w:eastAsia="zh-CN"/>
              </w:rPr>
              <w:t>2</w:t>
            </w:r>
            <w:r>
              <w:rPr>
                <w:rFonts w:hint="eastAsia" w:ascii="宋体" w:hAnsi="宋体" w:cs="宋体"/>
                <w:color w:val="auto"/>
                <w:kern w:val="0"/>
                <w:sz w:val="24"/>
              </w:rPr>
              <w:t>）合理布局，高噪声的生产设备均置于生产车间内，远离厂界，减少噪声对外界环境影响。</w:t>
            </w:r>
          </w:p>
          <w:p w14:paraId="6969525B">
            <w:pPr>
              <w:keepNext w:val="0"/>
              <w:keepLines w:val="0"/>
              <w:widowControl/>
              <w:suppressLineNumbers w:val="0"/>
              <w:spacing w:before="0" w:beforeAutospacing="0" w:after="0" w:afterAutospacing="0" w:line="360" w:lineRule="auto"/>
              <w:ind w:left="0" w:right="0" w:firstLine="480" w:firstLineChars="200"/>
              <w:rPr>
                <w:rFonts w:hint="default" w:ascii="宋体" w:hAnsi="宋体" w:cs="宋体"/>
                <w:color w:val="auto"/>
                <w:kern w:val="0"/>
                <w:sz w:val="24"/>
              </w:rPr>
            </w:pPr>
            <w:r>
              <w:rPr>
                <w:rFonts w:hint="eastAsia" w:ascii="宋体" w:hAnsi="宋体" w:cs="宋体"/>
                <w:color w:val="auto"/>
                <w:kern w:val="0"/>
                <w:sz w:val="24"/>
              </w:rPr>
              <w:t>（</w:t>
            </w:r>
            <w:r>
              <w:rPr>
                <w:rFonts w:hint="eastAsia"/>
                <w:color w:val="auto"/>
                <w:kern w:val="0"/>
                <w:sz w:val="24"/>
                <w:lang w:val="en-US" w:eastAsia="zh-CN"/>
              </w:rPr>
              <w:t>3</w:t>
            </w:r>
            <w:r>
              <w:rPr>
                <w:rFonts w:hint="eastAsia" w:ascii="宋体" w:hAnsi="宋体" w:cs="宋体"/>
                <w:color w:val="auto"/>
                <w:kern w:val="0"/>
                <w:sz w:val="24"/>
              </w:rPr>
              <w:t>）加强设备维护，定期检查、维修设备</w:t>
            </w:r>
            <w:r>
              <w:rPr>
                <w:rFonts w:hint="eastAsia" w:ascii="宋体" w:hAnsi="宋体" w:cs="宋体"/>
                <w:color w:val="auto"/>
                <w:kern w:val="0"/>
                <w:sz w:val="24"/>
                <w:lang w:eastAsia="zh-CN"/>
              </w:rPr>
              <w:t>，</w:t>
            </w:r>
            <w:r>
              <w:rPr>
                <w:rFonts w:hint="eastAsia" w:ascii="宋体" w:hAnsi="宋体" w:cs="宋体"/>
                <w:color w:val="auto"/>
                <w:kern w:val="0"/>
                <w:sz w:val="24"/>
              </w:rPr>
              <w:t>确保设备处于良好运转状态，杜绝因设备不正常运转时产生的高噪声现象。</w:t>
            </w:r>
          </w:p>
          <w:p w14:paraId="491A71AF">
            <w:pPr>
              <w:keepNext w:val="0"/>
              <w:keepLines w:val="0"/>
              <w:suppressLineNumbers w:val="0"/>
              <w:spacing w:before="0" w:beforeAutospacing="0" w:after="0" w:afterAutospacing="0" w:line="360" w:lineRule="auto"/>
              <w:ind w:left="0" w:right="0" w:firstLine="480" w:firstLineChars="200"/>
              <w:rPr>
                <w:rFonts w:hint="default"/>
                <w:bCs/>
                <w:color w:val="auto"/>
                <w:spacing w:val="6"/>
                <w:sz w:val="24"/>
              </w:rPr>
            </w:pPr>
            <w:r>
              <w:rPr>
                <w:rFonts w:hint="eastAsia" w:ascii="宋体" w:hAnsi="宋体" w:cs="宋体"/>
                <w:color w:val="auto"/>
                <w:kern w:val="0"/>
                <w:sz w:val="24"/>
              </w:rPr>
              <w:t>（</w:t>
            </w:r>
            <w:r>
              <w:rPr>
                <w:rFonts w:hint="eastAsia"/>
                <w:color w:val="auto"/>
                <w:kern w:val="0"/>
                <w:sz w:val="24"/>
                <w:lang w:val="en-US" w:eastAsia="zh-CN"/>
              </w:rPr>
              <w:t>4</w:t>
            </w:r>
            <w:r>
              <w:rPr>
                <w:rFonts w:hint="eastAsia" w:ascii="宋体" w:hAnsi="宋体" w:cs="宋体"/>
                <w:color w:val="auto"/>
                <w:kern w:val="0"/>
                <w:sz w:val="24"/>
              </w:rPr>
              <w:t>）生产厂房设置隔声</w:t>
            </w:r>
            <w:r>
              <w:rPr>
                <w:rFonts w:hint="eastAsia" w:ascii="宋体" w:hAnsi="宋体" w:cs="宋体"/>
                <w:color w:val="auto"/>
                <w:kern w:val="0"/>
                <w:sz w:val="24"/>
                <w:lang w:val="en-US" w:eastAsia="zh-CN"/>
              </w:rPr>
              <w:t>门</w:t>
            </w:r>
            <w:r>
              <w:rPr>
                <w:rFonts w:hint="eastAsia" w:ascii="宋体" w:hAnsi="宋体" w:cs="宋体"/>
                <w:color w:val="auto"/>
                <w:kern w:val="0"/>
                <w:sz w:val="24"/>
              </w:rPr>
              <w:t>、隔声窗，</w:t>
            </w:r>
            <w:r>
              <w:rPr>
                <w:rFonts w:hint="eastAsia"/>
                <w:bCs/>
                <w:color w:val="auto"/>
                <w:spacing w:val="6"/>
                <w:sz w:val="24"/>
              </w:rPr>
              <w:t>可将设备运行噪声对周边影响降到最低。</w:t>
            </w:r>
          </w:p>
          <w:p w14:paraId="037B590F">
            <w:pPr>
              <w:keepNext w:val="0"/>
              <w:keepLines w:val="0"/>
              <w:suppressLineNumbers w:val="0"/>
              <w:spacing w:before="0" w:beforeAutospacing="0" w:after="0" w:afterAutospacing="0" w:line="360" w:lineRule="auto"/>
              <w:ind w:left="0" w:right="0" w:firstLine="504" w:firstLineChars="200"/>
              <w:rPr>
                <w:rFonts w:hint="default"/>
                <w:bCs/>
                <w:color w:val="auto"/>
                <w:spacing w:val="6"/>
                <w:sz w:val="24"/>
              </w:rPr>
            </w:pPr>
            <w:r>
              <w:rPr>
                <w:rFonts w:hint="eastAsia"/>
                <w:bCs/>
                <w:color w:val="auto"/>
                <w:spacing w:val="6"/>
                <w:sz w:val="24"/>
              </w:rPr>
              <w:t>（</w:t>
            </w:r>
            <w:r>
              <w:rPr>
                <w:rFonts w:hint="eastAsia"/>
                <w:bCs/>
                <w:color w:val="auto"/>
                <w:spacing w:val="6"/>
                <w:sz w:val="24"/>
                <w:lang w:val="en-US" w:eastAsia="zh-CN"/>
              </w:rPr>
              <w:t>5</w:t>
            </w:r>
            <w:r>
              <w:rPr>
                <w:rFonts w:hint="eastAsia"/>
                <w:bCs/>
                <w:color w:val="auto"/>
                <w:spacing w:val="6"/>
                <w:sz w:val="24"/>
              </w:rPr>
              <w:t>）针对大噪声风机应设置隔音罩</w:t>
            </w:r>
            <w:r>
              <w:rPr>
                <w:rFonts w:hint="eastAsia"/>
                <w:bCs/>
                <w:color w:val="auto"/>
                <w:spacing w:val="6"/>
                <w:sz w:val="24"/>
                <w:lang w:eastAsia="zh-CN"/>
              </w:rPr>
              <w:t>，</w:t>
            </w:r>
            <w:r>
              <w:rPr>
                <w:rFonts w:hint="eastAsia"/>
                <w:bCs/>
                <w:color w:val="auto"/>
                <w:spacing w:val="6"/>
                <w:sz w:val="24"/>
                <w:lang w:val="en-US" w:eastAsia="zh-CN"/>
              </w:rPr>
              <w:t>减少噪声对外界环境影响</w:t>
            </w:r>
            <w:r>
              <w:rPr>
                <w:rFonts w:hint="eastAsia"/>
                <w:bCs/>
                <w:color w:val="auto"/>
                <w:spacing w:val="6"/>
                <w:sz w:val="24"/>
              </w:rPr>
              <w:t>。</w:t>
            </w:r>
          </w:p>
          <w:p w14:paraId="682F2826">
            <w:pPr>
              <w:keepNext w:val="0"/>
              <w:keepLines w:val="0"/>
              <w:suppressLineNumbers w:val="0"/>
              <w:spacing w:before="0" w:beforeAutospacing="0" w:after="0" w:afterAutospacing="0" w:line="360" w:lineRule="auto"/>
              <w:ind w:left="0" w:right="0" w:firstLine="482" w:firstLineChars="200"/>
              <w:rPr>
                <w:rFonts w:hint="default"/>
                <w:b/>
                <w:color w:val="auto"/>
                <w:sz w:val="24"/>
              </w:rPr>
            </w:pPr>
            <w:r>
              <w:rPr>
                <w:rFonts w:hint="eastAsia"/>
                <w:b/>
                <w:color w:val="auto"/>
                <w:sz w:val="24"/>
              </w:rPr>
              <w:t>4</w:t>
            </w:r>
            <w:r>
              <w:rPr>
                <w:rFonts w:hint="eastAsia"/>
                <w:b/>
                <w:color w:val="auto"/>
                <w:sz w:val="24"/>
                <w:lang w:val="en-US" w:eastAsia="zh-CN"/>
              </w:rPr>
              <w:t>.</w:t>
            </w:r>
            <w:r>
              <w:rPr>
                <w:rFonts w:hint="eastAsia"/>
                <w:b/>
                <w:color w:val="auto"/>
                <w:sz w:val="24"/>
              </w:rPr>
              <w:t>环境监测计划</w:t>
            </w:r>
          </w:p>
          <w:p w14:paraId="0FEBBC2A">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sz w:val="24"/>
                <w:szCs w:val="24"/>
                <w:lang w:val="en-US" w:eastAsia="zh-CN"/>
              </w:rPr>
              <w:t>本项目排污许可类别为登记管理，无需开展自行监测，本评价制定如下监测计划仅供建设单位运营期环境管理及监测参考。</w:t>
            </w:r>
            <w:r>
              <w:rPr>
                <w:rFonts w:hint="eastAsia"/>
                <w:color w:val="auto"/>
                <w:sz w:val="24"/>
              </w:rPr>
              <w:t>项目噪声监测频次参照《排污单位自行监测技术指南</w:t>
            </w:r>
            <w:r>
              <w:rPr>
                <w:rFonts w:hint="default"/>
                <w:color w:val="auto"/>
                <w:sz w:val="24"/>
              </w:rPr>
              <w:t xml:space="preserve"> </w:t>
            </w:r>
            <w:r>
              <w:rPr>
                <w:rFonts w:hint="eastAsia"/>
                <w:color w:val="auto"/>
                <w:sz w:val="24"/>
              </w:rPr>
              <w:t>总则》（</w:t>
            </w:r>
            <w:r>
              <w:rPr>
                <w:rFonts w:hint="default"/>
                <w:color w:val="auto"/>
                <w:sz w:val="24"/>
              </w:rPr>
              <w:t>HJ819-2017</w:t>
            </w:r>
            <w:r>
              <w:rPr>
                <w:rFonts w:hint="eastAsia"/>
                <w:color w:val="auto"/>
                <w:sz w:val="24"/>
              </w:rPr>
              <w:t>）、《排污许可证申请与核发技术规范 工业噪声》（H</w:t>
            </w:r>
            <w:r>
              <w:rPr>
                <w:rFonts w:hint="default"/>
                <w:color w:val="auto"/>
                <w:sz w:val="24"/>
              </w:rPr>
              <w:t>J1301-2023</w:t>
            </w:r>
            <w:r>
              <w:rPr>
                <w:rFonts w:hint="eastAsia"/>
                <w:color w:val="auto"/>
                <w:sz w:val="24"/>
              </w:rPr>
              <w:t>）中规定执行。</w:t>
            </w:r>
          </w:p>
          <w:p w14:paraId="6EE3A8FF">
            <w:pPr>
              <w:keepNext w:val="0"/>
              <w:keepLines w:val="0"/>
              <w:suppressLineNumbers w:val="0"/>
              <w:spacing w:before="0" w:beforeAutospacing="0" w:after="0" w:afterAutospacing="0" w:line="360" w:lineRule="auto"/>
              <w:ind w:left="0" w:right="0"/>
              <w:jc w:val="center"/>
              <w:rPr>
                <w:rFonts w:hint="default" w:eastAsia="黑体"/>
                <w:color w:val="auto"/>
                <w:sz w:val="24"/>
              </w:rPr>
            </w:pPr>
            <w:r>
              <w:rPr>
                <w:rFonts w:hint="eastAsia" w:hAnsi="黑体" w:eastAsia="黑体"/>
                <w:color w:val="auto"/>
                <w:sz w:val="24"/>
                <w:szCs w:val="24"/>
              </w:rPr>
              <w:t>表</w:t>
            </w:r>
            <w:r>
              <w:rPr>
                <w:rFonts w:hint="eastAsia" w:hAnsi="黑体" w:eastAsia="黑体"/>
                <w:color w:val="auto"/>
                <w:sz w:val="24"/>
                <w:szCs w:val="24"/>
                <w:lang w:val="en-US" w:eastAsia="zh-CN"/>
              </w:rPr>
              <w:t>4-17</w:t>
            </w:r>
            <w:r>
              <w:rPr>
                <w:rFonts w:hint="default" w:hAnsi="黑体" w:eastAsia="黑体"/>
                <w:color w:val="auto"/>
                <w:sz w:val="24"/>
                <w:szCs w:val="24"/>
              </w:rPr>
              <w:t xml:space="preserve"> </w:t>
            </w:r>
            <w:r>
              <w:rPr>
                <w:rFonts w:hint="eastAsia" w:hAnsi="黑体" w:eastAsia="黑体"/>
                <w:color w:val="auto"/>
                <w:sz w:val="24"/>
                <w:szCs w:val="24"/>
                <w:lang w:val="en-US" w:eastAsia="zh-CN"/>
              </w:rPr>
              <w:t>噪声</w:t>
            </w:r>
            <w:r>
              <w:rPr>
                <w:rFonts w:hint="eastAsia" w:hAnsi="黑体" w:eastAsia="黑体"/>
                <w:color w:val="auto"/>
                <w:sz w:val="24"/>
                <w:szCs w:val="24"/>
              </w:rPr>
              <w:t>污染源监测计划表</w:t>
            </w:r>
          </w:p>
          <w:tbl>
            <w:tblPr>
              <w:tblStyle w:val="3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79"/>
              <w:gridCol w:w="2274"/>
              <w:gridCol w:w="1685"/>
              <w:gridCol w:w="1980"/>
            </w:tblGrid>
            <w:tr w14:paraId="535548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 w:hRule="atLeast"/>
              </w:trPr>
              <w:tc>
                <w:tcPr>
                  <w:tcW w:w="1250" w:type="pct"/>
                  <w:tcBorders>
                    <w:top w:val="single" w:color="auto" w:sz="12" w:space="0"/>
                    <w:left w:val="nil"/>
                    <w:bottom w:val="single" w:color="auto" w:sz="4" w:space="0"/>
                    <w:right w:val="single" w:color="auto" w:sz="4" w:space="0"/>
                  </w:tcBorders>
                  <w:vAlign w:val="center"/>
                </w:tcPr>
                <w:p w14:paraId="22D1C4D4">
                  <w:pPr>
                    <w:keepNext w:val="0"/>
                    <w:keepLines w:val="0"/>
                    <w:suppressLineNumbers w:val="0"/>
                    <w:spacing w:before="0" w:beforeAutospacing="0" w:after="0" w:afterAutospacing="0" w:line="276" w:lineRule="auto"/>
                    <w:ind w:left="0" w:right="0"/>
                    <w:jc w:val="center"/>
                    <w:rPr>
                      <w:rFonts w:hint="default"/>
                      <w:b/>
                      <w:color w:val="auto"/>
                      <w:sz w:val="21"/>
                      <w:szCs w:val="21"/>
                    </w:rPr>
                  </w:pPr>
                  <w:r>
                    <w:rPr>
                      <w:rFonts w:hint="eastAsia" w:hAnsi="宋体"/>
                      <w:b/>
                      <w:color w:val="auto"/>
                      <w:sz w:val="21"/>
                      <w:szCs w:val="21"/>
                    </w:rPr>
                    <w:t>类型</w:t>
                  </w:r>
                </w:p>
              </w:tc>
              <w:tc>
                <w:tcPr>
                  <w:tcW w:w="1436" w:type="pct"/>
                  <w:tcBorders>
                    <w:top w:val="single" w:color="auto" w:sz="12" w:space="0"/>
                    <w:left w:val="single" w:color="auto" w:sz="4" w:space="0"/>
                    <w:bottom w:val="single" w:color="auto" w:sz="4" w:space="0"/>
                    <w:right w:val="single" w:color="auto" w:sz="4" w:space="0"/>
                  </w:tcBorders>
                  <w:vAlign w:val="center"/>
                </w:tcPr>
                <w:p w14:paraId="7D17AF32">
                  <w:pPr>
                    <w:keepNext w:val="0"/>
                    <w:keepLines w:val="0"/>
                    <w:suppressLineNumbers w:val="0"/>
                    <w:spacing w:before="0" w:beforeAutospacing="0" w:after="0" w:afterAutospacing="0" w:line="276" w:lineRule="auto"/>
                    <w:ind w:left="0" w:right="0"/>
                    <w:jc w:val="center"/>
                    <w:rPr>
                      <w:rFonts w:hint="default"/>
                      <w:b/>
                      <w:color w:val="auto"/>
                      <w:sz w:val="21"/>
                      <w:szCs w:val="21"/>
                    </w:rPr>
                  </w:pPr>
                  <w:r>
                    <w:rPr>
                      <w:rFonts w:hint="eastAsia" w:hAnsi="宋体"/>
                      <w:b/>
                      <w:color w:val="auto"/>
                      <w:sz w:val="21"/>
                      <w:szCs w:val="21"/>
                    </w:rPr>
                    <w:t>监测项目</w:t>
                  </w:r>
                </w:p>
              </w:tc>
              <w:tc>
                <w:tcPr>
                  <w:tcW w:w="1064" w:type="pct"/>
                  <w:tcBorders>
                    <w:top w:val="single" w:color="auto" w:sz="12" w:space="0"/>
                    <w:left w:val="single" w:color="auto" w:sz="4" w:space="0"/>
                    <w:bottom w:val="single" w:color="auto" w:sz="4" w:space="0"/>
                    <w:right w:val="single" w:color="auto" w:sz="4" w:space="0"/>
                  </w:tcBorders>
                  <w:vAlign w:val="center"/>
                </w:tcPr>
                <w:p w14:paraId="07C65602">
                  <w:pPr>
                    <w:keepNext w:val="0"/>
                    <w:keepLines w:val="0"/>
                    <w:suppressLineNumbers w:val="0"/>
                    <w:spacing w:before="0" w:beforeAutospacing="0" w:after="0" w:afterAutospacing="0" w:line="276" w:lineRule="auto"/>
                    <w:ind w:left="0" w:right="0"/>
                    <w:jc w:val="center"/>
                    <w:rPr>
                      <w:rFonts w:hint="default"/>
                      <w:b/>
                      <w:color w:val="auto"/>
                      <w:sz w:val="21"/>
                      <w:szCs w:val="21"/>
                    </w:rPr>
                  </w:pPr>
                  <w:r>
                    <w:rPr>
                      <w:rFonts w:hint="eastAsia" w:hAnsi="宋体"/>
                      <w:b/>
                      <w:color w:val="auto"/>
                      <w:sz w:val="21"/>
                      <w:szCs w:val="21"/>
                    </w:rPr>
                    <w:t>监测点位</w:t>
                  </w:r>
                </w:p>
              </w:tc>
              <w:tc>
                <w:tcPr>
                  <w:tcW w:w="1250" w:type="pct"/>
                  <w:tcBorders>
                    <w:top w:val="single" w:color="auto" w:sz="12" w:space="0"/>
                    <w:left w:val="single" w:color="auto" w:sz="4" w:space="0"/>
                    <w:bottom w:val="single" w:color="auto" w:sz="4" w:space="0"/>
                    <w:right w:val="nil"/>
                  </w:tcBorders>
                  <w:vAlign w:val="center"/>
                </w:tcPr>
                <w:p w14:paraId="51B5B04A">
                  <w:pPr>
                    <w:keepNext w:val="0"/>
                    <w:keepLines w:val="0"/>
                    <w:suppressLineNumbers w:val="0"/>
                    <w:spacing w:before="0" w:beforeAutospacing="0" w:after="0" w:afterAutospacing="0" w:line="276" w:lineRule="auto"/>
                    <w:ind w:left="0" w:right="0"/>
                    <w:jc w:val="center"/>
                    <w:rPr>
                      <w:rFonts w:hint="default"/>
                      <w:b/>
                      <w:color w:val="auto"/>
                      <w:sz w:val="21"/>
                      <w:szCs w:val="21"/>
                    </w:rPr>
                  </w:pPr>
                  <w:r>
                    <w:rPr>
                      <w:rFonts w:hint="eastAsia" w:hAnsi="宋体"/>
                      <w:b/>
                      <w:color w:val="auto"/>
                      <w:sz w:val="21"/>
                      <w:szCs w:val="21"/>
                    </w:rPr>
                    <w:t>监测频次</w:t>
                  </w:r>
                </w:p>
              </w:tc>
            </w:tr>
            <w:tr w14:paraId="307F00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auto" w:sz="4" w:space="0"/>
                    <w:left w:val="nil"/>
                    <w:bottom w:val="single" w:color="auto" w:sz="12" w:space="0"/>
                    <w:right w:val="single" w:color="auto" w:sz="4" w:space="0"/>
                  </w:tcBorders>
                  <w:vAlign w:val="center"/>
                </w:tcPr>
                <w:p w14:paraId="35F98274">
                  <w:pPr>
                    <w:keepNext w:val="0"/>
                    <w:keepLines w:val="0"/>
                    <w:suppressLineNumbers w:val="0"/>
                    <w:spacing w:before="0" w:beforeAutospacing="0" w:after="0" w:afterAutospacing="0" w:line="276" w:lineRule="auto"/>
                    <w:ind w:left="0" w:right="0"/>
                    <w:jc w:val="center"/>
                    <w:rPr>
                      <w:rFonts w:hint="default"/>
                      <w:color w:val="auto"/>
                      <w:sz w:val="21"/>
                      <w:szCs w:val="21"/>
                    </w:rPr>
                  </w:pPr>
                  <w:r>
                    <w:rPr>
                      <w:rFonts w:hint="eastAsia"/>
                      <w:color w:val="auto"/>
                      <w:sz w:val="21"/>
                      <w:szCs w:val="21"/>
                    </w:rPr>
                    <w:t>噪声</w:t>
                  </w:r>
                </w:p>
              </w:tc>
              <w:tc>
                <w:tcPr>
                  <w:tcW w:w="1436" w:type="pct"/>
                  <w:tcBorders>
                    <w:top w:val="single" w:color="auto" w:sz="4" w:space="0"/>
                    <w:left w:val="single" w:color="auto" w:sz="4" w:space="0"/>
                    <w:bottom w:val="single" w:color="auto" w:sz="12" w:space="0"/>
                    <w:right w:val="single" w:color="auto" w:sz="4" w:space="0"/>
                  </w:tcBorders>
                  <w:vAlign w:val="center"/>
                </w:tcPr>
                <w:p w14:paraId="2C60F2FB">
                  <w:pPr>
                    <w:keepNext w:val="0"/>
                    <w:keepLines w:val="0"/>
                    <w:suppressLineNumbers w:val="0"/>
                    <w:spacing w:before="0" w:beforeAutospacing="0" w:after="0" w:afterAutospacing="0" w:line="276" w:lineRule="auto"/>
                    <w:ind w:left="0" w:right="0"/>
                    <w:jc w:val="center"/>
                    <w:rPr>
                      <w:rFonts w:hint="default"/>
                      <w:color w:val="auto"/>
                      <w:sz w:val="21"/>
                      <w:szCs w:val="21"/>
                    </w:rPr>
                  </w:pPr>
                  <w:r>
                    <w:rPr>
                      <w:rFonts w:hint="eastAsia"/>
                      <w:color w:val="auto"/>
                      <w:sz w:val="21"/>
                      <w:szCs w:val="21"/>
                    </w:rPr>
                    <w:t>等效连续</w:t>
                  </w:r>
                  <w:r>
                    <w:rPr>
                      <w:rFonts w:hint="default"/>
                      <w:color w:val="auto"/>
                      <w:sz w:val="21"/>
                      <w:szCs w:val="21"/>
                    </w:rPr>
                    <w:t>A</w:t>
                  </w:r>
                  <w:r>
                    <w:rPr>
                      <w:rFonts w:hint="eastAsia"/>
                      <w:color w:val="auto"/>
                      <w:sz w:val="21"/>
                      <w:szCs w:val="21"/>
                    </w:rPr>
                    <w:t>声级</w:t>
                  </w:r>
                </w:p>
              </w:tc>
              <w:tc>
                <w:tcPr>
                  <w:tcW w:w="1064" w:type="pct"/>
                  <w:tcBorders>
                    <w:top w:val="single" w:color="auto" w:sz="4" w:space="0"/>
                    <w:left w:val="single" w:color="auto" w:sz="4" w:space="0"/>
                    <w:bottom w:val="single" w:color="auto" w:sz="12" w:space="0"/>
                    <w:right w:val="single" w:color="auto" w:sz="4" w:space="0"/>
                  </w:tcBorders>
                  <w:vAlign w:val="center"/>
                </w:tcPr>
                <w:p w14:paraId="64952252">
                  <w:pPr>
                    <w:keepNext w:val="0"/>
                    <w:keepLines w:val="0"/>
                    <w:suppressLineNumbers w:val="0"/>
                    <w:spacing w:before="0" w:beforeAutospacing="0" w:after="0" w:afterAutospacing="0" w:line="276" w:lineRule="auto"/>
                    <w:ind w:left="0" w:right="0"/>
                    <w:jc w:val="center"/>
                    <w:rPr>
                      <w:rFonts w:hint="default"/>
                      <w:color w:val="auto"/>
                      <w:sz w:val="21"/>
                      <w:szCs w:val="21"/>
                    </w:rPr>
                  </w:pPr>
                  <w:r>
                    <w:rPr>
                      <w:rFonts w:hint="eastAsia"/>
                      <w:color w:val="auto"/>
                      <w:sz w:val="21"/>
                      <w:szCs w:val="21"/>
                    </w:rPr>
                    <w:t>厂界外</w:t>
                  </w:r>
                  <w:r>
                    <w:rPr>
                      <w:rFonts w:hint="default"/>
                      <w:color w:val="auto"/>
                      <w:sz w:val="21"/>
                      <w:szCs w:val="21"/>
                    </w:rPr>
                    <w:t>1m</w:t>
                  </w:r>
                  <w:r>
                    <w:rPr>
                      <w:rFonts w:hint="eastAsia"/>
                      <w:color w:val="auto"/>
                      <w:sz w:val="21"/>
                      <w:szCs w:val="21"/>
                    </w:rPr>
                    <w:t>处</w:t>
                  </w:r>
                </w:p>
              </w:tc>
              <w:tc>
                <w:tcPr>
                  <w:tcW w:w="1250" w:type="pct"/>
                  <w:tcBorders>
                    <w:top w:val="single" w:color="auto" w:sz="4" w:space="0"/>
                    <w:left w:val="single" w:color="auto" w:sz="4" w:space="0"/>
                    <w:bottom w:val="single" w:color="auto" w:sz="12" w:space="0"/>
                    <w:right w:val="nil"/>
                  </w:tcBorders>
                  <w:vAlign w:val="center"/>
                </w:tcPr>
                <w:p w14:paraId="732B12B0">
                  <w:pPr>
                    <w:keepNext w:val="0"/>
                    <w:keepLines w:val="0"/>
                    <w:suppressLineNumbers w:val="0"/>
                    <w:spacing w:before="0" w:beforeAutospacing="0" w:after="0" w:afterAutospacing="0" w:line="276" w:lineRule="auto"/>
                    <w:ind w:left="0" w:right="0"/>
                    <w:jc w:val="center"/>
                    <w:rPr>
                      <w:rFonts w:hint="default"/>
                      <w:color w:val="auto"/>
                      <w:sz w:val="21"/>
                      <w:szCs w:val="21"/>
                    </w:rPr>
                  </w:pPr>
                  <w:r>
                    <w:rPr>
                      <w:rFonts w:hint="default"/>
                      <w:color w:val="auto"/>
                      <w:sz w:val="21"/>
                      <w:szCs w:val="21"/>
                    </w:rPr>
                    <w:t>1</w:t>
                  </w:r>
                  <w:r>
                    <w:rPr>
                      <w:rFonts w:hint="eastAsia"/>
                      <w:color w:val="auto"/>
                      <w:sz w:val="21"/>
                      <w:szCs w:val="21"/>
                    </w:rPr>
                    <w:t>次</w:t>
                  </w:r>
                  <w:r>
                    <w:rPr>
                      <w:rFonts w:hint="default"/>
                      <w:color w:val="auto"/>
                      <w:sz w:val="21"/>
                      <w:szCs w:val="21"/>
                    </w:rPr>
                    <w:t>/</w:t>
                  </w:r>
                  <w:r>
                    <w:rPr>
                      <w:rFonts w:hint="eastAsia"/>
                      <w:color w:val="auto"/>
                      <w:sz w:val="21"/>
                      <w:szCs w:val="21"/>
                    </w:rPr>
                    <w:t>季度</w:t>
                  </w:r>
                </w:p>
              </w:tc>
            </w:tr>
          </w:tbl>
          <w:p w14:paraId="2CA162CA">
            <w:pPr>
              <w:keepNext w:val="0"/>
              <w:keepLines w:val="0"/>
              <w:suppressLineNumbers w:val="0"/>
              <w:spacing w:before="0" w:beforeAutospacing="0" w:after="0" w:afterAutospacing="0" w:line="360" w:lineRule="auto"/>
              <w:ind w:left="0" w:right="0" w:firstLine="482" w:firstLineChars="200"/>
              <w:jc w:val="left"/>
              <w:rPr>
                <w:rFonts w:hint="default"/>
                <w:b/>
                <w:snapToGrid w:val="0"/>
                <w:color w:val="auto"/>
                <w:kern w:val="0"/>
                <w:sz w:val="24"/>
              </w:rPr>
            </w:pPr>
            <w:r>
              <w:rPr>
                <w:rFonts w:hint="eastAsia"/>
                <w:b/>
                <w:snapToGrid w:val="0"/>
                <w:color w:val="auto"/>
                <w:kern w:val="0"/>
                <w:sz w:val="24"/>
              </w:rPr>
              <w:t>四、</w:t>
            </w:r>
            <w:r>
              <w:rPr>
                <w:rFonts w:hint="eastAsia" w:hAnsi="宋体"/>
                <w:b/>
                <w:snapToGrid w:val="0"/>
                <w:color w:val="auto"/>
                <w:kern w:val="0"/>
                <w:sz w:val="24"/>
              </w:rPr>
              <w:t>固废</w:t>
            </w:r>
            <w:r>
              <w:rPr>
                <w:rFonts w:hint="default" w:hAnsi="宋体"/>
                <w:b/>
                <w:snapToGrid w:val="0"/>
                <w:color w:val="auto"/>
                <w:kern w:val="0"/>
                <w:sz w:val="24"/>
              </w:rPr>
              <w:t>源强</w:t>
            </w:r>
            <w:r>
              <w:rPr>
                <w:rFonts w:hint="eastAsia"/>
                <w:b/>
                <w:bCs/>
                <w:color w:val="auto"/>
                <w:sz w:val="24"/>
                <w:szCs w:val="28"/>
              </w:rPr>
              <w:t>及环境影响和污染防治措施</w:t>
            </w:r>
          </w:p>
          <w:p w14:paraId="34EA2FDB">
            <w:pPr>
              <w:keepNext w:val="0"/>
              <w:keepLines w:val="0"/>
              <w:suppressLineNumbers w:val="0"/>
              <w:spacing w:before="0" w:beforeAutospacing="0" w:after="0" w:afterAutospacing="0" w:line="360" w:lineRule="auto"/>
              <w:ind w:left="0" w:right="0" w:firstLine="480" w:firstLineChars="200"/>
              <w:jc w:val="left"/>
              <w:rPr>
                <w:rFonts w:hint="eastAsia"/>
                <w:color w:val="auto"/>
                <w:sz w:val="24"/>
                <w:szCs w:val="28"/>
                <w:lang w:val="en-US" w:eastAsia="zh-CN"/>
              </w:rPr>
            </w:pPr>
            <w:r>
              <w:rPr>
                <w:rFonts w:hint="eastAsia"/>
                <w:color w:val="auto"/>
                <w:sz w:val="24"/>
                <w:szCs w:val="28"/>
                <w:lang w:val="en-US" w:eastAsia="zh-CN"/>
              </w:rPr>
              <w:t>本项目固体废物主要包括一般工业固废、危险废物及生活垃圾。</w:t>
            </w:r>
          </w:p>
          <w:p w14:paraId="200B97CB">
            <w:pPr>
              <w:keepNext w:val="0"/>
              <w:keepLines w:val="0"/>
              <w:suppressLineNumbers w:val="0"/>
              <w:spacing w:before="0" w:beforeAutospacing="0" w:after="0" w:afterAutospacing="0" w:line="360" w:lineRule="auto"/>
              <w:ind w:left="0" w:right="0" w:firstLine="482" w:firstLineChars="200"/>
              <w:jc w:val="left"/>
              <w:rPr>
                <w:rFonts w:hint="eastAsia"/>
                <w:b/>
                <w:bCs/>
                <w:color w:val="auto"/>
                <w:sz w:val="24"/>
                <w:szCs w:val="28"/>
                <w:lang w:val="en-US" w:eastAsia="zh-CN"/>
              </w:rPr>
            </w:pPr>
            <w:r>
              <w:rPr>
                <w:rFonts w:hint="eastAsia"/>
                <w:b/>
                <w:bCs/>
                <w:color w:val="auto"/>
                <w:sz w:val="24"/>
                <w:szCs w:val="28"/>
                <w:lang w:val="en-US" w:eastAsia="zh-CN"/>
              </w:rPr>
              <w:t>1.一般工业固废</w:t>
            </w:r>
          </w:p>
          <w:p w14:paraId="3F5B6A6C">
            <w:pPr>
              <w:keepNext w:val="0"/>
              <w:keepLines w:val="0"/>
              <w:suppressLineNumbers w:val="0"/>
              <w:spacing w:before="0" w:beforeAutospacing="0" w:after="0" w:afterAutospacing="0" w:line="360" w:lineRule="auto"/>
              <w:ind w:left="0" w:right="0" w:firstLine="480" w:firstLineChars="200"/>
              <w:jc w:val="left"/>
              <w:rPr>
                <w:rFonts w:hint="eastAsia"/>
                <w:color w:val="auto"/>
                <w:sz w:val="24"/>
                <w:szCs w:val="28"/>
                <w:lang w:val="en-US" w:eastAsia="zh-CN"/>
              </w:rPr>
            </w:pPr>
            <w:r>
              <w:rPr>
                <w:rFonts w:hint="eastAsia"/>
                <w:color w:val="auto"/>
                <w:sz w:val="24"/>
                <w:szCs w:val="28"/>
                <w:lang w:val="en-US" w:eastAsia="zh-CN"/>
              </w:rPr>
              <w:t>根据工艺流程分析，项目生产过程中产生的一般工业固体废物主要包括废包装、废塑料边角料、不合格塑料半成品、废包材、（粉碎工序）布袋除尘器收集粉尘。</w:t>
            </w:r>
          </w:p>
          <w:p w14:paraId="67D02884">
            <w:pPr>
              <w:keepNext w:val="0"/>
              <w:keepLines w:val="0"/>
              <w:suppressLineNumbers w:val="0"/>
              <w:spacing w:before="0" w:beforeAutospacing="0" w:after="0" w:afterAutospacing="0" w:line="360" w:lineRule="auto"/>
              <w:ind w:left="0" w:right="0" w:firstLine="480" w:firstLineChars="200"/>
              <w:jc w:val="left"/>
              <w:rPr>
                <w:rFonts w:hint="eastAsia"/>
                <w:color w:val="auto"/>
                <w:sz w:val="24"/>
                <w:szCs w:val="28"/>
                <w:lang w:val="en-US" w:eastAsia="zh-CN"/>
              </w:rPr>
            </w:pPr>
            <w:r>
              <w:rPr>
                <w:rFonts w:hint="eastAsia"/>
                <w:color w:val="auto"/>
                <w:sz w:val="24"/>
                <w:szCs w:val="28"/>
                <w:lang w:val="en-US" w:eastAsia="zh-CN"/>
              </w:rPr>
              <w:t>（1）废包装（S</w:t>
            </w:r>
            <w:r>
              <w:rPr>
                <w:rFonts w:hint="eastAsia"/>
                <w:color w:val="auto"/>
                <w:sz w:val="24"/>
                <w:szCs w:val="28"/>
                <w:vertAlign w:val="subscript"/>
                <w:lang w:val="en-US" w:eastAsia="zh-CN"/>
              </w:rPr>
              <w:t>1</w:t>
            </w:r>
            <w:r>
              <w:rPr>
                <w:rFonts w:hint="eastAsia"/>
                <w:color w:val="auto"/>
                <w:sz w:val="24"/>
                <w:szCs w:val="28"/>
                <w:lang w:val="en-US" w:eastAsia="zh-CN"/>
              </w:rPr>
              <w:t>）</w:t>
            </w:r>
          </w:p>
          <w:p w14:paraId="4C49A01B">
            <w:pPr>
              <w:keepNext w:val="0"/>
              <w:keepLines w:val="0"/>
              <w:suppressLineNumbers w:val="0"/>
              <w:spacing w:before="0" w:beforeAutospacing="0" w:after="0" w:afterAutospacing="0" w:line="360" w:lineRule="auto"/>
              <w:ind w:left="0" w:right="0" w:firstLine="480" w:firstLineChars="200"/>
              <w:jc w:val="left"/>
              <w:rPr>
                <w:rFonts w:hint="default"/>
                <w:color w:val="auto"/>
                <w:sz w:val="24"/>
                <w:szCs w:val="28"/>
                <w:highlight w:val="none"/>
                <w:lang w:val="en-US" w:eastAsia="zh-CN"/>
              </w:rPr>
            </w:pPr>
            <w:r>
              <w:rPr>
                <w:rFonts w:hint="eastAsia"/>
                <w:color w:val="auto"/>
                <w:sz w:val="24"/>
                <w:szCs w:val="28"/>
                <w:lang w:val="en-US" w:eastAsia="zh-CN"/>
              </w:rPr>
              <w:t>根据本项目原辅材料消耗情况可知，</w:t>
            </w:r>
            <w:r>
              <w:rPr>
                <w:rFonts w:hint="eastAsia"/>
                <w:color w:val="auto"/>
                <w:sz w:val="24"/>
                <w:szCs w:val="28"/>
                <w:highlight w:val="none"/>
                <w:lang w:val="en-US" w:eastAsia="zh-CN"/>
              </w:rPr>
              <w:t>塑料颗粒废包装袋年产生约22000个，袋重约0.1kg/个，则废包装袋产生量为2.2t/a。其他废纸箱等包装约0.5t/a。</w:t>
            </w:r>
          </w:p>
          <w:p w14:paraId="57A9F879">
            <w:pPr>
              <w:keepNext w:val="0"/>
              <w:keepLines w:val="0"/>
              <w:suppressLineNumbers w:val="0"/>
              <w:spacing w:before="0" w:beforeAutospacing="0" w:after="0" w:afterAutospacing="0" w:line="360" w:lineRule="auto"/>
              <w:ind w:left="0" w:right="0" w:firstLine="480" w:firstLineChars="200"/>
              <w:jc w:val="left"/>
              <w:rPr>
                <w:rFonts w:hint="default"/>
                <w:color w:val="auto"/>
                <w:sz w:val="24"/>
                <w:szCs w:val="28"/>
                <w:highlight w:val="none"/>
                <w:lang w:val="en-US" w:eastAsia="zh-CN"/>
              </w:rPr>
            </w:pPr>
            <w:r>
              <w:rPr>
                <w:rFonts w:hint="eastAsia"/>
                <w:color w:val="auto"/>
                <w:sz w:val="24"/>
                <w:szCs w:val="28"/>
                <w:highlight w:val="none"/>
                <w:lang w:val="en-US" w:eastAsia="zh-CN"/>
              </w:rPr>
              <w:t>本项目废包装总计约2.7t/a，统一收集后存放于一般工业固废间，定期由厂家回收综合利用。</w:t>
            </w:r>
          </w:p>
          <w:p w14:paraId="48177CB6">
            <w:pPr>
              <w:keepNext w:val="0"/>
              <w:keepLines w:val="0"/>
              <w:suppressLineNumbers w:val="0"/>
              <w:spacing w:before="0" w:beforeAutospacing="0" w:after="0" w:afterAutospacing="0" w:line="360" w:lineRule="auto"/>
              <w:ind w:left="0" w:right="0" w:firstLine="480" w:firstLineChars="200"/>
              <w:jc w:val="left"/>
              <w:rPr>
                <w:rFonts w:hint="default"/>
                <w:color w:val="auto"/>
                <w:sz w:val="24"/>
                <w:szCs w:val="28"/>
                <w:highlight w:val="none"/>
                <w:lang w:val="en-US" w:eastAsia="zh-CN"/>
              </w:rPr>
            </w:pPr>
            <w:r>
              <w:rPr>
                <w:rFonts w:hint="eastAsia"/>
                <w:color w:val="auto"/>
                <w:sz w:val="24"/>
                <w:szCs w:val="28"/>
                <w:highlight w:val="none"/>
                <w:lang w:val="en-US" w:eastAsia="zh-CN"/>
              </w:rPr>
              <w:t>（2）废塑料边角料（S</w:t>
            </w:r>
            <w:r>
              <w:rPr>
                <w:rFonts w:hint="eastAsia"/>
                <w:color w:val="auto"/>
                <w:sz w:val="24"/>
                <w:szCs w:val="28"/>
                <w:highlight w:val="none"/>
                <w:vertAlign w:val="subscript"/>
                <w:lang w:val="en-US" w:eastAsia="zh-CN"/>
              </w:rPr>
              <w:t>2</w:t>
            </w:r>
            <w:r>
              <w:rPr>
                <w:rFonts w:hint="eastAsia"/>
                <w:color w:val="auto"/>
                <w:sz w:val="24"/>
                <w:szCs w:val="28"/>
                <w:highlight w:val="none"/>
                <w:lang w:val="en-US" w:eastAsia="zh-CN"/>
              </w:rPr>
              <w:t>）、不合格塑料半成品（S</w:t>
            </w:r>
            <w:r>
              <w:rPr>
                <w:rFonts w:hint="eastAsia"/>
                <w:color w:val="auto"/>
                <w:sz w:val="24"/>
                <w:szCs w:val="28"/>
                <w:highlight w:val="none"/>
                <w:vertAlign w:val="subscript"/>
                <w:lang w:val="en-US" w:eastAsia="zh-CN"/>
              </w:rPr>
              <w:t>3</w:t>
            </w:r>
            <w:r>
              <w:rPr>
                <w:rFonts w:hint="eastAsia"/>
                <w:color w:val="auto"/>
                <w:sz w:val="24"/>
                <w:szCs w:val="28"/>
                <w:highlight w:val="none"/>
                <w:lang w:val="en-US" w:eastAsia="zh-CN"/>
              </w:rPr>
              <w:t>）</w:t>
            </w:r>
          </w:p>
          <w:p w14:paraId="559F0684">
            <w:pPr>
              <w:keepNext w:val="0"/>
              <w:keepLines w:val="0"/>
              <w:suppressLineNumbers w:val="0"/>
              <w:spacing w:before="0" w:beforeAutospacing="0" w:after="0" w:afterAutospacing="0" w:line="360" w:lineRule="auto"/>
              <w:ind w:left="0" w:right="0" w:firstLine="480" w:firstLineChars="200"/>
              <w:jc w:val="left"/>
              <w:rPr>
                <w:rFonts w:hint="default"/>
                <w:color w:val="auto"/>
                <w:sz w:val="24"/>
                <w:szCs w:val="28"/>
                <w:highlight w:val="none"/>
                <w:lang w:val="en-US" w:eastAsia="zh-CN"/>
              </w:rPr>
            </w:pPr>
            <w:r>
              <w:rPr>
                <w:rFonts w:hint="eastAsia"/>
                <w:b w:val="0"/>
                <w:bCs w:val="0"/>
                <w:color w:val="auto"/>
                <w:sz w:val="24"/>
                <w:highlight w:val="none"/>
                <w:lang w:val="en-US" w:eastAsia="zh-CN"/>
              </w:rPr>
              <w:t>根据建设单位提供资料，不合格塑料半成品及废塑料边角料约为塑料粒子原料总重的7.48%，约41.13t/a，</w:t>
            </w:r>
            <w:r>
              <w:rPr>
                <w:rFonts w:hint="eastAsia"/>
                <w:color w:val="auto"/>
                <w:sz w:val="24"/>
                <w:highlight w:val="none"/>
                <w:lang w:val="en-US" w:eastAsia="zh-CN"/>
              </w:rPr>
              <w:t>其中废PP/PE约占45%（18.505t/a）、废PS占55%（22.625t/a）</w:t>
            </w:r>
            <w:r>
              <w:rPr>
                <w:rFonts w:hint="eastAsia"/>
                <w:b w:val="0"/>
                <w:bCs w:val="0"/>
                <w:color w:val="auto"/>
                <w:sz w:val="24"/>
                <w:highlight w:val="none"/>
                <w:lang w:val="en-US" w:eastAsia="zh-CN"/>
              </w:rPr>
              <w:t>。产生的不合格塑料半成品、废塑料边角料根据单一材质分类收集并粉碎后回用于塑料制品生产。</w:t>
            </w:r>
          </w:p>
          <w:p w14:paraId="1B696707">
            <w:pPr>
              <w:keepNext w:val="0"/>
              <w:keepLines w:val="0"/>
              <w:suppressLineNumbers w:val="0"/>
              <w:spacing w:before="0" w:beforeAutospacing="0" w:after="0" w:afterAutospacing="0" w:line="360" w:lineRule="auto"/>
              <w:ind w:left="0" w:right="0" w:firstLine="480" w:firstLineChars="200"/>
              <w:jc w:val="left"/>
              <w:rPr>
                <w:rFonts w:hint="eastAsia"/>
                <w:color w:val="auto"/>
                <w:sz w:val="24"/>
                <w:szCs w:val="28"/>
                <w:highlight w:val="none"/>
                <w:lang w:val="en-US" w:eastAsia="zh-CN"/>
              </w:rPr>
            </w:pPr>
            <w:r>
              <w:rPr>
                <w:rFonts w:hint="eastAsia"/>
                <w:color w:val="auto"/>
                <w:sz w:val="24"/>
                <w:szCs w:val="28"/>
                <w:highlight w:val="none"/>
                <w:lang w:val="en-US" w:eastAsia="zh-CN"/>
              </w:rPr>
              <w:t>根据《固体废物鉴别标准 通则》（GB34330-2026）中“4.2.1生产企业内部通过以下方式返回原生产线作为原料使用的物质，不属于固体废物：c）进入生产工艺配套工序再生后返回”，废塑料边角料及不合格塑料半成品分类收集，粉碎后回用于塑料制品生产，不作为固体废物，不在一般工业固废间存放。</w:t>
            </w:r>
          </w:p>
          <w:p w14:paraId="4809EF64">
            <w:pPr>
              <w:keepNext w:val="0"/>
              <w:keepLines w:val="0"/>
              <w:suppressLineNumbers w:val="0"/>
              <w:spacing w:before="0" w:beforeAutospacing="0" w:after="0" w:afterAutospacing="0" w:line="360" w:lineRule="auto"/>
              <w:ind w:left="0" w:right="0" w:firstLine="480" w:firstLineChars="200"/>
              <w:jc w:val="left"/>
              <w:rPr>
                <w:rFonts w:hint="eastAsia"/>
                <w:color w:val="auto"/>
                <w:sz w:val="24"/>
                <w:szCs w:val="28"/>
                <w:highlight w:val="none"/>
                <w:lang w:val="en-US" w:eastAsia="zh-CN"/>
              </w:rPr>
            </w:pPr>
            <w:r>
              <w:rPr>
                <w:rFonts w:hint="eastAsia"/>
                <w:color w:val="auto"/>
                <w:sz w:val="24"/>
                <w:szCs w:val="28"/>
                <w:highlight w:val="none"/>
                <w:lang w:val="en-US" w:eastAsia="zh-CN"/>
              </w:rPr>
              <w:t>（3）废包材（S</w:t>
            </w:r>
            <w:r>
              <w:rPr>
                <w:rFonts w:hint="eastAsia"/>
                <w:color w:val="auto"/>
                <w:sz w:val="24"/>
                <w:szCs w:val="28"/>
                <w:highlight w:val="none"/>
                <w:vertAlign w:val="subscript"/>
                <w:lang w:val="en-US" w:eastAsia="zh-CN"/>
              </w:rPr>
              <w:t>4</w:t>
            </w:r>
            <w:r>
              <w:rPr>
                <w:rFonts w:hint="eastAsia"/>
                <w:color w:val="auto"/>
                <w:sz w:val="24"/>
                <w:szCs w:val="28"/>
                <w:highlight w:val="none"/>
                <w:lang w:val="en-US" w:eastAsia="zh-CN"/>
              </w:rPr>
              <w:t>）</w:t>
            </w:r>
          </w:p>
          <w:p w14:paraId="7B2D1740">
            <w:pPr>
              <w:keepNext w:val="0"/>
              <w:keepLines w:val="0"/>
              <w:suppressLineNumbers w:val="0"/>
              <w:spacing w:before="0" w:beforeAutospacing="0" w:after="0" w:afterAutospacing="0" w:line="360" w:lineRule="auto"/>
              <w:ind w:left="0" w:right="0" w:firstLine="480" w:firstLineChars="200"/>
              <w:jc w:val="left"/>
              <w:rPr>
                <w:rFonts w:hint="eastAsia"/>
                <w:color w:val="auto"/>
                <w:sz w:val="24"/>
                <w:szCs w:val="28"/>
                <w:highlight w:val="none"/>
                <w:lang w:val="en-US" w:eastAsia="zh-CN"/>
              </w:rPr>
            </w:pPr>
            <w:r>
              <w:rPr>
                <w:rFonts w:hint="eastAsia"/>
                <w:color w:val="auto"/>
                <w:sz w:val="24"/>
                <w:szCs w:val="28"/>
                <w:highlight w:val="none"/>
                <w:lang w:val="en-US" w:eastAsia="zh-CN"/>
              </w:rPr>
              <w:t>根据建设单位提供资料，包装工序产生的废包材量约1.5t/a，统一收集暂存于厂区一般工业固废间，定期外售物资部门综合利用。</w:t>
            </w:r>
          </w:p>
          <w:p w14:paraId="6D9A9069">
            <w:pPr>
              <w:keepNext w:val="0"/>
              <w:keepLines w:val="0"/>
              <w:suppressLineNumbers w:val="0"/>
              <w:spacing w:before="0" w:beforeAutospacing="0" w:after="0" w:afterAutospacing="0" w:line="360" w:lineRule="auto"/>
              <w:ind w:left="0" w:right="0" w:firstLine="480" w:firstLineChars="200"/>
              <w:jc w:val="left"/>
              <w:rPr>
                <w:rFonts w:hint="default"/>
                <w:color w:val="auto"/>
                <w:sz w:val="24"/>
                <w:szCs w:val="28"/>
                <w:highlight w:val="none"/>
                <w:lang w:val="en-US" w:eastAsia="zh-CN"/>
              </w:rPr>
            </w:pPr>
            <w:r>
              <w:rPr>
                <w:rFonts w:hint="eastAsia"/>
                <w:color w:val="auto"/>
                <w:sz w:val="24"/>
                <w:szCs w:val="28"/>
                <w:highlight w:val="none"/>
                <w:lang w:val="en-US" w:eastAsia="zh-CN"/>
              </w:rPr>
              <w:t>（4）（粉碎工序）布袋除尘器收集粉尘（S</w:t>
            </w:r>
            <w:r>
              <w:rPr>
                <w:rFonts w:hint="eastAsia"/>
                <w:color w:val="auto"/>
                <w:sz w:val="24"/>
                <w:szCs w:val="28"/>
                <w:highlight w:val="none"/>
                <w:vertAlign w:val="subscript"/>
                <w:lang w:val="en-US" w:eastAsia="zh-CN"/>
              </w:rPr>
              <w:t>5</w:t>
            </w:r>
            <w:r>
              <w:rPr>
                <w:rFonts w:hint="eastAsia"/>
                <w:color w:val="auto"/>
                <w:sz w:val="24"/>
                <w:szCs w:val="28"/>
                <w:highlight w:val="none"/>
                <w:lang w:val="en-US" w:eastAsia="zh-CN"/>
              </w:rPr>
              <w:t>）</w:t>
            </w:r>
          </w:p>
          <w:p w14:paraId="38D3BEB1">
            <w:pPr>
              <w:keepNext w:val="0"/>
              <w:keepLines w:val="0"/>
              <w:suppressLineNumbers w:val="0"/>
              <w:spacing w:before="0" w:beforeAutospacing="0" w:after="0" w:afterAutospacing="0" w:line="360" w:lineRule="auto"/>
              <w:ind w:left="0" w:right="0" w:firstLine="480" w:firstLineChars="200"/>
              <w:jc w:val="left"/>
              <w:rPr>
                <w:rFonts w:hint="eastAsia"/>
                <w:color w:val="auto"/>
                <w:sz w:val="24"/>
                <w:szCs w:val="28"/>
                <w:highlight w:val="none"/>
                <w:lang w:val="en-US" w:eastAsia="zh-CN"/>
              </w:rPr>
            </w:pPr>
            <w:r>
              <w:rPr>
                <w:rFonts w:hint="eastAsia"/>
                <w:color w:val="auto"/>
                <w:sz w:val="24"/>
                <w:szCs w:val="28"/>
                <w:highlight w:val="none"/>
                <w:lang w:val="en-US" w:eastAsia="zh-CN"/>
              </w:rPr>
              <w:t>根据工程分析废气源强分析可知，粉碎粉尘经各自设备上方集气罩收集后，通过布袋除尘器处理，除尘装置吸收粉尘为单一材质塑料颗粒，粉尘量约14.87t/a。</w:t>
            </w:r>
          </w:p>
          <w:p w14:paraId="395F5F2F">
            <w:pPr>
              <w:keepNext w:val="0"/>
              <w:keepLines w:val="0"/>
              <w:suppressLineNumbers w:val="0"/>
              <w:spacing w:before="0" w:beforeAutospacing="0" w:after="0" w:afterAutospacing="0" w:line="360" w:lineRule="auto"/>
              <w:ind w:left="0" w:right="0" w:firstLine="480" w:firstLineChars="200"/>
              <w:jc w:val="left"/>
              <w:rPr>
                <w:rFonts w:hint="eastAsia"/>
                <w:color w:val="auto"/>
                <w:sz w:val="24"/>
                <w:szCs w:val="28"/>
                <w:highlight w:val="none"/>
                <w:lang w:val="en-US" w:eastAsia="zh-CN"/>
              </w:rPr>
            </w:pPr>
            <w:r>
              <w:rPr>
                <w:rFonts w:hint="eastAsia"/>
                <w:color w:val="auto"/>
                <w:sz w:val="24"/>
                <w:szCs w:val="28"/>
                <w:highlight w:val="none"/>
                <w:lang w:val="en-US" w:eastAsia="zh-CN"/>
              </w:rPr>
              <w:t>根据《固体废物鉴别标准 通则》（GB34330-2026）中“4.2.1生产企业内部通过以下方式返回原生产线作为原料使用的物质，不属于固体废物：c）进入生产工艺配套工序再生后返回”，收集粉尘分类收集后回用于塑料制品生产，不作为固体废物，不在一般工业固废间存放。</w:t>
            </w:r>
          </w:p>
          <w:p w14:paraId="4886E979">
            <w:pPr>
              <w:keepNext w:val="0"/>
              <w:keepLines w:val="0"/>
              <w:suppressLineNumbers w:val="0"/>
              <w:spacing w:before="0" w:beforeAutospacing="0" w:after="0" w:afterAutospacing="0" w:line="360" w:lineRule="auto"/>
              <w:ind w:left="0" w:right="0" w:firstLine="482" w:firstLineChars="200"/>
              <w:jc w:val="left"/>
              <w:rPr>
                <w:rFonts w:hint="eastAsia"/>
                <w:b/>
                <w:bCs/>
                <w:color w:val="auto"/>
                <w:sz w:val="24"/>
                <w:szCs w:val="28"/>
                <w:lang w:val="en-US" w:eastAsia="zh-CN"/>
              </w:rPr>
            </w:pPr>
            <w:r>
              <w:rPr>
                <w:rFonts w:hint="eastAsia"/>
                <w:b/>
                <w:bCs/>
                <w:color w:val="auto"/>
                <w:sz w:val="24"/>
                <w:szCs w:val="28"/>
                <w:lang w:val="en-US" w:eastAsia="zh-CN"/>
              </w:rPr>
              <w:t>2.危险废物</w:t>
            </w:r>
          </w:p>
          <w:p w14:paraId="2F247BF2">
            <w:pPr>
              <w:keepNext w:val="0"/>
              <w:keepLines w:val="0"/>
              <w:suppressLineNumbers w:val="0"/>
              <w:spacing w:before="0" w:beforeAutospacing="0" w:after="0" w:afterAutospacing="0" w:line="360" w:lineRule="auto"/>
              <w:ind w:left="0" w:right="0" w:firstLine="480" w:firstLineChars="200"/>
              <w:jc w:val="left"/>
              <w:rPr>
                <w:rFonts w:hint="eastAsia"/>
                <w:color w:val="auto"/>
                <w:sz w:val="24"/>
                <w:szCs w:val="28"/>
                <w:lang w:val="en-US" w:eastAsia="zh-CN"/>
              </w:rPr>
            </w:pPr>
            <w:r>
              <w:rPr>
                <w:rFonts w:hint="eastAsia"/>
                <w:color w:val="auto"/>
                <w:sz w:val="24"/>
                <w:szCs w:val="28"/>
                <w:lang w:val="en-US" w:eastAsia="zh-CN"/>
              </w:rPr>
              <w:t>项目生产过程产生的危险废物主要包括废活性炭、废机油、废油桶及废弃劳保用品。</w:t>
            </w:r>
          </w:p>
          <w:p w14:paraId="6AFDB531">
            <w:pPr>
              <w:keepNext w:val="0"/>
              <w:keepLines w:val="0"/>
              <w:suppressLineNumbers w:val="0"/>
              <w:spacing w:before="0" w:beforeAutospacing="0" w:after="0" w:afterAutospacing="0" w:line="360" w:lineRule="auto"/>
              <w:ind w:left="0" w:right="0" w:firstLine="480" w:firstLineChars="200"/>
              <w:jc w:val="left"/>
              <w:rPr>
                <w:rFonts w:hint="eastAsia"/>
                <w:color w:val="auto"/>
                <w:sz w:val="24"/>
                <w:szCs w:val="28"/>
                <w:highlight w:val="none"/>
                <w:lang w:val="en-US" w:eastAsia="zh-CN"/>
              </w:rPr>
            </w:pPr>
            <w:r>
              <w:rPr>
                <w:rFonts w:hint="eastAsia"/>
                <w:color w:val="auto"/>
                <w:sz w:val="24"/>
                <w:szCs w:val="28"/>
                <w:highlight w:val="none"/>
                <w:lang w:val="en-US" w:eastAsia="zh-CN"/>
              </w:rPr>
              <w:t>（1）废活性炭（S</w:t>
            </w:r>
            <w:r>
              <w:rPr>
                <w:rFonts w:hint="eastAsia"/>
                <w:color w:val="auto"/>
                <w:sz w:val="24"/>
                <w:szCs w:val="28"/>
                <w:highlight w:val="none"/>
                <w:vertAlign w:val="subscript"/>
                <w:lang w:val="en-US" w:eastAsia="zh-CN"/>
              </w:rPr>
              <w:t>6</w:t>
            </w:r>
            <w:r>
              <w:rPr>
                <w:rFonts w:hint="eastAsia"/>
                <w:color w:val="auto"/>
                <w:sz w:val="24"/>
                <w:szCs w:val="28"/>
                <w:highlight w:val="none"/>
                <w:lang w:val="en-US" w:eastAsia="zh-CN"/>
              </w:rPr>
              <w:t>）</w:t>
            </w:r>
          </w:p>
          <w:p w14:paraId="16690121">
            <w:pPr>
              <w:keepNext w:val="0"/>
              <w:keepLines w:val="0"/>
              <w:suppressLineNumbers w:val="0"/>
              <w:spacing w:before="0" w:beforeAutospacing="0" w:after="0" w:afterAutospacing="0" w:line="360" w:lineRule="auto"/>
              <w:ind w:left="0" w:right="0" w:firstLine="480" w:firstLineChars="200"/>
              <w:jc w:val="left"/>
              <w:rPr>
                <w:rFonts w:hint="eastAsia"/>
                <w:color w:val="auto"/>
                <w:sz w:val="24"/>
                <w:szCs w:val="28"/>
                <w:lang w:val="en-US" w:eastAsia="zh-CN"/>
              </w:rPr>
            </w:pPr>
            <w:r>
              <w:rPr>
                <w:rFonts w:hint="eastAsia"/>
                <w:color w:val="auto"/>
                <w:sz w:val="24"/>
                <w:szCs w:val="28"/>
                <w:lang w:val="en-US" w:eastAsia="zh-CN"/>
              </w:rPr>
              <w:t>类比同类型行业，本项目采用碘值不低于800mg/g的蜂窝状活性炭。</w:t>
            </w:r>
          </w:p>
          <w:p w14:paraId="04B5ABC8">
            <w:pPr>
              <w:keepNext w:val="0"/>
              <w:keepLines w:val="0"/>
              <w:suppressLineNumbers w:val="0"/>
              <w:spacing w:before="0" w:beforeAutospacing="0" w:after="0" w:afterAutospacing="0" w:line="360" w:lineRule="auto"/>
              <w:ind w:left="0" w:right="0" w:firstLine="480" w:firstLineChars="200"/>
              <w:jc w:val="left"/>
              <w:rPr>
                <w:rFonts w:hint="eastAsia"/>
                <w:color w:val="auto"/>
                <w:sz w:val="24"/>
                <w:szCs w:val="28"/>
                <w:lang w:val="en-US" w:eastAsia="zh-CN"/>
              </w:rPr>
            </w:pPr>
            <w:r>
              <w:rPr>
                <w:rFonts w:hint="eastAsia"/>
                <w:color w:val="auto"/>
                <w:sz w:val="24"/>
                <w:szCs w:val="28"/>
                <w:lang w:val="en-US" w:eastAsia="zh-CN"/>
              </w:rPr>
              <w:t>注塑废气处理装置</w:t>
            </w:r>
            <w:r>
              <w:rPr>
                <w:rFonts w:hint="eastAsia"/>
                <w:color w:val="auto"/>
                <w:sz w:val="24"/>
                <w:szCs w:val="28"/>
              </w:rPr>
              <w:t>风量为</w:t>
            </w:r>
            <w:r>
              <w:rPr>
                <w:rFonts w:hint="eastAsia"/>
                <w:color w:val="auto"/>
                <w:sz w:val="24"/>
                <w:szCs w:val="28"/>
                <w:lang w:val="en-US" w:eastAsia="zh-CN"/>
              </w:rPr>
              <w:t>24000</w:t>
            </w:r>
            <w:r>
              <w:rPr>
                <w:rFonts w:hint="eastAsia"/>
                <w:color w:val="auto"/>
                <w:sz w:val="24"/>
                <w:szCs w:val="28"/>
              </w:rPr>
              <w:t>m</w:t>
            </w:r>
            <w:r>
              <w:rPr>
                <w:rFonts w:hint="eastAsia"/>
                <w:color w:val="auto"/>
                <w:sz w:val="24"/>
                <w:szCs w:val="28"/>
                <w:vertAlign w:val="superscript"/>
              </w:rPr>
              <w:t>3</w:t>
            </w:r>
            <w:r>
              <w:rPr>
                <w:rFonts w:hint="eastAsia"/>
                <w:color w:val="auto"/>
                <w:sz w:val="24"/>
                <w:szCs w:val="28"/>
              </w:rPr>
              <w:t>/h，</w:t>
            </w:r>
            <w:r>
              <w:rPr>
                <w:rFonts w:hint="eastAsia"/>
                <w:color w:val="auto"/>
                <w:sz w:val="24"/>
                <w:szCs w:val="28"/>
                <w:lang w:val="en-US" w:eastAsia="zh-CN"/>
              </w:rPr>
              <w:t>单个活性炭箱流速控制为1.11m/s，满足《大气污染治理工程技术导则》（HJ2000-2010）中“采用蜂窝状活性炭时，宜取0.7~1.2m/s”的要求。单个活性炭箱活性炭分2层进行叠装装填，总装填厚度为600mm，蜂窝状活性炭密度约为350kg/m</w:t>
            </w:r>
            <w:r>
              <w:rPr>
                <w:rFonts w:hint="eastAsia"/>
                <w:color w:val="auto"/>
                <w:sz w:val="24"/>
                <w:szCs w:val="28"/>
                <w:vertAlign w:val="superscript"/>
                <w:lang w:val="en-US" w:eastAsia="zh-CN"/>
              </w:rPr>
              <w:t>3</w:t>
            </w:r>
            <w:r>
              <w:rPr>
                <w:rFonts w:hint="eastAsia"/>
                <w:color w:val="auto"/>
                <w:sz w:val="24"/>
                <w:szCs w:val="28"/>
                <w:lang w:val="en-US" w:eastAsia="zh-CN"/>
              </w:rPr>
              <w:t>，单个活性炭箱填充量为24000m</w:t>
            </w:r>
            <w:r>
              <w:rPr>
                <w:rFonts w:hint="eastAsia"/>
                <w:color w:val="auto"/>
                <w:sz w:val="24"/>
                <w:szCs w:val="28"/>
                <w:vertAlign w:val="superscript"/>
                <w:lang w:val="en-US" w:eastAsia="zh-CN"/>
              </w:rPr>
              <w:t>3</w:t>
            </w:r>
            <w:r>
              <w:rPr>
                <w:rFonts w:hint="eastAsia"/>
                <w:color w:val="auto"/>
                <w:sz w:val="24"/>
                <w:szCs w:val="28"/>
                <w:lang w:val="en-US" w:eastAsia="zh-CN"/>
              </w:rPr>
              <w:t>/h÷3600s/h÷1.11m/s×600mm×350kg/m</w:t>
            </w:r>
            <w:r>
              <w:rPr>
                <w:rFonts w:hint="eastAsia"/>
                <w:color w:val="auto"/>
                <w:sz w:val="24"/>
                <w:szCs w:val="28"/>
                <w:vertAlign w:val="superscript"/>
                <w:lang w:val="en-US" w:eastAsia="zh-CN"/>
              </w:rPr>
              <w:t>3</w:t>
            </w:r>
            <w:r>
              <w:rPr>
                <w:rFonts w:hint="eastAsia"/>
                <w:color w:val="auto"/>
                <w:sz w:val="24"/>
                <w:szCs w:val="28"/>
                <w:lang w:val="en-US" w:eastAsia="zh-CN"/>
              </w:rPr>
              <w:t>≈1.261t，则2个箱体填充活性炭约2.522t，活性炭使用一段时间后会吸附饱和，按每年更换4次进行定期更换，更换量约10.088t/a。根据工程分析，活性炭吸附有机废气量约1.11t/a。</w:t>
            </w:r>
          </w:p>
          <w:p w14:paraId="38018796">
            <w:pPr>
              <w:keepNext w:val="0"/>
              <w:keepLines w:val="0"/>
              <w:suppressLineNumbers w:val="0"/>
              <w:spacing w:before="0" w:beforeAutospacing="0" w:after="0" w:afterAutospacing="0" w:line="360" w:lineRule="auto"/>
              <w:ind w:left="0" w:right="0" w:firstLine="480" w:firstLineChars="200"/>
              <w:jc w:val="left"/>
              <w:rPr>
                <w:rFonts w:hint="default"/>
                <w:color w:val="auto"/>
                <w:sz w:val="24"/>
                <w:szCs w:val="28"/>
                <w:lang w:val="en-US" w:eastAsia="zh-CN"/>
              </w:rPr>
            </w:pPr>
            <w:r>
              <w:rPr>
                <w:rFonts w:hint="eastAsia"/>
                <w:color w:val="auto"/>
                <w:sz w:val="24"/>
                <w:szCs w:val="28"/>
                <w:lang w:val="en-US" w:eastAsia="zh-CN"/>
              </w:rPr>
              <w:t>根据同类工程调查，废活性炭为被吸附的污染物量和活性炭本身的用量之和，本项目废活性炭的产生量约11.198t/a。</w:t>
            </w:r>
          </w:p>
          <w:p w14:paraId="0254E039">
            <w:pPr>
              <w:keepNext w:val="0"/>
              <w:keepLines w:val="0"/>
              <w:suppressLineNumbers w:val="0"/>
              <w:spacing w:before="0" w:beforeAutospacing="0" w:after="0" w:afterAutospacing="0" w:line="360" w:lineRule="auto"/>
              <w:ind w:left="0" w:right="0" w:firstLine="480" w:firstLineChars="200"/>
              <w:jc w:val="left"/>
              <w:rPr>
                <w:rFonts w:hint="eastAsia"/>
                <w:color w:val="auto"/>
                <w:sz w:val="24"/>
              </w:rPr>
            </w:pPr>
            <w:r>
              <w:rPr>
                <w:rFonts w:hint="eastAsia"/>
                <w:color w:val="auto"/>
                <w:sz w:val="24"/>
                <w:szCs w:val="28"/>
              </w:rPr>
              <w:t>根据《国家危险废物名录（2025年版）》，废活性炭属于危险废物，危废类别为HW49其他废物：烟气、VOCs治理过程（不包括餐饮行业油烟治理过程）产生的废活性炭，危废代码为900-039-49</w:t>
            </w:r>
            <w:r>
              <w:rPr>
                <w:rFonts w:hint="eastAsia"/>
                <w:color w:val="auto"/>
                <w:sz w:val="24"/>
                <w:szCs w:val="24"/>
              </w:rPr>
              <w:t>。</w:t>
            </w:r>
          </w:p>
          <w:p w14:paraId="5F419F25">
            <w:pPr>
              <w:keepNext w:val="0"/>
              <w:keepLines w:val="0"/>
              <w:suppressLineNumbers w:val="0"/>
              <w:spacing w:before="0" w:beforeAutospacing="0" w:after="0" w:afterAutospacing="0" w:line="360" w:lineRule="auto"/>
              <w:ind w:left="0" w:right="0" w:firstLine="480" w:firstLineChars="200"/>
              <w:rPr>
                <w:rFonts w:hint="default" w:eastAsia="宋体"/>
                <w:color w:val="auto"/>
                <w:sz w:val="24"/>
                <w:lang w:val="en-US" w:eastAsia="zh-CN"/>
              </w:rPr>
            </w:pPr>
            <w:r>
              <w:rPr>
                <w:rFonts w:hint="eastAsia"/>
                <w:color w:val="auto"/>
                <w:sz w:val="24"/>
                <w:lang w:eastAsia="zh-CN"/>
              </w:rPr>
              <w:t>（</w:t>
            </w:r>
            <w:r>
              <w:rPr>
                <w:rFonts w:hint="eastAsia"/>
                <w:color w:val="auto"/>
                <w:sz w:val="24"/>
                <w:lang w:val="en-US" w:eastAsia="zh-CN"/>
              </w:rPr>
              <w:t>2</w:t>
            </w:r>
            <w:r>
              <w:rPr>
                <w:rFonts w:hint="eastAsia"/>
                <w:color w:val="auto"/>
                <w:sz w:val="24"/>
                <w:lang w:eastAsia="zh-CN"/>
              </w:rPr>
              <w:t>）</w:t>
            </w:r>
            <w:r>
              <w:rPr>
                <w:rFonts w:hint="eastAsia"/>
                <w:color w:val="auto"/>
                <w:sz w:val="24"/>
                <w:lang w:val="en-US" w:eastAsia="zh-CN"/>
              </w:rPr>
              <w:t>废机油（S</w:t>
            </w:r>
            <w:r>
              <w:rPr>
                <w:rFonts w:hint="eastAsia"/>
                <w:color w:val="auto"/>
                <w:sz w:val="24"/>
                <w:vertAlign w:val="subscript"/>
                <w:lang w:val="en-US" w:eastAsia="zh-CN"/>
              </w:rPr>
              <w:t>7</w:t>
            </w:r>
            <w:r>
              <w:rPr>
                <w:rFonts w:hint="eastAsia"/>
                <w:color w:val="auto"/>
                <w:sz w:val="24"/>
                <w:lang w:val="en-US" w:eastAsia="zh-CN"/>
              </w:rPr>
              <w:t>）</w:t>
            </w:r>
          </w:p>
          <w:p w14:paraId="25FEAF42">
            <w:pPr>
              <w:keepNext w:val="0"/>
              <w:keepLines w:val="0"/>
              <w:suppressLineNumbers w:val="0"/>
              <w:spacing w:before="0" w:beforeAutospacing="0" w:after="0" w:afterAutospacing="0" w:line="360" w:lineRule="auto"/>
              <w:ind w:left="0" w:right="0" w:firstLine="480" w:firstLineChars="200"/>
              <w:rPr>
                <w:rFonts w:hint="default" w:eastAsia="宋体"/>
                <w:color w:val="auto"/>
                <w:sz w:val="24"/>
                <w:lang w:val="en-US" w:eastAsia="zh-CN"/>
              </w:rPr>
            </w:pPr>
            <w:r>
              <w:rPr>
                <w:rFonts w:hint="eastAsia"/>
                <w:color w:val="auto"/>
                <w:sz w:val="24"/>
                <w:lang w:val="en-US" w:eastAsia="zh-CN"/>
              </w:rPr>
              <w:t>根据建设单位提供信息，设备维修时产生废矿物油约1.0t/a，统一收集暂存于危废暂存间，定期委托有资质单位处理处置。</w:t>
            </w:r>
          </w:p>
          <w:p w14:paraId="58D069C9">
            <w:pPr>
              <w:keepNext w:val="0"/>
              <w:keepLines w:val="0"/>
              <w:suppressLineNumbers w:val="0"/>
              <w:spacing w:before="0" w:beforeAutospacing="0" w:after="0" w:afterAutospacing="0" w:line="360" w:lineRule="auto"/>
              <w:ind w:left="0" w:right="0" w:firstLine="480" w:firstLineChars="200"/>
              <w:rPr>
                <w:rFonts w:hint="eastAsia"/>
                <w:color w:val="auto"/>
                <w:sz w:val="24"/>
              </w:rPr>
            </w:pPr>
            <w:r>
              <w:rPr>
                <w:rFonts w:hint="eastAsia"/>
                <w:color w:val="auto"/>
                <w:sz w:val="24"/>
              </w:rPr>
              <w:t>根据</w:t>
            </w:r>
            <w:r>
              <w:rPr>
                <w:rFonts w:hint="eastAsia"/>
                <w:color w:val="auto"/>
                <w:sz w:val="24"/>
                <w:szCs w:val="24"/>
              </w:rPr>
              <w:t>《国家危险废物名录</w:t>
            </w:r>
            <w:r>
              <w:rPr>
                <w:rFonts w:hint="eastAsia"/>
                <w:color w:val="auto"/>
                <w:sz w:val="24"/>
                <w:szCs w:val="24"/>
                <w:lang w:eastAsia="zh-CN"/>
              </w:rPr>
              <w:t>（</w:t>
            </w:r>
            <w:r>
              <w:rPr>
                <w:rFonts w:hint="eastAsia"/>
                <w:color w:val="auto"/>
                <w:sz w:val="24"/>
                <w:szCs w:val="24"/>
                <w:lang w:val="en-US" w:eastAsia="zh-CN"/>
              </w:rPr>
              <w:t>2025年版</w:t>
            </w:r>
            <w:r>
              <w:rPr>
                <w:rFonts w:hint="eastAsia"/>
                <w:color w:val="auto"/>
                <w:sz w:val="24"/>
                <w:szCs w:val="24"/>
                <w:lang w:eastAsia="zh-CN"/>
              </w:rPr>
              <w:t>）</w:t>
            </w:r>
            <w:r>
              <w:rPr>
                <w:rFonts w:hint="eastAsia"/>
                <w:color w:val="auto"/>
                <w:sz w:val="24"/>
                <w:szCs w:val="24"/>
              </w:rPr>
              <w:t>》，废</w:t>
            </w:r>
            <w:r>
              <w:rPr>
                <w:rFonts w:hint="eastAsia"/>
                <w:color w:val="auto"/>
                <w:sz w:val="24"/>
                <w:szCs w:val="24"/>
                <w:lang w:val="en-US" w:eastAsia="zh-CN"/>
              </w:rPr>
              <w:t>机油</w:t>
            </w:r>
            <w:r>
              <w:rPr>
                <w:rFonts w:hint="eastAsia"/>
                <w:bCs/>
                <w:color w:val="auto"/>
                <w:sz w:val="24"/>
              </w:rPr>
              <w:t>属于</w:t>
            </w:r>
            <w:r>
              <w:rPr>
                <w:rFonts w:hint="default"/>
                <w:color w:val="auto"/>
                <w:sz w:val="24"/>
                <w:szCs w:val="24"/>
              </w:rPr>
              <w:t>HW</w:t>
            </w:r>
            <w:r>
              <w:rPr>
                <w:rFonts w:hint="eastAsia"/>
                <w:color w:val="auto"/>
                <w:sz w:val="24"/>
                <w:szCs w:val="24"/>
                <w:lang w:val="en-US" w:eastAsia="zh-CN"/>
              </w:rPr>
              <w:t>08废矿物油与含矿物油废物</w:t>
            </w:r>
            <w:r>
              <w:rPr>
                <w:rFonts w:hint="eastAsia"/>
                <w:color w:val="auto"/>
                <w:sz w:val="24"/>
                <w:szCs w:val="24"/>
              </w:rPr>
              <w:t>，危废代码</w:t>
            </w:r>
            <w:r>
              <w:rPr>
                <w:rFonts w:hint="default"/>
                <w:color w:val="auto"/>
                <w:sz w:val="24"/>
                <w:szCs w:val="24"/>
              </w:rPr>
              <w:t>900-</w:t>
            </w:r>
            <w:r>
              <w:rPr>
                <w:rFonts w:hint="eastAsia"/>
                <w:color w:val="auto"/>
                <w:sz w:val="24"/>
                <w:szCs w:val="24"/>
                <w:lang w:val="en-US" w:eastAsia="zh-CN"/>
              </w:rPr>
              <w:t>214-08，“车辆、轮船及其它机械维修过程中产生的废发动机油、制动器油、自动变速器油、齿轮油等废润滑油”，废油</w:t>
            </w:r>
            <w:r>
              <w:rPr>
                <w:rFonts w:hint="eastAsia"/>
                <w:color w:val="auto"/>
                <w:sz w:val="24"/>
                <w:szCs w:val="24"/>
              </w:rPr>
              <w:t>收集暂存于危废暂存间，</w:t>
            </w:r>
            <w:r>
              <w:rPr>
                <w:rFonts w:hint="eastAsia"/>
                <w:color w:val="auto"/>
                <w:sz w:val="24"/>
                <w:szCs w:val="24"/>
                <w:lang w:val="en-US" w:eastAsia="zh-CN"/>
              </w:rPr>
              <w:t>定期</w:t>
            </w:r>
            <w:r>
              <w:rPr>
                <w:rFonts w:hint="eastAsia"/>
                <w:color w:val="auto"/>
                <w:sz w:val="24"/>
                <w:szCs w:val="24"/>
              </w:rPr>
              <w:t>委托有资质的单位处理处置。</w:t>
            </w:r>
          </w:p>
          <w:p w14:paraId="2CD3EA06">
            <w:pPr>
              <w:keepNext w:val="0"/>
              <w:keepLines w:val="0"/>
              <w:suppressLineNumbers w:val="0"/>
              <w:spacing w:before="0" w:beforeAutospacing="0" w:after="0" w:afterAutospacing="0" w:line="360" w:lineRule="auto"/>
              <w:ind w:left="0" w:right="0" w:firstLine="480" w:firstLineChars="200"/>
              <w:rPr>
                <w:rFonts w:hint="default" w:eastAsia="宋体"/>
                <w:color w:val="auto"/>
                <w:sz w:val="24"/>
                <w:lang w:val="en-US" w:eastAsia="zh-CN"/>
              </w:rPr>
            </w:pPr>
            <w:r>
              <w:rPr>
                <w:rFonts w:hint="eastAsia"/>
                <w:color w:val="auto"/>
                <w:sz w:val="24"/>
                <w:lang w:eastAsia="zh-CN"/>
              </w:rPr>
              <w:t>（</w:t>
            </w:r>
            <w:r>
              <w:rPr>
                <w:rFonts w:hint="eastAsia"/>
                <w:color w:val="auto"/>
                <w:sz w:val="24"/>
                <w:lang w:val="en-US" w:eastAsia="zh-CN"/>
              </w:rPr>
              <w:t>3</w:t>
            </w:r>
            <w:r>
              <w:rPr>
                <w:rFonts w:hint="eastAsia"/>
                <w:color w:val="auto"/>
                <w:sz w:val="24"/>
                <w:lang w:eastAsia="zh-CN"/>
              </w:rPr>
              <w:t>）</w:t>
            </w:r>
            <w:r>
              <w:rPr>
                <w:rFonts w:hint="eastAsia"/>
                <w:color w:val="auto"/>
                <w:sz w:val="24"/>
                <w:lang w:val="en-US" w:eastAsia="zh-CN"/>
              </w:rPr>
              <w:t>废油桶（S</w:t>
            </w:r>
            <w:r>
              <w:rPr>
                <w:rFonts w:hint="eastAsia"/>
                <w:color w:val="auto"/>
                <w:sz w:val="24"/>
                <w:vertAlign w:val="subscript"/>
                <w:lang w:val="en-US" w:eastAsia="zh-CN"/>
              </w:rPr>
              <w:t>8</w:t>
            </w:r>
            <w:r>
              <w:rPr>
                <w:rFonts w:hint="eastAsia"/>
                <w:color w:val="auto"/>
                <w:sz w:val="24"/>
                <w:lang w:val="en-US" w:eastAsia="zh-CN"/>
              </w:rPr>
              <w:t>）</w:t>
            </w:r>
          </w:p>
          <w:p w14:paraId="265E1127">
            <w:pPr>
              <w:keepNext w:val="0"/>
              <w:keepLines w:val="0"/>
              <w:suppressLineNumbers w:val="0"/>
              <w:spacing w:before="0" w:beforeAutospacing="0" w:after="0" w:afterAutospacing="0" w:line="360" w:lineRule="auto"/>
              <w:ind w:left="0" w:right="0" w:firstLine="480" w:firstLineChars="200"/>
              <w:rPr>
                <w:rFonts w:hint="eastAsia"/>
                <w:color w:val="auto"/>
                <w:sz w:val="24"/>
                <w:lang w:val="en-US" w:eastAsia="zh-CN"/>
              </w:rPr>
            </w:pPr>
            <w:r>
              <w:rPr>
                <w:rFonts w:hint="eastAsia"/>
                <w:color w:val="auto"/>
                <w:sz w:val="24"/>
                <w:lang w:val="en-US" w:eastAsia="zh-CN"/>
              </w:rPr>
              <w:t>根据建设单位提供信息，设备维修时产生废油桶约0.1t/a，统一收集暂存于危废暂存间，定期委托有资质单位处理处置。</w:t>
            </w:r>
          </w:p>
          <w:p w14:paraId="64712E43">
            <w:pPr>
              <w:keepNext w:val="0"/>
              <w:keepLines w:val="0"/>
              <w:suppressLineNumbers w:val="0"/>
              <w:spacing w:before="0" w:beforeAutospacing="0" w:after="0" w:afterAutospacing="0" w:line="360" w:lineRule="auto"/>
              <w:ind w:left="0" w:right="0" w:firstLine="480" w:firstLineChars="200"/>
              <w:rPr>
                <w:rFonts w:hint="default"/>
                <w:color w:val="auto"/>
                <w:sz w:val="24"/>
                <w:szCs w:val="24"/>
              </w:rPr>
            </w:pPr>
            <w:r>
              <w:rPr>
                <w:rFonts w:hint="eastAsia"/>
                <w:color w:val="auto"/>
                <w:sz w:val="24"/>
              </w:rPr>
              <w:t>根据</w:t>
            </w:r>
            <w:r>
              <w:rPr>
                <w:rFonts w:hint="eastAsia"/>
                <w:color w:val="auto"/>
                <w:sz w:val="24"/>
                <w:szCs w:val="24"/>
              </w:rPr>
              <w:t>《国家危险废物名录</w:t>
            </w:r>
            <w:r>
              <w:rPr>
                <w:rFonts w:hint="eastAsia"/>
                <w:color w:val="auto"/>
                <w:sz w:val="24"/>
                <w:szCs w:val="24"/>
                <w:lang w:eastAsia="zh-CN"/>
              </w:rPr>
              <w:t>（</w:t>
            </w:r>
            <w:r>
              <w:rPr>
                <w:rFonts w:hint="eastAsia"/>
                <w:color w:val="auto"/>
                <w:sz w:val="24"/>
                <w:szCs w:val="24"/>
                <w:lang w:val="en-US" w:eastAsia="zh-CN"/>
              </w:rPr>
              <w:t>2025年版</w:t>
            </w:r>
            <w:r>
              <w:rPr>
                <w:rFonts w:hint="eastAsia"/>
                <w:color w:val="auto"/>
                <w:sz w:val="24"/>
                <w:szCs w:val="24"/>
                <w:lang w:eastAsia="zh-CN"/>
              </w:rPr>
              <w:t>）</w:t>
            </w:r>
            <w:r>
              <w:rPr>
                <w:rFonts w:hint="eastAsia"/>
                <w:color w:val="auto"/>
                <w:sz w:val="24"/>
                <w:szCs w:val="24"/>
              </w:rPr>
              <w:t>》，</w:t>
            </w:r>
            <w:r>
              <w:rPr>
                <w:rFonts w:hint="eastAsia"/>
                <w:color w:val="auto"/>
                <w:sz w:val="24"/>
                <w:lang w:val="en-US" w:eastAsia="zh-CN"/>
              </w:rPr>
              <w:t>废油桶</w:t>
            </w:r>
            <w:r>
              <w:rPr>
                <w:rFonts w:hint="eastAsia"/>
                <w:bCs/>
                <w:color w:val="auto"/>
                <w:sz w:val="24"/>
              </w:rPr>
              <w:t>属于</w:t>
            </w:r>
            <w:r>
              <w:rPr>
                <w:rFonts w:hint="default"/>
                <w:color w:val="auto"/>
                <w:sz w:val="24"/>
                <w:szCs w:val="24"/>
              </w:rPr>
              <w:t>HW</w:t>
            </w:r>
            <w:r>
              <w:rPr>
                <w:rFonts w:hint="eastAsia"/>
                <w:color w:val="auto"/>
                <w:sz w:val="24"/>
                <w:szCs w:val="24"/>
                <w:lang w:val="en-US" w:eastAsia="zh-CN"/>
              </w:rPr>
              <w:t>08废矿物油与含矿物油废物</w:t>
            </w:r>
            <w:r>
              <w:rPr>
                <w:rFonts w:hint="eastAsia"/>
                <w:color w:val="auto"/>
                <w:sz w:val="24"/>
                <w:szCs w:val="24"/>
              </w:rPr>
              <w:t>，危废代码</w:t>
            </w:r>
            <w:r>
              <w:rPr>
                <w:rFonts w:hint="default"/>
                <w:color w:val="auto"/>
                <w:sz w:val="24"/>
                <w:szCs w:val="24"/>
              </w:rPr>
              <w:t>900-</w:t>
            </w:r>
            <w:r>
              <w:rPr>
                <w:rFonts w:hint="eastAsia"/>
                <w:color w:val="auto"/>
                <w:sz w:val="24"/>
                <w:szCs w:val="24"/>
                <w:lang w:val="en-US" w:eastAsia="zh-CN"/>
              </w:rPr>
              <w:t>249-08，“其他生产、销售、使用过程中产生的废矿物油及沾染矿物油的废弃包装物”，统一</w:t>
            </w:r>
            <w:r>
              <w:rPr>
                <w:rFonts w:hint="eastAsia"/>
                <w:color w:val="auto"/>
                <w:sz w:val="24"/>
                <w:szCs w:val="24"/>
              </w:rPr>
              <w:t>收集</w:t>
            </w:r>
            <w:r>
              <w:rPr>
                <w:rFonts w:hint="eastAsia"/>
                <w:color w:val="auto"/>
                <w:sz w:val="24"/>
                <w:szCs w:val="24"/>
                <w:lang w:val="en-US" w:eastAsia="zh-CN"/>
              </w:rPr>
              <w:t>后</w:t>
            </w:r>
            <w:r>
              <w:rPr>
                <w:rFonts w:hint="eastAsia"/>
                <w:color w:val="auto"/>
                <w:sz w:val="24"/>
                <w:szCs w:val="24"/>
              </w:rPr>
              <w:t>暂存于危废暂存间，后委托有资质的单位处理处置。</w:t>
            </w:r>
          </w:p>
          <w:p w14:paraId="626E9EA6">
            <w:pPr>
              <w:keepNext w:val="0"/>
              <w:keepLines w:val="0"/>
              <w:suppressLineNumbers w:val="0"/>
              <w:spacing w:before="0" w:beforeAutospacing="0" w:after="0" w:afterAutospacing="0" w:line="360" w:lineRule="auto"/>
              <w:ind w:left="0" w:right="0" w:firstLine="480" w:firstLineChars="200"/>
              <w:rPr>
                <w:rFonts w:hint="default" w:eastAsia="宋体"/>
                <w:color w:val="auto"/>
                <w:sz w:val="24"/>
                <w:lang w:val="en-US" w:eastAsia="zh-CN"/>
              </w:rPr>
            </w:pPr>
            <w:r>
              <w:rPr>
                <w:rFonts w:hint="eastAsia"/>
                <w:color w:val="auto"/>
                <w:sz w:val="24"/>
                <w:lang w:eastAsia="zh-CN"/>
              </w:rPr>
              <w:t>（</w:t>
            </w:r>
            <w:r>
              <w:rPr>
                <w:rFonts w:hint="eastAsia"/>
                <w:color w:val="auto"/>
                <w:sz w:val="24"/>
                <w:lang w:val="en-US" w:eastAsia="zh-CN"/>
              </w:rPr>
              <w:t>4</w:t>
            </w:r>
            <w:r>
              <w:rPr>
                <w:rFonts w:hint="eastAsia"/>
                <w:color w:val="auto"/>
                <w:sz w:val="24"/>
                <w:lang w:eastAsia="zh-CN"/>
              </w:rPr>
              <w:t>）</w:t>
            </w:r>
            <w:r>
              <w:rPr>
                <w:rFonts w:hint="eastAsia"/>
                <w:color w:val="auto"/>
                <w:sz w:val="24"/>
                <w:lang w:val="en-US" w:eastAsia="zh-CN"/>
              </w:rPr>
              <w:t>废弃劳保用品（S</w:t>
            </w:r>
            <w:r>
              <w:rPr>
                <w:rFonts w:hint="eastAsia"/>
                <w:color w:val="auto"/>
                <w:sz w:val="24"/>
                <w:vertAlign w:val="subscript"/>
                <w:lang w:val="en-US" w:eastAsia="zh-CN"/>
              </w:rPr>
              <w:t>9</w:t>
            </w:r>
            <w:r>
              <w:rPr>
                <w:rFonts w:hint="eastAsia"/>
                <w:color w:val="auto"/>
                <w:sz w:val="24"/>
                <w:lang w:val="en-US" w:eastAsia="zh-CN"/>
              </w:rPr>
              <w:t>）</w:t>
            </w:r>
          </w:p>
          <w:p w14:paraId="1905209F">
            <w:pPr>
              <w:keepNext w:val="0"/>
              <w:keepLines w:val="0"/>
              <w:suppressLineNumbers w:val="0"/>
              <w:spacing w:before="0" w:beforeAutospacing="0" w:after="0" w:afterAutospacing="0" w:line="360" w:lineRule="auto"/>
              <w:ind w:left="0" w:right="0" w:firstLine="480" w:firstLineChars="200"/>
              <w:rPr>
                <w:rFonts w:hint="default" w:eastAsia="宋体"/>
                <w:color w:val="auto"/>
                <w:sz w:val="24"/>
                <w:lang w:val="en-US" w:eastAsia="zh-CN"/>
              </w:rPr>
            </w:pPr>
            <w:r>
              <w:rPr>
                <w:rFonts w:hint="eastAsia"/>
                <w:color w:val="auto"/>
                <w:sz w:val="24"/>
                <w:lang w:val="en-US" w:eastAsia="zh-CN"/>
              </w:rPr>
              <w:t>根据建设单位提供信息，设备维修时产生含油废抹布及废手套等废弃劳保用品约0.01t/a，统一收集暂存于危废暂存间，定期委托有资质单位处理处置。</w:t>
            </w:r>
          </w:p>
          <w:p w14:paraId="546353DF">
            <w:pPr>
              <w:keepNext w:val="0"/>
              <w:keepLines w:val="0"/>
              <w:suppressLineNumbers w:val="0"/>
              <w:bidi w:val="0"/>
              <w:spacing w:before="0" w:beforeAutospacing="0" w:after="0" w:afterAutospacing="0" w:line="360" w:lineRule="auto"/>
              <w:ind w:left="0" w:right="0" w:firstLine="480" w:firstLineChars="200"/>
              <w:rPr>
                <w:rFonts w:hint="eastAsia"/>
                <w:color w:val="auto"/>
                <w:sz w:val="24"/>
                <w:szCs w:val="24"/>
                <w:lang w:eastAsia="zh-CN"/>
              </w:rPr>
            </w:pPr>
            <w:r>
              <w:rPr>
                <w:rFonts w:hint="eastAsia"/>
                <w:color w:val="auto"/>
                <w:sz w:val="24"/>
              </w:rPr>
              <w:t>根据</w:t>
            </w:r>
            <w:r>
              <w:rPr>
                <w:rFonts w:hint="eastAsia"/>
                <w:color w:val="auto"/>
                <w:sz w:val="24"/>
                <w:szCs w:val="24"/>
              </w:rPr>
              <w:t>《国家危险废物名录</w:t>
            </w:r>
            <w:r>
              <w:rPr>
                <w:rFonts w:hint="eastAsia"/>
                <w:color w:val="auto"/>
                <w:sz w:val="24"/>
                <w:szCs w:val="24"/>
                <w:lang w:eastAsia="zh-CN"/>
              </w:rPr>
              <w:t>（</w:t>
            </w:r>
            <w:r>
              <w:rPr>
                <w:rFonts w:hint="eastAsia"/>
                <w:color w:val="auto"/>
                <w:sz w:val="24"/>
                <w:szCs w:val="24"/>
                <w:lang w:val="en-US" w:eastAsia="zh-CN"/>
              </w:rPr>
              <w:t>2025年版</w:t>
            </w:r>
            <w:r>
              <w:rPr>
                <w:rFonts w:hint="eastAsia"/>
                <w:color w:val="auto"/>
                <w:sz w:val="24"/>
                <w:szCs w:val="24"/>
                <w:lang w:eastAsia="zh-CN"/>
              </w:rPr>
              <w:t>）</w:t>
            </w:r>
            <w:r>
              <w:rPr>
                <w:rFonts w:hint="eastAsia"/>
                <w:color w:val="auto"/>
                <w:sz w:val="24"/>
                <w:szCs w:val="24"/>
              </w:rPr>
              <w:t>》，</w:t>
            </w:r>
            <w:r>
              <w:rPr>
                <w:rFonts w:hint="eastAsia"/>
                <w:color w:val="auto"/>
                <w:sz w:val="24"/>
                <w:lang w:val="en-US" w:eastAsia="zh-CN"/>
              </w:rPr>
              <w:t>废弃劳保用品</w:t>
            </w:r>
            <w:r>
              <w:rPr>
                <w:rFonts w:hint="eastAsia"/>
                <w:bCs/>
                <w:color w:val="auto"/>
                <w:sz w:val="24"/>
              </w:rPr>
              <w:t>属于</w:t>
            </w:r>
            <w:r>
              <w:rPr>
                <w:rFonts w:hint="default"/>
                <w:color w:val="auto"/>
                <w:sz w:val="24"/>
                <w:szCs w:val="24"/>
              </w:rPr>
              <w:t>HW</w:t>
            </w:r>
            <w:r>
              <w:rPr>
                <w:rFonts w:hint="eastAsia"/>
                <w:color w:val="auto"/>
                <w:sz w:val="24"/>
                <w:szCs w:val="24"/>
                <w:lang w:val="en-US" w:eastAsia="zh-CN"/>
              </w:rPr>
              <w:t>49其他废物</w:t>
            </w:r>
            <w:r>
              <w:rPr>
                <w:rFonts w:hint="eastAsia"/>
                <w:color w:val="auto"/>
                <w:sz w:val="24"/>
                <w:szCs w:val="24"/>
              </w:rPr>
              <w:t>，危废代码</w:t>
            </w:r>
            <w:r>
              <w:rPr>
                <w:rFonts w:hint="default"/>
                <w:color w:val="auto"/>
                <w:sz w:val="24"/>
                <w:szCs w:val="24"/>
              </w:rPr>
              <w:t>900-</w:t>
            </w:r>
            <w:r>
              <w:rPr>
                <w:rFonts w:hint="eastAsia"/>
                <w:color w:val="auto"/>
                <w:sz w:val="24"/>
                <w:szCs w:val="24"/>
                <w:lang w:val="en-US" w:eastAsia="zh-CN"/>
              </w:rPr>
              <w:t>041-49，“含有或者沾染毒性、感染性危险废物的废弃的包装物、容器、过滤吸附介质”，统一</w:t>
            </w:r>
            <w:r>
              <w:rPr>
                <w:rFonts w:hint="eastAsia"/>
                <w:color w:val="auto"/>
                <w:sz w:val="24"/>
                <w:szCs w:val="24"/>
              </w:rPr>
              <w:t>收集</w:t>
            </w:r>
            <w:r>
              <w:rPr>
                <w:rFonts w:hint="eastAsia"/>
                <w:color w:val="auto"/>
                <w:sz w:val="24"/>
                <w:szCs w:val="24"/>
                <w:lang w:val="en-US" w:eastAsia="zh-CN"/>
              </w:rPr>
              <w:t>后</w:t>
            </w:r>
            <w:r>
              <w:rPr>
                <w:rFonts w:hint="eastAsia"/>
                <w:color w:val="auto"/>
                <w:sz w:val="24"/>
                <w:szCs w:val="24"/>
              </w:rPr>
              <w:t>暂存于危废暂存间，后委托有资质的单位处理处置</w:t>
            </w:r>
            <w:r>
              <w:rPr>
                <w:rFonts w:hint="eastAsia"/>
                <w:color w:val="auto"/>
                <w:sz w:val="24"/>
                <w:szCs w:val="24"/>
                <w:lang w:eastAsia="zh-CN"/>
              </w:rPr>
              <w:t>。</w:t>
            </w:r>
          </w:p>
          <w:p w14:paraId="38562507">
            <w:pPr>
              <w:keepNext w:val="0"/>
              <w:keepLines w:val="0"/>
              <w:suppressLineNumbers w:val="0"/>
              <w:bidi w:val="0"/>
              <w:spacing w:before="0" w:beforeAutospacing="0" w:after="0" w:afterAutospacing="0" w:line="360" w:lineRule="auto"/>
              <w:ind w:left="0" w:right="0"/>
              <w:jc w:val="center"/>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表</w:t>
            </w:r>
            <w:r>
              <w:rPr>
                <w:rFonts w:hint="eastAsia" w:eastAsia="黑体" w:cs="Times New Roman"/>
                <w:color w:val="auto"/>
                <w:sz w:val="24"/>
                <w:szCs w:val="24"/>
                <w:lang w:val="en-US" w:eastAsia="zh-CN"/>
              </w:rPr>
              <w:t>4-18</w:t>
            </w:r>
            <w:r>
              <w:rPr>
                <w:rFonts w:hint="default" w:ascii="Times New Roman" w:hAnsi="Times New Roman" w:eastAsia="黑体" w:cs="Times New Roman"/>
                <w:color w:val="auto"/>
                <w:sz w:val="24"/>
                <w:szCs w:val="24"/>
              </w:rPr>
              <w:t xml:space="preserve"> 本项目固体废物源强及处理处置情况</w:t>
            </w:r>
          </w:p>
          <w:tbl>
            <w:tblPr>
              <w:tblStyle w:val="37"/>
              <w:tblW w:w="4995"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22"/>
              <w:gridCol w:w="942"/>
              <w:gridCol w:w="775"/>
              <w:gridCol w:w="925"/>
              <w:gridCol w:w="683"/>
              <w:gridCol w:w="581"/>
              <w:gridCol w:w="986"/>
              <w:gridCol w:w="786"/>
              <w:gridCol w:w="1710"/>
            </w:tblGrid>
            <w:tr w14:paraId="3F4F2A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29" w:type="pct"/>
                  <w:vAlign w:val="center"/>
                </w:tcPr>
                <w:p w14:paraId="39F5E544">
                  <w:pPr>
                    <w:pStyle w:val="110"/>
                    <w:keepNext w:val="0"/>
                    <w:keepLines w:val="0"/>
                    <w:suppressLineNumbers w:val="0"/>
                    <w:spacing w:before="0" w:beforeAutospacing="0" w:after="0" w:afterAutospacing="0" w:line="276" w:lineRule="auto"/>
                    <w:ind w:left="0" w:right="0"/>
                    <w:rPr>
                      <w:rFonts w:hint="default"/>
                      <w:b/>
                      <w:color w:val="auto"/>
                      <w:kern w:val="0"/>
                      <w:szCs w:val="21"/>
                    </w:rPr>
                  </w:pPr>
                  <w:r>
                    <w:rPr>
                      <w:rFonts w:hint="eastAsia" w:hAnsi="宋体"/>
                      <w:b/>
                      <w:color w:val="auto"/>
                      <w:kern w:val="0"/>
                      <w:szCs w:val="21"/>
                    </w:rPr>
                    <w:t>序号</w:t>
                  </w:r>
                </w:p>
              </w:tc>
              <w:tc>
                <w:tcPr>
                  <w:tcW w:w="595" w:type="pct"/>
                  <w:vAlign w:val="center"/>
                </w:tcPr>
                <w:p w14:paraId="7EF89C93">
                  <w:pPr>
                    <w:pStyle w:val="110"/>
                    <w:keepNext w:val="0"/>
                    <w:keepLines w:val="0"/>
                    <w:suppressLineNumbers w:val="0"/>
                    <w:spacing w:before="0" w:beforeAutospacing="0" w:after="0" w:afterAutospacing="0" w:line="276" w:lineRule="auto"/>
                    <w:ind w:left="0" w:right="0"/>
                    <w:rPr>
                      <w:rFonts w:hint="default"/>
                      <w:b/>
                      <w:color w:val="auto"/>
                      <w:kern w:val="0"/>
                      <w:szCs w:val="21"/>
                    </w:rPr>
                  </w:pPr>
                  <w:r>
                    <w:rPr>
                      <w:rFonts w:hint="eastAsia" w:hAnsi="宋体"/>
                      <w:b/>
                      <w:color w:val="auto"/>
                      <w:kern w:val="0"/>
                      <w:szCs w:val="21"/>
                    </w:rPr>
                    <w:t>类别</w:t>
                  </w:r>
                </w:p>
              </w:tc>
              <w:tc>
                <w:tcPr>
                  <w:tcW w:w="489" w:type="pct"/>
                  <w:vAlign w:val="center"/>
                </w:tcPr>
                <w:p w14:paraId="4D2CD81A">
                  <w:pPr>
                    <w:pStyle w:val="110"/>
                    <w:keepNext w:val="0"/>
                    <w:keepLines w:val="0"/>
                    <w:suppressLineNumbers w:val="0"/>
                    <w:spacing w:before="0" w:beforeAutospacing="0" w:after="0" w:afterAutospacing="0" w:line="276" w:lineRule="auto"/>
                    <w:ind w:left="0" w:right="0"/>
                    <w:rPr>
                      <w:rFonts w:hint="default"/>
                      <w:b/>
                      <w:color w:val="auto"/>
                      <w:kern w:val="0"/>
                      <w:szCs w:val="21"/>
                    </w:rPr>
                  </w:pPr>
                  <w:r>
                    <w:rPr>
                      <w:rFonts w:hint="eastAsia" w:hAnsi="宋体"/>
                      <w:b/>
                      <w:color w:val="auto"/>
                      <w:kern w:val="0"/>
                      <w:szCs w:val="21"/>
                    </w:rPr>
                    <w:t>产生量（</w:t>
                  </w:r>
                  <w:r>
                    <w:rPr>
                      <w:rFonts w:hint="default"/>
                      <w:b/>
                      <w:color w:val="auto"/>
                      <w:kern w:val="0"/>
                      <w:szCs w:val="21"/>
                    </w:rPr>
                    <w:t>t/a</w:t>
                  </w:r>
                  <w:r>
                    <w:rPr>
                      <w:rFonts w:hint="eastAsia" w:hAnsi="宋体"/>
                      <w:b/>
                      <w:color w:val="auto"/>
                      <w:kern w:val="0"/>
                      <w:szCs w:val="21"/>
                    </w:rPr>
                    <w:t>）</w:t>
                  </w:r>
                </w:p>
              </w:tc>
              <w:tc>
                <w:tcPr>
                  <w:tcW w:w="584" w:type="pct"/>
                  <w:vAlign w:val="center"/>
                </w:tcPr>
                <w:p w14:paraId="26D578CF">
                  <w:pPr>
                    <w:pStyle w:val="110"/>
                    <w:keepNext w:val="0"/>
                    <w:keepLines w:val="0"/>
                    <w:suppressLineNumbers w:val="0"/>
                    <w:spacing w:before="0" w:beforeAutospacing="0" w:after="0" w:afterAutospacing="0" w:line="276" w:lineRule="auto"/>
                    <w:ind w:left="0" w:right="0"/>
                    <w:rPr>
                      <w:rFonts w:hint="default" w:hAnsi="宋体"/>
                      <w:b/>
                      <w:color w:val="auto"/>
                      <w:kern w:val="0"/>
                      <w:szCs w:val="21"/>
                    </w:rPr>
                  </w:pPr>
                  <w:r>
                    <w:rPr>
                      <w:rFonts w:hint="eastAsia" w:hAnsi="宋体"/>
                      <w:b/>
                      <w:color w:val="auto"/>
                      <w:kern w:val="0"/>
                      <w:szCs w:val="21"/>
                    </w:rPr>
                    <w:t>最大储存量（t）</w:t>
                  </w:r>
                </w:p>
              </w:tc>
              <w:tc>
                <w:tcPr>
                  <w:tcW w:w="431" w:type="pct"/>
                  <w:vAlign w:val="center"/>
                </w:tcPr>
                <w:p w14:paraId="17C29DD2">
                  <w:pPr>
                    <w:pStyle w:val="110"/>
                    <w:keepNext w:val="0"/>
                    <w:keepLines w:val="0"/>
                    <w:suppressLineNumbers w:val="0"/>
                    <w:spacing w:before="0" w:beforeAutospacing="0" w:after="0" w:afterAutospacing="0" w:line="276" w:lineRule="auto"/>
                    <w:ind w:left="0" w:right="0"/>
                    <w:rPr>
                      <w:rFonts w:hint="default"/>
                      <w:b/>
                      <w:color w:val="auto"/>
                      <w:kern w:val="0"/>
                      <w:szCs w:val="21"/>
                    </w:rPr>
                  </w:pPr>
                  <w:r>
                    <w:rPr>
                      <w:rFonts w:hint="eastAsia" w:hAnsi="宋体"/>
                      <w:b/>
                      <w:color w:val="auto"/>
                      <w:kern w:val="0"/>
                      <w:szCs w:val="21"/>
                    </w:rPr>
                    <w:t>产生工序</w:t>
                  </w:r>
                </w:p>
              </w:tc>
              <w:tc>
                <w:tcPr>
                  <w:tcW w:w="367" w:type="pct"/>
                  <w:vAlign w:val="center"/>
                </w:tcPr>
                <w:p w14:paraId="10F3B6BE">
                  <w:pPr>
                    <w:pStyle w:val="110"/>
                    <w:keepNext w:val="0"/>
                    <w:keepLines w:val="0"/>
                    <w:suppressLineNumbers w:val="0"/>
                    <w:spacing w:before="0" w:beforeAutospacing="0" w:after="0" w:afterAutospacing="0" w:line="276" w:lineRule="auto"/>
                    <w:ind w:left="0" w:right="0"/>
                    <w:rPr>
                      <w:rFonts w:hint="default"/>
                      <w:b/>
                      <w:color w:val="auto"/>
                      <w:kern w:val="0"/>
                      <w:szCs w:val="21"/>
                    </w:rPr>
                  </w:pPr>
                  <w:r>
                    <w:rPr>
                      <w:rFonts w:hint="eastAsia" w:hAnsi="宋体"/>
                      <w:b/>
                      <w:color w:val="auto"/>
                      <w:kern w:val="0"/>
                      <w:szCs w:val="21"/>
                    </w:rPr>
                    <w:t>形态</w:t>
                  </w:r>
                </w:p>
              </w:tc>
              <w:tc>
                <w:tcPr>
                  <w:tcW w:w="623" w:type="pct"/>
                  <w:vAlign w:val="center"/>
                </w:tcPr>
                <w:p w14:paraId="1316F5DE">
                  <w:pPr>
                    <w:pStyle w:val="110"/>
                    <w:keepNext w:val="0"/>
                    <w:keepLines w:val="0"/>
                    <w:suppressLineNumbers w:val="0"/>
                    <w:spacing w:before="0" w:beforeAutospacing="0" w:after="0" w:afterAutospacing="0" w:line="276" w:lineRule="auto"/>
                    <w:ind w:left="0" w:right="0"/>
                    <w:rPr>
                      <w:rFonts w:hint="default"/>
                      <w:b/>
                      <w:color w:val="auto"/>
                      <w:kern w:val="0"/>
                      <w:szCs w:val="21"/>
                    </w:rPr>
                  </w:pPr>
                  <w:r>
                    <w:rPr>
                      <w:rFonts w:hint="eastAsia" w:hAnsi="宋体"/>
                      <w:b/>
                      <w:color w:val="auto"/>
                      <w:kern w:val="0"/>
                      <w:szCs w:val="21"/>
                    </w:rPr>
                    <w:t>主要成分</w:t>
                  </w:r>
                </w:p>
              </w:tc>
              <w:tc>
                <w:tcPr>
                  <w:tcW w:w="496" w:type="pct"/>
                  <w:vAlign w:val="center"/>
                </w:tcPr>
                <w:p w14:paraId="6498B5A7">
                  <w:pPr>
                    <w:pStyle w:val="110"/>
                    <w:keepNext w:val="0"/>
                    <w:keepLines w:val="0"/>
                    <w:suppressLineNumbers w:val="0"/>
                    <w:spacing w:before="0" w:beforeAutospacing="0" w:after="0" w:afterAutospacing="0" w:line="276" w:lineRule="auto"/>
                    <w:ind w:left="0" w:right="0"/>
                    <w:rPr>
                      <w:rFonts w:hint="default"/>
                      <w:b/>
                      <w:color w:val="auto"/>
                      <w:kern w:val="0"/>
                      <w:szCs w:val="21"/>
                    </w:rPr>
                  </w:pPr>
                  <w:r>
                    <w:rPr>
                      <w:rFonts w:hint="eastAsia" w:hAnsi="宋体"/>
                      <w:b/>
                      <w:color w:val="auto"/>
                      <w:kern w:val="0"/>
                      <w:szCs w:val="21"/>
                    </w:rPr>
                    <w:t>性质</w:t>
                  </w:r>
                </w:p>
              </w:tc>
              <w:tc>
                <w:tcPr>
                  <w:tcW w:w="1080" w:type="pct"/>
                  <w:vAlign w:val="center"/>
                </w:tcPr>
                <w:p w14:paraId="19CE21AE">
                  <w:pPr>
                    <w:pStyle w:val="110"/>
                    <w:keepNext w:val="0"/>
                    <w:keepLines w:val="0"/>
                    <w:suppressLineNumbers w:val="0"/>
                    <w:spacing w:before="0" w:beforeAutospacing="0" w:after="0" w:afterAutospacing="0" w:line="276" w:lineRule="auto"/>
                    <w:ind w:left="0" w:right="0"/>
                    <w:rPr>
                      <w:rFonts w:hint="default"/>
                      <w:b/>
                      <w:color w:val="auto"/>
                      <w:kern w:val="0"/>
                      <w:szCs w:val="21"/>
                    </w:rPr>
                  </w:pPr>
                  <w:r>
                    <w:rPr>
                      <w:rFonts w:hint="eastAsia" w:hAnsi="宋体"/>
                      <w:b/>
                      <w:color w:val="auto"/>
                      <w:kern w:val="0"/>
                      <w:szCs w:val="21"/>
                    </w:rPr>
                    <w:t>处理方式</w:t>
                  </w:r>
                </w:p>
              </w:tc>
            </w:tr>
            <w:tr w14:paraId="76506D3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29" w:type="pct"/>
                  <w:vAlign w:val="center"/>
                </w:tcPr>
                <w:p w14:paraId="377906F1">
                  <w:pPr>
                    <w:pStyle w:val="110"/>
                    <w:keepNext w:val="0"/>
                    <w:keepLines w:val="0"/>
                    <w:suppressLineNumbers w:val="0"/>
                    <w:spacing w:before="0" w:beforeAutospacing="0" w:after="0" w:afterAutospacing="0" w:line="276" w:lineRule="auto"/>
                    <w:ind w:left="0" w:right="0"/>
                    <w:rPr>
                      <w:rFonts w:hint="eastAsia" w:hAnsi="宋体" w:eastAsia="宋体"/>
                      <w:color w:val="auto"/>
                      <w:kern w:val="0"/>
                      <w:szCs w:val="21"/>
                      <w:lang w:val="en-US" w:eastAsia="zh-CN"/>
                    </w:rPr>
                  </w:pPr>
                  <w:r>
                    <w:rPr>
                      <w:rFonts w:hint="eastAsia" w:hAnsi="宋体"/>
                      <w:color w:val="auto"/>
                      <w:kern w:val="0"/>
                      <w:szCs w:val="21"/>
                      <w:lang w:val="en-US" w:eastAsia="zh-CN"/>
                    </w:rPr>
                    <w:t>1</w:t>
                  </w:r>
                </w:p>
              </w:tc>
              <w:tc>
                <w:tcPr>
                  <w:tcW w:w="595" w:type="pct"/>
                  <w:vAlign w:val="center"/>
                </w:tcPr>
                <w:p w14:paraId="45787506">
                  <w:pPr>
                    <w:pStyle w:val="110"/>
                    <w:keepNext w:val="0"/>
                    <w:keepLines w:val="0"/>
                    <w:suppressLineNumbers w:val="0"/>
                    <w:spacing w:before="0" w:beforeAutospacing="0" w:after="0" w:afterAutospacing="0" w:line="276" w:lineRule="auto"/>
                    <w:ind w:left="0" w:right="0"/>
                    <w:rPr>
                      <w:rFonts w:hint="default" w:hAnsi="宋体" w:eastAsia="宋体"/>
                      <w:color w:val="auto"/>
                      <w:kern w:val="0"/>
                      <w:szCs w:val="21"/>
                      <w:lang w:val="en-US" w:eastAsia="zh-CN"/>
                    </w:rPr>
                  </w:pPr>
                  <w:r>
                    <w:rPr>
                      <w:rFonts w:hint="eastAsia" w:hAnsi="宋体"/>
                      <w:color w:val="auto"/>
                      <w:kern w:val="0"/>
                      <w:szCs w:val="21"/>
                      <w:lang w:val="en-US" w:eastAsia="zh-CN"/>
                    </w:rPr>
                    <w:t>废包装</w:t>
                  </w:r>
                </w:p>
              </w:tc>
              <w:tc>
                <w:tcPr>
                  <w:tcW w:w="489" w:type="pct"/>
                  <w:vAlign w:val="center"/>
                </w:tcPr>
                <w:p w14:paraId="55652CD6">
                  <w:pPr>
                    <w:pStyle w:val="110"/>
                    <w:keepNext w:val="0"/>
                    <w:keepLines w:val="0"/>
                    <w:suppressLineNumbers w:val="0"/>
                    <w:spacing w:before="0" w:beforeAutospacing="0" w:after="0" w:afterAutospacing="0" w:line="276" w:lineRule="auto"/>
                    <w:ind w:left="0" w:right="0"/>
                    <w:rPr>
                      <w:rFonts w:hint="default" w:hAnsi="宋体" w:eastAsia="宋体"/>
                      <w:color w:val="auto"/>
                      <w:kern w:val="0"/>
                      <w:szCs w:val="21"/>
                      <w:lang w:val="en-US" w:eastAsia="zh-CN"/>
                    </w:rPr>
                  </w:pPr>
                  <w:r>
                    <w:rPr>
                      <w:rFonts w:hint="eastAsia" w:hAnsi="宋体"/>
                      <w:color w:val="auto"/>
                      <w:kern w:val="0"/>
                      <w:szCs w:val="21"/>
                      <w:lang w:val="en-US" w:eastAsia="zh-CN"/>
                    </w:rPr>
                    <w:t>2.7</w:t>
                  </w:r>
                </w:p>
              </w:tc>
              <w:tc>
                <w:tcPr>
                  <w:tcW w:w="584" w:type="pct"/>
                  <w:vAlign w:val="center"/>
                </w:tcPr>
                <w:p w14:paraId="613D3C3B">
                  <w:pPr>
                    <w:pStyle w:val="110"/>
                    <w:keepNext w:val="0"/>
                    <w:keepLines w:val="0"/>
                    <w:suppressLineNumbers w:val="0"/>
                    <w:spacing w:before="0" w:beforeAutospacing="0" w:after="0" w:afterAutospacing="0" w:line="276" w:lineRule="auto"/>
                    <w:ind w:left="0" w:right="0"/>
                    <w:rPr>
                      <w:rFonts w:hint="default" w:hAnsi="宋体" w:eastAsia="宋体"/>
                      <w:color w:val="auto"/>
                      <w:kern w:val="0"/>
                      <w:szCs w:val="21"/>
                      <w:lang w:val="en-US" w:eastAsia="zh-CN"/>
                    </w:rPr>
                  </w:pPr>
                  <w:r>
                    <w:rPr>
                      <w:rFonts w:hint="eastAsia" w:hAnsi="宋体"/>
                      <w:color w:val="auto"/>
                      <w:kern w:val="0"/>
                      <w:szCs w:val="21"/>
                      <w:lang w:val="en-US" w:eastAsia="zh-CN"/>
                    </w:rPr>
                    <w:t>0.675</w:t>
                  </w:r>
                </w:p>
              </w:tc>
              <w:tc>
                <w:tcPr>
                  <w:tcW w:w="431" w:type="pct"/>
                  <w:vAlign w:val="center"/>
                </w:tcPr>
                <w:p w14:paraId="05F801ED">
                  <w:pPr>
                    <w:pStyle w:val="110"/>
                    <w:keepNext w:val="0"/>
                    <w:keepLines w:val="0"/>
                    <w:suppressLineNumbers w:val="0"/>
                    <w:spacing w:before="0" w:beforeAutospacing="0" w:after="0" w:afterAutospacing="0" w:line="276" w:lineRule="auto"/>
                    <w:ind w:left="0" w:right="0"/>
                    <w:rPr>
                      <w:rFonts w:hint="default" w:hAnsi="宋体" w:eastAsia="宋体"/>
                      <w:color w:val="auto"/>
                      <w:kern w:val="0"/>
                      <w:szCs w:val="21"/>
                      <w:lang w:val="en-US" w:eastAsia="zh-CN"/>
                    </w:rPr>
                  </w:pPr>
                  <w:r>
                    <w:rPr>
                      <w:rFonts w:hint="eastAsia" w:hAnsi="宋体"/>
                      <w:color w:val="auto"/>
                      <w:kern w:val="0"/>
                      <w:szCs w:val="21"/>
                      <w:lang w:val="en-US" w:eastAsia="zh-CN"/>
                    </w:rPr>
                    <w:t>拆包</w:t>
                  </w:r>
                </w:p>
              </w:tc>
              <w:tc>
                <w:tcPr>
                  <w:tcW w:w="367" w:type="pct"/>
                  <w:vAlign w:val="center"/>
                </w:tcPr>
                <w:p w14:paraId="51E8C3CA">
                  <w:pPr>
                    <w:pStyle w:val="110"/>
                    <w:keepNext w:val="0"/>
                    <w:keepLines w:val="0"/>
                    <w:suppressLineNumbers w:val="0"/>
                    <w:spacing w:before="0" w:beforeAutospacing="0" w:after="0" w:afterAutospacing="0" w:line="276" w:lineRule="auto"/>
                    <w:ind w:left="0" w:right="0"/>
                    <w:rPr>
                      <w:rFonts w:hint="eastAsia" w:hAnsi="宋体" w:eastAsia="宋体"/>
                      <w:color w:val="auto"/>
                      <w:kern w:val="0"/>
                      <w:szCs w:val="21"/>
                      <w:lang w:val="en-US" w:eastAsia="zh-CN"/>
                    </w:rPr>
                  </w:pPr>
                  <w:r>
                    <w:rPr>
                      <w:rFonts w:hint="eastAsia" w:hAnsi="宋体"/>
                      <w:color w:val="auto"/>
                      <w:kern w:val="0"/>
                      <w:szCs w:val="21"/>
                      <w:lang w:val="en-US" w:eastAsia="zh-CN"/>
                    </w:rPr>
                    <w:t>固态</w:t>
                  </w:r>
                </w:p>
              </w:tc>
              <w:tc>
                <w:tcPr>
                  <w:tcW w:w="623" w:type="pct"/>
                  <w:vAlign w:val="center"/>
                </w:tcPr>
                <w:p w14:paraId="1691FC54">
                  <w:pPr>
                    <w:pStyle w:val="110"/>
                    <w:keepNext w:val="0"/>
                    <w:keepLines w:val="0"/>
                    <w:suppressLineNumbers w:val="0"/>
                    <w:spacing w:before="0" w:beforeAutospacing="0" w:after="0" w:afterAutospacing="0" w:line="276" w:lineRule="auto"/>
                    <w:ind w:left="0" w:right="0"/>
                    <w:rPr>
                      <w:rFonts w:hint="default" w:hAnsi="宋体" w:eastAsia="宋体"/>
                      <w:color w:val="auto"/>
                      <w:kern w:val="0"/>
                      <w:szCs w:val="21"/>
                      <w:lang w:val="en-US" w:eastAsia="zh-CN"/>
                    </w:rPr>
                  </w:pPr>
                  <w:r>
                    <w:rPr>
                      <w:rFonts w:hint="eastAsia" w:hAnsi="宋体"/>
                      <w:color w:val="auto"/>
                      <w:kern w:val="0"/>
                      <w:szCs w:val="21"/>
                      <w:lang w:val="en-US" w:eastAsia="zh-CN"/>
                    </w:rPr>
                    <w:t>废塑料、纸箱</w:t>
                  </w:r>
                </w:p>
              </w:tc>
              <w:tc>
                <w:tcPr>
                  <w:tcW w:w="496" w:type="pct"/>
                  <w:vAlign w:val="center"/>
                </w:tcPr>
                <w:p w14:paraId="0B0807C6">
                  <w:pPr>
                    <w:pStyle w:val="110"/>
                    <w:keepNext w:val="0"/>
                    <w:keepLines w:val="0"/>
                    <w:suppressLineNumbers w:val="0"/>
                    <w:spacing w:before="0" w:beforeAutospacing="0" w:after="0" w:afterAutospacing="0" w:line="276" w:lineRule="auto"/>
                    <w:ind w:left="0" w:right="0"/>
                    <w:rPr>
                      <w:rFonts w:hint="eastAsia" w:hAnsi="宋体" w:eastAsia="宋体"/>
                      <w:color w:val="auto"/>
                      <w:kern w:val="0"/>
                      <w:szCs w:val="21"/>
                      <w:lang w:val="en-US" w:eastAsia="zh-CN"/>
                    </w:rPr>
                  </w:pPr>
                  <w:r>
                    <w:rPr>
                      <w:rFonts w:hint="eastAsia" w:hAnsi="宋体"/>
                      <w:color w:val="auto"/>
                      <w:kern w:val="0"/>
                      <w:szCs w:val="21"/>
                      <w:lang w:val="en-US" w:eastAsia="zh-CN"/>
                    </w:rPr>
                    <w:t>一般固废</w:t>
                  </w:r>
                </w:p>
              </w:tc>
              <w:tc>
                <w:tcPr>
                  <w:tcW w:w="1080" w:type="pct"/>
                  <w:vAlign w:val="center"/>
                </w:tcPr>
                <w:p w14:paraId="79DAA055">
                  <w:pPr>
                    <w:pStyle w:val="110"/>
                    <w:keepNext w:val="0"/>
                    <w:keepLines w:val="0"/>
                    <w:suppressLineNumbers w:val="0"/>
                    <w:spacing w:before="0" w:beforeAutospacing="0" w:after="0" w:afterAutospacing="0" w:line="276" w:lineRule="auto"/>
                    <w:ind w:left="0" w:right="0"/>
                    <w:rPr>
                      <w:rFonts w:hint="eastAsia" w:hAnsi="宋体"/>
                      <w:color w:val="auto"/>
                      <w:szCs w:val="22"/>
                    </w:rPr>
                  </w:pPr>
                  <w:r>
                    <w:rPr>
                      <w:rFonts w:hint="eastAsia" w:hAnsi="宋体"/>
                      <w:color w:val="auto"/>
                      <w:szCs w:val="22"/>
                    </w:rPr>
                    <w:t>统一收集后存放于一般工业固废间，定期由厂家回收综合利用</w:t>
                  </w:r>
                </w:p>
              </w:tc>
            </w:tr>
            <w:tr w14:paraId="7F23E14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29" w:type="pct"/>
                  <w:vAlign w:val="center"/>
                </w:tcPr>
                <w:p w14:paraId="1560C881">
                  <w:pPr>
                    <w:pStyle w:val="110"/>
                    <w:keepNext w:val="0"/>
                    <w:keepLines w:val="0"/>
                    <w:suppressLineNumbers w:val="0"/>
                    <w:spacing w:before="0" w:beforeAutospacing="0" w:after="0" w:afterAutospacing="0" w:line="276" w:lineRule="auto"/>
                    <w:ind w:left="0" w:right="0"/>
                    <w:rPr>
                      <w:rFonts w:hint="eastAsia" w:hAnsi="宋体" w:eastAsia="宋体"/>
                      <w:color w:val="auto"/>
                      <w:kern w:val="0"/>
                      <w:szCs w:val="21"/>
                      <w:lang w:val="en-US" w:eastAsia="zh-CN"/>
                    </w:rPr>
                  </w:pPr>
                  <w:r>
                    <w:rPr>
                      <w:rFonts w:hint="eastAsia" w:hAnsi="宋体"/>
                      <w:color w:val="auto"/>
                      <w:kern w:val="0"/>
                      <w:szCs w:val="21"/>
                      <w:lang w:val="en-US" w:eastAsia="zh-CN"/>
                    </w:rPr>
                    <w:t>2</w:t>
                  </w:r>
                </w:p>
              </w:tc>
              <w:tc>
                <w:tcPr>
                  <w:tcW w:w="595" w:type="pct"/>
                  <w:vAlign w:val="center"/>
                </w:tcPr>
                <w:p w14:paraId="42F20B0A">
                  <w:pPr>
                    <w:pStyle w:val="110"/>
                    <w:keepNext w:val="0"/>
                    <w:keepLines w:val="0"/>
                    <w:suppressLineNumbers w:val="0"/>
                    <w:spacing w:before="0" w:beforeAutospacing="0" w:after="0" w:afterAutospacing="0" w:line="276" w:lineRule="auto"/>
                    <w:ind w:left="0" w:right="0"/>
                    <w:rPr>
                      <w:rFonts w:hint="eastAsia" w:hAnsi="宋体" w:eastAsia="宋体"/>
                      <w:color w:val="auto"/>
                      <w:kern w:val="0"/>
                      <w:szCs w:val="21"/>
                      <w:lang w:val="en-US" w:eastAsia="zh-CN"/>
                    </w:rPr>
                  </w:pPr>
                  <w:r>
                    <w:rPr>
                      <w:rFonts w:hint="eastAsia" w:hAnsi="宋体" w:eastAsia="宋体"/>
                      <w:color w:val="auto"/>
                      <w:kern w:val="0"/>
                      <w:szCs w:val="21"/>
                      <w:lang w:val="en-US" w:eastAsia="zh-CN"/>
                    </w:rPr>
                    <w:t>废塑料边角料</w:t>
                  </w:r>
                  <w:r>
                    <w:rPr>
                      <w:rFonts w:hint="eastAsia" w:hAnsi="宋体"/>
                      <w:color w:val="auto"/>
                      <w:kern w:val="0"/>
                      <w:szCs w:val="21"/>
                      <w:lang w:val="en-US" w:eastAsia="zh-CN"/>
                    </w:rPr>
                    <w:t>、</w:t>
                  </w:r>
                  <w:r>
                    <w:rPr>
                      <w:rFonts w:hint="eastAsia" w:hAnsi="宋体" w:eastAsia="宋体"/>
                      <w:color w:val="auto"/>
                      <w:kern w:val="0"/>
                      <w:szCs w:val="21"/>
                      <w:lang w:val="en-US" w:eastAsia="zh-CN"/>
                    </w:rPr>
                    <w:t>不合格塑料半成品</w:t>
                  </w:r>
                </w:p>
              </w:tc>
              <w:tc>
                <w:tcPr>
                  <w:tcW w:w="489" w:type="pct"/>
                  <w:vAlign w:val="center"/>
                </w:tcPr>
                <w:p w14:paraId="2DD2BD16">
                  <w:pPr>
                    <w:pStyle w:val="110"/>
                    <w:keepNext w:val="0"/>
                    <w:keepLines w:val="0"/>
                    <w:suppressLineNumbers w:val="0"/>
                    <w:spacing w:before="0" w:beforeAutospacing="0" w:after="0" w:afterAutospacing="0" w:line="276" w:lineRule="auto"/>
                    <w:ind w:left="0" w:right="0"/>
                    <w:rPr>
                      <w:rFonts w:hint="default" w:hAnsi="宋体" w:eastAsia="宋体"/>
                      <w:color w:val="auto"/>
                      <w:kern w:val="0"/>
                      <w:szCs w:val="21"/>
                      <w:lang w:val="en-US" w:eastAsia="zh-CN"/>
                    </w:rPr>
                  </w:pPr>
                  <w:r>
                    <w:rPr>
                      <w:rFonts w:hint="eastAsia" w:hAnsi="宋体"/>
                      <w:color w:val="auto"/>
                      <w:kern w:val="0"/>
                      <w:szCs w:val="21"/>
                      <w:lang w:val="en-US" w:eastAsia="zh-CN"/>
                    </w:rPr>
                    <w:t>41.13</w:t>
                  </w:r>
                </w:p>
              </w:tc>
              <w:tc>
                <w:tcPr>
                  <w:tcW w:w="584" w:type="pct"/>
                  <w:vAlign w:val="center"/>
                </w:tcPr>
                <w:p w14:paraId="6E28A37F">
                  <w:pPr>
                    <w:pStyle w:val="110"/>
                    <w:keepNext w:val="0"/>
                    <w:keepLines w:val="0"/>
                    <w:suppressLineNumbers w:val="0"/>
                    <w:spacing w:before="0" w:beforeAutospacing="0" w:after="0" w:afterAutospacing="0" w:line="276" w:lineRule="auto"/>
                    <w:ind w:left="0" w:right="0"/>
                    <w:rPr>
                      <w:rFonts w:hint="default" w:hAnsi="宋体" w:eastAsia="宋体"/>
                      <w:color w:val="auto"/>
                      <w:kern w:val="0"/>
                      <w:szCs w:val="21"/>
                      <w:lang w:val="en-US" w:eastAsia="zh-CN"/>
                    </w:rPr>
                  </w:pPr>
                  <w:r>
                    <w:rPr>
                      <w:rFonts w:hint="eastAsia" w:hAnsi="宋体"/>
                      <w:color w:val="auto"/>
                      <w:kern w:val="0"/>
                      <w:szCs w:val="21"/>
                      <w:lang w:val="en-US" w:eastAsia="zh-CN"/>
                    </w:rPr>
                    <w:t>3.5</w:t>
                  </w:r>
                </w:p>
              </w:tc>
              <w:tc>
                <w:tcPr>
                  <w:tcW w:w="431" w:type="pct"/>
                  <w:vAlign w:val="center"/>
                </w:tcPr>
                <w:p w14:paraId="0C3EB54C">
                  <w:pPr>
                    <w:pStyle w:val="110"/>
                    <w:keepNext w:val="0"/>
                    <w:keepLines w:val="0"/>
                    <w:suppressLineNumbers w:val="0"/>
                    <w:spacing w:before="0" w:beforeAutospacing="0" w:after="0" w:afterAutospacing="0" w:line="276" w:lineRule="auto"/>
                    <w:ind w:left="0" w:right="0"/>
                    <w:rPr>
                      <w:rFonts w:hint="default" w:hAnsi="宋体" w:eastAsia="宋体"/>
                      <w:color w:val="auto"/>
                      <w:kern w:val="0"/>
                      <w:szCs w:val="21"/>
                      <w:lang w:val="en-US" w:eastAsia="zh-CN"/>
                    </w:rPr>
                  </w:pPr>
                  <w:r>
                    <w:rPr>
                      <w:rFonts w:hint="eastAsia" w:hAnsi="宋体"/>
                      <w:color w:val="auto"/>
                      <w:kern w:val="0"/>
                      <w:szCs w:val="21"/>
                      <w:lang w:val="en-US" w:eastAsia="zh-CN"/>
                    </w:rPr>
                    <w:t>检验、修边</w:t>
                  </w:r>
                </w:p>
              </w:tc>
              <w:tc>
                <w:tcPr>
                  <w:tcW w:w="367" w:type="pct"/>
                  <w:vAlign w:val="center"/>
                </w:tcPr>
                <w:p w14:paraId="06911B39">
                  <w:pPr>
                    <w:pStyle w:val="110"/>
                    <w:keepNext w:val="0"/>
                    <w:keepLines w:val="0"/>
                    <w:suppressLineNumbers w:val="0"/>
                    <w:spacing w:before="0" w:beforeAutospacing="0" w:after="0" w:afterAutospacing="0" w:line="276" w:lineRule="auto"/>
                    <w:ind w:left="0" w:right="0"/>
                    <w:rPr>
                      <w:rFonts w:hint="eastAsia" w:hAnsi="宋体" w:eastAsia="宋体"/>
                      <w:color w:val="auto"/>
                      <w:kern w:val="0"/>
                      <w:szCs w:val="21"/>
                      <w:lang w:val="en-US" w:eastAsia="zh-CN"/>
                    </w:rPr>
                  </w:pPr>
                  <w:r>
                    <w:rPr>
                      <w:rFonts w:hint="eastAsia" w:hAnsi="宋体"/>
                      <w:color w:val="auto"/>
                      <w:kern w:val="0"/>
                      <w:szCs w:val="21"/>
                      <w:lang w:val="en-US" w:eastAsia="zh-CN"/>
                    </w:rPr>
                    <w:t>固态</w:t>
                  </w:r>
                </w:p>
              </w:tc>
              <w:tc>
                <w:tcPr>
                  <w:tcW w:w="623" w:type="pct"/>
                  <w:vAlign w:val="center"/>
                </w:tcPr>
                <w:p w14:paraId="173DFEFE">
                  <w:pPr>
                    <w:pStyle w:val="110"/>
                    <w:keepNext w:val="0"/>
                    <w:keepLines w:val="0"/>
                    <w:suppressLineNumbers w:val="0"/>
                    <w:spacing w:before="0" w:beforeAutospacing="0" w:after="0" w:afterAutospacing="0" w:line="276" w:lineRule="auto"/>
                    <w:ind w:left="0" w:right="0"/>
                    <w:rPr>
                      <w:rFonts w:hint="default" w:hAnsi="宋体" w:eastAsia="宋体"/>
                      <w:color w:val="auto"/>
                      <w:kern w:val="0"/>
                      <w:szCs w:val="21"/>
                      <w:lang w:val="en-US" w:eastAsia="zh-CN"/>
                    </w:rPr>
                  </w:pPr>
                  <w:r>
                    <w:rPr>
                      <w:rFonts w:hint="eastAsia" w:hAnsi="宋体"/>
                      <w:color w:val="auto"/>
                      <w:kern w:val="0"/>
                      <w:szCs w:val="21"/>
                      <w:lang w:val="en-US" w:eastAsia="zh-CN"/>
                    </w:rPr>
                    <w:t>废塑料</w:t>
                  </w:r>
                </w:p>
              </w:tc>
              <w:tc>
                <w:tcPr>
                  <w:tcW w:w="496" w:type="pct"/>
                  <w:vAlign w:val="center"/>
                </w:tcPr>
                <w:p w14:paraId="554CA3EF">
                  <w:pPr>
                    <w:pStyle w:val="110"/>
                    <w:keepNext w:val="0"/>
                    <w:keepLines w:val="0"/>
                    <w:suppressLineNumbers w:val="0"/>
                    <w:spacing w:before="0" w:beforeAutospacing="0" w:after="0" w:afterAutospacing="0" w:line="276" w:lineRule="auto"/>
                    <w:ind w:left="0" w:right="0"/>
                    <w:rPr>
                      <w:rFonts w:hint="eastAsia" w:hAnsi="宋体" w:eastAsia="宋体"/>
                      <w:color w:val="auto"/>
                      <w:kern w:val="0"/>
                      <w:szCs w:val="21"/>
                      <w:lang w:val="en-US" w:eastAsia="zh-CN"/>
                    </w:rPr>
                  </w:pPr>
                  <w:r>
                    <w:rPr>
                      <w:rFonts w:hint="eastAsia" w:hAnsi="宋体"/>
                      <w:color w:val="auto"/>
                      <w:kern w:val="0"/>
                      <w:szCs w:val="21"/>
                      <w:lang w:val="en-US" w:eastAsia="zh-CN"/>
                    </w:rPr>
                    <w:t>/</w:t>
                  </w:r>
                </w:p>
              </w:tc>
              <w:tc>
                <w:tcPr>
                  <w:tcW w:w="1080" w:type="pct"/>
                  <w:vAlign w:val="center"/>
                </w:tcPr>
                <w:p w14:paraId="18DC5012">
                  <w:pPr>
                    <w:pStyle w:val="110"/>
                    <w:keepNext w:val="0"/>
                    <w:keepLines w:val="0"/>
                    <w:suppressLineNumbers w:val="0"/>
                    <w:spacing w:before="0" w:beforeAutospacing="0" w:after="0" w:afterAutospacing="0" w:line="276" w:lineRule="auto"/>
                    <w:ind w:left="0" w:right="0"/>
                    <w:rPr>
                      <w:rFonts w:hint="eastAsia" w:hAnsi="宋体" w:eastAsia="宋体"/>
                      <w:color w:val="auto"/>
                      <w:szCs w:val="22"/>
                      <w:lang w:eastAsia="zh-CN"/>
                    </w:rPr>
                  </w:pPr>
                  <w:r>
                    <w:rPr>
                      <w:rFonts w:hint="eastAsia" w:hAnsi="宋体"/>
                      <w:color w:val="auto"/>
                      <w:szCs w:val="22"/>
                      <w:lang w:val="en-US" w:eastAsia="zh-CN"/>
                    </w:rPr>
                    <w:t>直接回</w:t>
                  </w:r>
                  <w:r>
                    <w:rPr>
                      <w:rFonts w:hint="eastAsia" w:hAnsi="宋体"/>
                      <w:color w:val="auto"/>
                      <w:szCs w:val="22"/>
                    </w:rPr>
                    <w:t>用于塑料</w:t>
                  </w:r>
                  <w:r>
                    <w:rPr>
                      <w:rFonts w:hint="eastAsia" w:hAnsi="宋体"/>
                      <w:color w:val="auto"/>
                      <w:szCs w:val="22"/>
                      <w:lang w:val="en-US" w:eastAsia="zh-CN"/>
                    </w:rPr>
                    <w:t>制品生产</w:t>
                  </w:r>
                </w:p>
              </w:tc>
            </w:tr>
            <w:tr w14:paraId="3062F46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29" w:type="pct"/>
                  <w:vAlign w:val="center"/>
                </w:tcPr>
                <w:p w14:paraId="5AD16704">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3</w:t>
                  </w:r>
                </w:p>
              </w:tc>
              <w:tc>
                <w:tcPr>
                  <w:tcW w:w="595" w:type="pct"/>
                  <w:vAlign w:val="center"/>
                </w:tcPr>
                <w:p w14:paraId="0A820CF2">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废包材</w:t>
                  </w:r>
                </w:p>
              </w:tc>
              <w:tc>
                <w:tcPr>
                  <w:tcW w:w="489" w:type="pct"/>
                  <w:vAlign w:val="center"/>
                </w:tcPr>
                <w:p w14:paraId="019B5F2D">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1.5</w:t>
                  </w:r>
                </w:p>
              </w:tc>
              <w:tc>
                <w:tcPr>
                  <w:tcW w:w="584" w:type="pct"/>
                  <w:vAlign w:val="center"/>
                </w:tcPr>
                <w:p w14:paraId="384FAE90">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0.5</w:t>
                  </w:r>
                </w:p>
              </w:tc>
              <w:tc>
                <w:tcPr>
                  <w:tcW w:w="431" w:type="pct"/>
                  <w:vAlign w:val="center"/>
                </w:tcPr>
                <w:p w14:paraId="14AAD721">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包装</w:t>
                  </w:r>
                </w:p>
              </w:tc>
              <w:tc>
                <w:tcPr>
                  <w:tcW w:w="367" w:type="pct"/>
                  <w:vAlign w:val="center"/>
                </w:tcPr>
                <w:p w14:paraId="5CAB7152">
                  <w:pPr>
                    <w:pStyle w:val="110"/>
                    <w:keepNext w:val="0"/>
                    <w:keepLines w:val="0"/>
                    <w:suppressLineNumbers w:val="0"/>
                    <w:spacing w:before="0" w:beforeAutospacing="0" w:after="0" w:afterAutospacing="0" w:line="276" w:lineRule="auto"/>
                    <w:ind w:left="0" w:leftChars="0" w:right="0" w:rightChars="0"/>
                    <w:rPr>
                      <w:rFonts w:hint="eastAsia" w:hAnsi="宋体"/>
                      <w:color w:val="auto"/>
                      <w:kern w:val="0"/>
                      <w:szCs w:val="21"/>
                      <w:lang w:val="en-US" w:eastAsia="zh-CN"/>
                    </w:rPr>
                  </w:pPr>
                  <w:r>
                    <w:rPr>
                      <w:rFonts w:hint="eastAsia" w:hAnsi="宋体"/>
                      <w:color w:val="auto"/>
                      <w:kern w:val="0"/>
                      <w:szCs w:val="21"/>
                      <w:lang w:val="en-US" w:eastAsia="zh-CN"/>
                    </w:rPr>
                    <w:t>固态</w:t>
                  </w:r>
                </w:p>
              </w:tc>
              <w:tc>
                <w:tcPr>
                  <w:tcW w:w="623" w:type="pct"/>
                  <w:vAlign w:val="center"/>
                </w:tcPr>
                <w:p w14:paraId="7BEC3BB1">
                  <w:pPr>
                    <w:pStyle w:val="110"/>
                    <w:keepNext w:val="0"/>
                    <w:keepLines w:val="0"/>
                    <w:suppressLineNumbers w:val="0"/>
                    <w:spacing w:before="0" w:beforeAutospacing="0" w:after="0" w:afterAutospacing="0" w:line="276" w:lineRule="auto"/>
                    <w:ind w:left="0" w:leftChars="0" w:right="0" w:rightChars="0"/>
                    <w:rPr>
                      <w:rFonts w:hint="default" w:hAnsi="宋体"/>
                      <w:color w:val="auto"/>
                      <w:kern w:val="0"/>
                      <w:szCs w:val="21"/>
                      <w:lang w:val="en-US" w:eastAsia="zh-CN"/>
                    </w:rPr>
                  </w:pPr>
                  <w:r>
                    <w:rPr>
                      <w:rFonts w:hint="eastAsia" w:hAnsi="宋体"/>
                      <w:color w:val="auto"/>
                      <w:kern w:val="0"/>
                      <w:szCs w:val="21"/>
                      <w:lang w:val="en-US" w:eastAsia="zh-CN"/>
                    </w:rPr>
                    <w:t>废塑料、纸箱</w:t>
                  </w:r>
                </w:p>
              </w:tc>
              <w:tc>
                <w:tcPr>
                  <w:tcW w:w="496" w:type="pct"/>
                  <w:vAlign w:val="center"/>
                </w:tcPr>
                <w:p w14:paraId="795694E4">
                  <w:pPr>
                    <w:pStyle w:val="110"/>
                    <w:keepNext w:val="0"/>
                    <w:keepLines w:val="0"/>
                    <w:suppressLineNumbers w:val="0"/>
                    <w:spacing w:before="0" w:beforeAutospacing="0" w:after="0" w:afterAutospacing="0" w:line="276" w:lineRule="auto"/>
                    <w:ind w:left="0" w:leftChars="0" w:right="0" w:rightChars="0"/>
                    <w:rPr>
                      <w:rFonts w:hint="eastAsia" w:hAnsi="宋体"/>
                      <w:color w:val="auto"/>
                      <w:kern w:val="0"/>
                      <w:szCs w:val="21"/>
                      <w:lang w:val="en-US" w:eastAsia="zh-CN"/>
                    </w:rPr>
                  </w:pPr>
                  <w:r>
                    <w:rPr>
                      <w:rFonts w:hint="eastAsia" w:hAnsi="宋体"/>
                      <w:color w:val="auto"/>
                      <w:kern w:val="0"/>
                      <w:szCs w:val="21"/>
                      <w:lang w:val="en-US" w:eastAsia="zh-CN"/>
                    </w:rPr>
                    <w:t>一般固废</w:t>
                  </w:r>
                </w:p>
              </w:tc>
              <w:tc>
                <w:tcPr>
                  <w:tcW w:w="1080" w:type="pct"/>
                  <w:vAlign w:val="center"/>
                </w:tcPr>
                <w:p w14:paraId="7133C5C2">
                  <w:pPr>
                    <w:pStyle w:val="110"/>
                    <w:keepNext w:val="0"/>
                    <w:keepLines w:val="0"/>
                    <w:suppressLineNumbers w:val="0"/>
                    <w:spacing w:before="0" w:beforeAutospacing="0" w:after="0" w:afterAutospacing="0" w:line="276" w:lineRule="auto"/>
                    <w:ind w:left="0" w:leftChars="0" w:right="0" w:rightChars="0"/>
                    <w:rPr>
                      <w:rFonts w:hint="eastAsia" w:hAnsi="宋体"/>
                      <w:color w:val="auto"/>
                      <w:kern w:val="2"/>
                      <w:szCs w:val="22"/>
                    </w:rPr>
                  </w:pPr>
                  <w:r>
                    <w:rPr>
                      <w:rFonts w:hint="eastAsia" w:hAnsi="宋体"/>
                      <w:color w:val="auto"/>
                      <w:kern w:val="2"/>
                      <w:szCs w:val="22"/>
                    </w:rPr>
                    <w:t>统一收集暂存于厂区一般工业固废间，定期外售物资部门综合利用</w:t>
                  </w:r>
                </w:p>
              </w:tc>
            </w:tr>
            <w:tr w14:paraId="77E0377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29" w:type="pct"/>
                  <w:vAlign w:val="center"/>
                </w:tcPr>
                <w:p w14:paraId="2318C07D">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4</w:t>
                  </w:r>
                </w:p>
              </w:tc>
              <w:tc>
                <w:tcPr>
                  <w:tcW w:w="595" w:type="pct"/>
                  <w:vAlign w:val="center"/>
                </w:tcPr>
                <w:p w14:paraId="1BE71BE4">
                  <w:pPr>
                    <w:pStyle w:val="110"/>
                    <w:keepNext w:val="0"/>
                    <w:keepLines w:val="0"/>
                    <w:suppressLineNumbers w:val="0"/>
                    <w:spacing w:before="0" w:beforeAutospacing="0" w:after="0" w:afterAutospacing="0" w:line="276" w:lineRule="auto"/>
                    <w:ind w:left="0" w:right="0"/>
                    <w:rPr>
                      <w:rFonts w:hint="eastAsia" w:hAnsi="宋体"/>
                      <w:color w:val="auto"/>
                      <w:kern w:val="0"/>
                      <w:szCs w:val="21"/>
                      <w:highlight w:val="none"/>
                      <w:lang w:val="en-US" w:eastAsia="zh-CN"/>
                    </w:rPr>
                  </w:pPr>
                  <w:r>
                    <w:rPr>
                      <w:rFonts w:hint="eastAsia" w:hAnsi="宋体"/>
                      <w:color w:val="auto"/>
                      <w:kern w:val="0"/>
                      <w:szCs w:val="21"/>
                      <w:highlight w:val="none"/>
                      <w:lang w:val="en-US" w:eastAsia="zh-CN"/>
                    </w:rPr>
                    <w:t>（粉碎工序）布袋除尘器收集粉尘</w:t>
                  </w:r>
                </w:p>
              </w:tc>
              <w:tc>
                <w:tcPr>
                  <w:tcW w:w="489" w:type="pct"/>
                  <w:vAlign w:val="center"/>
                </w:tcPr>
                <w:p w14:paraId="723D76B0">
                  <w:pPr>
                    <w:pStyle w:val="110"/>
                    <w:keepNext w:val="0"/>
                    <w:keepLines w:val="0"/>
                    <w:suppressLineNumbers w:val="0"/>
                    <w:spacing w:before="0" w:beforeAutospacing="0" w:after="0" w:afterAutospacing="0" w:line="276" w:lineRule="auto"/>
                    <w:ind w:left="0" w:right="0"/>
                    <w:rPr>
                      <w:rFonts w:hint="default" w:hAnsi="宋体"/>
                      <w:color w:val="auto"/>
                      <w:kern w:val="0"/>
                      <w:szCs w:val="21"/>
                      <w:highlight w:val="none"/>
                      <w:lang w:val="en-US" w:eastAsia="zh-CN"/>
                    </w:rPr>
                  </w:pPr>
                  <w:r>
                    <w:rPr>
                      <w:rFonts w:hint="eastAsia" w:hAnsi="宋体"/>
                      <w:color w:val="auto"/>
                      <w:kern w:val="0"/>
                      <w:szCs w:val="21"/>
                      <w:highlight w:val="none"/>
                      <w:lang w:val="en-US" w:eastAsia="zh-CN"/>
                    </w:rPr>
                    <w:t>14.87</w:t>
                  </w:r>
                </w:p>
              </w:tc>
              <w:tc>
                <w:tcPr>
                  <w:tcW w:w="584" w:type="pct"/>
                  <w:vAlign w:val="center"/>
                </w:tcPr>
                <w:p w14:paraId="24B9E134">
                  <w:pPr>
                    <w:pStyle w:val="110"/>
                    <w:keepNext w:val="0"/>
                    <w:keepLines w:val="0"/>
                    <w:suppressLineNumbers w:val="0"/>
                    <w:spacing w:before="0" w:beforeAutospacing="0" w:after="0" w:afterAutospacing="0" w:line="276" w:lineRule="auto"/>
                    <w:ind w:left="0" w:right="0"/>
                    <w:rPr>
                      <w:rFonts w:hint="default" w:hAnsi="宋体"/>
                      <w:color w:val="auto"/>
                      <w:kern w:val="0"/>
                      <w:szCs w:val="21"/>
                      <w:highlight w:val="none"/>
                      <w:lang w:val="en-US" w:eastAsia="zh-CN"/>
                    </w:rPr>
                  </w:pPr>
                  <w:r>
                    <w:rPr>
                      <w:rFonts w:hint="eastAsia" w:hAnsi="宋体"/>
                      <w:color w:val="auto"/>
                      <w:kern w:val="0"/>
                      <w:szCs w:val="21"/>
                      <w:highlight w:val="none"/>
                      <w:lang w:val="en-US" w:eastAsia="zh-CN"/>
                    </w:rPr>
                    <w:t>1.5</w:t>
                  </w:r>
                </w:p>
              </w:tc>
              <w:tc>
                <w:tcPr>
                  <w:tcW w:w="431" w:type="pct"/>
                  <w:vAlign w:val="center"/>
                </w:tcPr>
                <w:p w14:paraId="4AF70CC5">
                  <w:pPr>
                    <w:pStyle w:val="110"/>
                    <w:keepNext w:val="0"/>
                    <w:keepLines w:val="0"/>
                    <w:suppressLineNumbers w:val="0"/>
                    <w:spacing w:before="0" w:beforeAutospacing="0" w:after="0" w:afterAutospacing="0" w:line="276" w:lineRule="auto"/>
                    <w:ind w:left="0" w:right="0"/>
                    <w:rPr>
                      <w:rFonts w:hint="default" w:hAnsi="宋体"/>
                      <w:color w:val="auto"/>
                      <w:kern w:val="0"/>
                      <w:szCs w:val="21"/>
                      <w:highlight w:val="none"/>
                      <w:lang w:val="en-US" w:eastAsia="zh-CN"/>
                    </w:rPr>
                  </w:pPr>
                  <w:r>
                    <w:rPr>
                      <w:rFonts w:hint="eastAsia" w:hAnsi="宋体"/>
                      <w:color w:val="auto"/>
                      <w:kern w:val="0"/>
                      <w:szCs w:val="21"/>
                      <w:highlight w:val="none"/>
                      <w:lang w:val="en-US" w:eastAsia="zh-CN"/>
                    </w:rPr>
                    <w:t>废气处理</w:t>
                  </w:r>
                </w:p>
              </w:tc>
              <w:tc>
                <w:tcPr>
                  <w:tcW w:w="367" w:type="pct"/>
                  <w:vAlign w:val="center"/>
                </w:tcPr>
                <w:p w14:paraId="2CD6FAC5">
                  <w:pPr>
                    <w:pStyle w:val="110"/>
                    <w:keepNext w:val="0"/>
                    <w:keepLines w:val="0"/>
                    <w:suppressLineNumbers w:val="0"/>
                    <w:spacing w:before="0" w:beforeAutospacing="0" w:after="0" w:afterAutospacing="0" w:line="276" w:lineRule="auto"/>
                    <w:ind w:left="0" w:leftChars="0" w:right="0" w:rightChars="0"/>
                    <w:jc w:val="center"/>
                    <w:rPr>
                      <w:rFonts w:hint="eastAsia" w:hAnsi="宋体"/>
                      <w:color w:val="auto"/>
                      <w:kern w:val="0"/>
                      <w:szCs w:val="21"/>
                      <w:highlight w:val="none"/>
                      <w:lang w:val="en-US" w:eastAsia="zh-CN"/>
                    </w:rPr>
                  </w:pPr>
                  <w:r>
                    <w:rPr>
                      <w:rFonts w:hint="eastAsia" w:hAnsi="宋体"/>
                      <w:color w:val="auto"/>
                      <w:kern w:val="0"/>
                      <w:szCs w:val="21"/>
                      <w:highlight w:val="none"/>
                      <w:lang w:val="en-US" w:eastAsia="zh-CN"/>
                    </w:rPr>
                    <w:t>固态</w:t>
                  </w:r>
                </w:p>
              </w:tc>
              <w:tc>
                <w:tcPr>
                  <w:tcW w:w="623" w:type="pct"/>
                  <w:vAlign w:val="center"/>
                </w:tcPr>
                <w:p w14:paraId="7661DFF5">
                  <w:pPr>
                    <w:pStyle w:val="110"/>
                    <w:keepNext w:val="0"/>
                    <w:keepLines w:val="0"/>
                    <w:suppressLineNumbers w:val="0"/>
                    <w:spacing w:before="0" w:beforeAutospacing="0" w:after="0" w:afterAutospacing="0" w:line="276" w:lineRule="auto"/>
                    <w:ind w:left="0" w:leftChars="0" w:right="0" w:rightChars="0"/>
                    <w:rPr>
                      <w:rFonts w:hint="eastAsia" w:hAnsi="宋体"/>
                      <w:color w:val="auto"/>
                      <w:kern w:val="0"/>
                      <w:szCs w:val="21"/>
                      <w:highlight w:val="none"/>
                      <w:lang w:val="en-US" w:eastAsia="zh-CN"/>
                    </w:rPr>
                  </w:pPr>
                  <w:r>
                    <w:rPr>
                      <w:rFonts w:hint="eastAsia" w:hAnsi="宋体"/>
                      <w:color w:val="auto"/>
                      <w:kern w:val="0"/>
                      <w:szCs w:val="21"/>
                      <w:highlight w:val="none"/>
                      <w:lang w:val="en-US" w:eastAsia="zh-CN"/>
                    </w:rPr>
                    <w:t>塑料</w:t>
                  </w:r>
                </w:p>
              </w:tc>
              <w:tc>
                <w:tcPr>
                  <w:tcW w:w="496" w:type="pct"/>
                  <w:vAlign w:val="center"/>
                </w:tcPr>
                <w:p w14:paraId="7C54A1B5">
                  <w:pPr>
                    <w:pStyle w:val="110"/>
                    <w:keepNext w:val="0"/>
                    <w:keepLines w:val="0"/>
                    <w:suppressLineNumbers w:val="0"/>
                    <w:spacing w:before="0" w:beforeAutospacing="0" w:after="0" w:afterAutospacing="0" w:line="276" w:lineRule="auto"/>
                    <w:ind w:left="0" w:leftChars="0" w:right="0" w:rightChars="0"/>
                    <w:rPr>
                      <w:rFonts w:hint="eastAsia" w:hAnsi="宋体"/>
                      <w:color w:val="auto"/>
                      <w:kern w:val="0"/>
                      <w:szCs w:val="21"/>
                      <w:highlight w:val="none"/>
                      <w:lang w:val="en-US" w:eastAsia="zh-CN"/>
                    </w:rPr>
                  </w:pPr>
                  <w:r>
                    <w:rPr>
                      <w:rFonts w:hint="eastAsia" w:hAnsi="宋体"/>
                      <w:color w:val="auto"/>
                      <w:kern w:val="0"/>
                      <w:szCs w:val="21"/>
                      <w:highlight w:val="none"/>
                      <w:lang w:val="en-US" w:eastAsia="zh-CN"/>
                    </w:rPr>
                    <w:t>/</w:t>
                  </w:r>
                </w:p>
              </w:tc>
              <w:tc>
                <w:tcPr>
                  <w:tcW w:w="1080" w:type="pct"/>
                  <w:vAlign w:val="center"/>
                </w:tcPr>
                <w:p w14:paraId="5B0806F0">
                  <w:pPr>
                    <w:keepNext w:val="0"/>
                    <w:keepLines w:val="0"/>
                    <w:suppressLineNumbers w:val="0"/>
                    <w:spacing w:before="0" w:beforeAutospacing="0" w:after="0" w:afterAutospacing="0"/>
                    <w:ind w:left="0" w:right="0"/>
                    <w:jc w:val="center"/>
                    <w:rPr>
                      <w:rFonts w:hint="eastAsia" w:hAnsi="宋体" w:eastAsia="宋体"/>
                      <w:color w:val="auto"/>
                      <w:kern w:val="2"/>
                      <w:szCs w:val="22"/>
                      <w:highlight w:val="none"/>
                      <w:lang w:val="en-US" w:eastAsia="zh-CN"/>
                    </w:rPr>
                  </w:pPr>
                  <w:r>
                    <w:rPr>
                      <w:rFonts w:hint="eastAsia"/>
                      <w:color w:val="auto"/>
                      <w:sz w:val="21"/>
                      <w:szCs w:val="21"/>
                      <w:highlight w:val="none"/>
                      <w:lang w:val="en-US" w:eastAsia="zh-CN"/>
                    </w:rPr>
                    <w:t>分类收集，回用于塑料制品生产</w:t>
                  </w:r>
                </w:p>
              </w:tc>
            </w:tr>
            <w:tr w14:paraId="4E1EC9B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29" w:type="pct"/>
                  <w:shd w:val="clear" w:color="auto" w:fill="auto"/>
                  <w:vAlign w:val="center"/>
                </w:tcPr>
                <w:p w14:paraId="6331ADE6">
                  <w:pPr>
                    <w:pStyle w:val="110"/>
                    <w:keepNext w:val="0"/>
                    <w:keepLines w:val="0"/>
                    <w:suppressLineNumbers w:val="0"/>
                    <w:spacing w:before="0" w:beforeAutospacing="0" w:after="0" w:afterAutospacing="0" w:line="276" w:lineRule="auto"/>
                    <w:ind w:left="0" w:leftChars="0" w:right="0" w:rightChars="0"/>
                    <w:rPr>
                      <w:rFonts w:hint="default" w:ascii="Times New Roman" w:hAnsi="宋体" w:eastAsia="宋体" w:cs="Times New Roman"/>
                      <w:color w:val="auto"/>
                      <w:kern w:val="0"/>
                      <w:sz w:val="21"/>
                      <w:szCs w:val="21"/>
                      <w:lang w:val="en-US" w:eastAsia="zh-CN" w:bidi="ar-SA"/>
                    </w:rPr>
                  </w:pPr>
                  <w:r>
                    <w:rPr>
                      <w:rFonts w:hint="eastAsia" w:hAnsi="宋体" w:cs="Times New Roman"/>
                      <w:color w:val="auto"/>
                      <w:kern w:val="0"/>
                      <w:sz w:val="21"/>
                      <w:szCs w:val="21"/>
                      <w:lang w:val="en-US" w:eastAsia="zh-CN" w:bidi="ar-SA"/>
                    </w:rPr>
                    <w:t>5</w:t>
                  </w:r>
                </w:p>
              </w:tc>
              <w:tc>
                <w:tcPr>
                  <w:tcW w:w="595" w:type="pct"/>
                  <w:vAlign w:val="center"/>
                </w:tcPr>
                <w:p w14:paraId="555C37B6">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废活性炭</w:t>
                  </w:r>
                </w:p>
              </w:tc>
              <w:tc>
                <w:tcPr>
                  <w:tcW w:w="489" w:type="pct"/>
                  <w:vAlign w:val="center"/>
                </w:tcPr>
                <w:p w14:paraId="2A2B068F">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11.198</w:t>
                  </w:r>
                </w:p>
              </w:tc>
              <w:tc>
                <w:tcPr>
                  <w:tcW w:w="584" w:type="pct"/>
                  <w:vAlign w:val="center"/>
                </w:tcPr>
                <w:p w14:paraId="3BE36C4C">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2.8</w:t>
                  </w:r>
                </w:p>
              </w:tc>
              <w:tc>
                <w:tcPr>
                  <w:tcW w:w="431" w:type="pct"/>
                  <w:vAlign w:val="center"/>
                </w:tcPr>
                <w:p w14:paraId="6BC02EE4">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废气处理</w:t>
                  </w:r>
                </w:p>
              </w:tc>
              <w:tc>
                <w:tcPr>
                  <w:tcW w:w="367" w:type="pct"/>
                  <w:vAlign w:val="center"/>
                </w:tcPr>
                <w:p w14:paraId="05A64C9E">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固态</w:t>
                  </w:r>
                </w:p>
              </w:tc>
              <w:tc>
                <w:tcPr>
                  <w:tcW w:w="623" w:type="pct"/>
                  <w:vAlign w:val="center"/>
                </w:tcPr>
                <w:p w14:paraId="6DF6C5D1">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废活性炭</w:t>
                  </w:r>
                </w:p>
              </w:tc>
              <w:tc>
                <w:tcPr>
                  <w:tcW w:w="496" w:type="pct"/>
                  <w:vAlign w:val="center"/>
                </w:tcPr>
                <w:p w14:paraId="7946E4C3">
                  <w:pPr>
                    <w:pStyle w:val="110"/>
                    <w:keepNext w:val="0"/>
                    <w:keepLines w:val="0"/>
                    <w:suppressLineNumbers w:val="0"/>
                    <w:spacing w:before="0" w:beforeAutospacing="0" w:after="0" w:afterAutospacing="0" w:line="276" w:lineRule="auto"/>
                    <w:ind w:left="0" w:right="0"/>
                    <w:rPr>
                      <w:rFonts w:hint="eastAsia" w:hAnsi="宋体"/>
                      <w:color w:val="auto"/>
                      <w:kern w:val="0"/>
                      <w:szCs w:val="21"/>
                      <w:lang w:val="en-US" w:eastAsia="zh-CN"/>
                    </w:rPr>
                  </w:pPr>
                  <w:r>
                    <w:rPr>
                      <w:rFonts w:hint="eastAsia" w:hAnsi="宋体"/>
                      <w:color w:val="auto"/>
                      <w:kern w:val="0"/>
                      <w:szCs w:val="21"/>
                      <w:lang w:val="en-US" w:eastAsia="zh-CN"/>
                    </w:rPr>
                    <w:t>危险废物</w:t>
                  </w:r>
                </w:p>
              </w:tc>
              <w:tc>
                <w:tcPr>
                  <w:tcW w:w="1080" w:type="pct"/>
                  <w:vAlign w:val="center"/>
                </w:tcPr>
                <w:p w14:paraId="243A4BA1">
                  <w:pPr>
                    <w:pStyle w:val="110"/>
                    <w:keepNext w:val="0"/>
                    <w:keepLines w:val="0"/>
                    <w:suppressLineNumbers w:val="0"/>
                    <w:spacing w:before="0" w:beforeAutospacing="0" w:after="0" w:afterAutospacing="0" w:line="276" w:lineRule="auto"/>
                    <w:ind w:left="0" w:right="0"/>
                    <w:rPr>
                      <w:rFonts w:hint="eastAsia" w:hAnsi="宋体"/>
                      <w:color w:val="auto"/>
                      <w:szCs w:val="22"/>
                    </w:rPr>
                  </w:pPr>
                  <w:r>
                    <w:rPr>
                      <w:rFonts w:hint="eastAsia"/>
                      <w:color w:val="auto"/>
                      <w:lang w:val="en-US" w:eastAsia="zh-CN"/>
                    </w:rPr>
                    <w:t>更换后</w:t>
                  </w:r>
                  <w:r>
                    <w:rPr>
                      <w:rFonts w:hint="eastAsia"/>
                      <w:color w:val="auto"/>
                    </w:rPr>
                    <w:t>收集暂存于危废暂存间，后委托有资质的单位处理处置</w:t>
                  </w:r>
                </w:p>
              </w:tc>
            </w:tr>
            <w:tr w14:paraId="419E99E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29" w:type="pct"/>
                  <w:shd w:val="clear" w:color="auto" w:fill="auto"/>
                  <w:vAlign w:val="center"/>
                </w:tcPr>
                <w:p w14:paraId="7BC3778C">
                  <w:pPr>
                    <w:pStyle w:val="110"/>
                    <w:keepNext w:val="0"/>
                    <w:keepLines w:val="0"/>
                    <w:suppressLineNumbers w:val="0"/>
                    <w:spacing w:before="0" w:beforeAutospacing="0" w:after="0" w:afterAutospacing="0" w:line="276" w:lineRule="auto"/>
                    <w:ind w:left="0" w:leftChars="0" w:right="0" w:rightChars="0"/>
                    <w:rPr>
                      <w:rFonts w:hint="default" w:ascii="Times New Roman" w:hAnsi="宋体" w:eastAsia="宋体" w:cs="Times New Roman"/>
                      <w:color w:val="auto"/>
                      <w:kern w:val="0"/>
                      <w:sz w:val="21"/>
                      <w:szCs w:val="21"/>
                      <w:lang w:val="en-US" w:eastAsia="zh-CN" w:bidi="ar-SA"/>
                    </w:rPr>
                  </w:pPr>
                  <w:r>
                    <w:rPr>
                      <w:rFonts w:hint="eastAsia" w:hAnsi="宋体" w:cs="Times New Roman"/>
                      <w:color w:val="auto"/>
                      <w:kern w:val="0"/>
                      <w:sz w:val="21"/>
                      <w:szCs w:val="21"/>
                      <w:lang w:val="en-US" w:eastAsia="zh-CN" w:bidi="ar-SA"/>
                    </w:rPr>
                    <w:t>6</w:t>
                  </w:r>
                </w:p>
              </w:tc>
              <w:tc>
                <w:tcPr>
                  <w:tcW w:w="595" w:type="pct"/>
                  <w:vAlign w:val="center"/>
                </w:tcPr>
                <w:p w14:paraId="419D209F">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废油</w:t>
                  </w:r>
                </w:p>
              </w:tc>
              <w:tc>
                <w:tcPr>
                  <w:tcW w:w="489" w:type="pct"/>
                  <w:vAlign w:val="center"/>
                </w:tcPr>
                <w:p w14:paraId="251FA579">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1.0</w:t>
                  </w:r>
                </w:p>
              </w:tc>
              <w:tc>
                <w:tcPr>
                  <w:tcW w:w="584" w:type="pct"/>
                  <w:vAlign w:val="center"/>
                </w:tcPr>
                <w:p w14:paraId="08BBBF2D">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1.0</w:t>
                  </w:r>
                </w:p>
              </w:tc>
              <w:tc>
                <w:tcPr>
                  <w:tcW w:w="431" w:type="pct"/>
                  <w:vAlign w:val="center"/>
                </w:tcPr>
                <w:p w14:paraId="5B04CFF0">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设备维修</w:t>
                  </w:r>
                </w:p>
              </w:tc>
              <w:tc>
                <w:tcPr>
                  <w:tcW w:w="367" w:type="pct"/>
                  <w:vAlign w:val="center"/>
                </w:tcPr>
                <w:p w14:paraId="04CF6BE9">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液态</w:t>
                  </w:r>
                </w:p>
              </w:tc>
              <w:tc>
                <w:tcPr>
                  <w:tcW w:w="623" w:type="pct"/>
                  <w:shd w:val="clear" w:color="auto" w:fill="auto"/>
                  <w:vAlign w:val="center"/>
                </w:tcPr>
                <w:p w14:paraId="3DD65CCB">
                  <w:pPr>
                    <w:pStyle w:val="110"/>
                    <w:keepNext w:val="0"/>
                    <w:keepLines w:val="0"/>
                    <w:suppressLineNumbers w:val="0"/>
                    <w:spacing w:before="0" w:beforeAutospacing="0" w:after="0" w:afterAutospacing="0" w:line="276" w:lineRule="auto"/>
                    <w:ind w:left="0" w:right="0"/>
                    <w:rPr>
                      <w:rFonts w:hint="default" w:ascii="Times New Roman" w:hAnsi="宋体" w:eastAsia="宋体" w:cs="Times New Roman"/>
                      <w:color w:val="auto"/>
                      <w:kern w:val="0"/>
                      <w:sz w:val="21"/>
                      <w:szCs w:val="21"/>
                      <w:lang w:val="en-US" w:eastAsia="zh-CN" w:bidi="ar-SA"/>
                    </w:rPr>
                  </w:pPr>
                  <w:r>
                    <w:rPr>
                      <w:rFonts w:hint="eastAsia" w:hAnsi="宋体"/>
                      <w:color w:val="auto"/>
                      <w:kern w:val="0"/>
                      <w:szCs w:val="21"/>
                      <w:lang w:val="en-US" w:eastAsia="zh-CN"/>
                    </w:rPr>
                    <w:t>废矿物油</w:t>
                  </w:r>
                </w:p>
              </w:tc>
              <w:tc>
                <w:tcPr>
                  <w:tcW w:w="496" w:type="pct"/>
                  <w:vAlign w:val="center"/>
                </w:tcPr>
                <w:p w14:paraId="503C308B">
                  <w:pPr>
                    <w:pStyle w:val="110"/>
                    <w:keepNext w:val="0"/>
                    <w:keepLines w:val="0"/>
                    <w:suppressLineNumbers w:val="0"/>
                    <w:spacing w:before="0" w:beforeAutospacing="0" w:after="0" w:afterAutospacing="0" w:line="276" w:lineRule="auto"/>
                    <w:ind w:left="0" w:right="0"/>
                    <w:rPr>
                      <w:rFonts w:hint="eastAsia" w:hAnsi="宋体"/>
                      <w:color w:val="auto"/>
                      <w:kern w:val="0"/>
                      <w:szCs w:val="21"/>
                      <w:lang w:val="en-US" w:eastAsia="zh-CN"/>
                    </w:rPr>
                  </w:pPr>
                  <w:r>
                    <w:rPr>
                      <w:rFonts w:hint="eastAsia" w:hAnsi="宋体"/>
                      <w:color w:val="auto"/>
                      <w:kern w:val="0"/>
                      <w:szCs w:val="21"/>
                      <w:lang w:val="en-US" w:eastAsia="zh-CN"/>
                    </w:rPr>
                    <w:t>危险废物</w:t>
                  </w:r>
                </w:p>
              </w:tc>
              <w:tc>
                <w:tcPr>
                  <w:tcW w:w="1080" w:type="pct"/>
                  <w:vMerge w:val="restart"/>
                  <w:vAlign w:val="center"/>
                </w:tcPr>
                <w:p w14:paraId="7ECE72BF">
                  <w:pPr>
                    <w:pStyle w:val="110"/>
                    <w:keepNext w:val="0"/>
                    <w:keepLines w:val="0"/>
                    <w:suppressLineNumbers w:val="0"/>
                    <w:spacing w:before="0" w:beforeAutospacing="0" w:after="0" w:afterAutospacing="0" w:line="276" w:lineRule="auto"/>
                    <w:ind w:left="0" w:right="0"/>
                    <w:rPr>
                      <w:rFonts w:hint="eastAsia"/>
                      <w:color w:val="auto"/>
                      <w:lang w:val="en-US" w:eastAsia="zh-CN"/>
                    </w:rPr>
                  </w:pPr>
                  <w:r>
                    <w:rPr>
                      <w:rFonts w:hint="eastAsia"/>
                      <w:color w:val="auto"/>
                    </w:rPr>
                    <w:t>收集暂存于危废暂存间，后委托有资质的单位处理处置</w:t>
                  </w:r>
                </w:p>
              </w:tc>
            </w:tr>
            <w:tr w14:paraId="359D30A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29" w:type="pct"/>
                  <w:shd w:val="clear" w:color="auto" w:fill="auto"/>
                  <w:vAlign w:val="center"/>
                </w:tcPr>
                <w:p w14:paraId="7A00B9CC">
                  <w:pPr>
                    <w:pStyle w:val="110"/>
                    <w:keepNext w:val="0"/>
                    <w:keepLines w:val="0"/>
                    <w:suppressLineNumbers w:val="0"/>
                    <w:spacing w:before="0" w:beforeAutospacing="0" w:after="0" w:afterAutospacing="0" w:line="276" w:lineRule="auto"/>
                    <w:ind w:left="0" w:leftChars="0" w:right="0" w:rightChars="0"/>
                    <w:rPr>
                      <w:rFonts w:hint="default" w:ascii="Times New Roman" w:hAnsi="宋体" w:eastAsia="宋体" w:cs="Times New Roman"/>
                      <w:color w:val="auto"/>
                      <w:kern w:val="0"/>
                      <w:sz w:val="21"/>
                      <w:szCs w:val="21"/>
                      <w:lang w:val="en-US" w:eastAsia="zh-CN" w:bidi="ar-SA"/>
                    </w:rPr>
                  </w:pPr>
                  <w:r>
                    <w:rPr>
                      <w:rFonts w:hint="eastAsia" w:hAnsi="宋体" w:cs="Times New Roman"/>
                      <w:color w:val="auto"/>
                      <w:kern w:val="0"/>
                      <w:sz w:val="21"/>
                      <w:szCs w:val="21"/>
                      <w:lang w:val="en-US" w:eastAsia="zh-CN" w:bidi="ar-SA"/>
                    </w:rPr>
                    <w:t>7</w:t>
                  </w:r>
                </w:p>
              </w:tc>
              <w:tc>
                <w:tcPr>
                  <w:tcW w:w="595" w:type="pct"/>
                  <w:vAlign w:val="center"/>
                </w:tcPr>
                <w:p w14:paraId="47BF2158">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废油桶</w:t>
                  </w:r>
                </w:p>
              </w:tc>
              <w:tc>
                <w:tcPr>
                  <w:tcW w:w="489" w:type="pct"/>
                  <w:vAlign w:val="center"/>
                </w:tcPr>
                <w:p w14:paraId="167338E5">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0.1</w:t>
                  </w:r>
                </w:p>
              </w:tc>
              <w:tc>
                <w:tcPr>
                  <w:tcW w:w="584" w:type="pct"/>
                  <w:vAlign w:val="center"/>
                </w:tcPr>
                <w:p w14:paraId="736A9CC3">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0.1</w:t>
                  </w:r>
                </w:p>
              </w:tc>
              <w:tc>
                <w:tcPr>
                  <w:tcW w:w="431" w:type="pct"/>
                  <w:vAlign w:val="center"/>
                </w:tcPr>
                <w:p w14:paraId="2259B50C">
                  <w:pPr>
                    <w:pStyle w:val="110"/>
                    <w:keepNext w:val="0"/>
                    <w:keepLines w:val="0"/>
                    <w:suppressLineNumbers w:val="0"/>
                    <w:spacing w:before="0" w:beforeAutospacing="0" w:after="0" w:afterAutospacing="0" w:line="276" w:lineRule="auto"/>
                    <w:ind w:left="0" w:right="0"/>
                    <w:rPr>
                      <w:rFonts w:hint="eastAsia" w:hAnsi="宋体"/>
                      <w:color w:val="auto"/>
                      <w:kern w:val="0"/>
                      <w:szCs w:val="21"/>
                      <w:lang w:val="en-US" w:eastAsia="zh-CN"/>
                    </w:rPr>
                  </w:pPr>
                  <w:r>
                    <w:rPr>
                      <w:rFonts w:hint="eastAsia" w:hAnsi="宋体"/>
                      <w:color w:val="auto"/>
                      <w:kern w:val="0"/>
                      <w:szCs w:val="21"/>
                      <w:lang w:val="en-US" w:eastAsia="zh-CN"/>
                    </w:rPr>
                    <w:t>设备维修</w:t>
                  </w:r>
                </w:p>
              </w:tc>
              <w:tc>
                <w:tcPr>
                  <w:tcW w:w="367" w:type="pct"/>
                  <w:vAlign w:val="center"/>
                </w:tcPr>
                <w:p w14:paraId="7099E02D">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固态</w:t>
                  </w:r>
                </w:p>
              </w:tc>
              <w:tc>
                <w:tcPr>
                  <w:tcW w:w="623" w:type="pct"/>
                  <w:shd w:val="clear" w:color="auto" w:fill="auto"/>
                  <w:vAlign w:val="center"/>
                </w:tcPr>
                <w:p w14:paraId="14BEABDF">
                  <w:pPr>
                    <w:pStyle w:val="110"/>
                    <w:keepNext w:val="0"/>
                    <w:keepLines w:val="0"/>
                    <w:suppressLineNumbers w:val="0"/>
                    <w:spacing w:before="0" w:beforeAutospacing="0" w:after="0" w:afterAutospacing="0" w:line="276" w:lineRule="auto"/>
                    <w:ind w:left="0" w:right="0"/>
                    <w:rPr>
                      <w:rFonts w:hint="eastAsia" w:ascii="Times New Roman" w:hAnsi="宋体" w:eastAsia="宋体" w:cs="Times New Roman"/>
                      <w:color w:val="auto"/>
                      <w:kern w:val="0"/>
                      <w:sz w:val="21"/>
                      <w:szCs w:val="21"/>
                      <w:lang w:val="en-US" w:eastAsia="zh-CN" w:bidi="ar-SA"/>
                    </w:rPr>
                  </w:pPr>
                  <w:r>
                    <w:rPr>
                      <w:rFonts w:hint="eastAsia" w:hAnsi="宋体"/>
                      <w:color w:val="auto"/>
                      <w:kern w:val="0"/>
                      <w:szCs w:val="21"/>
                      <w:lang w:val="en-US" w:eastAsia="zh-CN"/>
                    </w:rPr>
                    <w:t>废油桶</w:t>
                  </w:r>
                </w:p>
              </w:tc>
              <w:tc>
                <w:tcPr>
                  <w:tcW w:w="496" w:type="pct"/>
                  <w:vAlign w:val="center"/>
                </w:tcPr>
                <w:p w14:paraId="758F538F">
                  <w:pPr>
                    <w:pStyle w:val="110"/>
                    <w:keepNext w:val="0"/>
                    <w:keepLines w:val="0"/>
                    <w:suppressLineNumbers w:val="0"/>
                    <w:spacing w:before="0" w:beforeAutospacing="0" w:after="0" w:afterAutospacing="0" w:line="276" w:lineRule="auto"/>
                    <w:ind w:left="0" w:right="0"/>
                    <w:rPr>
                      <w:rFonts w:hint="eastAsia" w:hAnsi="宋体"/>
                      <w:color w:val="auto"/>
                      <w:kern w:val="0"/>
                      <w:szCs w:val="21"/>
                      <w:lang w:val="en-US" w:eastAsia="zh-CN"/>
                    </w:rPr>
                  </w:pPr>
                  <w:r>
                    <w:rPr>
                      <w:rFonts w:hint="eastAsia" w:hAnsi="宋体"/>
                      <w:color w:val="auto"/>
                      <w:kern w:val="0"/>
                      <w:szCs w:val="21"/>
                      <w:lang w:val="en-US" w:eastAsia="zh-CN"/>
                    </w:rPr>
                    <w:t>危险废物</w:t>
                  </w:r>
                </w:p>
              </w:tc>
              <w:tc>
                <w:tcPr>
                  <w:tcW w:w="1080" w:type="pct"/>
                  <w:vMerge w:val="continue"/>
                  <w:vAlign w:val="center"/>
                </w:tcPr>
                <w:p w14:paraId="1C704124">
                  <w:pPr>
                    <w:pStyle w:val="110"/>
                    <w:keepNext w:val="0"/>
                    <w:keepLines w:val="0"/>
                    <w:suppressLineNumbers w:val="0"/>
                    <w:spacing w:before="0" w:beforeAutospacing="0" w:after="0" w:afterAutospacing="0" w:line="276" w:lineRule="auto"/>
                    <w:ind w:left="0" w:right="0"/>
                    <w:rPr>
                      <w:rFonts w:hint="eastAsia"/>
                      <w:color w:val="auto"/>
                      <w:lang w:val="en-US" w:eastAsia="zh-CN"/>
                    </w:rPr>
                  </w:pPr>
                </w:p>
              </w:tc>
            </w:tr>
            <w:tr w14:paraId="53C6E1B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29" w:type="pct"/>
                  <w:vAlign w:val="center"/>
                </w:tcPr>
                <w:p w14:paraId="709E5D02">
                  <w:pPr>
                    <w:pStyle w:val="110"/>
                    <w:keepNext w:val="0"/>
                    <w:keepLines w:val="0"/>
                    <w:suppressLineNumbers w:val="0"/>
                    <w:spacing w:before="0" w:beforeAutospacing="0" w:after="0" w:afterAutospacing="0" w:line="276" w:lineRule="auto"/>
                    <w:ind w:left="0" w:right="0"/>
                    <w:rPr>
                      <w:rFonts w:hint="default" w:hAnsi="宋体" w:eastAsia="宋体"/>
                      <w:color w:val="auto"/>
                      <w:kern w:val="0"/>
                      <w:szCs w:val="21"/>
                      <w:lang w:val="en-US" w:eastAsia="zh-CN"/>
                    </w:rPr>
                  </w:pPr>
                  <w:r>
                    <w:rPr>
                      <w:rFonts w:hint="eastAsia" w:hAnsi="宋体"/>
                      <w:color w:val="auto"/>
                      <w:kern w:val="0"/>
                      <w:szCs w:val="21"/>
                      <w:lang w:val="en-US" w:eastAsia="zh-CN"/>
                    </w:rPr>
                    <w:t>8</w:t>
                  </w:r>
                </w:p>
              </w:tc>
              <w:tc>
                <w:tcPr>
                  <w:tcW w:w="595" w:type="pct"/>
                  <w:vAlign w:val="center"/>
                </w:tcPr>
                <w:p w14:paraId="0957F988">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废弃劳保用品</w:t>
                  </w:r>
                </w:p>
              </w:tc>
              <w:tc>
                <w:tcPr>
                  <w:tcW w:w="489" w:type="pct"/>
                  <w:vAlign w:val="center"/>
                </w:tcPr>
                <w:p w14:paraId="615B0370">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0.01</w:t>
                  </w:r>
                </w:p>
              </w:tc>
              <w:tc>
                <w:tcPr>
                  <w:tcW w:w="584" w:type="pct"/>
                  <w:vAlign w:val="center"/>
                </w:tcPr>
                <w:p w14:paraId="0F24EAA3">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0.01</w:t>
                  </w:r>
                </w:p>
              </w:tc>
              <w:tc>
                <w:tcPr>
                  <w:tcW w:w="431" w:type="pct"/>
                  <w:vAlign w:val="center"/>
                </w:tcPr>
                <w:p w14:paraId="7F0875F1">
                  <w:pPr>
                    <w:pStyle w:val="110"/>
                    <w:keepNext w:val="0"/>
                    <w:keepLines w:val="0"/>
                    <w:suppressLineNumbers w:val="0"/>
                    <w:spacing w:before="0" w:beforeAutospacing="0" w:after="0" w:afterAutospacing="0" w:line="276" w:lineRule="auto"/>
                    <w:ind w:left="0" w:right="0"/>
                    <w:rPr>
                      <w:rFonts w:hint="eastAsia" w:hAnsi="宋体"/>
                      <w:color w:val="auto"/>
                      <w:kern w:val="0"/>
                      <w:szCs w:val="21"/>
                      <w:lang w:val="en-US" w:eastAsia="zh-CN"/>
                    </w:rPr>
                  </w:pPr>
                  <w:r>
                    <w:rPr>
                      <w:rFonts w:hint="eastAsia" w:hAnsi="宋体"/>
                      <w:color w:val="auto"/>
                      <w:kern w:val="0"/>
                      <w:szCs w:val="21"/>
                      <w:lang w:val="en-US" w:eastAsia="zh-CN"/>
                    </w:rPr>
                    <w:t>设备维修</w:t>
                  </w:r>
                </w:p>
              </w:tc>
              <w:tc>
                <w:tcPr>
                  <w:tcW w:w="367" w:type="pct"/>
                  <w:vAlign w:val="center"/>
                </w:tcPr>
                <w:p w14:paraId="55F1E7B8">
                  <w:pPr>
                    <w:pStyle w:val="110"/>
                    <w:keepNext w:val="0"/>
                    <w:keepLines w:val="0"/>
                    <w:suppressLineNumbers w:val="0"/>
                    <w:spacing w:before="0" w:beforeAutospacing="0" w:after="0" w:afterAutospacing="0" w:line="276" w:lineRule="auto"/>
                    <w:ind w:left="0" w:right="0"/>
                    <w:rPr>
                      <w:rFonts w:hint="default" w:hAnsi="宋体"/>
                      <w:color w:val="auto"/>
                      <w:kern w:val="0"/>
                      <w:szCs w:val="21"/>
                      <w:lang w:val="en-US" w:eastAsia="zh-CN"/>
                    </w:rPr>
                  </w:pPr>
                  <w:r>
                    <w:rPr>
                      <w:rFonts w:hint="eastAsia" w:hAnsi="宋体"/>
                      <w:color w:val="auto"/>
                      <w:kern w:val="0"/>
                      <w:szCs w:val="21"/>
                      <w:lang w:val="en-US" w:eastAsia="zh-CN"/>
                    </w:rPr>
                    <w:t>固态</w:t>
                  </w:r>
                </w:p>
              </w:tc>
              <w:tc>
                <w:tcPr>
                  <w:tcW w:w="623" w:type="pct"/>
                  <w:shd w:val="clear" w:color="auto" w:fill="auto"/>
                  <w:vAlign w:val="center"/>
                </w:tcPr>
                <w:p w14:paraId="6AFBE1C5">
                  <w:pPr>
                    <w:pStyle w:val="110"/>
                    <w:keepNext w:val="0"/>
                    <w:keepLines w:val="0"/>
                    <w:suppressLineNumbers w:val="0"/>
                    <w:spacing w:before="0" w:beforeAutospacing="0" w:after="0" w:afterAutospacing="0" w:line="276" w:lineRule="auto"/>
                    <w:ind w:left="0" w:right="0"/>
                    <w:rPr>
                      <w:rFonts w:hint="default" w:ascii="Times New Roman" w:hAnsi="宋体" w:eastAsia="宋体" w:cs="Times New Roman"/>
                      <w:color w:val="auto"/>
                      <w:kern w:val="0"/>
                      <w:sz w:val="21"/>
                      <w:szCs w:val="21"/>
                      <w:lang w:val="en-US" w:eastAsia="zh-CN" w:bidi="ar-SA"/>
                    </w:rPr>
                  </w:pPr>
                  <w:r>
                    <w:rPr>
                      <w:rFonts w:hint="eastAsia" w:hAnsi="宋体"/>
                      <w:color w:val="auto"/>
                      <w:kern w:val="0"/>
                      <w:szCs w:val="21"/>
                      <w:lang w:val="en-US" w:eastAsia="zh-CN"/>
                    </w:rPr>
                    <w:t>含油废抹布、废手套等</w:t>
                  </w:r>
                </w:p>
              </w:tc>
              <w:tc>
                <w:tcPr>
                  <w:tcW w:w="496" w:type="pct"/>
                  <w:vAlign w:val="center"/>
                </w:tcPr>
                <w:p w14:paraId="2389314F">
                  <w:pPr>
                    <w:pStyle w:val="110"/>
                    <w:keepNext w:val="0"/>
                    <w:keepLines w:val="0"/>
                    <w:suppressLineNumbers w:val="0"/>
                    <w:spacing w:before="0" w:beforeAutospacing="0" w:after="0" w:afterAutospacing="0" w:line="276" w:lineRule="auto"/>
                    <w:ind w:left="0" w:right="0"/>
                    <w:rPr>
                      <w:rFonts w:hint="eastAsia" w:hAnsi="宋体"/>
                      <w:color w:val="auto"/>
                      <w:kern w:val="0"/>
                      <w:szCs w:val="21"/>
                      <w:lang w:val="en-US" w:eastAsia="zh-CN"/>
                    </w:rPr>
                  </w:pPr>
                  <w:r>
                    <w:rPr>
                      <w:rFonts w:hint="eastAsia" w:hAnsi="宋体"/>
                      <w:color w:val="auto"/>
                      <w:kern w:val="0"/>
                      <w:szCs w:val="21"/>
                      <w:lang w:val="en-US" w:eastAsia="zh-CN"/>
                    </w:rPr>
                    <w:t>危险废物</w:t>
                  </w:r>
                </w:p>
              </w:tc>
              <w:tc>
                <w:tcPr>
                  <w:tcW w:w="1080" w:type="pct"/>
                  <w:vMerge w:val="continue"/>
                  <w:vAlign w:val="center"/>
                </w:tcPr>
                <w:p w14:paraId="1316A85F">
                  <w:pPr>
                    <w:pStyle w:val="110"/>
                    <w:keepNext w:val="0"/>
                    <w:keepLines w:val="0"/>
                    <w:suppressLineNumbers w:val="0"/>
                    <w:spacing w:before="0" w:beforeAutospacing="0" w:after="0" w:afterAutospacing="0" w:line="276" w:lineRule="auto"/>
                    <w:ind w:left="0" w:right="0"/>
                    <w:rPr>
                      <w:rFonts w:hint="eastAsia"/>
                      <w:color w:val="auto"/>
                      <w:lang w:val="en-US" w:eastAsia="zh-CN"/>
                    </w:rPr>
                  </w:pPr>
                </w:p>
              </w:tc>
            </w:tr>
          </w:tbl>
          <w:p w14:paraId="36B8D5CA">
            <w:pPr>
              <w:keepNext w:val="0"/>
              <w:keepLines w:val="0"/>
              <w:suppressLineNumbers w:val="0"/>
              <w:bidi w:val="0"/>
              <w:spacing w:before="0" w:beforeAutospacing="0" w:after="0" w:afterAutospacing="0"/>
              <w:ind w:left="0" w:right="0"/>
              <w:rPr>
                <w:rFonts w:hint="eastAsia"/>
                <w:lang w:eastAsia="zh-CN"/>
              </w:rPr>
            </w:pPr>
          </w:p>
          <w:p w14:paraId="1B9044E6">
            <w:pPr>
              <w:keepNext w:val="0"/>
              <w:keepLines w:val="0"/>
              <w:suppressLineNumbers w:val="0"/>
              <w:bidi w:val="0"/>
              <w:spacing w:before="0" w:beforeAutospacing="0" w:after="0" w:afterAutospacing="0"/>
              <w:ind w:left="0" w:right="0"/>
              <w:rPr>
                <w:rFonts w:hint="eastAsia"/>
                <w:lang w:eastAsia="zh-CN"/>
              </w:rPr>
            </w:pPr>
          </w:p>
          <w:p w14:paraId="511ADFE8">
            <w:pPr>
              <w:keepNext w:val="0"/>
              <w:keepLines w:val="0"/>
              <w:suppressLineNumbers w:val="0"/>
              <w:bidi w:val="0"/>
              <w:spacing w:before="0" w:beforeAutospacing="0" w:after="0" w:afterAutospacing="0"/>
              <w:ind w:left="0" w:right="0"/>
              <w:rPr>
                <w:rFonts w:hint="eastAsia"/>
                <w:lang w:eastAsia="zh-CN"/>
              </w:rPr>
            </w:pPr>
          </w:p>
          <w:p w14:paraId="3737FD4F">
            <w:pPr>
              <w:keepNext w:val="0"/>
              <w:keepLines w:val="0"/>
              <w:suppressLineNumbers w:val="0"/>
              <w:bidi w:val="0"/>
              <w:spacing w:before="0" w:beforeAutospacing="0" w:after="0" w:afterAutospacing="0"/>
              <w:ind w:left="0" w:right="0"/>
              <w:rPr>
                <w:rFonts w:hint="eastAsia"/>
                <w:lang w:eastAsia="zh-CN"/>
              </w:rPr>
            </w:pPr>
          </w:p>
          <w:p w14:paraId="1A7D830C">
            <w:pPr>
              <w:keepNext w:val="0"/>
              <w:keepLines w:val="0"/>
              <w:suppressLineNumbers w:val="0"/>
              <w:bidi w:val="0"/>
              <w:spacing w:before="0" w:beforeAutospacing="0" w:after="0" w:afterAutospacing="0"/>
              <w:ind w:left="0" w:right="0"/>
              <w:rPr>
                <w:rFonts w:hint="eastAsia"/>
                <w:lang w:eastAsia="zh-CN"/>
              </w:rPr>
            </w:pPr>
          </w:p>
          <w:p w14:paraId="7AD13E72">
            <w:pPr>
              <w:keepNext w:val="0"/>
              <w:keepLines w:val="0"/>
              <w:suppressLineNumbers w:val="0"/>
              <w:bidi w:val="0"/>
              <w:spacing w:before="0" w:beforeAutospacing="0" w:after="0" w:afterAutospacing="0"/>
              <w:ind w:left="0" w:right="0"/>
              <w:rPr>
                <w:rFonts w:hint="eastAsia"/>
                <w:lang w:eastAsia="zh-CN"/>
              </w:rPr>
            </w:pPr>
          </w:p>
          <w:p w14:paraId="2296395A">
            <w:pPr>
              <w:keepNext w:val="0"/>
              <w:keepLines w:val="0"/>
              <w:suppressLineNumbers w:val="0"/>
              <w:bidi w:val="0"/>
              <w:spacing w:before="0" w:beforeAutospacing="0" w:after="0" w:afterAutospacing="0"/>
              <w:ind w:left="0" w:right="0"/>
              <w:rPr>
                <w:rFonts w:hint="eastAsia"/>
                <w:lang w:eastAsia="zh-CN"/>
              </w:rPr>
            </w:pPr>
          </w:p>
          <w:p w14:paraId="739EC509">
            <w:pPr>
              <w:keepNext w:val="0"/>
              <w:keepLines w:val="0"/>
              <w:suppressLineNumbers w:val="0"/>
              <w:bidi w:val="0"/>
              <w:spacing w:before="0" w:beforeAutospacing="0" w:after="0" w:afterAutospacing="0"/>
              <w:ind w:left="0" w:right="0"/>
              <w:rPr>
                <w:rFonts w:hint="eastAsia"/>
                <w:lang w:eastAsia="zh-CN"/>
              </w:rPr>
            </w:pPr>
          </w:p>
          <w:p w14:paraId="5BA15581">
            <w:pPr>
              <w:keepNext w:val="0"/>
              <w:keepLines w:val="0"/>
              <w:suppressLineNumbers w:val="0"/>
              <w:bidi w:val="0"/>
              <w:spacing w:before="0" w:beforeAutospacing="0" w:after="0" w:afterAutospacing="0"/>
              <w:ind w:left="0" w:right="0"/>
              <w:rPr>
                <w:rFonts w:hint="eastAsia"/>
                <w:lang w:eastAsia="zh-CN"/>
              </w:rPr>
            </w:pPr>
          </w:p>
          <w:p w14:paraId="2441EDB6">
            <w:pPr>
              <w:keepNext w:val="0"/>
              <w:keepLines w:val="0"/>
              <w:suppressLineNumbers w:val="0"/>
              <w:bidi w:val="0"/>
              <w:spacing w:before="0" w:beforeAutospacing="0" w:after="0" w:afterAutospacing="0"/>
              <w:ind w:left="0" w:right="0"/>
              <w:rPr>
                <w:rFonts w:hint="eastAsia"/>
                <w:lang w:eastAsia="zh-CN"/>
              </w:rPr>
            </w:pPr>
          </w:p>
          <w:p w14:paraId="39A3C005">
            <w:pPr>
              <w:keepNext w:val="0"/>
              <w:keepLines w:val="0"/>
              <w:suppressLineNumbers w:val="0"/>
              <w:bidi w:val="0"/>
              <w:spacing w:before="0" w:beforeAutospacing="0" w:after="0" w:afterAutospacing="0"/>
              <w:ind w:left="0" w:right="0"/>
              <w:rPr>
                <w:rFonts w:hint="eastAsia"/>
                <w:lang w:eastAsia="zh-CN"/>
              </w:rPr>
            </w:pPr>
          </w:p>
          <w:p w14:paraId="6D9465BB">
            <w:pPr>
              <w:keepNext w:val="0"/>
              <w:keepLines w:val="0"/>
              <w:suppressLineNumbers w:val="0"/>
              <w:bidi w:val="0"/>
              <w:spacing w:before="0" w:beforeAutospacing="0" w:after="0" w:afterAutospacing="0"/>
              <w:ind w:left="0" w:right="0"/>
              <w:rPr>
                <w:rFonts w:hint="eastAsia"/>
                <w:lang w:eastAsia="zh-CN"/>
              </w:rPr>
            </w:pPr>
          </w:p>
          <w:p w14:paraId="70A66AF0">
            <w:pPr>
              <w:keepNext w:val="0"/>
              <w:keepLines w:val="0"/>
              <w:suppressLineNumbers w:val="0"/>
              <w:bidi w:val="0"/>
              <w:spacing w:before="0" w:beforeAutospacing="0" w:after="0" w:afterAutospacing="0"/>
              <w:ind w:left="0" w:right="0"/>
              <w:rPr>
                <w:rFonts w:hint="eastAsia"/>
                <w:lang w:eastAsia="zh-CN"/>
              </w:rPr>
            </w:pPr>
          </w:p>
          <w:p w14:paraId="56C7EF4B">
            <w:pPr>
              <w:keepNext w:val="0"/>
              <w:keepLines w:val="0"/>
              <w:suppressLineNumbers w:val="0"/>
              <w:bidi w:val="0"/>
              <w:spacing w:before="0" w:beforeAutospacing="0" w:after="0" w:afterAutospacing="0"/>
              <w:ind w:left="0" w:right="0"/>
              <w:rPr>
                <w:rFonts w:hint="eastAsia"/>
                <w:lang w:eastAsia="zh-CN"/>
              </w:rPr>
            </w:pPr>
          </w:p>
          <w:p w14:paraId="34174CAC">
            <w:pPr>
              <w:keepNext w:val="0"/>
              <w:keepLines w:val="0"/>
              <w:suppressLineNumbers w:val="0"/>
              <w:bidi w:val="0"/>
              <w:spacing w:before="0" w:beforeAutospacing="0" w:after="0" w:afterAutospacing="0"/>
              <w:ind w:left="0" w:right="0"/>
              <w:rPr>
                <w:rFonts w:hint="eastAsia"/>
                <w:lang w:eastAsia="zh-CN"/>
              </w:rPr>
            </w:pPr>
          </w:p>
          <w:p w14:paraId="6A94C343">
            <w:pPr>
              <w:keepNext w:val="0"/>
              <w:keepLines w:val="0"/>
              <w:suppressLineNumbers w:val="0"/>
              <w:bidi w:val="0"/>
              <w:spacing w:before="0" w:beforeAutospacing="0" w:after="0" w:afterAutospacing="0"/>
              <w:ind w:left="0" w:right="0"/>
              <w:rPr>
                <w:rFonts w:hint="eastAsia"/>
                <w:lang w:eastAsia="zh-CN"/>
              </w:rPr>
            </w:pPr>
          </w:p>
          <w:p w14:paraId="5D92B96B">
            <w:pPr>
              <w:keepNext w:val="0"/>
              <w:keepLines w:val="0"/>
              <w:suppressLineNumbers w:val="0"/>
              <w:bidi w:val="0"/>
              <w:spacing w:before="0" w:beforeAutospacing="0" w:after="0" w:afterAutospacing="0"/>
              <w:ind w:left="0" w:right="0"/>
              <w:rPr>
                <w:rFonts w:hint="eastAsia"/>
                <w:lang w:eastAsia="zh-CN"/>
              </w:rPr>
            </w:pPr>
          </w:p>
          <w:p w14:paraId="0ADA5A44">
            <w:pPr>
              <w:keepNext w:val="0"/>
              <w:keepLines w:val="0"/>
              <w:suppressLineNumbers w:val="0"/>
              <w:bidi w:val="0"/>
              <w:spacing w:before="0" w:beforeAutospacing="0" w:after="0" w:afterAutospacing="0"/>
              <w:ind w:left="0" w:right="0"/>
              <w:rPr>
                <w:rFonts w:hint="eastAsia"/>
                <w:lang w:eastAsia="zh-CN"/>
              </w:rPr>
            </w:pPr>
          </w:p>
          <w:p w14:paraId="74562C83">
            <w:pPr>
              <w:keepNext w:val="0"/>
              <w:keepLines w:val="0"/>
              <w:suppressLineNumbers w:val="0"/>
              <w:bidi w:val="0"/>
              <w:spacing w:before="0" w:beforeAutospacing="0" w:after="0" w:afterAutospacing="0"/>
              <w:ind w:left="0" w:right="0"/>
              <w:rPr>
                <w:rFonts w:hint="eastAsia"/>
                <w:lang w:eastAsia="zh-CN"/>
              </w:rPr>
            </w:pPr>
          </w:p>
          <w:p w14:paraId="3930AD1D">
            <w:pPr>
              <w:keepNext w:val="0"/>
              <w:keepLines w:val="0"/>
              <w:suppressLineNumbers w:val="0"/>
              <w:bidi w:val="0"/>
              <w:spacing w:before="0" w:beforeAutospacing="0" w:after="0" w:afterAutospacing="0"/>
              <w:ind w:left="0" w:right="0"/>
              <w:rPr>
                <w:rFonts w:hint="eastAsia"/>
                <w:lang w:eastAsia="zh-CN"/>
              </w:rPr>
            </w:pPr>
          </w:p>
          <w:p w14:paraId="22082D6E">
            <w:pPr>
              <w:keepNext w:val="0"/>
              <w:keepLines w:val="0"/>
              <w:suppressLineNumbers w:val="0"/>
              <w:bidi w:val="0"/>
              <w:spacing w:before="0" w:beforeAutospacing="0" w:after="0" w:afterAutospacing="0"/>
              <w:ind w:left="0" w:right="0"/>
              <w:rPr>
                <w:rFonts w:hint="eastAsia"/>
                <w:lang w:eastAsia="zh-CN"/>
              </w:rPr>
            </w:pPr>
          </w:p>
          <w:p w14:paraId="31C6F694">
            <w:pPr>
              <w:keepNext w:val="0"/>
              <w:keepLines w:val="0"/>
              <w:suppressLineNumbers w:val="0"/>
              <w:bidi w:val="0"/>
              <w:spacing w:before="0" w:beforeAutospacing="0" w:after="0" w:afterAutospacing="0"/>
              <w:ind w:left="0" w:right="0"/>
              <w:rPr>
                <w:rFonts w:hint="eastAsia"/>
                <w:lang w:eastAsia="zh-CN"/>
              </w:rPr>
            </w:pPr>
          </w:p>
          <w:p w14:paraId="58265C16">
            <w:pPr>
              <w:keepNext w:val="0"/>
              <w:keepLines w:val="0"/>
              <w:suppressLineNumbers w:val="0"/>
              <w:bidi w:val="0"/>
              <w:spacing w:before="0" w:beforeAutospacing="0" w:after="0" w:afterAutospacing="0"/>
              <w:ind w:left="0" w:right="0"/>
              <w:rPr>
                <w:rFonts w:hint="eastAsia"/>
                <w:lang w:eastAsia="zh-CN"/>
              </w:rPr>
            </w:pPr>
          </w:p>
          <w:p w14:paraId="5A967FF0">
            <w:pPr>
              <w:keepNext w:val="0"/>
              <w:keepLines w:val="0"/>
              <w:suppressLineNumbers w:val="0"/>
              <w:bidi w:val="0"/>
              <w:spacing w:before="0" w:beforeAutospacing="0" w:after="0" w:afterAutospacing="0"/>
              <w:ind w:left="0" w:right="0"/>
              <w:rPr>
                <w:rFonts w:hint="eastAsia"/>
                <w:lang w:eastAsia="zh-CN"/>
              </w:rPr>
            </w:pPr>
          </w:p>
          <w:p w14:paraId="4FAC28AF">
            <w:pPr>
              <w:keepNext w:val="0"/>
              <w:keepLines w:val="0"/>
              <w:suppressLineNumbers w:val="0"/>
              <w:bidi w:val="0"/>
              <w:spacing w:before="0" w:beforeAutospacing="0" w:after="0" w:afterAutospacing="0"/>
              <w:ind w:left="0" w:right="0"/>
              <w:rPr>
                <w:rFonts w:hint="eastAsia"/>
                <w:lang w:eastAsia="zh-CN"/>
              </w:rPr>
            </w:pPr>
          </w:p>
          <w:p w14:paraId="19A28D67">
            <w:pPr>
              <w:keepNext w:val="0"/>
              <w:keepLines w:val="0"/>
              <w:suppressLineNumbers w:val="0"/>
              <w:bidi w:val="0"/>
              <w:spacing w:before="0" w:beforeAutospacing="0" w:after="0" w:afterAutospacing="0"/>
              <w:ind w:left="0" w:right="0"/>
              <w:rPr>
                <w:rFonts w:hint="eastAsia"/>
                <w:lang w:eastAsia="zh-CN"/>
              </w:rPr>
            </w:pPr>
          </w:p>
          <w:p w14:paraId="31C885B3">
            <w:pPr>
              <w:keepNext w:val="0"/>
              <w:keepLines w:val="0"/>
              <w:suppressLineNumbers w:val="0"/>
              <w:bidi w:val="0"/>
              <w:spacing w:before="0" w:beforeAutospacing="0" w:after="0" w:afterAutospacing="0"/>
              <w:ind w:left="0" w:right="0"/>
              <w:rPr>
                <w:rFonts w:hint="eastAsia"/>
                <w:lang w:eastAsia="zh-CN"/>
              </w:rPr>
            </w:pPr>
          </w:p>
          <w:p w14:paraId="22B78FB3">
            <w:pPr>
              <w:keepNext w:val="0"/>
              <w:keepLines w:val="0"/>
              <w:suppressLineNumbers w:val="0"/>
              <w:bidi w:val="0"/>
              <w:spacing w:before="0" w:beforeAutospacing="0" w:after="0" w:afterAutospacing="0"/>
              <w:ind w:left="0" w:right="0"/>
              <w:rPr>
                <w:rFonts w:hint="eastAsia"/>
                <w:lang w:eastAsia="zh-CN"/>
              </w:rPr>
            </w:pPr>
          </w:p>
          <w:p w14:paraId="73D77A93">
            <w:pPr>
              <w:keepNext w:val="0"/>
              <w:keepLines w:val="0"/>
              <w:suppressLineNumbers w:val="0"/>
              <w:bidi w:val="0"/>
              <w:spacing w:before="0" w:beforeAutospacing="0" w:after="0" w:afterAutospacing="0"/>
              <w:ind w:left="0" w:right="0"/>
              <w:rPr>
                <w:rFonts w:hint="eastAsia"/>
                <w:lang w:eastAsia="zh-CN"/>
              </w:rPr>
            </w:pPr>
          </w:p>
          <w:p w14:paraId="4DA7C264">
            <w:pPr>
              <w:keepNext w:val="0"/>
              <w:keepLines w:val="0"/>
              <w:suppressLineNumbers w:val="0"/>
              <w:bidi w:val="0"/>
              <w:spacing w:before="0" w:beforeAutospacing="0" w:after="0" w:afterAutospacing="0"/>
              <w:ind w:left="0" w:right="0"/>
              <w:rPr>
                <w:rFonts w:hint="eastAsia"/>
                <w:lang w:eastAsia="zh-CN"/>
              </w:rPr>
            </w:pPr>
          </w:p>
          <w:p w14:paraId="1323AC34">
            <w:pPr>
              <w:keepNext w:val="0"/>
              <w:keepLines w:val="0"/>
              <w:suppressLineNumbers w:val="0"/>
              <w:bidi w:val="0"/>
              <w:spacing w:before="0" w:beforeAutospacing="0" w:after="0" w:afterAutospacing="0"/>
              <w:ind w:left="0" w:right="0"/>
              <w:rPr>
                <w:rFonts w:hint="eastAsia"/>
                <w:lang w:eastAsia="zh-CN"/>
              </w:rPr>
            </w:pPr>
          </w:p>
          <w:p w14:paraId="107968EE">
            <w:pPr>
              <w:keepNext w:val="0"/>
              <w:keepLines w:val="0"/>
              <w:suppressLineNumbers w:val="0"/>
              <w:bidi w:val="0"/>
              <w:spacing w:before="0" w:beforeAutospacing="0" w:after="0" w:afterAutospacing="0"/>
              <w:ind w:left="0" w:right="0"/>
              <w:rPr>
                <w:rFonts w:hint="eastAsia"/>
                <w:lang w:eastAsia="zh-CN"/>
              </w:rPr>
            </w:pPr>
          </w:p>
          <w:p w14:paraId="1D8F0548">
            <w:pPr>
              <w:keepNext w:val="0"/>
              <w:keepLines w:val="0"/>
              <w:suppressLineNumbers w:val="0"/>
              <w:bidi w:val="0"/>
              <w:spacing w:before="0" w:beforeAutospacing="0" w:after="0" w:afterAutospacing="0"/>
              <w:ind w:left="0" w:right="0"/>
              <w:rPr>
                <w:rFonts w:hint="eastAsia"/>
                <w:lang w:eastAsia="zh-CN"/>
              </w:rPr>
            </w:pPr>
          </w:p>
          <w:p w14:paraId="10BBE1F1">
            <w:pPr>
              <w:keepNext w:val="0"/>
              <w:keepLines w:val="0"/>
              <w:suppressLineNumbers w:val="0"/>
              <w:bidi w:val="0"/>
              <w:spacing w:before="0" w:beforeAutospacing="0" w:after="0" w:afterAutospacing="0"/>
              <w:ind w:left="0" w:right="0"/>
              <w:rPr>
                <w:rFonts w:hint="eastAsia"/>
                <w:lang w:eastAsia="zh-CN"/>
              </w:rPr>
            </w:pPr>
          </w:p>
          <w:p w14:paraId="643F3AE9">
            <w:pPr>
              <w:keepNext w:val="0"/>
              <w:keepLines w:val="0"/>
              <w:suppressLineNumbers w:val="0"/>
              <w:bidi w:val="0"/>
              <w:spacing w:before="0" w:beforeAutospacing="0" w:after="0" w:afterAutospacing="0"/>
              <w:ind w:left="0" w:right="0"/>
              <w:rPr>
                <w:rFonts w:hint="eastAsia"/>
                <w:lang w:eastAsia="zh-CN"/>
              </w:rPr>
            </w:pPr>
          </w:p>
          <w:p w14:paraId="3AE32F6B">
            <w:pPr>
              <w:keepNext w:val="0"/>
              <w:keepLines w:val="0"/>
              <w:suppressLineNumbers w:val="0"/>
              <w:bidi w:val="0"/>
              <w:spacing w:before="0" w:beforeAutospacing="0" w:after="0" w:afterAutospacing="0"/>
              <w:ind w:left="0" w:right="0"/>
              <w:rPr>
                <w:rFonts w:hint="eastAsia"/>
                <w:lang w:eastAsia="zh-CN"/>
              </w:rPr>
            </w:pPr>
          </w:p>
          <w:p w14:paraId="2E342B4B">
            <w:pPr>
              <w:keepNext w:val="0"/>
              <w:keepLines w:val="0"/>
              <w:suppressLineNumbers w:val="0"/>
              <w:bidi w:val="0"/>
              <w:spacing w:before="0" w:beforeAutospacing="0" w:after="0" w:afterAutospacing="0"/>
              <w:ind w:left="0" w:right="0"/>
              <w:rPr>
                <w:rFonts w:hint="eastAsia"/>
                <w:lang w:eastAsia="zh-CN"/>
              </w:rPr>
            </w:pPr>
          </w:p>
          <w:p w14:paraId="7D197C21">
            <w:pPr>
              <w:pStyle w:val="11"/>
              <w:keepNext w:val="0"/>
              <w:keepLines w:val="0"/>
              <w:suppressLineNumbers w:val="0"/>
              <w:spacing w:before="0" w:beforeAutospacing="0" w:afterAutospacing="0"/>
              <w:ind w:left="0" w:right="0"/>
              <w:rPr>
                <w:rFonts w:hint="default"/>
                <w:color w:val="auto"/>
                <w:vertAlign w:val="baseline"/>
              </w:rPr>
            </w:pPr>
          </w:p>
        </w:tc>
      </w:tr>
    </w:tbl>
    <w:p w14:paraId="2AD826AE">
      <w:pPr>
        <w:rPr>
          <w:color w:val="auto"/>
        </w:rPr>
        <w:sectPr>
          <w:pgSz w:w="11906" w:h="16838"/>
          <w:pgMar w:top="1440" w:right="1508" w:bottom="1440" w:left="1797" w:header="851" w:footer="992" w:gutter="0"/>
          <w:pgBorders>
            <w:top w:val="none" w:sz="0" w:space="0"/>
            <w:left w:val="none" w:sz="0" w:space="0"/>
            <w:bottom w:val="none" w:sz="0" w:space="0"/>
            <w:right w:val="none" w:sz="0" w:space="0"/>
          </w:pgBorders>
          <w:cols w:space="720" w:num="1"/>
          <w:docGrid w:type="lines" w:linePitch="312" w:charSpace="0"/>
        </w:sectPr>
      </w:pP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4"/>
        <w:gridCol w:w="13481"/>
      </w:tblGrid>
      <w:tr w14:paraId="59064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554" w:type="dxa"/>
            <w:vAlign w:val="center"/>
          </w:tcPr>
          <w:p w14:paraId="7DF0732E">
            <w:pPr>
              <w:keepNext w:val="0"/>
              <w:keepLines w:val="0"/>
              <w:widowControl/>
              <w:suppressLineNumbers w:val="0"/>
              <w:spacing w:before="0" w:beforeAutospacing="0" w:after="0" w:afterAutospacing="0" w:line="360" w:lineRule="auto"/>
              <w:ind w:left="0" w:right="0"/>
              <w:jc w:val="center"/>
              <w:outlineLvl w:val="0"/>
              <w:rPr>
                <w:rFonts w:hint="default"/>
                <w:color w:val="auto"/>
                <w:vertAlign w:val="baseline"/>
              </w:rPr>
            </w:pPr>
            <w:r>
              <w:rPr>
                <w:rFonts w:hint="eastAsia" w:ascii="Times New Roman" w:hAnsi="宋体" w:eastAsia="宋体" w:cs="Times New Roman"/>
                <w:color w:val="auto"/>
                <w:kern w:val="0"/>
                <w:sz w:val="24"/>
                <w:szCs w:val="24"/>
                <w:vertAlign w:val="baseline"/>
              </w:rPr>
              <w:t>运营期环境影响和保护措施</w:t>
            </w:r>
          </w:p>
        </w:tc>
        <w:tc>
          <w:tcPr>
            <w:tcW w:w="13481" w:type="dxa"/>
          </w:tcPr>
          <w:p w14:paraId="5B1C3ED9">
            <w:pPr>
              <w:keepNext w:val="0"/>
              <w:keepLines w:val="0"/>
              <w:suppressLineNumbers w:val="0"/>
              <w:bidi w:val="0"/>
              <w:spacing w:before="0" w:beforeAutospacing="0" w:after="0" w:afterAutospacing="0" w:line="360" w:lineRule="auto"/>
              <w:ind w:left="0" w:right="0"/>
              <w:jc w:val="center"/>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表</w:t>
            </w:r>
            <w:r>
              <w:rPr>
                <w:rFonts w:hint="eastAsia" w:eastAsia="黑体" w:cs="Times New Roman"/>
                <w:color w:val="auto"/>
                <w:sz w:val="24"/>
                <w:szCs w:val="24"/>
                <w:lang w:val="en-US" w:eastAsia="zh-CN"/>
              </w:rPr>
              <w:t>4-19 建设项目</w:t>
            </w:r>
            <w:r>
              <w:rPr>
                <w:rFonts w:hint="default" w:ascii="Times New Roman" w:hAnsi="Times New Roman" w:eastAsia="黑体" w:cs="Times New Roman"/>
                <w:color w:val="auto"/>
                <w:sz w:val="24"/>
                <w:szCs w:val="24"/>
              </w:rPr>
              <w:t>危险废物</w:t>
            </w:r>
            <w:r>
              <w:rPr>
                <w:rFonts w:hint="eastAsia" w:ascii="Times New Roman" w:hAnsi="Times New Roman" w:eastAsia="黑体" w:cs="Times New Roman"/>
                <w:color w:val="auto"/>
                <w:sz w:val="24"/>
                <w:szCs w:val="24"/>
                <w:lang w:val="en-US" w:eastAsia="zh-CN"/>
              </w:rPr>
              <w:t>及产存场所（设施）</w:t>
            </w:r>
            <w:r>
              <w:rPr>
                <w:rFonts w:hint="default" w:ascii="Times New Roman" w:hAnsi="Times New Roman" w:eastAsia="黑体" w:cs="Times New Roman"/>
                <w:color w:val="auto"/>
                <w:sz w:val="24"/>
                <w:szCs w:val="24"/>
              </w:rPr>
              <w:t>汇总表</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459"/>
              <w:gridCol w:w="901"/>
              <w:gridCol w:w="888"/>
              <w:gridCol w:w="1212"/>
              <w:gridCol w:w="1196"/>
              <w:gridCol w:w="872"/>
              <w:gridCol w:w="920"/>
              <w:gridCol w:w="771"/>
              <w:gridCol w:w="708"/>
              <w:gridCol w:w="675"/>
              <w:gridCol w:w="479"/>
              <w:gridCol w:w="877"/>
              <w:gridCol w:w="824"/>
              <w:gridCol w:w="869"/>
              <w:gridCol w:w="1614"/>
            </w:tblGrid>
            <w:tr w14:paraId="587B87F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73" w:type="pct"/>
                  <w:vAlign w:val="center"/>
                </w:tcPr>
                <w:p w14:paraId="013758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序号</w:t>
                  </w:r>
                </w:p>
              </w:tc>
              <w:tc>
                <w:tcPr>
                  <w:tcW w:w="339" w:type="pct"/>
                  <w:vAlign w:val="center"/>
                </w:tcPr>
                <w:p w14:paraId="6F2191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贮存场所（设施）名称</w:t>
                  </w:r>
                </w:p>
              </w:tc>
              <w:tc>
                <w:tcPr>
                  <w:tcW w:w="334" w:type="pct"/>
                  <w:vAlign w:val="center"/>
                </w:tcPr>
                <w:p w14:paraId="122809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危险废物名称</w:t>
                  </w:r>
                </w:p>
              </w:tc>
              <w:tc>
                <w:tcPr>
                  <w:tcW w:w="456" w:type="pct"/>
                  <w:vAlign w:val="center"/>
                </w:tcPr>
                <w:p w14:paraId="43D6E7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危险废物类别</w:t>
                  </w:r>
                </w:p>
              </w:tc>
              <w:tc>
                <w:tcPr>
                  <w:tcW w:w="450" w:type="pct"/>
                  <w:vAlign w:val="center"/>
                </w:tcPr>
                <w:p w14:paraId="5A917C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危险废物</w:t>
                  </w:r>
                </w:p>
                <w:p w14:paraId="5AB347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代码</w:t>
                  </w:r>
                </w:p>
              </w:tc>
              <w:tc>
                <w:tcPr>
                  <w:tcW w:w="328" w:type="pct"/>
                  <w:vAlign w:val="center"/>
                </w:tcPr>
                <w:p w14:paraId="460194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产生量</w:t>
                  </w:r>
                </w:p>
                <w:p w14:paraId="7ACF14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（t/a）</w:t>
                  </w:r>
                </w:p>
              </w:tc>
              <w:tc>
                <w:tcPr>
                  <w:tcW w:w="346" w:type="pct"/>
                  <w:vAlign w:val="center"/>
                </w:tcPr>
                <w:p w14:paraId="473FCC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占地面积</w:t>
                  </w:r>
                </w:p>
                <w:p w14:paraId="566F34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（m</w:t>
                  </w:r>
                  <w:r>
                    <w:rPr>
                      <w:rFonts w:hint="default" w:ascii="Times New Roman" w:hAnsi="Times New Roman" w:cs="Times New Roman"/>
                      <w:b/>
                      <w:bCs/>
                      <w:color w:val="auto"/>
                      <w:sz w:val="21"/>
                      <w:szCs w:val="21"/>
                      <w:vertAlign w:val="superscript"/>
                      <w:lang w:val="en-US" w:eastAsia="zh-CN"/>
                    </w:rPr>
                    <w:t>2</w:t>
                  </w:r>
                  <w:r>
                    <w:rPr>
                      <w:rFonts w:hint="default" w:ascii="Times New Roman" w:hAnsi="Times New Roman" w:cs="Times New Roman"/>
                      <w:b/>
                      <w:bCs/>
                      <w:color w:val="auto"/>
                      <w:sz w:val="21"/>
                      <w:szCs w:val="21"/>
                      <w:lang w:val="en-US" w:eastAsia="zh-CN"/>
                    </w:rPr>
                    <w:t>）</w:t>
                  </w:r>
                </w:p>
              </w:tc>
              <w:tc>
                <w:tcPr>
                  <w:tcW w:w="290" w:type="pct"/>
                  <w:vAlign w:val="center"/>
                </w:tcPr>
                <w:p w14:paraId="1DBD5A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贮存</w:t>
                  </w:r>
                </w:p>
                <w:p w14:paraId="0F978B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方式</w:t>
                  </w:r>
                </w:p>
              </w:tc>
              <w:tc>
                <w:tcPr>
                  <w:tcW w:w="266" w:type="pct"/>
                  <w:vAlign w:val="center"/>
                </w:tcPr>
                <w:p w14:paraId="0B6113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贮存能力</w:t>
                  </w:r>
                </w:p>
                <w:p w14:paraId="521BA4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（t）</w:t>
                  </w:r>
                </w:p>
              </w:tc>
              <w:tc>
                <w:tcPr>
                  <w:tcW w:w="254" w:type="pct"/>
                  <w:vAlign w:val="center"/>
                </w:tcPr>
                <w:p w14:paraId="0F1D67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产生</w:t>
                  </w:r>
                </w:p>
                <w:p w14:paraId="7ECA07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工序</w:t>
                  </w:r>
                </w:p>
              </w:tc>
              <w:tc>
                <w:tcPr>
                  <w:tcW w:w="180" w:type="pct"/>
                  <w:vAlign w:val="center"/>
                </w:tcPr>
                <w:p w14:paraId="02E71E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形态</w:t>
                  </w:r>
                </w:p>
              </w:tc>
              <w:tc>
                <w:tcPr>
                  <w:tcW w:w="330" w:type="pct"/>
                  <w:vAlign w:val="center"/>
                </w:tcPr>
                <w:p w14:paraId="3F1ED7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主要</w:t>
                  </w:r>
                </w:p>
                <w:p w14:paraId="0A8172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成分</w:t>
                  </w:r>
                </w:p>
              </w:tc>
              <w:tc>
                <w:tcPr>
                  <w:tcW w:w="310" w:type="pct"/>
                  <w:vAlign w:val="center"/>
                </w:tcPr>
                <w:p w14:paraId="706029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有害成分</w:t>
                  </w:r>
                </w:p>
              </w:tc>
              <w:tc>
                <w:tcPr>
                  <w:tcW w:w="327" w:type="pct"/>
                  <w:vAlign w:val="center"/>
                </w:tcPr>
                <w:p w14:paraId="6749DF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w:t>
                  </w:r>
                </w:p>
                <w:p w14:paraId="3B2B06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特性</w:t>
                  </w:r>
                </w:p>
              </w:tc>
              <w:tc>
                <w:tcPr>
                  <w:tcW w:w="607" w:type="pct"/>
                  <w:vAlign w:val="center"/>
                </w:tcPr>
                <w:p w14:paraId="27D55F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污染防治措施</w:t>
                  </w:r>
                </w:p>
              </w:tc>
            </w:tr>
            <w:tr w14:paraId="023F8E6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73" w:type="pct"/>
                  <w:vAlign w:val="center"/>
                </w:tcPr>
                <w:p w14:paraId="197000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1</w:t>
                  </w:r>
                </w:p>
              </w:tc>
              <w:tc>
                <w:tcPr>
                  <w:tcW w:w="339" w:type="pct"/>
                  <w:vMerge w:val="restart"/>
                  <w:vAlign w:val="center"/>
                </w:tcPr>
                <w:p w14:paraId="7F693F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危废暂存间</w:t>
                  </w:r>
                </w:p>
              </w:tc>
              <w:tc>
                <w:tcPr>
                  <w:tcW w:w="334" w:type="pct"/>
                  <w:shd w:val="clear" w:color="auto" w:fill="auto"/>
                  <w:vAlign w:val="center"/>
                </w:tcPr>
                <w:p w14:paraId="2A0E85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废活</w:t>
                  </w:r>
                </w:p>
                <w:p w14:paraId="09F0EC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性炭</w:t>
                  </w:r>
                </w:p>
              </w:tc>
              <w:tc>
                <w:tcPr>
                  <w:tcW w:w="456" w:type="pct"/>
                  <w:shd w:val="clear" w:color="auto" w:fill="auto"/>
                  <w:vAlign w:val="center"/>
                </w:tcPr>
                <w:p w14:paraId="152424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HW49其他废物</w:t>
                  </w:r>
                </w:p>
              </w:tc>
              <w:tc>
                <w:tcPr>
                  <w:tcW w:w="450" w:type="pct"/>
                  <w:shd w:val="clear" w:color="auto" w:fill="auto"/>
                  <w:vAlign w:val="center"/>
                </w:tcPr>
                <w:p w14:paraId="23A9F2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900-0</w:t>
                  </w:r>
                  <w:r>
                    <w:rPr>
                      <w:rFonts w:hint="default" w:ascii="Times New Roman" w:hAnsi="Times New Roman" w:cs="Times New Roman"/>
                      <w:color w:val="auto"/>
                      <w:sz w:val="21"/>
                      <w:szCs w:val="21"/>
                      <w:lang w:val="en-US" w:eastAsia="zh-CN"/>
                    </w:rPr>
                    <w:t>39</w:t>
                  </w:r>
                  <w:r>
                    <w:rPr>
                      <w:rFonts w:hint="default" w:ascii="Times New Roman" w:hAnsi="Times New Roman" w:cs="Times New Roman"/>
                      <w:color w:val="auto"/>
                      <w:sz w:val="21"/>
                      <w:szCs w:val="21"/>
                    </w:rPr>
                    <w:t>-49</w:t>
                  </w:r>
                </w:p>
              </w:tc>
              <w:tc>
                <w:tcPr>
                  <w:tcW w:w="328" w:type="pct"/>
                  <w:shd w:val="clear" w:color="auto" w:fill="auto"/>
                  <w:vAlign w:val="center"/>
                </w:tcPr>
                <w:p w14:paraId="271C3954">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cs="Times New Roman"/>
                      <w:color w:val="auto"/>
                      <w:sz w:val="21"/>
                      <w:szCs w:val="21"/>
                      <w:lang w:val="en-US" w:eastAsia="zh-CN"/>
                    </w:rPr>
                  </w:pPr>
                  <w:r>
                    <w:rPr>
                      <w:rFonts w:hint="eastAsia" w:hAnsi="宋体"/>
                      <w:color w:val="auto"/>
                      <w:kern w:val="0"/>
                      <w:szCs w:val="21"/>
                      <w:lang w:val="en-US" w:eastAsia="zh-CN"/>
                    </w:rPr>
                    <w:t>11.198</w:t>
                  </w:r>
                </w:p>
              </w:tc>
              <w:tc>
                <w:tcPr>
                  <w:tcW w:w="346" w:type="pct"/>
                  <w:shd w:val="clear" w:color="auto" w:fill="auto"/>
                  <w:vAlign w:val="center"/>
                </w:tcPr>
                <w:p w14:paraId="7115C0FE">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cs="Times New Roman"/>
                      <w:color w:val="auto"/>
                      <w:sz w:val="21"/>
                      <w:szCs w:val="21"/>
                      <w:lang w:val="en-US" w:eastAsia="zh-CN"/>
                    </w:rPr>
                  </w:pPr>
                  <w:r>
                    <w:rPr>
                      <w:rFonts w:hint="eastAsia" w:hAnsi="宋体"/>
                      <w:color w:val="auto"/>
                      <w:kern w:val="0"/>
                      <w:szCs w:val="21"/>
                      <w:lang w:val="en-US" w:eastAsia="zh-CN"/>
                    </w:rPr>
                    <w:t>7</w:t>
                  </w:r>
                </w:p>
              </w:tc>
              <w:tc>
                <w:tcPr>
                  <w:tcW w:w="290" w:type="pct"/>
                  <w:shd w:val="clear" w:color="auto" w:fill="auto"/>
                  <w:vAlign w:val="center"/>
                </w:tcPr>
                <w:p w14:paraId="6CDCB5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袋装</w:t>
                  </w:r>
                </w:p>
              </w:tc>
              <w:tc>
                <w:tcPr>
                  <w:tcW w:w="266" w:type="pct"/>
                  <w:shd w:val="clear" w:color="auto" w:fill="auto"/>
                  <w:vAlign w:val="center"/>
                </w:tcPr>
                <w:p w14:paraId="59A91B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7.0</w:t>
                  </w:r>
                </w:p>
              </w:tc>
              <w:tc>
                <w:tcPr>
                  <w:tcW w:w="254" w:type="pct"/>
                  <w:shd w:val="clear" w:color="auto" w:fill="auto"/>
                  <w:vAlign w:val="center"/>
                </w:tcPr>
                <w:p w14:paraId="033D16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废气处理</w:t>
                  </w:r>
                </w:p>
              </w:tc>
              <w:tc>
                <w:tcPr>
                  <w:tcW w:w="180" w:type="pct"/>
                  <w:shd w:val="clear" w:color="auto" w:fill="auto"/>
                  <w:vAlign w:val="center"/>
                </w:tcPr>
                <w:p w14:paraId="6D9AB7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固态</w:t>
                  </w:r>
                </w:p>
              </w:tc>
              <w:tc>
                <w:tcPr>
                  <w:tcW w:w="330" w:type="pct"/>
                  <w:shd w:val="clear" w:color="auto" w:fill="auto"/>
                  <w:vAlign w:val="center"/>
                </w:tcPr>
                <w:p w14:paraId="41A5D5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废活</w:t>
                  </w:r>
                </w:p>
                <w:p w14:paraId="571D3D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性炭</w:t>
                  </w:r>
                </w:p>
              </w:tc>
              <w:tc>
                <w:tcPr>
                  <w:tcW w:w="310" w:type="pct"/>
                  <w:shd w:val="clear" w:color="auto" w:fill="auto"/>
                  <w:vAlign w:val="center"/>
                </w:tcPr>
                <w:p w14:paraId="7CFE0C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危险废物</w:t>
                  </w:r>
                </w:p>
              </w:tc>
              <w:tc>
                <w:tcPr>
                  <w:tcW w:w="327" w:type="pct"/>
                  <w:vAlign w:val="center"/>
                </w:tcPr>
                <w:p w14:paraId="4A7CF0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T</w:t>
                  </w:r>
                </w:p>
              </w:tc>
              <w:tc>
                <w:tcPr>
                  <w:tcW w:w="607" w:type="pct"/>
                  <w:vMerge w:val="restart"/>
                  <w:shd w:val="clear" w:color="auto" w:fill="auto"/>
                  <w:vAlign w:val="center"/>
                </w:tcPr>
                <w:p w14:paraId="1710D8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收集暂存于危废暂存间，后委托有资质的单位处理处置</w:t>
                  </w:r>
                </w:p>
              </w:tc>
            </w:tr>
            <w:tr w14:paraId="4211327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73" w:type="pct"/>
                  <w:vAlign w:val="center"/>
                </w:tcPr>
                <w:p w14:paraId="26D792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2</w:t>
                  </w:r>
                </w:p>
              </w:tc>
              <w:tc>
                <w:tcPr>
                  <w:tcW w:w="339" w:type="pct"/>
                  <w:vMerge w:val="continue"/>
                  <w:vAlign w:val="center"/>
                </w:tcPr>
                <w:p w14:paraId="18B226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p>
              </w:tc>
              <w:tc>
                <w:tcPr>
                  <w:tcW w:w="334" w:type="pct"/>
                  <w:shd w:val="clear" w:color="auto" w:fill="auto"/>
                  <w:vAlign w:val="center"/>
                </w:tcPr>
                <w:p w14:paraId="6EA296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废油</w:t>
                  </w:r>
                </w:p>
              </w:tc>
              <w:tc>
                <w:tcPr>
                  <w:tcW w:w="456" w:type="pct"/>
                  <w:shd w:val="clear" w:color="auto" w:fill="auto"/>
                  <w:vAlign w:val="center"/>
                </w:tcPr>
                <w:p w14:paraId="758DA2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HW</w:t>
                  </w:r>
                  <w:r>
                    <w:rPr>
                      <w:rFonts w:hint="default" w:ascii="Times New Roman" w:hAnsi="Times New Roman" w:cs="Times New Roman"/>
                      <w:color w:val="auto"/>
                      <w:sz w:val="21"/>
                      <w:szCs w:val="21"/>
                      <w:lang w:val="en-US" w:eastAsia="zh-CN"/>
                    </w:rPr>
                    <w:t>08废矿物油与含矿物油废物</w:t>
                  </w:r>
                </w:p>
              </w:tc>
              <w:tc>
                <w:tcPr>
                  <w:tcW w:w="450" w:type="pct"/>
                  <w:shd w:val="clear" w:color="auto" w:fill="auto"/>
                  <w:vAlign w:val="center"/>
                </w:tcPr>
                <w:p w14:paraId="1D831C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900-</w:t>
                  </w:r>
                  <w:r>
                    <w:rPr>
                      <w:rFonts w:hint="default" w:ascii="Times New Roman" w:hAnsi="Times New Roman" w:cs="Times New Roman"/>
                      <w:color w:val="auto"/>
                      <w:sz w:val="21"/>
                      <w:szCs w:val="21"/>
                      <w:lang w:val="en-US" w:eastAsia="zh-CN"/>
                    </w:rPr>
                    <w:t>214</w:t>
                  </w:r>
                  <w:r>
                    <w:rPr>
                      <w:rFonts w:hint="default" w:ascii="Times New Roman" w:hAnsi="Times New Roman" w:cs="Times New Roman"/>
                      <w:color w:val="auto"/>
                      <w:sz w:val="21"/>
                      <w:szCs w:val="21"/>
                    </w:rPr>
                    <w:t>-</w:t>
                  </w:r>
                  <w:r>
                    <w:rPr>
                      <w:rFonts w:hint="default" w:ascii="Times New Roman" w:hAnsi="Times New Roman" w:cs="Times New Roman"/>
                      <w:color w:val="auto"/>
                      <w:sz w:val="21"/>
                      <w:szCs w:val="21"/>
                      <w:lang w:val="en-US" w:eastAsia="zh-CN"/>
                    </w:rPr>
                    <w:t>08</w:t>
                  </w:r>
                </w:p>
              </w:tc>
              <w:tc>
                <w:tcPr>
                  <w:tcW w:w="328" w:type="pct"/>
                  <w:shd w:val="clear" w:color="auto" w:fill="auto"/>
                  <w:vAlign w:val="center"/>
                </w:tcPr>
                <w:p w14:paraId="3AB6D72A">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cs="Times New Roman"/>
                      <w:color w:val="auto"/>
                      <w:sz w:val="21"/>
                      <w:szCs w:val="21"/>
                      <w:lang w:val="en-US" w:eastAsia="zh-CN"/>
                    </w:rPr>
                  </w:pPr>
                  <w:r>
                    <w:rPr>
                      <w:rFonts w:hint="eastAsia" w:hAnsi="宋体"/>
                      <w:color w:val="auto"/>
                      <w:kern w:val="0"/>
                      <w:szCs w:val="21"/>
                      <w:lang w:val="en-US" w:eastAsia="zh-CN"/>
                    </w:rPr>
                    <w:t>1.0</w:t>
                  </w:r>
                </w:p>
              </w:tc>
              <w:tc>
                <w:tcPr>
                  <w:tcW w:w="346" w:type="pct"/>
                  <w:shd w:val="clear" w:color="auto" w:fill="auto"/>
                  <w:vAlign w:val="center"/>
                </w:tcPr>
                <w:p w14:paraId="73087F79">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cs="Times New Roman"/>
                      <w:color w:val="auto"/>
                      <w:sz w:val="21"/>
                      <w:szCs w:val="21"/>
                      <w:lang w:val="en-US" w:eastAsia="zh-CN"/>
                    </w:rPr>
                  </w:pPr>
                  <w:r>
                    <w:rPr>
                      <w:rFonts w:hint="eastAsia" w:hAnsi="宋体"/>
                      <w:color w:val="auto"/>
                      <w:kern w:val="0"/>
                      <w:szCs w:val="21"/>
                      <w:lang w:val="en-US" w:eastAsia="zh-CN"/>
                    </w:rPr>
                    <w:t>1</w:t>
                  </w:r>
                </w:p>
              </w:tc>
              <w:tc>
                <w:tcPr>
                  <w:tcW w:w="290" w:type="pct"/>
                  <w:shd w:val="clear" w:color="auto" w:fill="auto"/>
                  <w:vAlign w:val="center"/>
                </w:tcPr>
                <w:p w14:paraId="27FBA9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桶装</w:t>
                  </w:r>
                </w:p>
              </w:tc>
              <w:tc>
                <w:tcPr>
                  <w:tcW w:w="266" w:type="pct"/>
                  <w:shd w:val="clear" w:color="auto" w:fill="auto"/>
                  <w:vAlign w:val="center"/>
                </w:tcPr>
                <w:p w14:paraId="6D5262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1.0</w:t>
                  </w:r>
                </w:p>
              </w:tc>
              <w:tc>
                <w:tcPr>
                  <w:tcW w:w="254" w:type="pct"/>
                  <w:shd w:val="clear" w:color="auto" w:fill="auto"/>
                  <w:vAlign w:val="center"/>
                </w:tcPr>
                <w:p w14:paraId="05C548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设备维修</w:t>
                  </w:r>
                </w:p>
              </w:tc>
              <w:tc>
                <w:tcPr>
                  <w:tcW w:w="180" w:type="pct"/>
                  <w:shd w:val="clear" w:color="auto" w:fill="auto"/>
                  <w:vAlign w:val="center"/>
                </w:tcPr>
                <w:p w14:paraId="7F111E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液态</w:t>
                  </w:r>
                </w:p>
              </w:tc>
              <w:tc>
                <w:tcPr>
                  <w:tcW w:w="330" w:type="pct"/>
                  <w:shd w:val="clear" w:color="auto" w:fill="auto"/>
                  <w:vAlign w:val="center"/>
                </w:tcPr>
                <w:p w14:paraId="751499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废矿物油</w:t>
                  </w:r>
                </w:p>
              </w:tc>
              <w:tc>
                <w:tcPr>
                  <w:tcW w:w="310" w:type="pct"/>
                  <w:shd w:val="clear" w:color="auto" w:fill="auto"/>
                  <w:vAlign w:val="center"/>
                </w:tcPr>
                <w:p w14:paraId="7C25D2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危险废物</w:t>
                  </w:r>
                </w:p>
              </w:tc>
              <w:tc>
                <w:tcPr>
                  <w:tcW w:w="327" w:type="pct"/>
                  <w:vAlign w:val="center"/>
                </w:tcPr>
                <w:p w14:paraId="00BAAD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T</w:t>
                  </w:r>
                </w:p>
              </w:tc>
              <w:tc>
                <w:tcPr>
                  <w:tcW w:w="607" w:type="pct"/>
                  <w:vMerge w:val="continue"/>
                  <w:shd w:val="clear" w:color="auto" w:fill="auto"/>
                  <w:vAlign w:val="center"/>
                </w:tcPr>
                <w:p w14:paraId="130DB2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p>
              </w:tc>
            </w:tr>
            <w:tr w14:paraId="026CBDA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73" w:type="pct"/>
                  <w:vAlign w:val="center"/>
                </w:tcPr>
                <w:p w14:paraId="04F844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3</w:t>
                  </w:r>
                </w:p>
              </w:tc>
              <w:tc>
                <w:tcPr>
                  <w:tcW w:w="339" w:type="pct"/>
                  <w:vMerge w:val="continue"/>
                  <w:shd w:val="clear" w:color="auto" w:fill="auto"/>
                  <w:vAlign w:val="center"/>
                </w:tcPr>
                <w:p w14:paraId="4480FF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p>
              </w:tc>
              <w:tc>
                <w:tcPr>
                  <w:tcW w:w="334" w:type="pct"/>
                  <w:shd w:val="clear" w:color="auto" w:fill="auto"/>
                  <w:vAlign w:val="center"/>
                </w:tcPr>
                <w:p w14:paraId="0C3857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废油桶</w:t>
                  </w:r>
                </w:p>
              </w:tc>
              <w:tc>
                <w:tcPr>
                  <w:tcW w:w="456" w:type="pct"/>
                  <w:shd w:val="clear" w:color="auto" w:fill="auto"/>
                  <w:vAlign w:val="center"/>
                </w:tcPr>
                <w:p w14:paraId="222C34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HW</w:t>
                  </w:r>
                  <w:r>
                    <w:rPr>
                      <w:rFonts w:hint="default" w:ascii="Times New Roman" w:hAnsi="Times New Roman" w:cs="Times New Roman"/>
                      <w:color w:val="auto"/>
                      <w:sz w:val="21"/>
                      <w:szCs w:val="21"/>
                      <w:lang w:val="en-US" w:eastAsia="zh-CN"/>
                    </w:rPr>
                    <w:t>08废矿物油与含矿物油废物</w:t>
                  </w:r>
                </w:p>
              </w:tc>
              <w:tc>
                <w:tcPr>
                  <w:tcW w:w="450" w:type="pct"/>
                  <w:shd w:val="clear" w:color="auto" w:fill="auto"/>
                  <w:vAlign w:val="center"/>
                </w:tcPr>
                <w:p w14:paraId="02D6F5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900-</w:t>
                  </w:r>
                  <w:r>
                    <w:rPr>
                      <w:rFonts w:hint="default" w:ascii="Times New Roman" w:hAnsi="Times New Roman" w:cs="Times New Roman"/>
                      <w:color w:val="auto"/>
                      <w:sz w:val="21"/>
                      <w:szCs w:val="21"/>
                      <w:lang w:val="en-US" w:eastAsia="zh-CN"/>
                    </w:rPr>
                    <w:t>249</w:t>
                  </w:r>
                  <w:r>
                    <w:rPr>
                      <w:rFonts w:hint="default" w:ascii="Times New Roman" w:hAnsi="Times New Roman" w:cs="Times New Roman"/>
                      <w:color w:val="auto"/>
                      <w:sz w:val="21"/>
                      <w:szCs w:val="21"/>
                    </w:rPr>
                    <w:t>-</w:t>
                  </w:r>
                  <w:r>
                    <w:rPr>
                      <w:rFonts w:hint="default" w:ascii="Times New Roman" w:hAnsi="Times New Roman" w:cs="Times New Roman"/>
                      <w:color w:val="auto"/>
                      <w:sz w:val="21"/>
                      <w:szCs w:val="21"/>
                      <w:lang w:val="en-US" w:eastAsia="zh-CN"/>
                    </w:rPr>
                    <w:t>08</w:t>
                  </w:r>
                </w:p>
              </w:tc>
              <w:tc>
                <w:tcPr>
                  <w:tcW w:w="328" w:type="pct"/>
                  <w:shd w:val="clear" w:color="auto" w:fill="auto"/>
                  <w:vAlign w:val="center"/>
                </w:tcPr>
                <w:p w14:paraId="556DECF4">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cs="Times New Roman"/>
                      <w:color w:val="auto"/>
                      <w:sz w:val="21"/>
                      <w:szCs w:val="21"/>
                      <w:lang w:val="en-US" w:eastAsia="zh-CN"/>
                    </w:rPr>
                  </w:pPr>
                  <w:r>
                    <w:rPr>
                      <w:rFonts w:hint="eastAsia" w:hAnsi="宋体"/>
                      <w:color w:val="auto"/>
                      <w:kern w:val="0"/>
                      <w:szCs w:val="21"/>
                      <w:lang w:val="en-US" w:eastAsia="zh-CN"/>
                    </w:rPr>
                    <w:t>0.1</w:t>
                  </w:r>
                </w:p>
              </w:tc>
              <w:tc>
                <w:tcPr>
                  <w:tcW w:w="346" w:type="pct"/>
                  <w:vMerge w:val="restart"/>
                  <w:shd w:val="clear" w:color="auto" w:fill="auto"/>
                  <w:vAlign w:val="center"/>
                </w:tcPr>
                <w:p w14:paraId="4D974C00">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cs="Times New Roman"/>
                      <w:color w:val="auto"/>
                      <w:sz w:val="21"/>
                      <w:szCs w:val="21"/>
                      <w:lang w:val="en-US" w:eastAsia="zh-CN"/>
                    </w:rPr>
                  </w:pPr>
                  <w:r>
                    <w:rPr>
                      <w:rFonts w:hint="eastAsia" w:hAnsi="宋体"/>
                      <w:color w:val="auto"/>
                      <w:kern w:val="0"/>
                      <w:szCs w:val="21"/>
                      <w:lang w:val="en-US" w:eastAsia="zh-CN"/>
                    </w:rPr>
                    <w:t>1</w:t>
                  </w:r>
                </w:p>
              </w:tc>
              <w:tc>
                <w:tcPr>
                  <w:tcW w:w="290" w:type="pct"/>
                  <w:shd w:val="clear" w:color="auto" w:fill="auto"/>
                  <w:vAlign w:val="center"/>
                </w:tcPr>
                <w:p w14:paraId="239FA2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桶装</w:t>
                  </w:r>
                </w:p>
              </w:tc>
              <w:tc>
                <w:tcPr>
                  <w:tcW w:w="266" w:type="pct"/>
                  <w:shd w:val="clear" w:color="auto" w:fill="auto"/>
                  <w:vAlign w:val="center"/>
                </w:tcPr>
                <w:p w14:paraId="5C6E20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1.0</w:t>
                  </w:r>
                </w:p>
              </w:tc>
              <w:tc>
                <w:tcPr>
                  <w:tcW w:w="254" w:type="pct"/>
                  <w:shd w:val="clear" w:color="auto" w:fill="auto"/>
                  <w:vAlign w:val="center"/>
                </w:tcPr>
                <w:p w14:paraId="576A39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设备维修</w:t>
                  </w:r>
                </w:p>
              </w:tc>
              <w:tc>
                <w:tcPr>
                  <w:tcW w:w="180" w:type="pct"/>
                  <w:shd w:val="clear" w:color="auto" w:fill="auto"/>
                  <w:vAlign w:val="center"/>
                </w:tcPr>
                <w:p w14:paraId="7DB06C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固态</w:t>
                  </w:r>
                </w:p>
              </w:tc>
              <w:tc>
                <w:tcPr>
                  <w:tcW w:w="330" w:type="pct"/>
                  <w:shd w:val="clear" w:color="auto" w:fill="auto"/>
                  <w:vAlign w:val="center"/>
                </w:tcPr>
                <w:p w14:paraId="16117A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废油桶</w:t>
                  </w:r>
                </w:p>
              </w:tc>
              <w:tc>
                <w:tcPr>
                  <w:tcW w:w="310" w:type="pct"/>
                  <w:shd w:val="clear" w:color="auto" w:fill="auto"/>
                  <w:vAlign w:val="center"/>
                </w:tcPr>
                <w:p w14:paraId="493335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危险废物</w:t>
                  </w:r>
                </w:p>
              </w:tc>
              <w:tc>
                <w:tcPr>
                  <w:tcW w:w="327" w:type="pct"/>
                  <w:vAlign w:val="center"/>
                </w:tcPr>
                <w:p w14:paraId="21A147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T，I</w:t>
                  </w:r>
                </w:p>
              </w:tc>
              <w:tc>
                <w:tcPr>
                  <w:tcW w:w="607" w:type="pct"/>
                  <w:vMerge w:val="continue"/>
                  <w:shd w:val="clear" w:color="auto" w:fill="auto"/>
                  <w:vAlign w:val="center"/>
                </w:tcPr>
                <w:p w14:paraId="651183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p>
              </w:tc>
            </w:tr>
            <w:tr w14:paraId="7067C50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73" w:type="pct"/>
                  <w:vAlign w:val="center"/>
                </w:tcPr>
                <w:p w14:paraId="70808F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4</w:t>
                  </w:r>
                </w:p>
              </w:tc>
              <w:tc>
                <w:tcPr>
                  <w:tcW w:w="339" w:type="pct"/>
                  <w:vMerge w:val="continue"/>
                  <w:shd w:val="clear" w:color="auto" w:fill="auto"/>
                  <w:vAlign w:val="center"/>
                </w:tcPr>
                <w:p w14:paraId="522A86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p>
              </w:tc>
              <w:tc>
                <w:tcPr>
                  <w:tcW w:w="334" w:type="pct"/>
                  <w:shd w:val="clear" w:color="auto" w:fill="auto"/>
                  <w:vAlign w:val="center"/>
                </w:tcPr>
                <w:p w14:paraId="168366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废弃劳保用品</w:t>
                  </w:r>
                </w:p>
              </w:tc>
              <w:tc>
                <w:tcPr>
                  <w:tcW w:w="456" w:type="pct"/>
                  <w:shd w:val="clear" w:color="auto" w:fill="auto"/>
                  <w:vAlign w:val="center"/>
                </w:tcPr>
                <w:p w14:paraId="6CD1EC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HW49其他废物</w:t>
                  </w:r>
                </w:p>
              </w:tc>
              <w:tc>
                <w:tcPr>
                  <w:tcW w:w="450" w:type="pct"/>
                  <w:shd w:val="clear" w:color="auto" w:fill="auto"/>
                  <w:vAlign w:val="center"/>
                </w:tcPr>
                <w:p w14:paraId="633410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900-041-49</w:t>
                  </w:r>
                </w:p>
              </w:tc>
              <w:tc>
                <w:tcPr>
                  <w:tcW w:w="328" w:type="pct"/>
                  <w:shd w:val="clear" w:color="auto" w:fill="auto"/>
                  <w:vAlign w:val="center"/>
                </w:tcPr>
                <w:p w14:paraId="66402E65">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cs="Times New Roman"/>
                      <w:color w:val="auto"/>
                      <w:sz w:val="21"/>
                      <w:szCs w:val="21"/>
                      <w:lang w:val="en-US" w:eastAsia="zh-CN"/>
                    </w:rPr>
                  </w:pPr>
                  <w:r>
                    <w:rPr>
                      <w:rFonts w:hint="eastAsia" w:hAnsi="宋体"/>
                      <w:color w:val="auto"/>
                      <w:kern w:val="0"/>
                      <w:szCs w:val="21"/>
                      <w:lang w:val="en-US" w:eastAsia="zh-CN"/>
                    </w:rPr>
                    <w:t>0.01</w:t>
                  </w:r>
                </w:p>
              </w:tc>
              <w:tc>
                <w:tcPr>
                  <w:tcW w:w="346" w:type="pct"/>
                  <w:vMerge w:val="continue"/>
                  <w:shd w:val="clear" w:color="auto" w:fill="auto"/>
                  <w:vAlign w:val="center"/>
                </w:tcPr>
                <w:p w14:paraId="1049076D">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cs="Times New Roman"/>
                      <w:color w:val="auto"/>
                      <w:sz w:val="21"/>
                      <w:szCs w:val="21"/>
                      <w:lang w:val="en-US" w:eastAsia="zh-CN"/>
                    </w:rPr>
                  </w:pPr>
                </w:p>
              </w:tc>
              <w:tc>
                <w:tcPr>
                  <w:tcW w:w="290" w:type="pct"/>
                  <w:shd w:val="clear" w:color="auto" w:fill="auto"/>
                  <w:vAlign w:val="center"/>
                </w:tcPr>
                <w:p w14:paraId="673605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桶装</w:t>
                  </w:r>
                </w:p>
              </w:tc>
              <w:tc>
                <w:tcPr>
                  <w:tcW w:w="266" w:type="pct"/>
                  <w:shd w:val="clear" w:color="auto" w:fill="auto"/>
                  <w:vAlign w:val="center"/>
                </w:tcPr>
                <w:p w14:paraId="3256BF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1.0</w:t>
                  </w:r>
                </w:p>
              </w:tc>
              <w:tc>
                <w:tcPr>
                  <w:tcW w:w="254" w:type="pct"/>
                  <w:shd w:val="clear" w:color="auto" w:fill="auto"/>
                  <w:vAlign w:val="center"/>
                </w:tcPr>
                <w:p w14:paraId="3CF868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设备维修</w:t>
                  </w:r>
                </w:p>
              </w:tc>
              <w:tc>
                <w:tcPr>
                  <w:tcW w:w="180" w:type="pct"/>
                  <w:shd w:val="clear" w:color="auto" w:fill="auto"/>
                  <w:vAlign w:val="center"/>
                </w:tcPr>
                <w:p w14:paraId="186CF7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固态</w:t>
                  </w:r>
                </w:p>
              </w:tc>
              <w:tc>
                <w:tcPr>
                  <w:tcW w:w="330" w:type="pct"/>
                  <w:shd w:val="clear" w:color="auto" w:fill="auto"/>
                  <w:vAlign w:val="center"/>
                </w:tcPr>
                <w:p w14:paraId="468A6B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含油废抹布、废手套等</w:t>
                  </w:r>
                </w:p>
              </w:tc>
              <w:tc>
                <w:tcPr>
                  <w:tcW w:w="310" w:type="pct"/>
                  <w:shd w:val="clear" w:color="auto" w:fill="auto"/>
                  <w:vAlign w:val="center"/>
                </w:tcPr>
                <w:p w14:paraId="1F8FA8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危险废物</w:t>
                  </w:r>
                </w:p>
              </w:tc>
              <w:tc>
                <w:tcPr>
                  <w:tcW w:w="327" w:type="pct"/>
                  <w:vAlign w:val="center"/>
                </w:tcPr>
                <w:p w14:paraId="0D965A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T，I</w:t>
                  </w:r>
                </w:p>
              </w:tc>
              <w:tc>
                <w:tcPr>
                  <w:tcW w:w="607" w:type="pct"/>
                  <w:vMerge w:val="continue"/>
                  <w:shd w:val="clear" w:color="auto" w:fill="auto"/>
                  <w:vAlign w:val="center"/>
                </w:tcPr>
                <w:p w14:paraId="540883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cs="Times New Roman"/>
                      <w:color w:val="auto"/>
                      <w:sz w:val="21"/>
                      <w:szCs w:val="21"/>
                      <w:lang w:val="en-US" w:eastAsia="zh-CN"/>
                    </w:rPr>
                  </w:pPr>
                </w:p>
              </w:tc>
            </w:tr>
          </w:tbl>
          <w:p w14:paraId="08B57F8B">
            <w:pPr>
              <w:keepNext w:val="0"/>
              <w:keepLines w:val="0"/>
              <w:suppressLineNumbers w:val="0"/>
              <w:bidi w:val="0"/>
              <w:spacing w:before="0" w:beforeAutospacing="0" w:after="0" w:afterAutospacing="0" w:line="360" w:lineRule="auto"/>
              <w:ind w:left="0" w:right="0"/>
              <w:jc w:val="left"/>
              <w:rPr>
                <w:rFonts w:hint="default" w:ascii="Times New Roman" w:hAnsi="Times New Roman" w:eastAsia="黑体" w:cs="Times New Roman"/>
                <w:color w:val="auto"/>
                <w:sz w:val="24"/>
                <w:szCs w:val="24"/>
              </w:rPr>
            </w:pPr>
          </w:p>
          <w:p w14:paraId="30545A24">
            <w:pPr>
              <w:keepNext w:val="0"/>
              <w:keepLines w:val="0"/>
              <w:suppressLineNumbers w:val="0"/>
              <w:bidi w:val="0"/>
              <w:spacing w:before="0" w:beforeAutospacing="0" w:after="0" w:afterAutospacing="0" w:line="360" w:lineRule="auto"/>
              <w:ind w:left="0" w:right="0"/>
              <w:jc w:val="left"/>
              <w:rPr>
                <w:rFonts w:hint="default" w:ascii="Times New Roman" w:hAnsi="Times New Roman" w:eastAsia="黑体" w:cs="Times New Roman"/>
                <w:color w:val="auto"/>
                <w:sz w:val="24"/>
                <w:szCs w:val="24"/>
              </w:rPr>
            </w:pPr>
          </w:p>
          <w:p w14:paraId="7436D602">
            <w:pPr>
              <w:keepNext w:val="0"/>
              <w:keepLines w:val="0"/>
              <w:suppressLineNumbers w:val="0"/>
              <w:spacing w:before="0" w:beforeAutospacing="0" w:after="0" w:afterAutospacing="0"/>
              <w:ind w:left="0" w:right="0"/>
              <w:rPr>
                <w:rFonts w:hint="default"/>
                <w:color w:val="auto"/>
                <w:vertAlign w:val="baseline"/>
              </w:rPr>
            </w:pPr>
          </w:p>
        </w:tc>
      </w:tr>
    </w:tbl>
    <w:p w14:paraId="16632602">
      <w:pPr>
        <w:rPr>
          <w:color w:val="auto"/>
        </w:rPr>
        <w:sectPr>
          <w:pgSz w:w="16838" w:h="11906" w:orient="landscape"/>
          <w:pgMar w:top="1797" w:right="1440" w:bottom="1508" w:left="1440" w:header="851" w:footer="992" w:gutter="0"/>
          <w:pgBorders>
            <w:top w:val="none" w:sz="0" w:space="0"/>
            <w:left w:val="none" w:sz="0" w:space="0"/>
            <w:bottom w:val="none" w:sz="0" w:space="0"/>
            <w:right w:val="none" w:sz="0" w:space="0"/>
          </w:pgBorders>
          <w:cols w:space="720" w:num="1"/>
          <w:docGrid w:type="lines" w:linePitch="312" w:charSpace="0"/>
        </w:sectPr>
      </w:pP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8184"/>
      </w:tblGrid>
      <w:tr w14:paraId="6A71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2" w:type="dxa"/>
            <w:vAlign w:val="center"/>
          </w:tcPr>
          <w:p w14:paraId="15B64293">
            <w:pPr>
              <w:keepNext w:val="0"/>
              <w:keepLines w:val="0"/>
              <w:widowControl/>
              <w:suppressLineNumbers w:val="0"/>
              <w:spacing w:before="0" w:beforeAutospacing="0" w:after="0" w:afterAutospacing="0" w:line="360" w:lineRule="auto"/>
              <w:ind w:left="0" w:right="0"/>
              <w:jc w:val="center"/>
              <w:outlineLvl w:val="0"/>
              <w:rPr>
                <w:rFonts w:hint="default"/>
                <w:color w:val="auto"/>
                <w:vertAlign w:val="baseline"/>
              </w:rPr>
            </w:pPr>
            <w:r>
              <w:rPr>
                <w:rFonts w:hint="eastAsia" w:ascii="Times New Roman" w:hAnsi="宋体" w:eastAsia="宋体" w:cs="Times New Roman"/>
                <w:color w:val="auto"/>
                <w:kern w:val="0"/>
                <w:sz w:val="24"/>
                <w:szCs w:val="24"/>
                <w:vertAlign w:val="baseline"/>
              </w:rPr>
              <w:t>运营期环境影响和保护措施</w:t>
            </w:r>
          </w:p>
        </w:tc>
        <w:tc>
          <w:tcPr>
            <w:tcW w:w="8184" w:type="dxa"/>
          </w:tcPr>
          <w:p w14:paraId="6A3E55C3">
            <w:pPr>
              <w:keepNext w:val="0"/>
              <w:keepLines w:val="0"/>
              <w:suppressLineNumbers w:val="0"/>
              <w:spacing w:before="0" w:beforeAutospacing="0" w:after="0" w:afterAutospacing="0" w:line="360" w:lineRule="auto"/>
              <w:ind w:left="0" w:right="0" w:firstLine="482" w:firstLineChars="200"/>
              <w:rPr>
                <w:rFonts w:hint="default"/>
                <w:b/>
                <w:color w:val="auto"/>
                <w:sz w:val="24"/>
              </w:rPr>
            </w:pPr>
            <w:r>
              <w:rPr>
                <w:rFonts w:hint="default"/>
                <w:b/>
                <w:color w:val="auto"/>
                <w:sz w:val="24"/>
              </w:rPr>
              <w:t>4</w:t>
            </w:r>
            <w:r>
              <w:rPr>
                <w:rFonts w:hint="eastAsia"/>
                <w:b/>
                <w:color w:val="auto"/>
                <w:sz w:val="24"/>
              </w:rPr>
              <w:t>、运营期固体废物污染防治措施</w:t>
            </w:r>
          </w:p>
          <w:p w14:paraId="4DED6E01">
            <w:pPr>
              <w:keepNext w:val="0"/>
              <w:keepLines w:val="0"/>
              <w:suppressLineNumbers w:val="0"/>
              <w:spacing w:before="0" w:beforeAutospacing="0" w:after="0" w:afterAutospacing="0" w:line="360" w:lineRule="auto"/>
              <w:ind w:left="0" w:right="0" w:firstLine="480" w:firstLineChars="200"/>
              <w:rPr>
                <w:rFonts w:hint="default"/>
                <w:color w:val="auto"/>
                <w:sz w:val="24"/>
                <w:szCs w:val="24"/>
              </w:rPr>
            </w:pPr>
            <w:r>
              <w:rPr>
                <w:rFonts w:hint="eastAsia" w:hAnsi="宋体"/>
                <w:color w:val="auto"/>
                <w:sz w:val="24"/>
                <w:szCs w:val="24"/>
              </w:rPr>
              <w:t>（</w:t>
            </w:r>
            <w:r>
              <w:rPr>
                <w:rFonts w:hint="default"/>
                <w:color w:val="auto"/>
                <w:sz w:val="24"/>
                <w:szCs w:val="24"/>
              </w:rPr>
              <w:t>1</w:t>
            </w:r>
            <w:r>
              <w:rPr>
                <w:rFonts w:hint="eastAsia" w:hAnsi="宋体"/>
                <w:color w:val="auto"/>
                <w:sz w:val="24"/>
                <w:szCs w:val="24"/>
              </w:rPr>
              <w:t>）贮存场所（设施）污染防治设施</w:t>
            </w:r>
          </w:p>
          <w:p w14:paraId="3927B032">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1</w:t>
            </w:r>
            <w:r>
              <w:rPr>
                <w:rFonts w:hint="eastAsia" w:hAnsi="宋体"/>
                <w:color w:val="auto"/>
                <w:sz w:val="24"/>
              </w:rPr>
              <w:t>）一般工业固废暂存场所</w:t>
            </w:r>
          </w:p>
          <w:p w14:paraId="7CB082FD">
            <w:pPr>
              <w:keepNext w:val="0"/>
              <w:keepLines w:val="0"/>
              <w:suppressLineNumbers w:val="0"/>
              <w:adjustRightInd w:val="0"/>
              <w:spacing w:before="0" w:beforeAutospacing="0" w:after="0" w:afterAutospacing="0" w:line="360" w:lineRule="auto"/>
              <w:ind w:left="0" w:right="0" w:firstLine="480" w:firstLineChars="200"/>
              <w:jc w:val="left"/>
              <w:rPr>
                <w:rFonts w:hint="default" w:ascii="宋体" w:hAnsi="宋体"/>
                <w:color w:val="auto"/>
                <w:sz w:val="24"/>
                <w:szCs w:val="24"/>
              </w:rPr>
            </w:pPr>
            <w:r>
              <w:rPr>
                <w:rFonts w:hint="eastAsia" w:ascii="宋体" w:hAnsi="宋体"/>
                <w:color w:val="auto"/>
                <w:sz w:val="24"/>
                <w:szCs w:val="24"/>
              </w:rPr>
              <w:t>项目一般工业固废均属于</w:t>
            </w:r>
            <w:r>
              <w:rPr>
                <w:rFonts w:hint="default" w:hAnsi="宋体"/>
                <w:color w:val="auto"/>
                <w:sz w:val="24"/>
                <w:szCs w:val="24"/>
              </w:rPr>
              <w:t>第</w:t>
            </w:r>
            <w:r>
              <w:rPr>
                <w:rFonts w:hint="default"/>
                <w:color w:val="auto"/>
                <w:sz w:val="24"/>
                <w:szCs w:val="24"/>
              </w:rPr>
              <w:t>Ⅰ</w:t>
            </w:r>
            <w:r>
              <w:rPr>
                <w:rFonts w:hint="default" w:hAnsi="宋体"/>
                <w:color w:val="auto"/>
                <w:sz w:val="24"/>
                <w:szCs w:val="24"/>
              </w:rPr>
              <w:t>类</w:t>
            </w:r>
            <w:r>
              <w:rPr>
                <w:rFonts w:hint="eastAsia" w:ascii="宋体" w:hAnsi="宋体"/>
                <w:color w:val="auto"/>
                <w:sz w:val="24"/>
                <w:szCs w:val="24"/>
              </w:rPr>
              <w:t>一般工业固体废弃物。</w:t>
            </w:r>
          </w:p>
          <w:p w14:paraId="3B5E89F7">
            <w:pPr>
              <w:keepNext w:val="0"/>
              <w:keepLines w:val="0"/>
              <w:suppressLineNumbers w:val="0"/>
              <w:adjustRightInd w:val="0"/>
              <w:spacing w:before="0" w:beforeAutospacing="0" w:after="0" w:afterAutospacing="0" w:line="360" w:lineRule="auto"/>
              <w:ind w:left="0" w:right="0" w:firstLine="480" w:firstLineChars="200"/>
              <w:jc w:val="left"/>
              <w:rPr>
                <w:rFonts w:hint="default" w:ascii="宋体" w:hAnsi="宋体"/>
                <w:color w:val="auto"/>
                <w:sz w:val="24"/>
              </w:rPr>
            </w:pPr>
            <w:r>
              <w:rPr>
                <w:rFonts w:hint="eastAsia" w:ascii="宋体" w:hAnsi="宋体"/>
                <w:color w:val="auto"/>
                <w:sz w:val="24"/>
                <w:szCs w:val="24"/>
              </w:rPr>
              <w:t>本项目</w:t>
            </w:r>
            <w:r>
              <w:rPr>
                <w:rFonts w:hint="eastAsia" w:ascii="宋体" w:hAnsi="宋体"/>
                <w:color w:val="auto"/>
                <w:sz w:val="24"/>
                <w:szCs w:val="24"/>
                <w:lang w:val="en-US" w:eastAsia="zh-CN"/>
              </w:rPr>
              <w:t>产生的一般工业固废统一收集存放于一般工业固废间</w:t>
            </w:r>
            <w:r>
              <w:rPr>
                <w:rFonts w:hint="eastAsia" w:ascii="宋体" w:hAnsi="宋体"/>
                <w:color w:val="auto"/>
                <w:sz w:val="24"/>
                <w:szCs w:val="24"/>
              </w:rPr>
              <w:t>，</w:t>
            </w:r>
            <w:r>
              <w:rPr>
                <w:rFonts w:hint="eastAsia" w:ascii="宋体" w:hAnsi="宋体"/>
                <w:color w:val="auto"/>
                <w:sz w:val="24"/>
                <w:szCs w:val="24"/>
                <w:lang w:val="en-US" w:eastAsia="zh-CN"/>
              </w:rPr>
              <w:t>定期外售物资部门综合利用或由厂家回收利用等</w:t>
            </w:r>
            <w:r>
              <w:rPr>
                <w:rFonts w:hint="eastAsia" w:ascii="宋体" w:hAnsi="宋体"/>
                <w:color w:val="auto"/>
                <w:sz w:val="24"/>
                <w:szCs w:val="24"/>
              </w:rPr>
              <w:t>。</w:t>
            </w:r>
            <w:r>
              <w:rPr>
                <w:rFonts w:hint="eastAsia" w:ascii="宋体" w:hAnsi="宋体"/>
                <w:color w:val="auto"/>
                <w:sz w:val="24"/>
                <w:szCs w:val="24"/>
                <w:lang w:val="en-US" w:eastAsia="zh-CN"/>
              </w:rPr>
              <w:t>一般工业固废间占地面积约</w:t>
            </w:r>
            <w:r>
              <w:rPr>
                <w:rFonts w:hint="eastAsia" w:cs="Times New Roman"/>
                <w:color w:val="auto"/>
                <w:sz w:val="24"/>
                <w:szCs w:val="24"/>
                <w:lang w:val="en-US" w:eastAsia="zh-CN"/>
              </w:rPr>
              <w:t>20</w:t>
            </w:r>
            <w:r>
              <w:rPr>
                <w:rFonts w:hint="default" w:ascii="Times New Roman" w:hAnsi="Times New Roman" w:cs="Times New Roman"/>
                <w:color w:val="auto"/>
                <w:sz w:val="24"/>
                <w:szCs w:val="24"/>
                <w:lang w:val="en-US" w:eastAsia="zh-CN"/>
              </w:rPr>
              <w:t>m</w:t>
            </w:r>
            <w:r>
              <w:rPr>
                <w:rFonts w:hint="default" w:ascii="Times New Roman" w:hAnsi="Times New Roman" w:cs="Times New Roman"/>
                <w:color w:val="auto"/>
                <w:sz w:val="24"/>
                <w:szCs w:val="24"/>
                <w:vertAlign w:val="superscript"/>
                <w:lang w:val="en-US" w:eastAsia="zh-CN"/>
              </w:rPr>
              <w:t>2</w:t>
            </w:r>
            <w:r>
              <w:rPr>
                <w:rFonts w:hint="eastAsia" w:ascii="宋体" w:hAnsi="宋体"/>
                <w:color w:val="auto"/>
                <w:sz w:val="24"/>
                <w:szCs w:val="24"/>
                <w:lang w:val="en-US" w:eastAsia="zh-CN"/>
              </w:rPr>
              <w:t>，</w:t>
            </w:r>
            <w:r>
              <w:rPr>
                <w:rFonts w:hint="eastAsia" w:ascii="宋体" w:hAnsi="宋体"/>
                <w:color w:val="auto"/>
                <w:sz w:val="24"/>
                <w:szCs w:val="24"/>
              </w:rPr>
              <w:t>地面</w:t>
            </w:r>
            <w:r>
              <w:rPr>
                <w:rFonts w:hint="eastAsia" w:ascii="宋体" w:hAnsi="宋体"/>
                <w:color w:val="auto"/>
                <w:sz w:val="24"/>
                <w:szCs w:val="24"/>
                <w:lang w:val="en-US" w:eastAsia="zh-CN"/>
              </w:rPr>
              <w:t>按</w:t>
            </w:r>
            <w:r>
              <w:rPr>
                <w:rFonts w:hint="eastAsia" w:ascii="宋体" w:hAnsi="宋体"/>
                <w:color w:val="auto"/>
                <w:sz w:val="24"/>
                <w:szCs w:val="24"/>
              </w:rPr>
              <w:t>一般防渗</w:t>
            </w:r>
            <w:r>
              <w:rPr>
                <w:rFonts w:hint="eastAsia" w:ascii="宋体" w:hAnsi="宋体"/>
                <w:color w:val="auto"/>
                <w:sz w:val="24"/>
                <w:szCs w:val="24"/>
                <w:lang w:val="en-US" w:eastAsia="zh-CN"/>
              </w:rPr>
              <w:t>要求设置</w:t>
            </w:r>
            <w:r>
              <w:rPr>
                <w:rFonts w:hint="eastAsia" w:ascii="宋体" w:hAnsi="宋体"/>
                <w:color w:val="auto"/>
                <w:sz w:val="24"/>
                <w:szCs w:val="24"/>
              </w:rPr>
              <w:t>。</w:t>
            </w:r>
          </w:p>
          <w:p w14:paraId="6129D085">
            <w:pPr>
              <w:keepNext w:val="0"/>
              <w:keepLines w:val="0"/>
              <w:suppressLineNumbers w:val="0"/>
              <w:spacing w:before="0" w:beforeAutospacing="0" w:after="0" w:afterAutospacing="0" w:line="360" w:lineRule="auto"/>
              <w:ind w:left="0" w:right="0" w:firstLine="480" w:firstLineChars="200"/>
              <w:rPr>
                <w:rFonts w:hint="default"/>
                <w:color w:val="auto"/>
                <w:sz w:val="24"/>
                <w:highlight w:val="none"/>
              </w:rPr>
            </w:pPr>
            <w:r>
              <w:rPr>
                <w:rFonts w:hint="default"/>
                <w:color w:val="auto"/>
                <w:sz w:val="24"/>
              </w:rPr>
              <w:t>2</w:t>
            </w:r>
            <w:r>
              <w:rPr>
                <w:rFonts w:hint="eastAsia" w:hAnsi="宋体"/>
                <w:color w:val="auto"/>
                <w:sz w:val="24"/>
              </w:rPr>
              <w:t>）</w:t>
            </w:r>
            <w:r>
              <w:rPr>
                <w:rFonts w:hint="eastAsia" w:hAnsi="宋体"/>
                <w:color w:val="auto"/>
                <w:sz w:val="24"/>
                <w:highlight w:val="none"/>
              </w:rPr>
              <w:t>危险废物暂存场所</w:t>
            </w:r>
          </w:p>
          <w:p w14:paraId="4D76EE5F">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color w:val="auto"/>
                <w:sz w:val="24"/>
                <w:szCs w:val="24"/>
                <w:highlight w:val="none"/>
              </w:rPr>
              <w:t>危废暂存间</w:t>
            </w:r>
            <w:r>
              <w:rPr>
                <w:rFonts w:hint="eastAsia"/>
                <w:color w:val="auto"/>
                <w:sz w:val="24"/>
                <w:szCs w:val="24"/>
                <w:highlight w:val="none"/>
                <w:lang w:val="en-US" w:eastAsia="zh-CN"/>
              </w:rPr>
              <w:t>设置在厂房1F西部，</w:t>
            </w:r>
            <w:r>
              <w:rPr>
                <w:rFonts w:hint="eastAsia"/>
                <w:color w:val="auto"/>
                <w:sz w:val="24"/>
                <w:szCs w:val="24"/>
                <w:highlight w:val="none"/>
                <w:vertAlign w:val="baseline"/>
                <w:lang w:val="en-US" w:eastAsia="zh-CN"/>
              </w:rPr>
              <w:t>占地面积约10m</w:t>
            </w:r>
            <w:r>
              <w:rPr>
                <w:rFonts w:hint="eastAsia"/>
                <w:color w:val="auto"/>
                <w:sz w:val="24"/>
                <w:szCs w:val="24"/>
                <w:highlight w:val="none"/>
                <w:vertAlign w:val="superscript"/>
                <w:lang w:val="en-US" w:eastAsia="zh-CN"/>
              </w:rPr>
              <w:t>2</w:t>
            </w:r>
            <w:r>
              <w:rPr>
                <w:rFonts w:hint="eastAsia"/>
                <w:color w:val="auto"/>
                <w:sz w:val="24"/>
                <w:szCs w:val="24"/>
                <w:highlight w:val="none"/>
                <w:vertAlign w:val="baseline"/>
                <w:lang w:val="en-US" w:eastAsia="zh-CN"/>
              </w:rPr>
              <w:t>，最大存储量约10t。</w:t>
            </w:r>
            <w:r>
              <w:rPr>
                <w:rFonts w:hint="eastAsia"/>
                <w:color w:val="auto"/>
                <w:sz w:val="24"/>
                <w:szCs w:val="24"/>
                <w:highlight w:val="none"/>
              </w:rPr>
              <w:t>危废暂存间</w:t>
            </w:r>
            <w:r>
              <w:rPr>
                <w:rFonts w:hint="eastAsia"/>
                <w:color w:val="auto"/>
                <w:sz w:val="24"/>
                <w:szCs w:val="24"/>
                <w:highlight w:val="none"/>
                <w:lang w:val="en-US" w:eastAsia="zh-CN"/>
              </w:rPr>
              <w:t>需</w:t>
            </w:r>
            <w:r>
              <w:rPr>
                <w:rFonts w:hint="eastAsia"/>
                <w:color w:val="auto"/>
                <w:sz w:val="24"/>
                <w:szCs w:val="24"/>
              </w:rPr>
              <w:t>按照</w:t>
            </w:r>
            <w:r>
              <w:rPr>
                <w:rFonts w:hint="eastAsia" w:hAnsi="宋体"/>
                <w:color w:val="auto"/>
                <w:sz w:val="24"/>
              </w:rPr>
              <w:t>《危险废物贮存污染控制标准》（</w:t>
            </w:r>
            <w:r>
              <w:rPr>
                <w:rFonts w:hint="default"/>
                <w:color w:val="auto"/>
                <w:sz w:val="24"/>
              </w:rPr>
              <w:t>G18597-20</w:t>
            </w:r>
            <w:r>
              <w:rPr>
                <w:rFonts w:hint="eastAsia"/>
                <w:color w:val="auto"/>
                <w:sz w:val="24"/>
              </w:rPr>
              <w:t>23</w:t>
            </w:r>
            <w:r>
              <w:rPr>
                <w:rFonts w:hint="eastAsia" w:hAnsi="宋体"/>
                <w:color w:val="auto"/>
                <w:sz w:val="24"/>
              </w:rPr>
              <w:t>）要求落实，危险废物暂存间相关要求如下：</w:t>
            </w:r>
          </w:p>
          <w:p w14:paraId="53DD899C">
            <w:pPr>
              <w:keepNext w:val="0"/>
              <w:keepLines w:val="0"/>
              <w:suppressLineNumbers w:val="0"/>
              <w:adjustRightInd w:val="0"/>
              <w:spacing w:before="0" w:beforeAutospacing="0" w:after="0" w:afterAutospacing="0" w:line="360" w:lineRule="auto"/>
              <w:ind w:left="0" w:right="0" w:firstLine="480" w:firstLineChars="200"/>
              <w:jc w:val="left"/>
              <w:rPr>
                <w:rFonts w:hint="eastAsia" w:eastAsia="宋体"/>
                <w:color w:val="auto"/>
                <w:sz w:val="24"/>
                <w:lang w:eastAsia="zh-CN"/>
              </w:rPr>
            </w:pPr>
            <w:r>
              <w:rPr>
                <w:rFonts w:hint="eastAsia" w:hAnsi="宋体"/>
                <w:color w:val="auto"/>
                <w:sz w:val="24"/>
              </w:rPr>
              <w:t>①应根据危险废物的类别、数量、形态、物理化学性质和污染防治等要求设置必要的贮存分区，避免不相容的危险废物接触、混合</w:t>
            </w:r>
            <w:r>
              <w:rPr>
                <w:rFonts w:hint="eastAsia" w:hAnsi="宋体"/>
                <w:color w:val="auto"/>
                <w:sz w:val="24"/>
                <w:lang w:eastAsia="zh-CN"/>
              </w:rPr>
              <w:t>；</w:t>
            </w:r>
          </w:p>
          <w:p w14:paraId="24CB2D68">
            <w:pPr>
              <w:keepNext w:val="0"/>
              <w:keepLines w:val="0"/>
              <w:suppressLineNumbers w:val="0"/>
              <w:adjustRightInd w:val="0"/>
              <w:spacing w:before="0" w:beforeAutospacing="0" w:after="0" w:afterAutospacing="0" w:line="360" w:lineRule="auto"/>
              <w:ind w:left="0" w:right="0" w:firstLine="480" w:firstLineChars="200"/>
              <w:jc w:val="left"/>
              <w:rPr>
                <w:rFonts w:hint="eastAsia" w:eastAsia="宋体"/>
                <w:color w:val="auto"/>
                <w:sz w:val="24"/>
                <w:lang w:eastAsia="zh-CN"/>
              </w:rPr>
            </w:pPr>
            <w:r>
              <w:rPr>
                <w:rFonts w:hint="eastAsia" w:hAnsi="宋体"/>
                <w:color w:val="auto"/>
                <w:sz w:val="24"/>
              </w:rPr>
              <w:t>②地面、墙面裙脚、堵截泄漏的围堰、接触危险废物的隔板和墙体等应采用坚固的材料建造，表面无裂缝</w:t>
            </w:r>
            <w:r>
              <w:rPr>
                <w:rFonts w:hint="eastAsia" w:hAnsi="宋体"/>
                <w:color w:val="auto"/>
                <w:sz w:val="24"/>
                <w:lang w:eastAsia="zh-CN"/>
              </w:rPr>
              <w:t>；</w:t>
            </w:r>
          </w:p>
          <w:p w14:paraId="0234A776">
            <w:pPr>
              <w:keepNext w:val="0"/>
              <w:keepLines w:val="0"/>
              <w:suppressLineNumbers w:val="0"/>
              <w:adjustRightInd w:val="0"/>
              <w:spacing w:before="0" w:beforeAutospacing="0" w:after="0" w:afterAutospacing="0" w:line="360" w:lineRule="auto"/>
              <w:ind w:left="0" w:right="0" w:firstLine="480" w:firstLineChars="200"/>
              <w:jc w:val="left"/>
              <w:rPr>
                <w:rFonts w:hint="eastAsia" w:eastAsia="宋体"/>
                <w:color w:val="auto"/>
                <w:sz w:val="24"/>
                <w:lang w:eastAsia="zh-CN"/>
              </w:rPr>
            </w:pPr>
            <w:r>
              <w:rPr>
                <w:rFonts w:hint="eastAsia" w:hAnsi="宋体"/>
                <w:color w:val="auto"/>
                <w:sz w:val="24"/>
              </w:rPr>
              <w:t>③地面与裙脚应采取表面防渗措施；表面防渗材料应与所接触的物料或污染物相容，可采用抗渗混凝土、高密度聚乙烯膜、钠基膨润土防水毯或其他防渗性能等效的材料。危险废物直接接触地面的，还应进行基础防渗，防渗层为至少1m厚黏土层（渗透系数不大于10</w:t>
            </w:r>
            <w:r>
              <w:rPr>
                <w:rFonts w:hint="eastAsia" w:hAnsi="宋体"/>
                <w:color w:val="auto"/>
                <w:sz w:val="24"/>
                <w:vertAlign w:val="superscript"/>
              </w:rPr>
              <w:t>-7</w:t>
            </w:r>
            <w:r>
              <w:rPr>
                <w:rFonts w:hint="eastAsia" w:hAnsi="宋体"/>
                <w:color w:val="auto"/>
                <w:sz w:val="24"/>
              </w:rPr>
              <w:t>cm/s），或至少2mm厚高密度聚乙烯膜等人工防渗材料（渗透系数不大于10</w:t>
            </w:r>
            <w:r>
              <w:rPr>
                <w:rFonts w:hint="eastAsia" w:hAnsi="宋体"/>
                <w:color w:val="auto"/>
                <w:sz w:val="24"/>
                <w:vertAlign w:val="superscript"/>
              </w:rPr>
              <w:t>-10</w:t>
            </w:r>
            <w:r>
              <w:rPr>
                <w:rFonts w:hint="eastAsia" w:hAnsi="宋体"/>
                <w:color w:val="auto"/>
                <w:sz w:val="24"/>
              </w:rPr>
              <w:t>cm/s），或其他防渗性能等效的材料</w:t>
            </w:r>
            <w:r>
              <w:rPr>
                <w:rFonts w:hint="eastAsia" w:hAnsi="宋体"/>
                <w:color w:val="auto"/>
                <w:sz w:val="24"/>
                <w:lang w:eastAsia="zh-CN"/>
              </w:rPr>
              <w:t>；</w:t>
            </w:r>
          </w:p>
          <w:p w14:paraId="32F6F25A">
            <w:pPr>
              <w:keepNext w:val="0"/>
              <w:keepLines w:val="0"/>
              <w:suppressLineNumbers w:val="0"/>
              <w:adjustRightInd w:val="0"/>
              <w:spacing w:before="0" w:beforeAutospacing="0" w:after="0" w:afterAutospacing="0" w:line="360" w:lineRule="auto"/>
              <w:ind w:left="0" w:right="0" w:firstLine="480" w:firstLineChars="200"/>
              <w:jc w:val="left"/>
              <w:rPr>
                <w:rFonts w:hint="eastAsia" w:eastAsia="宋体"/>
                <w:color w:val="auto"/>
                <w:sz w:val="24"/>
                <w:lang w:eastAsia="zh-CN"/>
              </w:rPr>
            </w:pPr>
            <w:r>
              <w:rPr>
                <w:rFonts w:hint="eastAsia" w:hAnsi="宋体"/>
                <w:color w:val="auto"/>
                <w:sz w:val="24"/>
              </w:rPr>
              <w:t>④危废暂存间应采取技术和管理措施防止无关人员进入</w:t>
            </w:r>
            <w:r>
              <w:rPr>
                <w:rFonts w:hint="eastAsia" w:hAnsi="宋体"/>
                <w:color w:val="auto"/>
                <w:sz w:val="24"/>
                <w:lang w:eastAsia="zh-CN"/>
              </w:rPr>
              <w:t>；</w:t>
            </w:r>
          </w:p>
          <w:p w14:paraId="425973AC">
            <w:pPr>
              <w:keepNext w:val="0"/>
              <w:keepLines w:val="0"/>
              <w:suppressLineNumbers w:val="0"/>
              <w:adjustRightInd w:val="0"/>
              <w:spacing w:before="0" w:beforeAutospacing="0" w:after="0" w:afterAutospacing="0" w:line="360" w:lineRule="auto"/>
              <w:ind w:left="0" w:right="0" w:firstLine="480" w:firstLineChars="200"/>
              <w:jc w:val="left"/>
              <w:rPr>
                <w:rFonts w:hint="eastAsia" w:eastAsia="宋体"/>
                <w:color w:val="auto"/>
                <w:sz w:val="24"/>
                <w:lang w:eastAsia="zh-CN"/>
              </w:rPr>
            </w:pPr>
            <w:r>
              <w:rPr>
                <w:rFonts w:hint="eastAsia" w:hAnsi="宋体"/>
                <w:color w:val="auto"/>
                <w:sz w:val="24"/>
              </w:rPr>
              <w:t>⑤</w:t>
            </w:r>
            <w:r>
              <w:rPr>
                <w:rFonts w:hint="eastAsia" w:hAnsi="宋体"/>
                <w:bCs/>
                <w:color w:val="auto"/>
                <w:sz w:val="24"/>
              </w:rPr>
              <w:t>危险废物贮存过程产生的液态废物和固态废物应分类收集，按其环境管理要求妥善处理</w:t>
            </w:r>
            <w:r>
              <w:rPr>
                <w:rFonts w:hint="eastAsia" w:hAnsi="宋体"/>
                <w:bCs/>
                <w:color w:val="auto"/>
                <w:sz w:val="24"/>
                <w:lang w:eastAsia="zh-CN"/>
              </w:rPr>
              <w:t>；</w:t>
            </w:r>
          </w:p>
          <w:p w14:paraId="58BD5FB0">
            <w:pPr>
              <w:keepNext w:val="0"/>
              <w:keepLines w:val="0"/>
              <w:suppressLineNumbers w:val="0"/>
              <w:adjustRightInd w:val="0"/>
              <w:spacing w:before="0" w:beforeAutospacing="0" w:after="0" w:afterAutospacing="0" w:line="360" w:lineRule="auto"/>
              <w:ind w:left="0" w:right="0" w:firstLine="480" w:firstLineChars="200"/>
              <w:jc w:val="left"/>
              <w:rPr>
                <w:rFonts w:hint="default"/>
                <w:color w:val="auto"/>
                <w:sz w:val="24"/>
              </w:rPr>
            </w:pPr>
            <w:r>
              <w:rPr>
                <w:rFonts w:hint="eastAsia" w:hAnsi="宋体"/>
                <w:color w:val="auto"/>
                <w:sz w:val="24"/>
              </w:rPr>
              <w:t>⑥危废暂存间应按HJ1276要求设置危险废物贮存设施或场所标志、危险废物贮存分区标志和危险废物标签等危险废物识别标志。</w:t>
            </w:r>
          </w:p>
          <w:p w14:paraId="17F18F8D">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hAnsi="宋体"/>
                <w:color w:val="auto"/>
                <w:sz w:val="24"/>
              </w:rPr>
              <w:t>（</w:t>
            </w:r>
            <w:r>
              <w:rPr>
                <w:rFonts w:hint="default"/>
                <w:color w:val="auto"/>
                <w:sz w:val="24"/>
              </w:rPr>
              <w:t>2</w:t>
            </w:r>
            <w:r>
              <w:rPr>
                <w:rFonts w:hint="eastAsia" w:hAnsi="宋体"/>
                <w:color w:val="auto"/>
                <w:sz w:val="24"/>
              </w:rPr>
              <w:t>）运输过程污染防治措施</w:t>
            </w:r>
          </w:p>
          <w:p w14:paraId="39E03321">
            <w:pPr>
              <w:keepNext w:val="0"/>
              <w:keepLines w:val="0"/>
              <w:suppressLineNumbers w:val="0"/>
              <w:spacing w:before="0" w:beforeAutospacing="0" w:after="0" w:afterAutospacing="0" w:line="360" w:lineRule="auto"/>
              <w:ind w:left="0" w:right="0" w:firstLine="480" w:firstLineChars="200"/>
              <w:rPr>
                <w:rFonts w:hint="default" w:hAnsi="宋体"/>
                <w:color w:val="auto"/>
                <w:sz w:val="24"/>
              </w:rPr>
            </w:pPr>
            <w:r>
              <w:rPr>
                <w:rFonts w:hint="eastAsia" w:hAnsi="宋体"/>
                <w:color w:val="auto"/>
                <w:sz w:val="24"/>
              </w:rPr>
              <w:t>项目危废从产生场所转移运输到暂存场所过程中采用防渗漏的袋装、桶装，通过规范管理，可以保证转移过程桶、袋不破裂，不撒漏，避免危废泄漏或撒漏对周边环境造成影响。</w:t>
            </w:r>
          </w:p>
          <w:p w14:paraId="07EE00B2">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hAnsi="宋体"/>
                <w:color w:val="auto"/>
                <w:sz w:val="24"/>
              </w:rPr>
              <w:t>（</w:t>
            </w:r>
            <w:r>
              <w:rPr>
                <w:rFonts w:hint="default"/>
                <w:color w:val="auto"/>
                <w:sz w:val="24"/>
              </w:rPr>
              <w:t>3</w:t>
            </w:r>
            <w:r>
              <w:rPr>
                <w:rFonts w:hint="eastAsia" w:hAnsi="宋体"/>
                <w:color w:val="auto"/>
                <w:sz w:val="24"/>
              </w:rPr>
              <w:t>）日常管理要求</w:t>
            </w:r>
          </w:p>
          <w:p w14:paraId="34A20B76">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hAnsi="宋体"/>
                <w:color w:val="auto"/>
                <w:sz w:val="24"/>
              </w:rPr>
              <w:t>项目固废处置时，尽可能采用减量化、资源化利用措施。委托处置的应与处置单位签订委托处理合同，报生态环境部门备案。危险废物转移需执行报批和转移联单等制度。各固废在外运处置前，须在厂内安全暂存，确保固废不产生二次污染。</w:t>
            </w:r>
          </w:p>
          <w:p w14:paraId="22AF6CA4">
            <w:pPr>
              <w:keepNext w:val="0"/>
              <w:keepLines w:val="0"/>
              <w:suppressLineNumbers w:val="0"/>
              <w:spacing w:before="0" w:beforeAutospacing="0" w:after="0" w:afterAutospacing="0" w:line="360" w:lineRule="auto"/>
              <w:ind w:left="0" w:right="0" w:firstLine="480" w:firstLineChars="200"/>
              <w:jc w:val="left"/>
              <w:rPr>
                <w:rFonts w:hint="eastAsia"/>
                <w:color w:val="auto"/>
              </w:rPr>
            </w:pPr>
            <w:r>
              <w:rPr>
                <w:rFonts w:hint="eastAsia"/>
                <w:snapToGrid w:val="0"/>
                <w:color w:val="auto"/>
                <w:kern w:val="0"/>
                <w:sz w:val="24"/>
              </w:rPr>
              <w:t>综上所述，项目采取的各项固体废弃物处置措施可行，从一定程度上实现了固体废物资源化利用的原则，只要在运营过程中落实各项处理措施，认真执行，可将固体废弃物对环境的影响程度降到最小程度。因此，本项目固废处置措施可行。</w:t>
            </w:r>
          </w:p>
          <w:p w14:paraId="03B64BA6">
            <w:pPr>
              <w:keepNext w:val="0"/>
              <w:keepLines w:val="0"/>
              <w:suppressLineNumbers w:val="0"/>
              <w:spacing w:before="0" w:beforeAutospacing="0" w:after="0" w:afterAutospacing="0" w:line="360" w:lineRule="auto"/>
              <w:ind w:left="0" w:right="0" w:firstLine="482" w:firstLineChars="200"/>
              <w:jc w:val="left"/>
              <w:rPr>
                <w:rFonts w:hint="default"/>
                <w:b/>
                <w:snapToGrid w:val="0"/>
                <w:color w:val="auto"/>
                <w:kern w:val="0"/>
                <w:sz w:val="24"/>
              </w:rPr>
            </w:pPr>
            <w:r>
              <w:rPr>
                <w:rFonts w:hint="eastAsia"/>
                <w:b/>
                <w:snapToGrid w:val="0"/>
                <w:color w:val="auto"/>
                <w:kern w:val="0"/>
                <w:sz w:val="24"/>
              </w:rPr>
              <w:t>五、土壤、地下水环境影响分析</w:t>
            </w:r>
          </w:p>
          <w:p w14:paraId="37A4D231">
            <w:pPr>
              <w:keepNext w:val="0"/>
              <w:keepLines w:val="0"/>
              <w:suppressLineNumbers w:val="0"/>
              <w:spacing w:before="0" w:beforeAutospacing="0" w:after="0" w:afterAutospacing="0" w:line="360" w:lineRule="auto"/>
              <w:ind w:left="0" w:right="0" w:firstLine="480" w:firstLineChars="200"/>
              <w:jc w:val="left"/>
              <w:rPr>
                <w:rFonts w:hint="default"/>
                <w:color w:val="auto"/>
                <w:sz w:val="24"/>
                <w:szCs w:val="24"/>
              </w:rPr>
            </w:pPr>
            <w:r>
              <w:rPr>
                <w:rFonts w:hint="eastAsia"/>
                <w:color w:val="auto"/>
                <w:sz w:val="24"/>
                <w:szCs w:val="24"/>
              </w:rPr>
              <w:t>为更好的保护地下水环境、土壤环境，将本项目对地下水、土壤的影响降至最低，建议采取以下的污染防治措施：</w:t>
            </w:r>
          </w:p>
          <w:p w14:paraId="73DD05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宋体" w:eastAsia="宋体" w:cs="Times New Roman"/>
                <w:color w:val="auto"/>
                <w:kern w:val="2"/>
                <w:sz w:val="24"/>
                <w:szCs w:val="22"/>
                <w:lang w:val="en-US" w:eastAsia="zh-CN" w:bidi="ar-SA"/>
              </w:rPr>
            </w:pPr>
            <w:r>
              <w:rPr>
                <w:rFonts w:hint="eastAsia" w:ascii="Times New Roman" w:hAnsi="宋体" w:eastAsia="宋体" w:cs="Times New Roman"/>
                <w:color w:val="auto"/>
                <w:kern w:val="2"/>
                <w:sz w:val="24"/>
                <w:szCs w:val="22"/>
                <w:lang w:val="en-US" w:eastAsia="zh-CN" w:bidi="ar-SA"/>
              </w:rPr>
              <w:t>（1）源头控制</w:t>
            </w:r>
          </w:p>
          <w:p w14:paraId="59B628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宋体" w:eastAsia="宋体" w:cs="Times New Roman"/>
                <w:color w:val="auto"/>
                <w:kern w:val="2"/>
                <w:sz w:val="24"/>
                <w:szCs w:val="22"/>
                <w:lang w:val="en-US" w:eastAsia="zh-CN" w:bidi="ar-SA"/>
              </w:rPr>
            </w:pPr>
            <w:r>
              <w:rPr>
                <w:rFonts w:hint="eastAsia" w:ascii="Times New Roman" w:hAnsi="宋体" w:eastAsia="宋体" w:cs="Times New Roman"/>
                <w:color w:val="auto"/>
                <w:kern w:val="2"/>
                <w:sz w:val="24"/>
                <w:szCs w:val="22"/>
                <w:lang w:val="en-US" w:eastAsia="zh-CN" w:bidi="ar-SA"/>
              </w:rPr>
              <w:t>严格按照国家相关规范要求，坚持</w:t>
            </w:r>
            <w:r>
              <w:rPr>
                <w:rFonts w:hint="eastAsia" w:hAnsi="宋体" w:cs="Times New Roman"/>
                <w:color w:val="auto"/>
                <w:kern w:val="2"/>
                <w:sz w:val="24"/>
                <w:szCs w:val="22"/>
                <w:lang w:val="en-US" w:eastAsia="zh-CN" w:bidi="ar-SA"/>
              </w:rPr>
              <w:t>“</w:t>
            </w:r>
            <w:r>
              <w:rPr>
                <w:rFonts w:hint="eastAsia" w:ascii="Times New Roman" w:hAnsi="宋体" w:eastAsia="宋体" w:cs="Times New Roman"/>
                <w:color w:val="auto"/>
                <w:kern w:val="2"/>
                <w:sz w:val="24"/>
                <w:szCs w:val="22"/>
                <w:lang w:val="en-US" w:eastAsia="zh-CN" w:bidi="ar-SA"/>
              </w:rPr>
              <w:t>预防为主，防治结合，综合治理</w:t>
            </w:r>
            <w:r>
              <w:rPr>
                <w:rFonts w:hint="eastAsia" w:hAnsi="宋体" w:cs="Times New Roman"/>
                <w:color w:val="auto"/>
                <w:kern w:val="2"/>
                <w:sz w:val="24"/>
                <w:szCs w:val="22"/>
                <w:lang w:val="en-US" w:eastAsia="zh-CN" w:bidi="ar-SA"/>
              </w:rPr>
              <w:t>”</w:t>
            </w:r>
            <w:r>
              <w:rPr>
                <w:rFonts w:hint="eastAsia" w:ascii="Times New Roman" w:hAnsi="宋体" w:eastAsia="宋体" w:cs="Times New Roman"/>
                <w:color w:val="auto"/>
                <w:kern w:val="2"/>
                <w:sz w:val="24"/>
                <w:szCs w:val="22"/>
                <w:lang w:val="en-US" w:eastAsia="zh-CN" w:bidi="ar-SA"/>
              </w:rPr>
              <w:t>的原则，从源头上减少地下水、土壤污染源的产生，是符合污染防治的基本措施。</w:t>
            </w:r>
          </w:p>
          <w:p w14:paraId="198A98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宋体" w:eastAsia="宋体" w:cs="Times New Roman"/>
                <w:color w:val="auto"/>
                <w:kern w:val="2"/>
                <w:sz w:val="24"/>
                <w:szCs w:val="22"/>
                <w:lang w:val="en-US" w:eastAsia="zh-CN" w:bidi="ar-SA"/>
              </w:rPr>
            </w:pPr>
            <w:r>
              <w:rPr>
                <w:rFonts w:hint="eastAsia" w:ascii="Times New Roman" w:hAnsi="宋体" w:eastAsia="宋体" w:cs="Times New Roman"/>
                <w:color w:val="auto"/>
                <w:kern w:val="2"/>
                <w:sz w:val="24"/>
                <w:szCs w:val="22"/>
                <w:lang w:val="en-US" w:eastAsia="zh-CN" w:bidi="ar-SA"/>
              </w:rPr>
              <w:t>（2）分区防渗</w:t>
            </w:r>
          </w:p>
          <w:p w14:paraId="70A7983C">
            <w:pPr>
              <w:pStyle w:val="147"/>
              <w:keepNext w:val="0"/>
              <w:keepLines w:val="0"/>
              <w:suppressLineNumbers w:val="0"/>
              <w:spacing w:before="0" w:beforeAutospacing="0" w:after="0" w:afterAutospacing="0" w:line="360" w:lineRule="auto"/>
              <w:ind w:left="0" w:right="0" w:firstLine="480"/>
              <w:rPr>
                <w:rFonts w:hint="default" w:hAnsi="宋体"/>
                <w:color w:val="auto"/>
                <w:sz w:val="24"/>
              </w:rPr>
            </w:pPr>
            <w:r>
              <w:rPr>
                <w:rFonts w:hint="eastAsia"/>
                <w:color w:val="auto"/>
                <w:sz w:val="24"/>
              </w:rPr>
              <w:t>①重点防渗区：</w:t>
            </w:r>
            <w:r>
              <w:rPr>
                <w:rFonts w:hint="eastAsia"/>
                <w:color w:val="auto"/>
                <w:sz w:val="24"/>
                <w:szCs w:val="24"/>
              </w:rPr>
              <w:t>危废暂存间、</w:t>
            </w:r>
            <w:r>
              <w:rPr>
                <w:rFonts w:hint="eastAsia"/>
                <w:color w:val="auto"/>
                <w:sz w:val="24"/>
                <w:szCs w:val="24"/>
                <w:lang w:val="en-US" w:eastAsia="zh-CN"/>
              </w:rPr>
              <w:t>化学品库</w:t>
            </w:r>
            <w:r>
              <w:rPr>
                <w:rFonts w:hint="eastAsia"/>
                <w:color w:val="auto"/>
                <w:sz w:val="24"/>
              </w:rPr>
              <w:t>。</w:t>
            </w:r>
            <w:r>
              <w:rPr>
                <w:rFonts w:hint="default" w:hAnsi="宋体"/>
                <w:color w:val="auto"/>
                <w:sz w:val="24"/>
              </w:rPr>
              <w:t>根据《危险废物贮存污染控制标准》（</w:t>
            </w:r>
            <w:r>
              <w:rPr>
                <w:rFonts w:hint="default"/>
                <w:color w:val="auto"/>
                <w:sz w:val="24"/>
              </w:rPr>
              <w:t>GB18597-20</w:t>
            </w:r>
            <w:r>
              <w:rPr>
                <w:rFonts w:hint="eastAsia"/>
                <w:color w:val="auto"/>
                <w:sz w:val="24"/>
              </w:rPr>
              <w:t>23</w:t>
            </w:r>
            <w:r>
              <w:rPr>
                <w:rFonts w:hint="default" w:hAnsi="宋体"/>
                <w:color w:val="auto"/>
                <w:sz w:val="24"/>
              </w:rPr>
              <w:t>），危险废物直接接触地面的基础</w:t>
            </w:r>
            <w:r>
              <w:rPr>
                <w:rFonts w:hint="eastAsia" w:hAnsi="宋体"/>
                <w:color w:val="auto"/>
                <w:sz w:val="24"/>
              </w:rPr>
              <w:t>防渗层为至少1m厚黏土层（渗透系数不大于10</w:t>
            </w:r>
            <w:r>
              <w:rPr>
                <w:rFonts w:hint="eastAsia" w:hAnsi="宋体"/>
                <w:color w:val="auto"/>
                <w:sz w:val="24"/>
                <w:vertAlign w:val="superscript"/>
              </w:rPr>
              <w:t>-7</w:t>
            </w:r>
            <w:r>
              <w:rPr>
                <w:rFonts w:hint="eastAsia" w:hAnsi="宋体"/>
                <w:color w:val="auto"/>
                <w:sz w:val="24"/>
              </w:rPr>
              <w:t>cm/s），或至少2mm厚高密度聚乙烯膜等人工防渗材料（渗透系数不大于10</w:t>
            </w:r>
            <w:r>
              <w:rPr>
                <w:rFonts w:hint="eastAsia" w:hAnsi="宋体"/>
                <w:color w:val="auto"/>
                <w:sz w:val="24"/>
                <w:vertAlign w:val="superscript"/>
              </w:rPr>
              <w:t>-10</w:t>
            </w:r>
            <w:r>
              <w:rPr>
                <w:rFonts w:hint="eastAsia" w:hAnsi="宋体"/>
                <w:color w:val="auto"/>
                <w:sz w:val="24"/>
              </w:rPr>
              <w:t>cm/s），或其他防渗性能等效的材料。本项目危废暂存间</w:t>
            </w:r>
            <w:r>
              <w:rPr>
                <w:rFonts w:hint="eastAsia" w:hAnsi="宋体"/>
                <w:color w:val="auto"/>
                <w:sz w:val="24"/>
                <w:lang w:eastAsia="zh-CN"/>
              </w:rPr>
              <w:t>、</w:t>
            </w:r>
            <w:r>
              <w:rPr>
                <w:rFonts w:hint="eastAsia"/>
                <w:color w:val="auto"/>
                <w:sz w:val="24"/>
                <w:szCs w:val="24"/>
                <w:lang w:val="en-US" w:eastAsia="zh-CN"/>
              </w:rPr>
              <w:t>化学品库拟</w:t>
            </w:r>
            <w:r>
              <w:rPr>
                <w:rFonts w:hint="eastAsia" w:hAnsi="宋体"/>
                <w:color w:val="auto"/>
                <w:sz w:val="24"/>
              </w:rPr>
              <w:t>采用抗渗混凝土防渗并涂抹2mm厚的环氧树脂</w:t>
            </w:r>
            <w:r>
              <w:rPr>
                <w:rFonts w:hint="eastAsia" w:hAnsi="宋体"/>
                <w:color w:val="auto"/>
                <w:sz w:val="24"/>
                <w:lang w:val="en-US" w:eastAsia="zh-CN"/>
              </w:rPr>
              <w:t>进行重点防渗</w:t>
            </w:r>
            <w:r>
              <w:rPr>
                <w:rFonts w:hint="eastAsia" w:hAnsi="宋体"/>
                <w:color w:val="auto"/>
                <w:sz w:val="24"/>
              </w:rPr>
              <w:t>。</w:t>
            </w:r>
          </w:p>
          <w:p w14:paraId="10E52A1A">
            <w:pPr>
              <w:pStyle w:val="147"/>
              <w:keepNext w:val="0"/>
              <w:keepLines w:val="0"/>
              <w:suppressLineNumbers w:val="0"/>
              <w:spacing w:before="0" w:beforeAutospacing="0" w:after="0" w:afterAutospacing="0" w:line="360" w:lineRule="auto"/>
              <w:ind w:left="0" w:right="0" w:firstLine="480"/>
              <w:rPr>
                <w:rFonts w:hint="eastAsia" w:hAnsi="宋体"/>
                <w:color w:val="auto"/>
                <w:sz w:val="24"/>
              </w:rPr>
            </w:pPr>
            <w:r>
              <w:rPr>
                <w:rFonts w:hint="eastAsia" w:hAnsi="宋体"/>
                <w:color w:val="auto"/>
                <w:sz w:val="24"/>
              </w:rPr>
              <w:t>②一般防渗区：</w:t>
            </w:r>
            <w:r>
              <w:rPr>
                <w:rFonts w:hint="eastAsia"/>
                <w:b w:val="0"/>
                <w:bCs w:val="0"/>
                <w:color w:val="auto"/>
                <w:sz w:val="24"/>
                <w:szCs w:val="24"/>
                <w:lang w:val="en-US" w:eastAsia="zh-CN"/>
              </w:rPr>
              <w:t>生产区域</w:t>
            </w:r>
            <w:r>
              <w:rPr>
                <w:rFonts w:hint="eastAsia"/>
                <w:b w:val="0"/>
                <w:bCs w:val="0"/>
                <w:color w:val="auto"/>
                <w:sz w:val="24"/>
                <w:szCs w:val="24"/>
              </w:rPr>
              <w:t>、</w:t>
            </w:r>
            <w:r>
              <w:rPr>
                <w:rFonts w:hint="eastAsia"/>
                <w:b w:val="0"/>
                <w:bCs w:val="0"/>
                <w:color w:val="auto"/>
                <w:sz w:val="24"/>
                <w:szCs w:val="24"/>
                <w:lang w:val="en-US" w:eastAsia="zh-CN"/>
              </w:rPr>
              <w:t>原材料存放区、包材区、</w:t>
            </w:r>
            <w:r>
              <w:rPr>
                <w:rFonts w:hint="eastAsia"/>
                <w:b w:val="0"/>
                <w:bCs w:val="0"/>
                <w:color w:val="auto"/>
                <w:sz w:val="24"/>
                <w:szCs w:val="24"/>
              </w:rPr>
              <w:t>配电房</w:t>
            </w:r>
            <w:r>
              <w:rPr>
                <w:rFonts w:hint="eastAsia"/>
                <w:b w:val="0"/>
                <w:bCs w:val="0"/>
                <w:color w:val="auto"/>
                <w:sz w:val="24"/>
                <w:szCs w:val="24"/>
                <w:lang w:val="en-US" w:eastAsia="zh-CN"/>
              </w:rPr>
              <w:t>及一般工业固废间等</w:t>
            </w:r>
            <w:r>
              <w:rPr>
                <w:rFonts w:hint="eastAsia" w:hAnsi="宋体"/>
                <w:color w:val="auto"/>
                <w:sz w:val="24"/>
                <w:szCs w:val="24"/>
              </w:rPr>
              <w:t>除</w:t>
            </w:r>
            <w:r>
              <w:rPr>
                <w:rFonts w:hint="eastAsia" w:hAnsi="宋体"/>
                <w:color w:val="auto"/>
                <w:sz w:val="24"/>
              </w:rPr>
              <w:t>重点防渗区域之外的生产厂房其他区域。</w:t>
            </w:r>
          </w:p>
          <w:p w14:paraId="166F56D7">
            <w:pPr>
              <w:pStyle w:val="147"/>
              <w:keepNext w:val="0"/>
              <w:keepLines w:val="0"/>
              <w:suppressLineNumbers w:val="0"/>
              <w:spacing w:before="0" w:beforeAutospacing="0" w:after="0" w:afterAutospacing="0" w:line="360" w:lineRule="auto"/>
              <w:ind w:left="0" w:right="0" w:firstLine="480"/>
              <w:rPr>
                <w:rFonts w:hint="eastAsia" w:hAnsi="宋体"/>
                <w:color w:val="auto"/>
                <w:sz w:val="24"/>
              </w:rPr>
            </w:pPr>
          </w:p>
          <w:p w14:paraId="29996E25">
            <w:pPr>
              <w:pStyle w:val="147"/>
              <w:keepNext w:val="0"/>
              <w:keepLines w:val="0"/>
              <w:suppressLineNumbers w:val="0"/>
              <w:spacing w:before="0" w:beforeAutospacing="0" w:after="0" w:afterAutospacing="0" w:line="360" w:lineRule="auto"/>
              <w:ind w:left="0" w:right="0" w:firstLine="480"/>
              <w:rPr>
                <w:rFonts w:hint="eastAsia" w:hAnsi="宋体"/>
                <w:color w:val="auto"/>
                <w:sz w:val="24"/>
              </w:rPr>
            </w:pPr>
          </w:p>
          <w:p w14:paraId="2B4BA927">
            <w:pPr>
              <w:pStyle w:val="147"/>
              <w:keepNext w:val="0"/>
              <w:keepLines w:val="0"/>
              <w:suppressLineNumbers w:val="0"/>
              <w:spacing w:before="0" w:beforeAutospacing="0" w:after="0" w:afterAutospacing="0" w:line="360" w:lineRule="auto"/>
              <w:ind w:left="0" w:right="0" w:firstLine="480"/>
              <w:rPr>
                <w:rFonts w:hint="default" w:hAnsi="宋体"/>
                <w:color w:val="auto"/>
                <w:sz w:val="24"/>
              </w:rPr>
            </w:pPr>
          </w:p>
          <w:p w14:paraId="5C350AEB">
            <w:pPr>
              <w:keepNext w:val="0"/>
              <w:keepLines w:val="0"/>
              <w:suppressLineNumbers w:val="0"/>
              <w:bidi w:val="0"/>
              <w:spacing w:before="0" w:beforeAutospacing="0" w:after="0" w:afterAutospacing="0" w:line="360" w:lineRule="auto"/>
              <w:ind w:left="0" w:right="0"/>
              <w:jc w:val="center"/>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表</w:t>
            </w:r>
            <w:r>
              <w:rPr>
                <w:rFonts w:hint="eastAsia" w:eastAsia="黑体" w:cs="Times New Roman"/>
                <w:color w:val="auto"/>
                <w:sz w:val="24"/>
                <w:szCs w:val="24"/>
                <w:lang w:val="en-US" w:eastAsia="zh-CN"/>
              </w:rPr>
              <w:t>4-20</w:t>
            </w:r>
            <w:r>
              <w:rPr>
                <w:rFonts w:hint="default" w:ascii="Times New Roman" w:hAnsi="Times New Roman" w:eastAsia="黑体" w:cs="Times New Roman"/>
                <w:color w:val="auto"/>
                <w:sz w:val="24"/>
                <w:szCs w:val="24"/>
              </w:rPr>
              <w:t xml:space="preserve"> 本项目分区防渗措施要求</w:t>
            </w:r>
          </w:p>
          <w:tbl>
            <w:tblPr>
              <w:tblStyle w:val="3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43"/>
              <w:gridCol w:w="1834"/>
              <w:gridCol w:w="1972"/>
              <w:gridCol w:w="2216"/>
            </w:tblGrid>
            <w:tr w14:paraId="5BAF17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36" w:hRule="atLeast"/>
                <w:tblHeader/>
                <w:jc w:val="center"/>
              </w:trPr>
              <w:tc>
                <w:tcPr>
                  <w:tcW w:w="1219" w:type="pct"/>
                  <w:vAlign w:val="center"/>
                </w:tcPr>
                <w:p w14:paraId="7907957B">
                  <w:pPr>
                    <w:keepNext w:val="0"/>
                    <w:keepLines w:val="0"/>
                    <w:widowControl/>
                    <w:suppressLineNumbers w:val="0"/>
                    <w:autoSpaceDN w:val="0"/>
                    <w:spacing w:before="0" w:beforeAutospacing="0" w:after="0" w:afterAutospacing="0" w:line="276" w:lineRule="auto"/>
                    <w:ind w:left="0" w:right="0"/>
                    <w:jc w:val="center"/>
                    <w:rPr>
                      <w:rFonts w:hint="default"/>
                      <w:b/>
                      <w:color w:val="auto"/>
                      <w:szCs w:val="21"/>
                    </w:rPr>
                  </w:pPr>
                  <w:r>
                    <w:rPr>
                      <w:rFonts w:hint="eastAsia"/>
                      <w:b/>
                      <w:color w:val="auto"/>
                      <w:szCs w:val="21"/>
                    </w:rPr>
                    <w:t>构筑物</w:t>
                  </w:r>
                  <w:r>
                    <w:rPr>
                      <w:rFonts w:hint="default"/>
                      <w:b/>
                      <w:color w:val="auto"/>
                      <w:szCs w:val="21"/>
                    </w:rPr>
                    <w:t>单元名称</w:t>
                  </w:r>
                </w:p>
              </w:tc>
              <w:tc>
                <w:tcPr>
                  <w:tcW w:w="1151" w:type="pct"/>
                  <w:vAlign w:val="center"/>
                </w:tcPr>
                <w:p w14:paraId="0657BE03">
                  <w:pPr>
                    <w:keepNext w:val="0"/>
                    <w:keepLines w:val="0"/>
                    <w:widowControl/>
                    <w:suppressLineNumbers w:val="0"/>
                    <w:autoSpaceDN w:val="0"/>
                    <w:spacing w:before="0" w:beforeAutospacing="0" w:after="0" w:afterAutospacing="0" w:line="276" w:lineRule="auto"/>
                    <w:ind w:left="0" w:right="0"/>
                    <w:jc w:val="center"/>
                    <w:rPr>
                      <w:rFonts w:hint="default"/>
                      <w:b/>
                      <w:color w:val="auto"/>
                      <w:szCs w:val="21"/>
                    </w:rPr>
                  </w:pPr>
                  <w:r>
                    <w:rPr>
                      <w:rFonts w:hint="default"/>
                      <w:b/>
                      <w:color w:val="auto"/>
                      <w:szCs w:val="21"/>
                    </w:rPr>
                    <w:t>污染防治区类别</w:t>
                  </w:r>
                </w:p>
              </w:tc>
              <w:tc>
                <w:tcPr>
                  <w:tcW w:w="1237" w:type="pct"/>
                  <w:vAlign w:val="center"/>
                </w:tcPr>
                <w:p w14:paraId="27415CC5">
                  <w:pPr>
                    <w:keepNext w:val="0"/>
                    <w:keepLines w:val="0"/>
                    <w:widowControl/>
                    <w:suppressLineNumbers w:val="0"/>
                    <w:autoSpaceDN w:val="0"/>
                    <w:spacing w:before="0" w:beforeAutospacing="0" w:after="0" w:afterAutospacing="0" w:line="276" w:lineRule="auto"/>
                    <w:ind w:left="0" w:right="0"/>
                    <w:jc w:val="center"/>
                    <w:rPr>
                      <w:rFonts w:hint="default"/>
                      <w:b/>
                      <w:color w:val="auto"/>
                      <w:szCs w:val="21"/>
                    </w:rPr>
                  </w:pPr>
                  <w:r>
                    <w:rPr>
                      <w:rFonts w:hint="default"/>
                      <w:b/>
                      <w:color w:val="auto"/>
                      <w:szCs w:val="21"/>
                    </w:rPr>
                    <w:t>防渗设计要求</w:t>
                  </w:r>
                </w:p>
              </w:tc>
              <w:tc>
                <w:tcPr>
                  <w:tcW w:w="1391" w:type="pct"/>
                  <w:vAlign w:val="center"/>
                </w:tcPr>
                <w:p w14:paraId="5C772000">
                  <w:pPr>
                    <w:keepNext w:val="0"/>
                    <w:keepLines w:val="0"/>
                    <w:widowControl/>
                    <w:suppressLineNumbers w:val="0"/>
                    <w:autoSpaceDN w:val="0"/>
                    <w:spacing w:before="0" w:beforeAutospacing="0" w:after="0" w:afterAutospacing="0" w:line="276" w:lineRule="auto"/>
                    <w:ind w:left="0" w:right="0"/>
                    <w:jc w:val="center"/>
                    <w:rPr>
                      <w:rFonts w:hint="default"/>
                      <w:b/>
                      <w:color w:val="auto"/>
                      <w:szCs w:val="21"/>
                    </w:rPr>
                  </w:pPr>
                  <w:r>
                    <w:rPr>
                      <w:rFonts w:hint="default"/>
                      <w:b/>
                      <w:color w:val="auto"/>
                      <w:szCs w:val="21"/>
                    </w:rPr>
                    <w:t>本项目防渗设计</w:t>
                  </w:r>
                </w:p>
              </w:tc>
            </w:tr>
            <w:tr w14:paraId="1DACE5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60" w:hRule="atLeast"/>
                <w:jc w:val="center"/>
              </w:trPr>
              <w:tc>
                <w:tcPr>
                  <w:tcW w:w="1219" w:type="pct"/>
                  <w:vAlign w:val="center"/>
                </w:tcPr>
                <w:p w14:paraId="21798434">
                  <w:pPr>
                    <w:keepNext w:val="0"/>
                    <w:keepLines w:val="0"/>
                    <w:widowControl/>
                    <w:suppressLineNumbers w:val="0"/>
                    <w:autoSpaceDN w:val="0"/>
                    <w:spacing w:before="0" w:beforeAutospacing="0" w:after="0" w:afterAutospacing="0" w:line="276" w:lineRule="auto"/>
                    <w:ind w:left="0" w:right="0"/>
                    <w:jc w:val="center"/>
                    <w:rPr>
                      <w:rFonts w:hint="default" w:eastAsia="宋体"/>
                      <w:color w:val="auto"/>
                      <w:szCs w:val="21"/>
                      <w:lang w:val="en-US" w:eastAsia="zh-CN"/>
                    </w:rPr>
                  </w:pPr>
                  <w:r>
                    <w:rPr>
                      <w:rFonts w:hint="default" w:eastAsia="宋体"/>
                      <w:color w:val="auto"/>
                      <w:szCs w:val="21"/>
                      <w:lang w:val="en-US" w:eastAsia="zh-CN"/>
                    </w:rPr>
                    <w:t>危废暂存间、化学品库</w:t>
                  </w:r>
                </w:p>
              </w:tc>
              <w:tc>
                <w:tcPr>
                  <w:tcW w:w="1151" w:type="pct"/>
                  <w:vAlign w:val="center"/>
                </w:tcPr>
                <w:p w14:paraId="1E7CC58D">
                  <w:pPr>
                    <w:keepNext w:val="0"/>
                    <w:keepLines w:val="0"/>
                    <w:widowControl/>
                    <w:suppressLineNumbers w:val="0"/>
                    <w:autoSpaceDN w:val="0"/>
                    <w:spacing w:before="0" w:beforeAutospacing="0" w:after="0" w:afterAutospacing="0" w:line="276" w:lineRule="auto"/>
                    <w:ind w:left="0" w:right="0"/>
                    <w:jc w:val="center"/>
                    <w:rPr>
                      <w:rFonts w:hint="default"/>
                      <w:color w:val="auto"/>
                      <w:szCs w:val="21"/>
                    </w:rPr>
                  </w:pPr>
                  <w:r>
                    <w:rPr>
                      <w:rFonts w:hint="default"/>
                      <w:color w:val="auto"/>
                      <w:szCs w:val="21"/>
                    </w:rPr>
                    <w:t>重点防渗区</w:t>
                  </w:r>
                </w:p>
              </w:tc>
              <w:tc>
                <w:tcPr>
                  <w:tcW w:w="1237" w:type="pct"/>
                  <w:vAlign w:val="center"/>
                </w:tcPr>
                <w:p w14:paraId="267A3E17">
                  <w:pPr>
                    <w:keepNext w:val="0"/>
                    <w:keepLines w:val="0"/>
                    <w:suppressLineNumbers w:val="0"/>
                    <w:spacing w:before="0" w:beforeAutospacing="0" w:after="0" w:afterAutospacing="0" w:line="276" w:lineRule="auto"/>
                    <w:ind w:left="0" w:right="0"/>
                    <w:jc w:val="center"/>
                    <w:rPr>
                      <w:rFonts w:hint="default"/>
                      <w:color w:val="auto"/>
                      <w:szCs w:val="21"/>
                    </w:rPr>
                  </w:pPr>
                  <w:r>
                    <w:rPr>
                      <w:rFonts w:hint="default"/>
                      <w:color w:val="auto"/>
                    </w:rPr>
                    <w:t>等效黏土防渗层Mb≥</w:t>
                  </w:r>
                  <w:r>
                    <w:rPr>
                      <w:rFonts w:hint="eastAsia"/>
                      <w:color w:val="auto"/>
                    </w:rPr>
                    <w:t>1.0</w:t>
                  </w:r>
                  <w:r>
                    <w:rPr>
                      <w:rFonts w:hint="default"/>
                      <w:color w:val="auto"/>
                    </w:rPr>
                    <w:t>m，K≤1×10</w:t>
                  </w:r>
                  <w:r>
                    <w:rPr>
                      <w:rFonts w:hint="default"/>
                      <w:color w:val="auto"/>
                      <w:vertAlign w:val="superscript"/>
                    </w:rPr>
                    <w:t>-</w:t>
                  </w:r>
                  <w:r>
                    <w:rPr>
                      <w:rFonts w:hint="eastAsia"/>
                      <w:color w:val="auto"/>
                      <w:vertAlign w:val="superscript"/>
                    </w:rPr>
                    <w:t>7</w:t>
                  </w:r>
                  <w:r>
                    <w:rPr>
                      <w:rFonts w:hint="default"/>
                      <w:color w:val="auto"/>
                    </w:rPr>
                    <w:t>cm/s；或参照GB18598</w:t>
                  </w:r>
                </w:p>
              </w:tc>
              <w:tc>
                <w:tcPr>
                  <w:tcW w:w="1391" w:type="pct"/>
                  <w:vAlign w:val="center"/>
                </w:tcPr>
                <w:p w14:paraId="5B8A6629">
                  <w:pPr>
                    <w:keepNext w:val="0"/>
                    <w:keepLines w:val="0"/>
                    <w:suppressLineNumbers w:val="0"/>
                    <w:spacing w:before="0" w:beforeAutospacing="0" w:after="0" w:afterAutospacing="0" w:line="276" w:lineRule="auto"/>
                    <w:ind w:left="0" w:right="0"/>
                    <w:jc w:val="center"/>
                    <w:rPr>
                      <w:rFonts w:hint="default"/>
                      <w:color w:val="auto"/>
                    </w:rPr>
                  </w:pPr>
                  <w:r>
                    <w:rPr>
                      <w:rFonts w:hint="eastAsia"/>
                      <w:color w:val="auto"/>
                    </w:rPr>
                    <w:t>采用</w:t>
                  </w:r>
                  <w:r>
                    <w:rPr>
                      <w:rFonts w:hint="eastAsia"/>
                      <w:color w:val="auto"/>
                      <w:lang w:val="en-US" w:eastAsia="zh-CN"/>
                    </w:rPr>
                    <w:t>250mm厚</w:t>
                  </w:r>
                  <w:r>
                    <w:rPr>
                      <w:rFonts w:hint="eastAsia"/>
                      <w:color w:val="auto"/>
                    </w:rPr>
                    <w:t>抗渗混凝土防渗+2mm厚的环氧树脂</w:t>
                  </w:r>
                </w:p>
              </w:tc>
            </w:tr>
            <w:tr w14:paraId="03CFA0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17" w:hRule="atLeast"/>
                <w:jc w:val="center"/>
              </w:trPr>
              <w:tc>
                <w:tcPr>
                  <w:tcW w:w="1219" w:type="pct"/>
                  <w:vAlign w:val="center"/>
                </w:tcPr>
                <w:p w14:paraId="520EEF22">
                  <w:pPr>
                    <w:keepNext w:val="0"/>
                    <w:keepLines w:val="0"/>
                    <w:suppressLineNumbers w:val="0"/>
                    <w:autoSpaceDN w:val="0"/>
                    <w:spacing w:before="0" w:beforeAutospacing="0" w:after="0" w:afterAutospacing="0" w:line="276" w:lineRule="auto"/>
                    <w:ind w:left="0" w:right="0"/>
                    <w:jc w:val="center"/>
                    <w:rPr>
                      <w:rFonts w:hint="default"/>
                      <w:color w:val="auto"/>
                      <w:szCs w:val="21"/>
                      <w:lang w:val="zh-CN"/>
                    </w:rPr>
                  </w:pPr>
                  <w:r>
                    <w:rPr>
                      <w:rFonts w:hint="eastAsia"/>
                      <w:b w:val="0"/>
                      <w:bCs w:val="0"/>
                      <w:color w:val="auto"/>
                      <w:szCs w:val="21"/>
                      <w:lang w:val="en-US" w:eastAsia="zh-CN"/>
                    </w:rPr>
                    <w:t>生产区域</w:t>
                  </w:r>
                  <w:r>
                    <w:rPr>
                      <w:rFonts w:hint="eastAsia"/>
                      <w:b w:val="0"/>
                      <w:bCs w:val="0"/>
                      <w:color w:val="auto"/>
                      <w:szCs w:val="21"/>
                    </w:rPr>
                    <w:t>、</w:t>
                  </w:r>
                  <w:r>
                    <w:rPr>
                      <w:rFonts w:hint="eastAsia"/>
                      <w:b w:val="0"/>
                      <w:bCs w:val="0"/>
                      <w:color w:val="auto"/>
                      <w:szCs w:val="21"/>
                      <w:lang w:val="en-US" w:eastAsia="zh-CN"/>
                    </w:rPr>
                    <w:t>原材料存放区、包材区、</w:t>
                  </w:r>
                  <w:r>
                    <w:rPr>
                      <w:rFonts w:hint="eastAsia"/>
                      <w:b w:val="0"/>
                      <w:bCs w:val="0"/>
                      <w:color w:val="auto"/>
                      <w:szCs w:val="21"/>
                    </w:rPr>
                    <w:t>配电房</w:t>
                  </w:r>
                  <w:r>
                    <w:rPr>
                      <w:rFonts w:hint="eastAsia"/>
                      <w:b w:val="0"/>
                      <w:bCs w:val="0"/>
                      <w:color w:val="auto"/>
                      <w:szCs w:val="21"/>
                      <w:lang w:val="en-US" w:eastAsia="zh-CN"/>
                    </w:rPr>
                    <w:t>及一般工业固废间</w:t>
                  </w:r>
                  <w:r>
                    <w:rPr>
                      <w:rFonts w:hint="eastAsia"/>
                      <w:b w:val="0"/>
                      <w:bCs w:val="0"/>
                      <w:color w:val="auto"/>
                      <w:szCs w:val="21"/>
                    </w:rPr>
                    <w:t>等</w:t>
                  </w:r>
                  <w:r>
                    <w:rPr>
                      <w:rFonts w:hint="default"/>
                      <w:color w:val="auto"/>
                      <w:szCs w:val="21"/>
                      <w:lang w:val="zh-CN"/>
                    </w:rPr>
                    <w:t>除重点防渗区以外生产厂房的其他区域</w:t>
                  </w:r>
                </w:p>
              </w:tc>
              <w:tc>
                <w:tcPr>
                  <w:tcW w:w="1151" w:type="pct"/>
                  <w:vAlign w:val="center"/>
                </w:tcPr>
                <w:p w14:paraId="6741E4D9">
                  <w:pPr>
                    <w:keepNext w:val="0"/>
                    <w:keepLines w:val="0"/>
                    <w:widowControl/>
                    <w:suppressLineNumbers w:val="0"/>
                    <w:autoSpaceDN w:val="0"/>
                    <w:spacing w:before="0" w:beforeAutospacing="0" w:after="0" w:afterAutospacing="0" w:line="276" w:lineRule="auto"/>
                    <w:ind w:left="0" w:right="0"/>
                    <w:jc w:val="center"/>
                    <w:rPr>
                      <w:rFonts w:hint="default"/>
                      <w:color w:val="auto"/>
                      <w:szCs w:val="21"/>
                    </w:rPr>
                  </w:pPr>
                  <w:r>
                    <w:rPr>
                      <w:rFonts w:hint="eastAsia"/>
                      <w:color w:val="auto"/>
                      <w:szCs w:val="21"/>
                    </w:rPr>
                    <w:t>一般</w:t>
                  </w:r>
                  <w:r>
                    <w:rPr>
                      <w:rFonts w:hint="default"/>
                      <w:color w:val="auto"/>
                      <w:szCs w:val="21"/>
                    </w:rPr>
                    <w:t>防渗区</w:t>
                  </w:r>
                </w:p>
              </w:tc>
              <w:tc>
                <w:tcPr>
                  <w:tcW w:w="1237" w:type="pct"/>
                  <w:vAlign w:val="center"/>
                </w:tcPr>
                <w:p w14:paraId="026180BE">
                  <w:pPr>
                    <w:keepNext w:val="0"/>
                    <w:keepLines w:val="0"/>
                    <w:widowControl/>
                    <w:suppressLineNumbers w:val="0"/>
                    <w:autoSpaceDN w:val="0"/>
                    <w:spacing w:before="0" w:beforeAutospacing="0" w:after="0" w:afterAutospacing="0" w:line="276" w:lineRule="auto"/>
                    <w:ind w:left="0" w:right="0"/>
                    <w:jc w:val="center"/>
                    <w:rPr>
                      <w:rFonts w:hint="default"/>
                      <w:color w:val="auto"/>
                      <w:szCs w:val="21"/>
                    </w:rPr>
                  </w:pPr>
                  <w:r>
                    <w:rPr>
                      <w:rFonts w:hint="default"/>
                      <w:color w:val="auto"/>
                    </w:rPr>
                    <w:t>等效黏土防渗层Mb≥1.5m，或参照GB16889</w:t>
                  </w:r>
                </w:p>
              </w:tc>
              <w:tc>
                <w:tcPr>
                  <w:tcW w:w="1391" w:type="pct"/>
                  <w:vAlign w:val="center"/>
                </w:tcPr>
                <w:p w14:paraId="7890298B">
                  <w:pPr>
                    <w:keepNext w:val="0"/>
                    <w:keepLines w:val="0"/>
                    <w:widowControl/>
                    <w:suppressLineNumbers w:val="0"/>
                    <w:autoSpaceDN w:val="0"/>
                    <w:spacing w:before="0" w:beforeAutospacing="0" w:after="0" w:afterAutospacing="0" w:line="276" w:lineRule="auto"/>
                    <w:ind w:left="0" w:right="0"/>
                    <w:jc w:val="center"/>
                    <w:rPr>
                      <w:rFonts w:hint="default"/>
                      <w:color w:val="auto"/>
                    </w:rPr>
                  </w:pPr>
                  <w:r>
                    <w:rPr>
                      <w:rFonts w:hint="eastAsia"/>
                      <w:color w:val="auto"/>
                    </w:rPr>
                    <w:t>采用</w:t>
                  </w:r>
                  <w:r>
                    <w:rPr>
                      <w:rFonts w:hint="eastAsia"/>
                      <w:color w:val="auto"/>
                      <w:lang w:val="en-US" w:eastAsia="zh-CN"/>
                    </w:rPr>
                    <w:t>250mm厚</w:t>
                  </w:r>
                  <w:r>
                    <w:rPr>
                      <w:rFonts w:hint="eastAsia"/>
                      <w:color w:val="auto"/>
                    </w:rPr>
                    <w:t>抗渗混凝土防渗</w:t>
                  </w:r>
                </w:p>
              </w:tc>
            </w:tr>
          </w:tbl>
          <w:p w14:paraId="385F7092">
            <w:pPr>
              <w:keepNext w:val="0"/>
              <w:keepLines w:val="0"/>
              <w:suppressLineNumbers w:val="0"/>
              <w:spacing w:before="0" w:beforeAutospacing="0" w:after="0" w:afterAutospacing="0" w:line="440" w:lineRule="exact"/>
              <w:ind w:left="0" w:right="0" w:firstLine="470" w:firstLineChars="196"/>
              <w:rPr>
                <w:rFonts w:hint="default"/>
                <w:b/>
                <w:color w:val="auto"/>
                <w:sz w:val="24"/>
                <w:szCs w:val="24"/>
              </w:rPr>
            </w:pPr>
            <w:r>
              <w:rPr>
                <w:rFonts w:hint="default"/>
                <w:color w:val="auto"/>
                <w:kern w:val="0"/>
                <w:sz w:val="24"/>
                <w:szCs w:val="24"/>
              </w:rPr>
              <w:t>因此，正常工况下，本</w:t>
            </w:r>
            <w:r>
              <w:rPr>
                <w:rFonts w:hint="eastAsia"/>
                <w:color w:val="auto"/>
                <w:sz w:val="24"/>
                <w:szCs w:val="20"/>
              </w:rPr>
              <w:t>项目不会对区域地下水、土壤环境产生明显影响。可不开展跟踪监测。</w:t>
            </w:r>
          </w:p>
          <w:p w14:paraId="1C19F511">
            <w:pPr>
              <w:keepNext w:val="0"/>
              <w:keepLines w:val="0"/>
              <w:suppressLineNumbers w:val="0"/>
              <w:spacing w:before="0" w:beforeAutospacing="0" w:after="0" w:afterAutospacing="0" w:line="360" w:lineRule="auto"/>
              <w:ind w:left="0" w:right="0" w:firstLine="482" w:firstLineChars="200"/>
              <w:jc w:val="left"/>
              <w:rPr>
                <w:rFonts w:hint="default"/>
                <w:b/>
                <w:snapToGrid w:val="0"/>
                <w:color w:val="auto"/>
                <w:kern w:val="0"/>
                <w:sz w:val="24"/>
              </w:rPr>
            </w:pPr>
            <w:r>
              <w:rPr>
                <w:rFonts w:hint="eastAsia"/>
                <w:b/>
                <w:snapToGrid w:val="0"/>
                <w:color w:val="auto"/>
                <w:kern w:val="0"/>
                <w:sz w:val="24"/>
              </w:rPr>
              <w:t>六、</w:t>
            </w:r>
            <w:r>
              <w:rPr>
                <w:rFonts w:hint="eastAsia" w:hAnsi="宋体"/>
                <w:b/>
                <w:snapToGrid w:val="0"/>
                <w:color w:val="auto"/>
                <w:kern w:val="0"/>
                <w:sz w:val="24"/>
              </w:rPr>
              <w:t>环境</w:t>
            </w:r>
            <w:r>
              <w:rPr>
                <w:rFonts w:hint="default" w:hAnsi="宋体"/>
                <w:b/>
                <w:snapToGrid w:val="0"/>
                <w:color w:val="auto"/>
                <w:kern w:val="0"/>
                <w:sz w:val="24"/>
              </w:rPr>
              <w:t>风险评价</w:t>
            </w:r>
          </w:p>
          <w:p w14:paraId="21479B30">
            <w:pPr>
              <w:keepNext w:val="0"/>
              <w:keepLines w:val="0"/>
              <w:suppressLineNumbers w:val="0"/>
              <w:spacing w:before="0" w:beforeAutospacing="0" w:after="0" w:afterAutospacing="0" w:line="360" w:lineRule="auto"/>
              <w:ind w:left="0" w:right="0" w:firstLine="480" w:firstLineChars="200"/>
              <w:rPr>
                <w:rFonts w:hint="eastAsia"/>
                <w:color w:val="auto"/>
                <w:sz w:val="24"/>
                <w:szCs w:val="24"/>
                <w:lang w:val="en-US" w:eastAsia="zh-CN"/>
              </w:rPr>
            </w:pPr>
            <w:r>
              <w:rPr>
                <w:rFonts w:hint="eastAsia"/>
                <w:color w:val="auto"/>
                <w:sz w:val="24"/>
                <w:szCs w:val="24"/>
                <w:lang w:val="en-US" w:eastAsia="zh-CN"/>
              </w:rPr>
              <w:t>环境风险评价应以突发性事故导致的危险物质环境急性损害防控为目标，对建设项目的环境风险进行分析、预测和评估，提出环境风险预防、控制、减缓措施，明确环境风险监控及应急建议要求，为建设项目环境风险防控提供科学依据。</w:t>
            </w:r>
          </w:p>
          <w:p w14:paraId="39003934">
            <w:pPr>
              <w:keepNext w:val="0"/>
              <w:keepLines w:val="0"/>
              <w:suppressLineNumbers w:val="0"/>
              <w:spacing w:before="0" w:beforeAutospacing="0" w:after="0" w:afterAutospacing="0" w:line="360" w:lineRule="auto"/>
              <w:ind w:left="0" w:right="0" w:firstLine="482" w:firstLineChars="200"/>
              <w:rPr>
                <w:rFonts w:hint="default"/>
                <w:b/>
                <w:color w:val="auto"/>
                <w:sz w:val="24"/>
                <w:highlight w:val="none"/>
              </w:rPr>
            </w:pPr>
            <w:r>
              <w:rPr>
                <w:rFonts w:hint="eastAsia"/>
                <w:b/>
                <w:color w:val="auto"/>
                <w:sz w:val="24"/>
              </w:rPr>
              <w:t>1</w:t>
            </w:r>
            <w:r>
              <w:rPr>
                <w:rFonts w:hint="eastAsia"/>
                <w:b/>
                <w:color w:val="auto"/>
                <w:sz w:val="24"/>
                <w:lang w:val="en-US" w:eastAsia="zh-CN"/>
              </w:rPr>
              <w:t>.</w:t>
            </w:r>
            <w:r>
              <w:rPr>
                <w:rFonts w:hint="eastAsia"/>
                <w:b/>
                <w:color w:val="auto"/>
                <w:sz w:val="24"/>
                <w:highlight w:val="none"/>
              </w:rPr>
              <w:t>风险物质识别</w:t>
            </w:r>
          </w:p>
          <w:p w14:paraId="5063D10E">
            <w:pPr>
              <w:keepNext w:val="0"/>
              <w:keepLines w:val="0"/>
              <w:suppressLineNumbers w:val="0"/>
              <w:spacing w:before="0" w:beforeAutospacing="0" w:after="0" w:afterAutospacing="0" w:line="360" w:lineRule="auto"/>
              <w:ind w:left="0" w:right="0" w:firstLine="480" w:firstLineChars="200"/>
              <w:rPr>
                <w:rFonts w:hint="eastAsia"/>
                <w:color w:val="auto"/>
                <w:sz w:val="24"/>
                <w:szCs w:val="24"/>
                <w:highlight w:val="none"/>
                <w:lang w:val="en-US" w:eastAsia="zh-CN"/>
              </w:rPr>
            </w:pPr>
            <w:r>
              <w:rPr>
                <w:rFonts w:hint="eastAsia"/>
                <w:color w:val="auto"/>
                <w:sz w:val="24"/>
                <w:szCs w:val="24"/>
                <w:highlight w:val="none"/>
              </w:rPr>
              <w:t>项目使用的主要原辅材料为</w:t>
            </w:r>
            <w:r>
              <w:rPr>
                <w:rFonts w:hint="eastAsia"/>
                <w:color w:val="auto"/>
                <w:sz w:val="24"/>
                <w:szCs w:val="24"/>
                <w:lang w:val="en-US" w:eastAsia="zh-CN"/>
              </w:rPr>
              <w:t>PP、PS、PE及机油</w:t>
            </w:r>
            <w:r>
              <w:rPr>
                <w:rFonts w:hint="eastAsia"/>
                <w:color w:val="auto"/>
                <w:sz w:val="24"/>
                <w:szCs w:val="24"/>
                <w:highlight w:val="none"/>
                <w:lang w:val="en-US" w:eastAsia="zh-CN"/>
              </w:rPr>
              <w:t>等</w:t>
            </w:r>
            <w:r>
              <w:rPr>
                <w:rFonts w:hint="eastAsia"/>
                <w:color w:val="auto"/>
                <w:sz w:val="24"/>
                <w:szCs w:val="24"/>
                <w:highlight w:val="none"/>
              </w:rPr>
              <w:t>，</w:t>
            </w:r>
            <w:r>
              <w:rPr>
                <w:rFonts w:hint="eastAsia"/>
                <w:color w:val="auto"/>
                <w:sz w:val="24"/>
                <w:szCs w:val="24"/>
                <w:highlight w:val="none"/>
                <w:lang w:val="en-US" w:eastAsia="zh-CN"/>
              </w:rPr>
              <w:t>生产区域</w:t>
            </w:r>
            <w:r>
              <w:rPr>
                <w:rFonts w:hint="eastAsia"/>
                <w:color w:val="auto"/>
                <w:sz w:val="24"/>
                <w:szCs w:val="24"/>
                <w:highlight w:val="none"/>
              </w:rPr>
              <w:t>产生“三废”污染物</w:t>
            </w:r>
            <w:r>
              <w:rPr>
                <w:rFonts w:hint="eastAsia"/>
                <w:color w:val="auto"/>
                <w:sz w:val="24"/>
                <w:szCs w:val="24"/>
                <w:highlight w:val="none"/>
                <w:lang w:eastAsia="zh-CN"/>
              </w:rPr>
              <w:t>。</w:t>
            </w:r>
            <w:r>
              <w:rPr>
                <w:rFonts w:hint="eastAsia"/>
                <w:color w:val="auto"/>
                <w:sz w:val="24"/>
                <w:szCs w:val="24"/>
                <w:highlight w:val="none"/>
              </w:rPr>
              <w:t>对</w:t>
            </w:r>
            <w:r>
              <w:rPr>
                <w:rFonts w:hint="eastAsia"/>
                <w:color w:val="auto"/>
                <w:sz w:val="24"/>
                <w:highlight w:val="none"/>
              </w:rPr>
              <w:t>照《建设项目环境风险评价技术导则》（</w:t>
            </w:r>
            <w:r>
              <w:rPr>
                <w:rFonts w:hint="default"/>
                <w:color w:val="auto"/>
                <w:sz w:val="24"/>
                <w:highlight w:val="none"/>
              </w:rPr>
              <w:t>HJ169-2018</w:t>
            </w:r>
            <w:r>
              <w:rPr>
                <w:rFonts w:hint="eastAsia"/>
                <w:color w:val="auto"/>
                <w:sz w:val="24"/>
                <w:highlight w:val="none"/>
              </w:rPr>
              <w:t>）中附录B中的风险物质，本项目涉及的环境风险物质主要为危险废物（废活性炭、废油、废油桶</w:t>
            </w:r>
            <w:r>
              <w:rPr>
                <w:rFonts w:hint="eastAsia"/>
                <w:color w:val="auto"/>
                <w:sz w:val="24"/>
                <w:highlight w:val="none"/>
                <w:lang w:val="en-US" w:eastAsia="zh-CN"/>
              </w:rPr>
              <w:t>及</w:t>
            </w:r>
            <w:r>
              <w:rPr>
                <w:rFonts w:hint="eastAsia"/>
                <w:color w:val="auto"/>
                <w:sz w:val="24"/>
                <w:highlight w:val="none"/>
              </w:rPr>
              <w:t>废弃劳保用品）</w:t>
            </w:r>
            <w:r>
              <w:rPr>
                <w:rFonts w:hint="eastAsia"/>
                <w:color w:val="auto"/>
                <w:sz w:val="24"/>
                <w:highlight w:val="none"/>
                <w:lang w:eastAsia="zh-CN"/>
              </w:rPr>
              <w:t>、</w:t>
            </w:r>
            <w:r>
              <w:rPr>
                <w:rFonts w:hint="eastAsia"/>
                <w:color w:val="auto"/>
                <w:sz w:val="24"/>
                <w:szCs w:val="24"/>
                <w:highlight w:val="none"/>
                <w:lang w:val="en-US" w:eastAsia="zh-CN"/>
              </w:rPr>
              <w:t>机油等。</w:t>
            </w:r>
          </w:p>
          <w:p w14:paraId="4B99CB91">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color w:val="auto"/>
                <w:sz w:val="24"/>
                <w:highlight w:val="none"/>
              </w:rPr>
              <w:t>对照各风险物质临界量，计算所涉及的每种危险物质在厂界内的最大存在量与其对应临界量的比值Q。</w:t>
            </w:r>
          </w:p>
          <w:p w14:paraId="5965B0D6">
            <w:pPr>
              <w:keepNext w:val="0"/>
              <w:keepLines w:val="0"/>
              <w:suppressLineNumbers w:val="0"/>
              <w:spacing w:before="0" w:beforeAutospacing="0" w:after="0" w:afterAutospacing="0" w:line="360" w:lineRule="auto"/>
              <w:ind w:left="0" w:right="0" w:firstLine="480" w:firstLineChars="200"/>
              <w:jc w:val="center"/>
              <w:rPr>
                <w:rFonts w:hint="default"/>
                <w:color w:val="auto"/>
                <w:sz w:val="24"/>
              </w:rPr>
            </w:pPr>
            <w:r>
              <w:rPr>
                <w:rFonts w:hint="eastAsia"/>
                <w:color w:val="auto"/>
                <w:sz w:val="24"/>
              </w:rPr>
              <w:t>Q=q</w:t>
            </w:r>
            <w:r>
              <w:rPr>
                <w:rFonts w:hint="eastAsia"/>
                <w:color w:val="auto"/>
                <w:sz w:val="24"/>
                <w:vertAlign w:val="subscript"/>
              </w:rPr>
              <w:t>1</w:t>
            </w:r>
            <w:r>
              <w:rPr>
                <w:rFonts w:hint="eastAsia"/>
                <w:color w:val="auto"/>
                <w:sz w:val="24"/>
              </w:rPr>
              <w:t>/Q</w:t>
            </w:r>
            <w:r>
              <w:rPr>
                <w:rFonts w:hint="eastAsia"/>
                <w:color w:val="auto"/>
                <w:sz w:val="24"/>
                <w:vertAlign w:val="subscript"/>
              </w:rPr>
              <w:t>1</w:t>
            </w:r>
            <w:r>
              <w:rPr>
                <w:rFonts w:hint="eastAsia"/>
                <w:color w:val="auto"/>
                <w:sz w:val="24"/>
              </w:rPr>
              <w:t>+ q</w:t>
            </w:r>
            <w:r>
              <w:rPr>
                <w:rFonts w:hint="eastAsia"/>
                <w:color w:val="auto"/>
                <w:sz w:val="24"/>
                <w:vertAlign w:val="subscript"/>
              </w:rPr>
              <w:t>2</w:t>
            </w:r>
            <w:r>
              <w:rPr>
                <w:rFonts w:hint="eastAsia"/>
                <w:color w:val="auto"/>
                <w:sz w:val="24"/>
              </w:rPr>
              <w:t>/Q</w:t>
            </w:r>
            <w:r>
              <w:rPr>
                <w:rFonts w:hint="eastAsia"/>
                <w:color w:val="auto"/>
                <w:sz w:val="24"/>
                <w:vertAlign w:val="subscript"/>
              </w:rPr>
              <w:t>2+</w:t>
            </w:r>
            <w:r>
              <w:rPr>
                <w:rFonts w:hint="default"/>
                <w:color w:val="auto"/>
                <w:sz w:val="24"/>
              </w:rPr>
              <w:t>…</w:t>
            </w:r>
            <w:r>
              <w:rPr>
                <w:rFonts w:hint="eastAsia"/>
                <w:color w:val="auto"/>
                <w:sz w:val="24"/>
              </w:rPr>
              <w:t>q</w:t>
            </w:r>
            <w:r>
              <w:rPr>
                <w:rFonts w:hint="eastAsia"/>
                <w:color w:val="auto"/>
                <w:sz w:val="24"/>
                <w:vertAlign w:val="subscript"/>
              </w:rPr>
              <w:t>n</w:t>
            </w:r>
            <w:r>
              <w:rPr>
                <w:rFonts w:hint="eastAsia"/>
                <w:color w:val="auto"/>
                <w:sz w:val="24"/>
              </w:rPr>
              <w:t>/Q</w:t>
            </w:r>
            <w:r>
              <w:rPr>
                <w:rFonts w:hint="eastAsia"/>
                <w:color w:val="auto"/>
                <w:sz w:val="24"/>
                <w:vertAlign w:val="subscript"/>
              </w:rPr>
              <w:t>n</w:t>
            </w:r>
          </w:p>
          <w:p w14:paraId="5DA08A57">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color w:val="auto"/>
                <w:sz w:val="24"/>
              </w:rPr>
              <w:t>式中：q</w:t>
            </w:r>
            <w:r>
              <w:rPr>
                <w:rFonts w:hint="eastAsia"/>
                <w:color w:val="auto"/>
                <w:sz w:val="24"/>
                <w:vertAlign w:val="subscript"/>
              </w:rPr>
              <w:t>1</w:t>
            </w:r>
            <w:r>
              <w:rPr>
                <w:rFonts w:hint="eastAsia"/>
                <w:color w:val="auto"/>
                <w:sz w:val="24"/>
              </w:rPr>
              <w:t>，q</w:t>
            </w:r>
            <w:r>
              <w:rPr>
                <w:rFonts w:hint="eastAsia"/>
                <w:color w:val="auto"/>
                <w:sz w:val="24"/>
                <w:vertAlign w:val="subscript"/>
              </w:rPr>
              <w:t>2</w:t>
            </w:r>
            <w:r>
              <w:rPr>
                <w:rFonts w:hint="eastAsia"/>
                <w:color w:val="auto"/>
                <w:sz w:val="24"/>
              </w:rPr>
              <w:t>，</w:t>
            </w:r>
            <w:r>
              <w:rPr>
                <w:rFonts w:hint="default"/>
                <w:color w:val="auto"/>
                <w:sz w:val="24"/>
              </w:rPr>
              <w:t>…</w:t>
            </w:r>
            <w:r>
              <w:rPr>
                <w:rFonts w:hint="eastAsia"/>
                <w:color w:val="auto"/>
                <w:sz w:val="24"/>
              </w:rPr>
              <w:t>，q</w:t>
            </w:r>
            <w:r>
              <w:rPr>
                <w:rFonts w:hint="eastAsia"/>
                <w:color w:val="auto"/>
                <w:sz w:val="24"/>
                <w:vertAlign w:val="subscript"/>
              </w:rPr>
              <w:t>n</w:t>
            </w:r>
            <w:r>
              <w:rPr>
                <w:rFonts w:hint="eastAsia"/>
                <w:color w:val="auto"/>
                <w:sz w:val="24"/>
              </w:rPr>
              <w:t>——每种危险物质的最大存在总量，t；</w:t>
            </w:r>
          </w:p>
          <w:p w14:paraId="08B67574">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color w:val="auto"/>
                <w:sz w:val="24"/>
              </w:rPr>
              <w:t>Q</w:t>
            </w:r>
            <w:r>
              <w:rPr>
                <w:rFonts w:hint="eastAsia"/>
                <w:color w:val="auto"/>
                <w:sz w:val="24"/>
                <w:vertAlign w:val="subscript"/>
              </w:rPr>
              <w:t>1</w:t>
            </w:r>
            <w:r>
              <w:rPr>
                <w:rFonts w:hint="eastAsia"/>
                <w:color w:val="auto"/>
                <w:sz w:val="24"/>
              </w:rPr>
              <w:t>，Q</w:t>
            </w:r>
            <w:r>
              <w:rPr>
                <w:rFonts w:hint="eastAsia"/>
                <w:color w:val="auto"/>
                <w:sz w:val="24"/>
                <w:vertAlign w:val="subscript"/>
              </w:rPr>
              <w:t>2</w:t>
            </w:r>
            <w:r>
              <w:rPr>
                <w:rFonts w:hint="eastAsia"/>
                <w:color w:val="auto"/>
                <w:sz w:val="24"/>
              </w:rPr>
              <w:t>，</w:t>
            </w:r>
            <w:r>
              <w:rPr>
                <w:rFonts w:hint="default"/>
                <w:color w:val="auto"/>
                <w:sz w:val="24"/>
              </w:rPr>
              <w:t>…</w:t>
            </w:r>
            <w:r>
              <w:rPr>
                <w:rFonts w:hint="eastAsia"/>
                <w:color w:val="auto"/>
                <w:sz w:val="24"/>
              </w:rPr>
              <w:t>，Q</w:t>
            </w:r>
            <w:r>
              <w:rPr>
                <w:rFonts w:hint="eastAsia"/>
                <w:color w:val="auto"/>
                <w:sz w:val="24"/>
                <w:vertAlign w:val="subscript"/>
              </w:rPr>
              <w:t>n</w:t>
            </w:r>
            <w:r>
              <w:rPr>
                <w:rFonts w:hint="eastAsia"/>
                <w:color w:val="auto"/>
                <w:sz w:val="24"/>
              </w:rPr>
              <w:t>——每种危险物质的临界量，t。</w:t>
            </w:r>
          </w:p>
          <w:p w14:paraId="1D063B15">
            <w:pPr>
              <w:keepNext w:val="0"/>
              <w:keepLines w:val="0"/>
              <w:suppressLineNumbers w:val="0"/>
              <w:spacing w:before="0" w:beforeAutospacing="0" w:after="0" w:afterAutospacing="0" w:line="360" w:lineRule="auto"/>
              <w:ind w:left="0" w:right="0" w:firstLine="480" w:firstLineChars="200"/>
              <w:rPr>
                <w:rFonts w:hint="default"/>
                <w:color w:val="auto"/>
                <w:sz w:val="24"/>
                <w:highlight w:val="none"/>
              </w:rPr>
            </w:pPr>
            <w:r>
              <w:rPr>
                <w:rFonts w:hint="eastAsia"/>
                <w:color w:val="auto"/>
                <w:sz w:val="24"/>
              </w:rPr>
              <w:t>当Q&lt;1时，</w:t>
            </w:r>
            <w:r>
              <w:rPr>
                <w:rFonts w:hint="eastAsia"/>
                <w:color w:val="auto"/>
                <w:sz w:val="24"/>
                <w:highlight w:val="none"/>
              </w:rPr>
              <w:t>该项目环境风险潜势为</w:t>
            </w:r>
            <w:r>
              <w:rPr>
                <w:rFonts w:hint="default"/>
                <w:color w:val="auto"/>
                <w:sz w:val="24"/>
                <w:highlight w:val="none"/>
              </w:rPr>
              <w:t>Ⅰ。</w:t>
            </w:r>
          </w:p>
          <w:p w14:paraId="32E0859C">
            <w:pPr>
              <w:keepNext w:val="0"/>
              <w:keepLines w:val="0"/>
              <w:suppressLineNumbers w:val="0"/>
              <w:spacing w:before="0" w:beforeAutospacing="0" w:after="0" w:afterAutospacing="0" w:line="360" w:lineRule="auto"/>
              <w:ind w:left="0" w:right="0" w:firstLine="480" w:firstLineChars="200"/>
              <w:rPr>
                <w:rFonts w:hint="default"/>
                <w:color w:val="auto"/>
                <w:sz w:val="24"/>
                <w:highlight w:val="none"/>
              </w:rPr>
            </w:pPr>
            <w:r>
              <w:rPr>
                <w:rFonts w:hint="default"/>
                <w:color w:val="auto"/>
                <w:sz w:val="24"/>
                <w:highlight w:val="none"/>
              </w:rPr>
              <w:t>当Q≥1时，将Q值划分为：（1）1≤Q&lt;10；（2）10≤Q&lt;100；（3）Q≥100</w:t>
            </w:r>
          </w:p>
          <w:p w14:paraId="416C91B2">
            <w:pPr>
              <w:keepNext w:val="0"/>
              <w:keepLines w:val="0"/>
              <w:suppressLineNumbers w:val="0"/>
              <w:bidi w:val="0"/>
              <w:spacing w:before="0" w:beforeAutospacing="0" w:after="0" w:afterAutospacing="0" w:line="360" w:lineRule="auto"/>
              <w:ind w:left="0" w:right="0"/>
              <w:jc w:val="center"/>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z w:val="24"/>
                <w:szCs w:val="24"/>
                <w:highlight w:val="none"/>
              </w:rPr>
              <w:t>表</w:t>
            </w:r>
            <w:r>
              <w:rPr>
                <w:rFonts w:hint="eastAsia" w:eastAsia="黑体" w:cs="Times New Roman"/>
                <w:color w:val="auto"/>
                <w:sz w:val="24"/>
                <w:szCs w:val="24"/>
                <w:highlight w:val="none"/>
                <w:lang w:val="en-US" w:eastAsia="zh-CN"/>
              </w:rPr>
              <w:t xml:space="preserve">4-21 </w:t>
            </w:r>
            <w:r>
              <w:rPr>
                <w:rFonts w:hint="default" w:ascii="Times New Roman" w:hAnsi="Times New Roman" w:eastAsia="黑体" w:cs="Times New Roman"/>
                <w:color w:val="auto"/>
                <w:sz w:val="24"/>
                <w:szCs w:val="24"/>
                <w:highlight w:val="none"/>
              </w:rPr>
              <w:t>项目风险物质最大储存量与临界量的比值（Q）</w:t>
            </w:r>
          </w:p>
          <w:tbl>
            <w:tblPr>
              <w:tblStyle w:val="37"/>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770"/>
              <w:gridCol w:w="1234"/>
              <w:gridCol w:w="1009"/>
              <w:gridCol w:w="1090"/>
              <w:gridCol w:w="1093"/>
              <w:gridCol w:w="835"/>
              <w:gridCol w:w="1273"/>
            </w:tblGrid>
            <w:tr w14:paraId="27B42F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14" w:type="pct"/>
                  <w:vAlign w:val="center"/>
                </w:tcPr>
                <w:p w14:paraId="0C0A83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default"/>
                      <w:b/>
                      <w:bCs/>
                      <w:color w:val="auto"/>
                      <w:sz w:val="21"/>
                      <w:szCs w:val="21"/>
                    </w:rPr>
                    <w:t>序号</w:t>
                  </w:r>
                </w:p>
              </w:tc>
              <w:tc>
                <w:tcPr>
                  <w:tcW w:w="1258" w:type="pct"/>
                  <w:gridSpan w:val="2"/>
                  <w:vAlign w:val="center"/>
                </w:tcPr>
                <w:p w14:paraId="4ECA87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default"/>
                      <w:b/>
                      <w:bCs/>
                      <w:color w:val="auto"/>
                      <w:sz w:val="21"/>
                      <w:szCs w:val="21"/>
                    </w:rPr>
                    <w:t>风险物质名称</w:t>
                  </w:r>
                </w:p>
              </w:tc>
              <w:tc>
                <w:tcPr>
                  <w:tcW w:w="633" w:type="pct"/>
                  <w:vAlign w:val="center"/>
                </w:tcPr>
                <w:p w14:paraId="770029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default"/>
                      <w:b/>
                      <w:bCs/>
                      <w:color w:val="auto"/>
                      <w:sz w:val="21"/>
                      <w:szCs w:val="21"/>
                    </w:rPr>
                    <w:t>最大</w:t>
                  </w:r>
                  <w:r>
                    <w:rPr>
                      <w:rFonts w:hint="eastAsia"/>
                      <w:b/>
                      <w:bCs/>
                      <w:color w:val="auto"/>
                      <w:sz w:val="21"/>
                      <w:szCs w:val="21"/>
                      <w:lang w:val="en-US" w:eastAsia="zh-CN"/>
                    </w:rPr>
                    <w:t>在线</w:t>
                  </w:r>
                  <w:r>
                    <w:rPr>
                      <w:rFonts w:hint="default"/>
                      <w:b/>
                      <w:bCs/>
                      <w:color w:val="auto"/>
                      <w:sz w:val="21"/>
                      <w:szCs w:val="21"/>
                    </w:rPr>
                    <w:t>量（t）</w:t>
                  </w:r>
                </w:p>
              </w:tc>
              <w:tc>
                <w:tcPr>
                  <w:tcW w:w="684" w:type="pct"/>
                  <w:vAlign w:val="center"/>
                </w:tcPr>
                <w:p w14:paraId="682C29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eastAsia"/>
                      <w:b/>
                      <w:bCs/>
                      <w:color w:val="auto"/>
                      <w:sz w:val="21"/>
                      <w:szCs w:val="21"/>
                      <w:lang w:val="en-US" w:eastAsia="zh-CN"/>
                    </w:rPr>
                    <w:t>最大储存量（t）</w:t>
                  </w:r>
                </w:p>
              </w:tc>
              <w:tc>
                <w:tcPr>
                  <w:tcW w:w="686" w:type="pct"/>
                  <w:vAlign w:val="center"/>
                </w:tcPr>
                <w:p w14:paraId="437DF7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eastAsia"/>
                      <w:b/>
                      <w:bCs/>
                      <w:color w:val="auto"/>
                      <w:sz w:val="21"/>
                      <w:szCs w:val="21"/>
                      <w:lang w:val="en-US" w:eastAsia="zh-CN"/>
                    </w:rPr>
                    <w:t>最大存在量（t）</w:t>
                  </w:r>
                </w:p>
              </w:tc>
              <w:tc>
                <w:tcPr>
                  <w:tcW w:w="524" w:type="pct"/>
                  <w:vAlign w:val="center"/>
                </w:tcPr>
                <w:p w14:paraId="69BC2B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default"/>
                      <w:b/>
                      <w:bCs/>
                      <w:color w:val="auto"/>
                      <w:sz w:val="21"/>
                      <w:szCs w:val="21"/>
                    </w:rPr>
                    <w:t>临界量（t）</w:t>
                  </w:r>
                </w:p>
              </w:tc>
              <w:tc>
                <w:tcPr>
                  <w:tcW w:w="799" w:type="pct"/>
                  <w:vAlign w:val="center"/>
                </w:tcPr>
                <w:p w14:paraId="30EE3F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1"/>
                      <w:szCs w:val="21"/>
                    </w:rPr>
                  </w:pPr>
                  <w:r>
                    <w:rPr>
                      <w:rFonts w:hint="default"/>
                      <w:b/>
                      <w:bCs/>
                      <w:color w:val="auto"/>
                      <w:sz w:val="21"/>
                      <w:szCs w:val="21"/>
                    </w:rPr>
                    <w:t>Q值</w:t>
                  </w:r>
                </w:p>
              </w:tc>
            </w:tr>
            <w:tr w14:paraId="0F1344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14" w:type="pct"/>
                  <w:shd w:val="clear" w:color="auto" w:fill="auto"/>
                  <w:vAlign w:val="center"/>
                </w:tcPr>
                <w:p w14:paraId="34B81B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c>
                <w:tcPr>
                  <w:tcW w:w="483" w:type="pct"/>
                  <w:vAlign w:val="center"/>
                </w:tcPr>
                <w:p w14:paraId="1FF25A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机油</w:t>
                  </w:r>
                </w:p>
              </w:tc>
              <w:tc>
                <w:tcPr>
                  <w:tcW w:w="774" w:type="pct"/>
                  <w:vAlign w:val="center"/>
                </w:tcPr>
                <w:p w14:paraId="7E579E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油类物质</w:t>
                  </w:r>
                </w:p>
              </w:tc>
              <w:tc>
                <w:tcPr>
                  <w:tcW w:w="633" w:type="pct"/>
                  <w:vAlign w:val="center"/>
                </w:tcPr>
                <w:p w14:paraId="22C136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w:t>
                  </w:r>
                </w:p>
              </w:tc>
              <w:tc>
                <w:tcPr>
                  <w:tcW w:w="684" w:type="pct"/>
                  <w:vAlign w:val="center"/>
                </w:tcPr>
                <w:p w14:paraId="1D6917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1.6</w:t>
                  </w:r>
                </w:p>
              </w:tc>
              <w:tc>
                <w:tcPr>
                  <w:tcW w:w="686" w:type="pct"/>
                  <w:vAlign w:val="center"/>
                </w:tcPr>
                <w:p w14:paraId="630D2E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1.6</w:t>
                  </w:r>
                </w:p>
              </w:tc>
              <w:tc>
                <w:tcPr>
                  <w:tcW w:w="524" w:type="pct"/>
                  <w:vAlign w:val="center"/>
                </w:tcPr>
                <w:p w14:paraId="407102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2500</w:t>
                  </w:r>
                </w:p>
              </w:tc>
              <w:tc>
                <w:tcPr>
                  <w:tcW w:w="799" w:type="pct"/>
                  <w:vAlign w:val="center"/>
                </w:tcPr>
                <w:p w14:paraId="09D145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0.00064</w:t>
                  </w:r>
                </w:p>
              </w:tc>
            </w:tr>
            <w:tr w14:paraId="1250B28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14" w:type="pct"/>
                  <w:shd w:val="clear" w:color="auto" w:fill="auto"/>
                  <w:vAlign w:val="center"/>
                </w:tcPr>
                <w:p w14:paraId="161FEF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w:t>
                  </w:r>
                </w:p>
              </w:tc>
              <w:tc>
                <w:tcPr>
                  <w:tcW w:w="483" w:type="pct"/>
                  <w:shd w:val="clear" w:color="auto" w:fill="auto"/>
                  <w:vAlign w:val="center"/>
                </w:tcPr>
                <w:p w14:paraId="4BD6EC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default"/>
                      <w:color w:val="auto"/>
                      <w:sz w:val="21"/>
                      <w:szCs w:val="21"/>
                      <w:lang w:val="en-US" w:eastAsia="zh-CN"/>
                    </w:rPr>
                    <w:t>废活性炭</w:t>
                  </w:r>
                </w:p>
              </w:tc>
              <w:tc>
                <w:tcPr>
                  <w:tcW w:w="774" w:type="pct"/>
                  <w:vAlign w:val="center"/>
                </w:tcPr>
                <w:p w14:paraId="1185C9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default"/>
                      <w:color w:val="auto"/>
                      <w:sz w:val="21"/>
                      <w:szCs w:val="21"/>
                      <w:lang w:val="en-US" w:eastAsia="zh-CN"/>
                    </w:rPr>
                    <w:t>健康危险急性毒性物质（类别2，类别3）</w:t>
                  </w:r>
                </w:p>
              </w:tc>
              <w:tc>
                <w:tcPr>
                  <w:tcW w:w="633" w:type="pct"/>
                  <w:vAlign w:val="center"/>
                </w:tcPr>
                <w:p w14:paraId="5FB3E4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w:t>
                  </w:r>
                </w:p>
              </w:tc>
              <w:tc>
                <w:tcPr>
                  <w:tcW w:w="684" w:type="pct"/>
                  <w:vAlign w:val="center"/>
                </w:tcPr>
                <w:p w14:paraId="3D36F7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2.8</w:t>
                  </w:r>
                </w:p>
              </w:tc>
              <w:tc>
                <w:tcPr>
                  <w:tcW w:w="686" w:type="pct"/>
                  <w:vAlign w:val="center"/>
                </w:tcPr>
                <w:p w14:paraId="701C80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2.8</w:t>
                  </w:r>
                </w:p>
              </w:tc>
              <w:tc>
                <w:tcPr>
                  <w:tcW w:w="524" w:type="pct"/>
                  <w:vAlign w:val="center"/>
                </w:tcPr>
                <w:p w14:paraId="0B51EC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default"/>
                      <w:color w:val="auto"/>
                      <w:sz w:val="21"/>
                      <w:szCs w:val="21"/>
                      <w:lang w:val="en-US" w:eastAsia="zh-CN"/>
                    </w:rPr>
                    <w:t>50</w:t>
                  </w:r>
                </w:p>
              </w:tc>
              <w:tc>
                <w:tcPr>
                  <w:tcW w:w="799" w:type="pct"/>
                  <w:vAlign w:val="center"/>
                </w:tcPr>
                <w:p w14:paraId="5E3481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lang w:val="en-US" w:eastAsia="zh-CN"/>
                    </w:rPr>
                  </w:pPr>
                  <w:r>
                    <w:rPr>
                      <w:rFonts w:hint="eastAsia"/>
                      <w:color w:val="auto"/>
                      <w:lang w:val="en-US" w:eastAsia="zh-CN"/>
                    </w:rPr>
                    <w:t>0.056</w:t>
                  </w:r>
                </w:p>
              </w:tc>
            </w:tr>
            <w:tr w14:paraId="33F368C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14" w:type="pct"/>
                  <w:shd w:val="clear" w:color="auto" w:fill="auto"/>
                  <w:vAlign w:val="center"/>
                </w:tcPr>
                <w:p w14:paraId="0D23CF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w:t>
                  </w:r>
                </w:p>
              </w:tc>
              <w:tc>
                <w:tcPr>
                  <w:tcW w:w="483" w:type="pct"/>
                  <w:shd w:val="clear" w:color="auto" w:fill="auto"/>
                  <w:vAlign w:val="center"/>
                </w:tcPr>
                <w:p w14:paraId="23DE22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default"/>
                      <w:color w:val="auto"/>
                      <w:sz w:val="21"/>
                      <w:szCs w:val="21"/>
                      <w:lang w:val="en-US" w:eastAsia="zh-CN"/>
                    </w:rPr>
                    <w:t>废油</w:t>
                  </w:r>
                </w:p>
              </w:tc>
              <w:tc>
                <w:tcPr>
                  <w:tcW w:w="774" w:type="pct"/>
                  <w:vAlign w:val="center"/>
                </w:tcPr>
                <w:p w14:paraId="31237D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危害水环境物质（急性毒性类别1）</w:t>
                  </w:r>
                </w:p>
              </w:tc>
              <w:tc>
                <w:tcPr>
                  <w:tcW w:w="633" w:type="pct"/>
                  <w:vAlign w:val="center"/>
                </w:tcPr>
                <w:p w14:paraId="025CE2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w:t>
                  </w:r>
                </w:p>
              </w:tc>
              <w:tc>
                <w:tcPr>
                  <w:tcW w:w="684" w:type="pct"/>
                  <w:vAlign w:val="center"/>
                </w:tcPr>
                <w:p w14:paraId="699E5B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1.0</w:t>
                  </w:r>
                </w:p>
              </w:tc>
              <w:tc>
                <w:tcPr>
                  <w:tcW w:w="686" w:type="pct"/>
                  <w:vAlign w:val="center"/>
                </w:tcPr>
                <w:p w14:paraId="1342F6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1.0</w:t>
                  </w:r>
                </w:p>
              </w:tc>
              <w:tc>
                <w:tcPr>
                  <w:tcW w:w="524" w:type="pct"/>
                  <w:vAlign w:val="center"/>
                </w:tcPr>
                <w:p w14:paraId="698A24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100</w:t>
                  </w:r>
                </w:p>
              </w:tc>
              <w:tc>
                <w:tcPr>
                  <w:tcW w:w="799" w:type="pct"/>
                  <w:vAlign w:val="center"/>
                </w:tcPr>
                <w:p w14:paraId="3F65A0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lang w:val="en-US" w:eastAsia="zh-CN"/>
                    </w:rPr>
                  </w:pPr>
                  <w:r>
                    <w:rPr>
                      <w:rFonts w:hint="eastAsia"/>
                      <w:color w:val="auto"/>
                      <w:lang w:val="en-US" w:eastAsia="zh-CN"/>
                    </w:rPr>
                    <w:t>0.01</w:t>
                  </w:r>
                </w:p>
              </w:tc>
            </w:tr>
            <w:tr w14:paraId="20EEEC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14" w:type="pct"/>
                  <w:shd w:val="clear" w:color="auto" w:fill="auto"/>
                  <w:vAlign w:val="center"/>
                </w:tcPr>
                <w:p w14:paraId="3E7021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4</w:t>
                  </w:r>
                </w:p>
              </w:tc>
              <w:tc>
                <w:tcPr>
                  <w:tcW w:w="483" w:type="pct"/>
                  <w:shd w:val="clear" w:color="auto" w:fill="auto"/>
                  <w:vAlign w:val="center"/>
                </w:tcPr>
                <w:p w14:paraId="4E7DCF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default"/>
                      <w:color w:val="auto"/>
                      <w:sz w:val="21"/>
                      <w:szCs w:val="21"/>
                      <w:lang w:val="en-US" w:eastAsia="zh-CN"/>
                    </w:rPr>
                    <w:t>废油桶</w:t>
                  </w:r>
                </w:p>
              </w:tc>
              <w:tc>
                <w:tcPr>
                  <w:tcW w:w="774" w:type="pct"/>
                  <w:vAlign w:val="center"/>
                </w:tcPr>
                <w:p w14:paraId="27FC04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危害水环境物质（急性毒性类别1）</w:t>
                  </w:r>
                </w:p>
              </w:tc>
              <w:tc>
                <w:tcPr>
                  <w:tcW w:w="633" w:type="pct"/>
                  <w:vAlign w:val="center"/>
                </w:tcPr>
                <w:p w14:paraId="7A4C34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w:t>
                  </w:r>
                </w:p>
              </w:tc>
              <w:tc>
                <w:tcPr>
                  <w:tcW w:w="684" w:type="pct"/>
                  <w:vAlign w:val="center"/>
                </w:tcPr>
                <w:p w14:paraId="533122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0.1</w:t>
                  </w:r>
                </w:p>
              </w:tc>
              <w:tc>
                <w:tcPr>
                  <w:tcW w:w="686" w:type="pct"/>
                  <w:vAlign w:val="center"/>
                </w:tcPr>
                <w:p w14:paraId="472D99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0.1</w:t>
                  </w:r>
                </w:p>
              </w:tc>
              <w:tc>
                <w:tcPr>
                  <w:tcW w:w="524" w:type="pct"/>
                  <w:vAlign w:val="center"/>
                </w:tcPr>
                <w:p w14:paraId="07721C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rPr>
                  </w:pPr>
                  <w:r>
                    <w:rPr>
                      <w:rFonts w:hint="eastAsia"/>
                      <w:color w:val="auto"/>
                      <w:sz w:val="21"/>
                      <w:szCs w:val="21"/>
                      <w:lang w:val="en-US" w:eastAsia="zh-CN"/>
                    </w:rPr>
                    <w:t>100</w:t>
                  </w:r>
                </w:p>
              </w:tc>
              <w:tc>
                <w:tcPr>
                  <w:tcW w:w="799" w:type="pct"/>
                  <w:vAlign w:val="center"/>
                </w:tcPr>
                <w:p w14:paraId="6B4D36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lang w:val="en-US" w:eastAsia="zh-CN"/>
                    </w:rPr>
                  </w:pPr>
                  <w:r>
                    <w:rPr>
                      <w:rFonts w:hint="eastAsia"/>
                      <w:color w:val="auto"/>
                      <w:lang w:val="en-US" w:eastAsia="zh-CN"/>
                    </w:rPr>
                    <w:t>0.001</w:t>
                  </w:r>
                </w:p>
              </w:tc>
            </w:tr>
            <w:tr w14:paraId="330C6F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14" w:type="pct"/>
                  <w:vAlign w:val="center"/>
                </w:tcPr>
                <w:p w14:paraId="51E61E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5</w:t>
                  </w:r>
                </w:p>
              </w:tc>
              <w:tc>
                <w:tcPr>
                  <w:tcW w:w="483" w:type="pct"/>
                  <w:shd w:val="clear" w:color="auto" w:fill="auto"/>
                  <w:vAlign w:val="center"/>
                </w:tcPr>
                <w:p w14:paraId="0DE860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default"/>
                      <w:color w:val="auto"/>
                      <w:sz w:val="21"/>
                      <w:szCs w:val="21"/>
                      <w:lang w:val="en-US" w:eastAsia="zh-CN"/>
                    </w:rPr>
                    <w:t>废弃劳保用品</w:t>
                  </w:r>
                </w:p>
              </w:tc>
              <w:tc>
                <w:tcPr>
                  <w:tcW w:w="774" w:type="pct"/>
                  <w:vAlign w:val="center"/>
                </w:tcPr>
                <w:p w14:paraId="0CC683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default"/>
                      <w:color w:val="auto"/>
                      <w:sz w:val="21"/>
                      <w:szCs w:val="21"/>
                      <w:lang w:val="en-US" w:eastAsia="zh-CN"/>
                    </w:rPr>
                    <w:t>健康危险急性毒性物质（类别2，类别3）</w:t>
                  </w:r>
                </w:p>
              </w:tc>
              <w:tc>
                <w:tcPr>
                  <w:tcW w:w="633" w:type="pct"/>
                  <w:vAlign w:val="center"/>
                </w:tcPr>
                <w:p w14:paraId="3171D1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w:t>
                  </w:r>
                </w:p>
              </w:tc>
              <w:tc>
                <w:tcPr>
                  <w:tcW w:w="684" w:type="pct"/>
                  <w:vAlign w:val="center"/>
                </w:tcPr>
                <w:p w14:paraId="10B5E4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0.01</w:t>
                  </w:r>
                </w:p>
              </w:tc>
              <w:tc>
                <w:tcPr>
                  <w:tcW w:w="686" w:type="pct"/>
                  <w:vAlign w:val="center"/>
                </w:tcPr>
                <w:p w14:paraId="6F5ACA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0.01</w:t>
                  </w:r>
                </w:p>
              </w:tc>
              <w:tc>
                <w:tcPr>
                  <w:tcW w:w="524" w:type="pct"/>
                  <w:vAlign w:val="center"/>
                </w:tcPr>
                <w:p w14:paraId="7566C5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r>
                    <w:rPr>
                      <w:rFonts w:hint="default"/>
                      <w:color w:val="auto"/>
                      <w:sz w:val="21"/>
                      <w:szCs w:val="21"/>
                      <w:lang w:val="en-US" w:eastAsia="zh-CN"/>
                    </w:rPr>
                    <w:t>50</w:t>
                  </w:r>
                </w:p>
              </w:tc>
              <w:tc>
                <w:tcPr>
                  <w:tcW w:w="799" w:type="pct"/>
                  <w:vAlign w:val="center"/>
                </w:tcPr>
                <w:p w14:paraId="6BB2CF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lang w:val="en-US" w:eastAsia="zh-CN"/>
                    </w:rPr>
                  </w:pPr>
                  <w:r>
                    <w:rPr>
                      <w:rFonts w:hint="eastAsia"/>
                      <w:color w:val="auto"/>
                      <w:lang w:val="en-US" w:eastAsia="zh-CN"/>
                    </w:rPr>
                    <w:t>0.0002</w:t>
                  </w:r>
                </w:p>
              </w:tc>
            </w:tr>
            <w:tr w14:paraId="3EBC568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200" w:type="pct"/>
                  <w:gridSpan w:val="7"/>
                  <w:vAlign w:val="center"/>
                </w:tcPr>
                <w:p w14:paraId="490184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rPr>
                  </w:pPr>
                  <w:r>
                    <w:rPr>
                      <w:rFonts w:hint="default"/>
                      <w:color w:val="auto"/>
                      <w:sz w:val="21"/>
                      <w:szCs w:val="21"/>
                    </w:rPr>
                    <w:t>合计</w:t>
                  </w:r>
                </w:p>
              </w:tc>
              <w:tc>
                <w:tcPr>
                  <w:tcW w:w="799" w:type="pct"/>
                  <w:vAlign w:val="center"/>
                </w:tcPr>
                <w:p w14:paraId="3737C9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1"/>
                      <w:szCs w:val="21"/>
                      <w:lang w:val="en-US" w:eastAsia="zh-CN"/>
                    </w:rPr>
                  </w:pPr>
                  <w:r>
                    <w:rPr>
                      <w:rFonts w:hint="eastAsia"/>
                      <w:color w:val="auto"/>
                      <w:sz w:val="21"/>
                      <w:szCs w:val="21"/>
                      <w:lang w:val="en-US" w:eastAsia="zh-CN"/>
                    </w:rPr>
                    <w:t>0.06784</w:t>
                  </w:r>
                </w:p>
              </w:tc>
            </w:tr>
          </w:tbl>
          <w:p w14:paraId="705259C3">
            <w:pPr>
              <w:keepNext w:val="0"/>
              <w:keepLines w:val="0"/>
              <w:suppressLineNumbers w:val="0"/>
              <w:bidi w:val="0"/>
              <w:spacing w:before="0" w:beforeAutospacing="0" w:after="0" w:afterAutospacing="0"/>
              <w:ind w:left="0" w:right="0"/>
              <w:rPr>
                <w:rFonts w:hint="default"/>
                <w:color w:val="auto"/>
                <w:sz w:val="24"/>
                <w:szCs w:val="24"/>
                <w:highlight w:val="none"/>
                <w:lang w:val="en-US"/>
              </w:rPr>
            </w:pPr>
            <w:r>
              <w:rPr>
                <w:rFonts w:hint="eastAsia"/>
                <w:b/>
                <w:color w:val="auto"/>
                <w:highlight w:val="none"/>
              </w:rPr>
              <w:t>注：</w:t>
            </w:r>
            <w:r>
              <w:rPr>
                <w:rFonts w:hint="eastAsia"/>
                <w:b/>
                <w:color w:val="auto"/>
                <w:highlight w:val="none"/>
                <w:lang w:val="en-US" w:eastAsia="zh-CN"/>
              </w:rPr>
              <w:t>1.废活性炭及废弃劳保用品参照</w:t>
            </w:r>
            <w:r>
              <w:rPr>
                <w:rFonts w:hint="eastAsia"/>
                <w:b/>
                <w:color w:val="auto"/>
                <w:highlight w:val="none"/>
              </w:rPr>
              <w:t>《建设项目环境风险评价技术导则》（</w:t>
            </w:r>
            <w:r>
              <w:rPr>
                <w:rFonts w:hint="default"/>
                <w:b/>
                <w:color w:val="auto"/>
                <w:highlight w:val="none"/>
              </w:rPr>
              <w:t>HJ169-2018</w:t>
            </w:r>
            <w:r>
              <w:rPr>
                <w:rFonts w:hint="eastAsia"/>
                <w:b/>
                <w:color w:val="auto"/>
                <w:highlight w:val="none"/>
              </w:rPr>
              <w:t>）附录B</w:t>
            </w:r>
            <w:r>
              <w:rPr>
                <w:rFonts w:hint="eastAsia"/>
                <w:b/>
                <w:color w:val="auto"/>
                <w:highlight w:val="none"/>
                <w:lang w:val="en-US" w:eastAsia="zh-CN"/>
              </w:rPr>
              <w:t>中健康危险急性毒性物质（类别2，类别3）临界量；废油、废油桶参照</w:t>
            </w:r>
            <w:r>
              <w:rPr>
                <w:rFonts w:hint="eastAsia"/>
                <w:b/>
                <w:color w:val="auto"/>
                <w:highlight w:val="none"/>
              </w:rPr>
              <w:t>《建设项目环境风险评价技术导则》（</w:t>
            </w:r>
            <w:r>
              <w:rPr>
                <w:rFonts w:hint="default"/>
                <w:b/>
                <w:color w:val="auto"/>
                <w:highlight w:val="none"/>
              </w:rPr>
              <w:t>HJ169-2018</w:t>
            </w:r>
            <w:r>
              <w:rPr>
                <w:rFonts w:hint="eastAsia"/>
                <w:b/>
                <w:color w:val="auto"/>
                <w:highlight w:val="none"/>
              </w:rPr>
              <w:t>）附录B</w:t>
            </w:r>
            <w:r>
              <w:rPr>
                <w:rFonts w:hint="eastAsia"/>
                <w:b/>
                <w:color w:val="auto"/>
                <w:highlight w:val="none"/>
                <w:lang w:val="en-US" w:eastAsia="zh-CN"/>
              </w:rPr>
              <w:t>中危害水环境物质（急性毒性类别1）临界量。</w:t>
            </w:r>
          </w:p>
          <w:p w14:paraId="6577A969">
            <w:pPr>
              <w:keepNext w:val="0"/>
              <w:keepLines w:val="0"/>
              <w:suppressLineNumbers w:val="0"/>
              <w:spacing w:before="0" w:beforeAutospacing="0" w:after="0" w:afterAutospacing="0" w:line="360" w:lineRule="auto"/>
              <w:ind w:left="0" w:right="0" w:firstLine="480" w:firstLineChars="200"/>
              <w:rPr>
                <w:rFonts w:hint="default"/>
                <w:color w:val="auto"/>
                <w:sz w:val="24"/>
                <w:highlight w:val="none"/>
              </w:rPr>
            </w:pPr>
            <w:r>
              <w:rPr>
                <w:rFonts w:hint="eastAsia"/>
                <w:color w:val="auto"/>
                <w:sz w:val="24"/>
                <w:szCs w:val="24"/>
                <w:highlight w:val="none"/>
              </w:rPr>
              <w:t>根据上表，计算得出本项目Q=</w:t>
            </w:r>
            <w:r>
              <w:rPr>
                <w:rFonts w:hint="eastAsia"/>
                <w:color w:val="auto"/>
                <w:sz w:val="24"/>
                <w:szCs w:val="24"/>
                <w:highlight w:val="none"/>
                <w:lang w:val="en-US" w:eastAsia="zh-CN"/>
              </w:rPr>
              <w:t>0.06784</w:t>
            </w:r>
            <w:r>
              <w:rPr>
                <w:rFonts w:hint="eastAsia"/>
                <w:color w:val="auto"/>
                <w:sz w:val="24"/>
                <w:szCs w:val="24"/>
                <w:highlight w:val="none"/>
              </w:rPr>
              <w:t>，Q＜1</w:t>
            </w:r>
            <w:r>
              <w:rPr>
                <w:rFonts w:hint="eastAsia"/>
                <w:color w:val="auto"/>
                <w:sz w:val="24"/>
                <w:highlight w:val="none"/>
              </w:rPr>
              <w:t>。</w:t>
            </w:r>
          </w:p>
          <w:p w14:paraId="7A11A7CE">
            <w:pPr>
              <w:keepNext w:val="0"/>
              <w:keepLines w:val="0"/>
              <w:suppressLineNumbers w:val="0"/>
              <w:spacing w:before="0" w:beforeAutospacing="0" w:after="0" w:afterAutospacing="0" w:line="360" w:lineRule="auto"/>
              <w:ind w:left="0" w:right="0" w:firstLine="482" w:firstLineChars="200"/>
              <w:rPr>
                <w:rFonts w:hint="default"/>
                <w:b/>
                <w:color w:val="auto"/>
                <w:sz w:val="24"/>
                <w:szCs w:val="24"/>
                <w:highlight w:val="none"/>
              </w:rPr>
            </w:pPr>
            <w:r>
              <w:rPr>
                <w:rFonts w:hint="eastAsia"/>
                <w:b/>
                <w:color w:val="auto"/>
                <w:sz w:val="24"/>
                <w:szCs w:val="24"/>
                <w:highlight w:val="none"/>
              </w:rPr>
              <w:t>2</w:t>
            </w:r>
            <w:r>
              <w:rPr>
                <w:rFonts w:hint="eastAsia"/>
                <w:b/>
                <w:color w:val="auto"/>
                <w:sz w:val="24"/>
                <w:szCs w:val="24"/>
                <w:highlight w:val="none"/>
                <w:lang w:val="en-US" w:eastAsia="zh-CN"/>
              </w:rPr>
              <w:t>.</w:t>
            </w:r>
            <w:r>
              <w:rPr>
                <w:rFonts w:hint="eastAsia"/>
                <w:b/>
                <w:color w:val="auto"/>
                <w:sz w:val="24"/>
                <w:szCs w:val="24"/>
                <w:highlight w:val="none"/>
              </w:rPr>
              <w:t>环境风险识别</w:t>
            </w:r>
          </w:p>
          <w:p w14:paraId="41B53832">
            <w:pPr>
              <w:keepNext w:val="0"/>
              <w:keepLines w:val="0"/>
              <w:suppressLineNumbers w:val="0"/>
              <w:spacing w:before="0" w:beforeAutospacing="0" w:after="0" w:afterAutospacing="0" w:line="360" w:lineRule="auto"/>
              <w:ind w:left="0" w:right="0" w:firstLine="480" w:firstLineChars="200"/>
              <w:rPr>
                <w:rFonts w:hint="eastAsia"/>
                <w:color w:val="auto"/>
                <w:sz w:val="24"/>
                <w:szCs w:val="24"/>
                <w:highlight w:val="none"/>
                <w:lang w:val="en-US" w:eastAsia="zh-CN"/>
              </w:rPr>
            </w:pPr>
            <w:r>
              <w:rPr>
                <w:rFonts w:hint="eastAsia"/>
                <w:color w:val="auto"/>
                <w:sz w:val="24"/>
                <w:szCs w:val="24"/>
                <w:highlight w:val="none"/>
              </w:rPr>
              <w:t>本项目风险物质主要为危险废物</w:t>
            </w:r>
            <w:r>
              <w:rPr>
                <w:rFonts w:hint="eastAsia"/>
                <w:color w:val="auto"/>
                <w:sz w:val="24"/>
                <w:szCs w:val="24"/>
                <w:highlight w:val="none"/>
                <w:lang w:val="en-US" w:eastAsia="zh-CN"/>
              </w:rPr>
              <w:t>及机油。</w:t>
            </w:r>
          </w:p>
          <w:p w14:paraId="30290F46">
            <w:pPr>
              <w:keepNext w:val="0"/>
              <w:keepLines w:val="0"/>
              <w:suppressLineNumbers w:val="0"/>
              <w:spacing w:before="0" w:beforeAutospacing="0" w:after="0" w:afterAutospacing="0" w:line="360" w:lineRule="auto"/>
              <w:ind w:left="0" w:right="0" w:firstLine="480" w:firstLineChars="200"/>
              <w:rPr>
                <w:rFonts w:hint="eastAsia"/>
                <w:color w:val="auto"/>
                <w:sz w:val="24"/>
                <w:highlight w:val="none"/>
              </w:rPr>
            </w:pPr>
            <w:r>
              <w:rPr>
                <w:rFonts w:hint="eastAsia"/>
                <w:color w:val="auto"/>
                <w:sz w:val="24"/>
                <w:szCs w:val="24"/>
                <w:highlight w:val="none"/>
              </w:rPr>
              <w:t>危</w:t>
            </w:r>
            <w:r>
              <w:rPr>
                <w:rFonts w:hint="eastAsia"/>
                <w:color w:val="auto"/>
                <w:sz w:val="24"/>
                <w:highlight w:val="none"/>
              </w:rPr>
              <w:t>险物质具体分布情况及可能影响环境的途径见下表：</w:t>
            </w:r>
          </w:p>
          <w:p w14:paraId="04DDF242">
            <w:pPr>
              <w:keepNext w:val="0"/>
              <w:keepLines w:val="0"/>
              <w:suppressLineNumbers w:val="0"/>
              <w:spacing w:before="0" w:beforeAutospacing="0" w:after="0" w:afterAutospacing="0"/>
              <w:ind w:left="0" w:right="0"/>
              <w:rPr>
                <w:rFonts w:hint="eastAsia"/>
                <w:color w:val="auto"/>
              </w:rPr>
            </w:pPr>
          </w:p>
          <w:p w14:paraId="2BF23E68">
            <w:pPr>
              <w:keepNext w:val="0"/>
              <w:keepLines w:val="0"/>
              <w:suppressLineNumbers w:val="0"/>
              <w:spacing w:before="0" w:beforeAutospacing="0" w:after="0" w:afterAutospacing="0"/>
              <w:ind w:left="0" w:right="0"/>
              <w:rPr>
                <w:rFonts w:hint="eastAsia"/>
                <w:color w:val="auto"/>
              </w:rPr>
            </w:pPr>
          </w:p>
          <w:p w14:paraId="41133CBD">
            <w:pPr>
              <w:keepNext w:val="0"/>
              <w:keepLines w:val="0"/>
              <w:suppressLineNumbers w:val="0"/>
              <w:spacing w:before="0" w:beforeAutospacing="0" w:after="0" w:afterAutospacing="0"/>
              <w:ind w:left="0" w:right="0"/>
              <w:rPr>
                <w:rFonts w:hint="eastAsia"/>
                <w:color w:val="auto"/>
              </w:rPr>
            </w:pPr>
          </w:p>
          <w:p w14:paraId="031EE327">
            <w:pPr>
              <w:keepNext w:val="0"/>
              <w:keepLines w:val="0"/>
              <w:suppressLineNumbers w:val="0"/>
              <w:spacing w:before="0" w:beforeAutospacing="0" w:after="0" w:afterAutospacing="0"/>
              <w:ind w:left="0" w:right="0"/>
              <w:rPr>
                <w:rFonts w:hint="default"/>
                <w:color w:val="auto"/>
              </w:rPr>
            </w:pPr>
          </w:p>
          <w:p w14:paraId="5A1B2AF0">
            <w:pPr>
              <w:keepNext w:val="0"/>
              <w:keepLines w:val="0"/>
              <w:suppressLineNumbers w:val="0"/>
              <w:bidi w:val="0"/>
              <w:spacing w:before="0" w:beforeAutospacing="0" w:after="0" w:afterAutospacing="0" w:line="360" w:lineRule="auto"/>
              <w:ind w:left="0" w:right="0"/>
              <w:jc w:val="center"/>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z w:val="24"/>
                <w:szCs w:val="24"/>
                <w:highlight w:val="none"/>
              </w:rPr>
              <w:t>表</w:t>
            </w:r>
            <w:r>
              <w:rPr>
                <w:rFonts w:hint="eastAsia" w:eastAsia="黑体" w:cs="Times New Roman"/>
                <w:color w:val="auto"/>
                <w:sz w:val="24"/>
                <w:szCs w:val="24"/>
                <w:highlight w:val="none"/>
                <w:lang w:val="en-US" w:eastAsia="zh-CN"/>
              </w:rPr>
              <w:t>4-22</w:t>
            </w:r>
            <w:r>
              <w:rPr>
                <w:rFonts w:hint="default" w:ascii="Times New Roman" w:hAnsi="Times New Roman" w:eastAsia="黑体" w:cs="Times New Roman"/>
                <w:color w:val="auto"/>
                <w:sz w:val="24"/>
                <w:szCs w:val="24"/>
                <w:highlight w:val="none"/>
                <w:lang w:val="en-US" w:eastAsia="zh-CN"/>
              </w:rPr>
              <w:t xml:space="preserve"> </w:t>
            </w:r>
            <w:r>
              <w:rPr>
                <w:rFonts w:hint="default" w:ascii="Times New Roman" w:hAnsi="Times New Roman" w:eastAsia="黑体" w:cs="Times New Roman"/>
                <w:color w:val="auto"/>
                <w:sz w:val="24"/>
                <w:szCs w:val="24"/>
                <w:highlight w:val="none"/>
              </w:rPr>
              <w:t>建设项目环境风险识别表</w:t>
            </w:r>
          </w:p>
          <w:tbl>
            <w:tblPr>
              <w:tblStyle w:val="37"/>
              <w:tblW w:w="8080"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820"/>
              <w:gridCol w:w="959"/>
              <w:gridCol w:w="1757"/>
              <w:gridCol w:w="1513"/>
              <w:gridCol w:w="1515"/>
              <w:gridCol w:w="1516"/>
            </w:tblGrid>
            <w:tr w14:paraId="74F46A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820" w:type="dxa"/>
                  <w:vAlign w:val="center"/>
                </w:tcPr>
                <w:p w14:paraId="7B005F59">
                  <w:pPr>
                    <w:keepNext w:val="0"/>
                    <w:keepLines w:val="0"/>
                    <w:suppressLineNumbers w:val="0"/>
                    <w:spacing w:before="0" w:beforeAutospacing="0" w:after="0" w:afterAutospacing="0" w:line="276" w:lineRule="auto"/>
                    <w:ind w:left="0" w:right="0"/>
                    <w:jc w:val="center"/>
                    <w:rPr>
                      <w:rFonts w:hint="default"/>
                      <w:b/>
                      <w:color w:val="auto"/>
                      <w:szCs w:val="21"/>
                      <w:highlight w:val="none"/>
                    </w:rPr>
                  </w:pPr>
                  <w:r>
                    <w:rPr>
                      <w:rFonts w:hint="eastAsia"/>
                      <w:b/>
                      <w:color w:val="auto"/>
                      <w:szCs w:val="21"/>
                      <w:highlight w:val="none"/>
                    </w:rPr>
                    <w:t>危险单元</w:t>
                  </w:r>
                </w:p>
              </w:tc>
              <w:tc>
                <w:tcPr>
                  <w:tcW w:w="959" w:type="dxa"/>
                  <w:vAlign w:val="center"/>
                </w:tcPr>
                <w:p w14:paraId="2DCF4748">
                  <w:pPr>
                    <w:keepNext w:val="0"/>
                    <w:keepLines w:val="0"/>
                    <w:suppressLineNumbers w:val="0"/>
                    <w:spacing w:before="0" w:beforeAutospacing="0" w:after="0" w:afterAutospacing="0" w:line="276" w:lineRule="auto"/>
                    <w:ind w:left="0" w:right="0"/>
                    <w:jc w:val="center"/>
                    <w:rPr>
                      <w:rFonts w:hint="default"/>
                      <w:b/>
                      <w:color w:val="auto"/>
                      <w:szCs w:val="21"/>
                      <w:highlight w:val="none"/>
                    </w:rPr>
                  </w:pPr>
                  <w:r>
                    <w:rPr>
                      <w:rFonts w:hint="eastAsia"/>
                      <w:b/>
                      <w:color w:val="auto"/>
                      <w:szCs w:val="21"/>
                      <w:highlight w:val="none"/>
                    </w:rPr>
                    <w:t>风险源</w:t>
                  </w:r>
                </w:p>
              </w:tc>
              <w:tc>
                <w:tcPr>
                  <w:tcW w:w="1757" w:type="dxa"/>
                  <w:vAlign w:val="center"/>
                </w:tcPr>
                <w:p w14:paraId="6890CF93">
                  <w:pPr>
                    <w:keepNext w:val="0"/>
                    <w:keepLines w:val="0"/>
                    <w:suppressLineNumbers w:val="0"/>
                    <w:spacing w:before="0" w:beforeAutospacing="0" w:after="0" w:afterAutospacing="0" w:line="276" w:lineRule="auto"/>
                    <w:ind w:left="0" w:right="0"/>
                    <w:jc w:val="center"/>
                    <w:rPr>
                      <w:rFonts w:hint="default"/>
                      <w:b/>
                      <w:color w:val="auto"/>
                      <w:szCs w:val="21"/>
                      <w:highlight w:val="none"/>
                    </w:rPr>
                  </w:pPr>
                  <w:r>
                    <w:rPr>
                      <w:rFonts w:hint="eastAsia"/>
                      <w:b/>
                      <w:color w:val="auto"/>
                      <w:szCs w:val="21"/>
                      <w:highlight w:val="none"/>
                    </w:rPr>
                    <w:t>主要危险物质</w:t>
                  </w:r>
                </w:p>
              </w:tc>
              <w:tc>
                <w:tcPr>
                  <w:tcW w:w="1513" w:type="dxa"/>
                  <w:vAlign w:val="center"/>
                </w:tcPr>
                <w:p w14:paraId="19C1188D">
                  <w:pPr>
                    <w:keepNext w:val="0"/>
                    <w:keepLines w:val="0"/>
                    <w:suppressLineNumbers w:val="0"/>
                    <w:spacing w:before="0" w:beforeAutospacing="0" w:after="0" w:afterAutospacing="0" w:line="276" w:lineRule="auto"/>
                    <w:ind w:left="0" w:right="0"/>
                    <w:jc w:val="center"/>
                    <w:rPr>
                      <w:rFonts w:hint="default"/>
                      <w:b/>
                      <w:color w:val="auto"/>
                      <w:szCs w:val="21"/>
                      <w:highlight w:val="none"/>
                    </w:rPr>
                  </w:pPr>
                  <w:r>
                    <w:rPr>
                      <w:rFonts w:hint="eastAsia"/>
                      <w:b/>
                      <w:color w:val="auto"/>
                      <w:szCs w:val="21"/>
                      <w:highlight w:val="none"/>
                    </w:rPr>
                    <w:t>环境风险类型</w:t>
                  </w:r>
                </w:p>
              </w:tc>
              <w:tc>
                <w:tcPr>
                  <w:tcW w:w="1515" w:type="dxa"/>
                  <w:vAlign w:val="center"/>
                </w:tcPr>
                <w:p w14:paraId="5EA41462">
                  <w:pPr>
                    <w:keepNext w:val="0"/>
                    <w:keepLines w:val="0"/>
                    <w:suppressLineNumbers w:val="0"/>
                    <w:spacing w:before="0" w:beforeAutospacing="0" w:after="0" w:afterAutospacing="0" w:line="276" w:lineRule="auto"/>
                    <w:ind w:left="0" w:right="0"/>
                    <w:jc w:val="center"/>
                    <w:rPr>
                      <w:rFonts w:hint="default"/>
                      <w:b/>
                      <w:color w:val="auto"/>
                      <w:szCs w:val="21"/>
                      <w:highlight w:val="none"/>
                    </w:rPr>
                  </w:pPr>
                  <w:r>
                    <w:rPr>
                      <w:rFonts w:hint="eastAsia"/>
                      <w:b/>
                      <w:color w:val="auto"/>
                      <w:szCs w:val="21"/>
                      <w:highlight w:val="none"/>
                    </w:rPr>
                    <w:t>环境影响途径</w:t>
                  </w:r>
                </w:p>
              </w:tc>
              <w:tc>
                <w:tcPr>
                  <w:tcW w:w="1516" w:type="dxa"/>
                  <w:vAlign w:val="center"/>
                </w:tcPr>
                <w:p w14:paraId="6C22D488">
                  <w:pPr>
                    <w:keepNext w:val="0"/>
                    <w:keepLines w:val="0"/>
                    <w:suppressLineNumbers w:val="0"/>
                    <w:spacing w:before="0" w:beforeAutospacing="0" w:after="0" w:afterAutospacing="0" w:line="276" w:lineRule="auto"/>
                    <w:ind w:left="0" w:right="0"/>
                    <w:jc w:val="center"/>
                    <w:rPr>
                      <w:rFonts w:hint="default"/>
                      <w:b/>
                      <w:color w:val="auto"/>
                      <w:szCs w:val="21"/>
                      <w:highlight w:val="none"/>
                    </w:rPr>
                  </w:pPr>
                  <w:r>
                    <w:rPr>
                      <w:rFonts w:hint="eastAsia"/>
                      <w:b/>
                      <w:color w:val="auto"/>
                      <w:szCs w:val="21"/>
                      <w:highlight w:val="none"/>
                    </w:rPr>
                    <w:t>可能受影响的环境敏感目标</w:t>
                  </w:r>
                </w:p>
              </w:tc>
            </w:tr>
            <w:tr w14:paraId="375AE4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1779" w:type="dxa"/>
                  <w:gridSpan w:val="2"/>
                  <w:vAlign w:val="center"/>
                </w:tcPr>
                <w:p w14:paraId="4E6A7A8B">
                  <w:pPr>
                    <w:keepNext w:val="0"/>
                    <w:keepLines w:val="0"/>
                    <w:suppressLineNumbers w:val="0"/>
                    <w:spacing w:before="0" w:beforeAutospacing="0" w:after="0" w:afterAutospacing="0" w:line="276" w:lineRule="auto"/>
                    <w:ind w:left="0" w:right="0"/>
                    <w:jc w:val="center"/>
                    <w:rPr>
                      <w:rFonts w:hint="default"/>
                      <w:color w:val="auto"/>
                      <w:szCs w:val="21"/>
                      <w:highlight w:val="none"/>
                    </w:rPr>
                  </w:pPr>
                  <w:r>
                    <w:rPr>
                      <w:rFonts w:hint="default"/>
                      <w:color w:val="auto"/>
                      <w:szCs w:val="21"/>
                      <w:highlight w:val="none"/>
                    </w:rPr>
                    <w:t>危废暂存间</w:t>
                  </w:r>
                </w:p>
              </w:tc>
              <w:tc>
                <w:tcPr>
                  <w:tcW w:w="1757" w:type="dxa"/>
                  <w:vAlign w:val="center"/>
                </w:tcPr>
                <w:p w14:paraId="398C0FA7">
                  <w:pPr>
                    <w:keepNext w:val="0"/>
                    <w:keepLines w:val="0"/>
                    <w:suppressLineNumbers w:val="0"/>
                    <w:spacing w:before="0" w:beforeAutospacing="0" w:after="0" w:afterAutospacing="0" w:line="276" w:lineRule="auto"/>
                    <w:ind w:left="0" w:right="0"/>
                    <w:jc w:val="center"/>
                    <w:rPr>
                      <w:rFonts w:hint="default" w:eastAsia="宋体"/>
                      <w:color w:val="auto"/>
                      <w:szCs w:val="21"/>
                      <w:highlight w:val="none"/>
                      <w:lang w:val="en-US" w:eastAsia="zh-CN"/>
                    </w:rPr>
                  </w:pPr>
                  <w:r>
                    <w:rPr>
                      <w:rFonts w:hint="default" w:eastAsia="宋体"/>
                      <w:color w:val="auto"/>
                      <w:szCs w:val="21"/>
                      <w:highlight w:val="none"/>
                      <w:lang w:val="en-US" w:eastAsia="zh-CN"/>
                    </w:rPr>
                    <w:t>废活性炭、废油、废油桶及废弃劳保用品</w:t>
                  </w:r>
                </w:p>
              </w:tc>
              <w:tc>
                <w:tcPr>
                  <w:tcW w:w="1513" w:type="dxa"/>
                  <w:vAlign w:val="center"/>
                </w:tcPr>
                <w:p w14:paraId="404A6A88">
                  <w:pPr>
                    <w:keepNext w:val="0"/>
                    <w:keepLines w:val="0"/>
                    <w:suppressLineNumbers w:val="0"/>
                    <w:spacing w:before="0" w:beforeAutospacing="0" w:after="0" w:afterAutospacing="0" w:line="276" w:lineRule="auto"/>
                    <w:ind w:left="0" w:right="0"/>
                    <w:jc w:val="center"/>
                    <w:rPr>
                      <w:rFonts w:hint="default"/>
                      <w:color w:val="auto"/>
                      <w:szCs w:val="21"/>
                      <w:highlight w:val="none"/>
                    </w:rPr>
                  </w:pPr>
                  <w:r>
                    <w:rPr>
                      <w:rFonts w:hint="eastAsia"/>
                      <w:color w:val="auto"/>
                      <w:kern w:val="0"/>
                      <w:szCs w:val="21"/>
                      <w:highlight w:val="none"/>
                      <w:lang w:val="en-US" w:eastAsia="zh-CN"/>
                    </w:rPr>
                    <w:t>泄漏</w:t>
                  </w:r>
                  <w:r>
                    <w:rPr>
                      <w:rFonts w:hint="eastAsia"/>
                      <w:color w:val="auto"/>
                      <w:kern w:val="0"/>
                      <w:szCs w:val="21"/>
                      <w:highlight w:val="none"/>
                    </w:rPr>
                    <w:t>，火灾伴生污染物</w:t>
                  </w:r>
                </w:p>
              </w:tc>
              <w:tc>
                <w:tcPr>
                  <w:tcW w:w="1515" w:type="dxa"/>
                  <w:vAlign w:val="center"/>
                </w:tcPr>
                <w:p w14:paraId="5168D798">
                  <w:pPr>
                    <w:keepNext w:val="0"/>
                    <w:keepLines w:val="0"/>
                    <w:suppressLineNumbers w:val="0"/>
                    <w:spacing w:before="0" w:beforeAutospacing="0" w:after="0" w:afterAutospacing="0" w:line="276" w:lineRule="auto"/>
                    <w:ind w:left="0" w:right="0"/>
                    <w:jc w:val="center"/>
                    <w:rPr>
                      <w:rFonts w:hint="eastAsia" w:eastAsia="宋体"/>
                      <w:color w:val="auto"/>
                      <w:szCs w:val="21"/>
                      <w:highlight w:val="none"/>
                      <w:lang w:eastAsia="zh-CN"/>
                    </w:rPr>
                  </w:pPr>
                  <w:r>
                    <w:rPr>
                      <w:rFonts w:hint="eastAsia"/>
                      <w:color w:val="auto"/>
                      <w:szCs w:val="21"/>
                      <w:highlight w:val="none"/>
                    </w:rPr>
                    <w:t>大气扩散</w:t>
                  </w:r>
                  <w:r>
                    <w:rPr>
                      <w:rFonts w:hint="eastAsia"/>
                      <w:color w:val="auto"/>
                      <w:szCs w:val="21"/>
                      <w:highlight w:val="none"/>
                      <w:lang w:eastAsia="zh-CN"/>
                    </w:rPr>
                    <w:t>、</w:t>
                  </w:r>
                  <w:r>
                    <w:rPr>
                      <w:rFonts w:hint="eastAsia"/>
                      <w:color w:val="auto"/>
                      <w:szCs w:val="21"/>
                      <w:highlight w:val="none"/>
                    </w:rPr>
                    <w:t>地表漫流</w:t>
                  </w:r>
                </w:p>
              </w:tc>
              <w:tc>
                <w:tcPr>
                  <w:tcW w:w="1516" w:type="dxa"/>
                  <w:vMerge w:val="restart"/>
                  <w:vAlign w:val="center"/>
                </w:tcPr>
                <w:p w14:paraId="37C19C1F">
                  <w:pPr>
                    <w:keepNext w:val="0"/>
                    <w:keepLines w:val="0"/>
                    <w:suppressLineNumbers w:val="0"/>
                    <w:spacing w:before="0" w:beforeAutospacing="0" w:after="0" w:afterAutospacing="0" w:line="276" w:lineRule="auto"/>
                    <w:ind w:left="0" w:right="0"/>
                    <w:jc w:val="center"/>
                    <w:rPr>
                      <w:rFonts w:hint="default"/>
                      <w:color w:val="auto"/>
                      <w:szCs w:val="21"/>
                      <w:highlight w:val="none"/>
                    </w:rPr>
                  </w:pPr>
                  <w:r>
                    <w:rPr>
                      <w:rFonts w:hint="eastAsia"/>
                      <w:color w:val="auto"/>
                      <w:szCs w:val="21"/>
                      <w:highlight w:val="none"/>
                    </w:rPr>
                    <w:t>厂区周边居民、</w:t>
                  </w:r>
                  <w:r>
                    <w:rPr>
                      <w:rFonts w:hint="eastAsia"/>
                      <w:color w:val="auto"/>
                      <w:szCs w:val="21"/>
                      <w:highlight w:val="none"/>
                      <w:lang w:val="en-US" w:eastAsia="zh-CN"/>
                    </w:rPr>
                    <w:t>环境空气、</w:t>
                  </w:r>
                  <w:r>
                    <w:rPr>
                      <w:rFonts w:hint="eastAsia"/>
                      <w:color w:val="auto"/>
                      <w:szCs w:val="21"/>
                      <w:highlight w:val="none"/>
                    </w:rPr>
                    <w:t>地表水水体</w:t>
                  </w:r>
                </w:p>
              </w:tc>
            </w:tr>
            <w:tr w14:paraId="7405D1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1779" w:type="dxa"/>
                  <w:gridSpan w:val="2"/>
                  <w:vAlign w:val="center"/>
                </w:tcPr>
                <w:p w14:paraId="3D29BAA3">
                  <w:pPr>
                    <w:keepNext w:val="0"/>
                    <w:keepLines w:val="0"/>
                    <w:suppressLineNumbers w:val="0"/>
                    <w:spacing w:before="0" w:beforeAutospacing="0" w:after="0" w:afterAutospacing="0" w:line="276" w:lineRule="auto"/>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化学品库</w:t>
                  </w:r>
                </w:p>
              </w:tc>
              <w:tc>
                <w:tcPr>
                  <w:tcW w:w="1757" w:type="dxa"/>
                  <w:vAlign w:val="center"/>
                </w:tcPr>
                <w:p w14:paraId="0B530B8F">
                  <w:pPr>
                    <w:keepNext w:val="0"/>
                    <w:keepLines w:val="0"/>
                    <w:suppressLineNumbers w:val="0"/>
                    <w:spacing w:before="0" w:beforeAutospacing="0" w:after="0" w:afterAutospacing="0" w:line="276" w:lineRule="auto"/>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机油</w:t>
                  </w:r>
                </w:p>
              </w:tc>
              <w:tc>
                <w:tcPr>
                  <w:tcW w:w="1513" w:type="dxa"/>
                  <w:vAlign w:val="center"/>
                </w:tcPr>
                <w:p w14:paraId="4B6C6BD7">
                  <w:pPr>
                    <w:keepNext w:val="0"/>
                    <w:keepLines w:val="0"/>
                    <w:suppressLineNumbers w:val="0"/>
                    <w:spacing w:before="0" w:beforeAutospacing="0" w:after="0" w:afterAutospacing="0" w:line="276" w:lineRule="auto"/>
                    <w:ind w:left="0" w:right="0"/>
                    <w:jc w:val="center"/>
                    <w:rPr>
                      <w:rFonts w:hint="default"/>
                      <w:color w:val="auto"/>
                      <w:kern w:val="0"/>
                      <w:szCs w:val="21"/>
                      <w:highlight w:val="none"/>
                    </w:rPr>
                  </w:pPr>
                  <w:r>
                    <w:rPr>
                      <w:rFonts w:hint="eastAsia"/>
                      <w:color w:val="auto"/>
                      <w:kern w:val="0"/>
                      <w:szCs w:val="21"/>
                      <w:highlight w:val="none"/>
                    </w:rPr>
                    <w:t>泄漏，火灾伴生污染物</w:t>
                  </w:r>
                </w:p>
              </w:tc>
              <w:tc>
                <w:tcPr>
                  <w:tcW w:w="1515" w:type="dxa"/>
                  <w:vAlign w:val="center"/>
                </w:tcPr>
                <w:p w14:paraId="18EB8339">
                  <w:pPr>
                    <w:keepNext w:val="0"/>
                    <w:keepLines w:val="0"/>
                    <w:suppressLineNumbers w:val="0"/>
                    <w:spacing w:before="0" w:beforeAutospacing="0" w:after="0" w:afterAutospacing="0" w:line="276" w:lineRule="auto"/>
                    <w:ind w:left="0" w:right="0"/>
                    <w:jc w:val="center"/>
                    <w:rPr>
                      <w:rFonts w:hint="default"/>
                      <w:color w:val="auto"/>
                      <w:szCs w:val="21"/>
                      <w:highlight w:val="none"/>
                    </w:rPr>
                  </w:pPr>
                  <w:r>
                    <w:rPr>
                      <w:rFonts w:hint="eastAsia"/>
                      <w:color w:val="auto"/>
                      <w:szCs w:val="21"/>
                      <w:highlight w:val="none"/>
                    </w:rPr>
                    <w:t>大气扩散、地表漫流</w:t>
                  </w:r>
                </w:p>
              </w:tc>
              <w:tc>
                <w:tcPr>
                  <w:tcW w:w="1516" w:type="dxa"/>
                  <w:vMerge w:val="continue"/>
                  <w:vAlign w:val="center"/>
                </w:tcPr>
                <w:p w14:paraId="5F624980">
                  <w:pPr>
                    <w:keepNext w:val="0"/>
                    <w:keepLines w:val="0"/>
                    <w:suppressLineNumbers w:val="0"/>
                    <w:spacing w:before="0" w:beforeAutospacing="0" w:after="0" w:afterAutospacing="0" w:line="276" w:lineRule="auto"/>
                    <w:ind w:left="0" w:right="0"/>
                    <w:jc w:val="center"/>
                    <w:rPr>
                      <w:rFonts w:hint="default"/>
                      <w:color w:val="auto"/>
                      <w:szCs w:val="21"/>
                      <w:highlight w:val="none"/>
                    </w:rPr>
                  </w:pPr>
                </w:p>
              </w:tc>
            </w:tr>
          </w:tbl>
          <w:p w14:paraId="00B852C6">
            <w:pPr>
              <w:keepNext w:val="0"/>
              <w:keepLines w:val="0"/>
              <w:suppressLineNumbers w:val="0"/>
              <w:spacing w:before="0" w:beforeAutospacing="0" w:after="0" w:afterAutospacing="0" w:line="360" w:lineRule="auto"/>
              <w:ind w:left="0" w:right="0" w:firstLine="480" w:firstLineChars="200"/>
              <w:rPr>
                <w:rFonts w:hint="eastAsia"/>
                <w:color w:val="auto"/>
                <w:kern w:val="0"/>
                <w:sz w:val="24"/>
                <w:highlight w:val="none"/>
              </w:rPr>
            </w:pPr>
            <w:r>
              <w:rPr>
                <w:rFonts w:hint="eastAsia"/>
                <w:color w:val="auto"/>
                <w:kern w:val="0"/>
                <w:sz w:val="24"/>
                <w:highlight w:val="none"/>
                <w:lang w:val="en-US" w:eastAsia="zh-CN"/>
              </w:rPr>
              <w:t>危废暂存间及化学品库等需</w:t>
            </w:r>
            <w:r>
              <w:rPr>
                <w:rFonts w:hint="eastAsia"/>
                <w:color w:val="auto"/>
                <w:kern w:val="0"/>
                <w:sz w:val="24"/>
                <w:highlight w:val="none"/>
              </w:rPr>
              <w:t>设置重点防渗措施</w:t>
            </w:r>
            <w:r>
              <w:rPr>
                <w:rFonts w:hint="eastAsia"/>
                <w:color w:val="auto"/>
                <w:kern w:val="0"/>
                <w:sz w:val="24"/>
                <w:highlight w:val="none"/>
                <w:lang w:val="en-US" w:eastAsia="zh-CN"/>
              </w:rPr>
              <w:t>并符合</w:t>
            </w:r>
            <w:r>
              <w:rPr>
                <w:rFonts w:hint="eastAsia"/>
                <w:color w:val="auto"/>
                <w:kern w:val="0"/>
                <w:sz w:val="24"/>
                <w:highlight w:val="none"/>
              </w:rPr>
              <w:t>重点防渗</w:t>
            </w:r>
            <w:r>
              <w:rPr>
                <w:rFonts w:hint="eastAsia"/>
                <w:color w:val="auto"/>
                <w:kern w:val="0"/>
                <w:sz w:val="24"/>
                <w:highlight w:val="none"/>
                <w:lang w:val="en-US" w:eastAsia="zh-CN"/>
              </w:rPr>
              <w:t>要求</w:t>
            </w:r>
            <w:r>
              <w:rPr>
                <w:rFonts w:hint="eastAsia"/>
                <w:color w:val="auto"/>
                <w:kern w:val="0"/>
                <w:sz w:val="24"/>
                <w:highlight w:val="none"/>
                <w:lang w:eastAsia="zh-CN"/>
              </w:rPr>
              <w:t>，</w:t>
            </w:r>
            <w:r>
              <w:rPr>
                <w:rFonts w:hint="eastAsia"/>
                <w:color w:val="auto"/>
                <w:kern w:val="0"/>
                <w:sz w:val="24"/>
                <w:highlight w:val="none"/>
                <w:lang w:val="en-US" w:eastAsia="zh-CN"/>
              </w:rPr>
              <w:t>运营期按要求落实防腐措施后，项目建设对</w:t>
            </w:r>
            <w:r>
              <w:rPr>
                <w:rFonts w:hint="eastAsia"/>
                <w:color w:val="auto"/>
                <w:kern w:val="0"/>
                <w:sz w:val="24"/>
                <w:highlight w:val="none"/>
              </w:rPr>
              <w:t>土壤和地下水环境风险较小。</w:t>
            </w:r>
          </w:p>
          <w:p w14:paraId="735D960B">
            <w:pPr>
              <w:keepNext w:val="0"/>
              <w:keepLines w:val="0"/>
              <w:suppressLineNumbers w:val="0"/>
              <w:spacing w:before="0" w:beforeAutospacing="0" w:after="0" w:afterAutospacing="0" w:line="360" w:lineRule="auto"/>
              <w:ind w:left="0" w:right="0" w:firstLine="480" w:firstLineChars="200"/>
              <w:rPr>
                <w:rFonts w:hint="default" w:eastAsia="宋体"/>
                <w:color w:val="auto"/>
                <w:sz w:val="24"/>
                <w:szCs w:val="24"/>
                <w:highlight w:val="none"/>
                <w:lang w:val="en-US" w:eastAsia="zh-CN"/>
              </w:rPr>
            </w:pPr>
            <w:r>
              <w:rPr>
                <w:rFonts w:hint="eastAsia"/>
                <w:color w:val="auto"/>
                <w:kern w:val="0"/>
                <w:sz w:val="24"/>
                <w:highlight w:val="none"/>
              </w:rPr>
              <w:t>大气环境的风险影响主要为火灾事故带来的伴生大气污染影响</w:t>
            </w:r>
            <w:r>
              <w:rPr>
                <w:rFonts w:hint="eastAsia"/>
                <w:color w:val="auto"/>
                <w:kern w:val="0"/>
                <w:sz w:val="24"/>
                <w:highlight w:val="none"/>
                <w:lang w:eastAsia="zh-CN"/>
              </w:rPr>
              <w:t>，</w:t>
            </w:r>
            <w:r>
              <w:rPr>
                <w:rFonts w:hint="eastAsia"/>
                <w:color w:val="auto"/>
                <w:kern w:val="0"/>
                <w:sz w:val="24"/>
                <w:highlight w:val="none"/>
                <w:lang w:val="en-US" w:eastAsia="zh-CN"/>
              </w:rPr>
              <w:t>厂区需设置视频监控、火灾报警探测及消防器材等应急物资，可防控风险源扩散。</w:t>
            </w:r>
          </w:p>
          <w:p w14:paraId="6A6D64EB">
            <w:pPr>
              <w:keepNext w:val="0"/>
              <w:keepLines w:val="0"/>
              <w:suppressLineNumbers w:val="0"/>
              <w:spacing w:before="0" w:beforeAutospacing="0" w:after="0" w:afterAutospacing="0" w:line="360" w:lineRule="auto"/>
              <w:ind w:left="0" w:right="0" w:firstLine="482" w:firstLineChars="200"/>
              <w:rPr>
                <w:rFonts w:hint="default"/>
                <w:b/>
                <w:color w:val="auto"/>
                <w:sz w:val="24"/>
                <w:szCs w:val="24"/>
                <w:highlight w:val="none"/>
              </w:rPr>
            </w:pPr>
            <w:r>
              <w:rPr>
                <w:rFonts w:hint="eastAsia"/>
                <w:b/>
                <w:color w:val="auto"/>
                <w:sz w:val="24"/>
                <w:szCs w:val="24"/>
                <w:highlight w:val="none"/>
              </w:rPr>
              <w:t>3</w:t>
            </w:r>
            <w:r>
              <w:rPr>
                <w:rFonts w:hint="eastAsia"/>
                <w:b/>
                <w:color w:val="auto"/>
                <w:sz w:val="24"/>
                <w:szCs w:val="24"/>
                <w:highlight w:val="none"/>
                <w:lang w:val="en-US" w:eastAsia="zh-CN"/>
              </w:rPr>
              <w:t>.</w:t>
            </w:r>
            <w:r>
              <w:rPr>
                <w:rFonts w:hint="eastAsia"/>
                <w:b/>
                <w:color w:val="auto"/>
                <w:sz w:val="24"/>
                <w:szCs w:val="24"/>
                <w:highlight w:val="none"/>
              </w:rPr>
              <w:t>环境风险单元风险防范措施</w:t>
            </w:r>
          </w:p>
          <w:p w14:paraId="65AC4D08">
            <w:pPr>
              <w:pStyle w:val="172"/>
              <w:keepNext w:val="0"/>
              <w:keepLines w:val="0"/>
              <w:suppressLineNumbers w:val="0"/>
              <w:adjustRightInd/>
              <w:snapToGrid/>
              <w:spacing w:before="0" w:beforeAutospacing="0" w:after="0" w:afterAutospacing="0" w:line="360" w:lineRule="auto"/>
              <w:ind w:left="0" w:right="0" w:firstLine="480"/>
              <w:rPr>
                <w:rFonts w:hint="default"/>
                <w:color w:val="auto"/>
                <w:sz w:val="24"/>
                <w:szCs w:val="24"/>
                <w:highlight w:val="none"/>
              </w:rPr>
            </w:pPr>
            <w:r>
              <w:rPr>
                <w:rFonts w:hint="eastAsia"/>
                <w:color w:val="auto"/>
                <w:sz w:val="24"/>
                <w:szCs w:val="24"/>
                <w:highlight w:val="none"/>
              </w:rPr>
              <w:t>（</w:t>
            </w:r>
            <w:r>
              <w:rPr>
                <w:rFonts w:hint="default"/>
                <w:color w:val="auto"/>
                <w:sz w:val="24"/>
                <w:szCs w:val="24"/>
                <w:highlight w:val="none"/>
              </w:rPr>
              <w:t>1</w:t>
            </w:r>
            <w:r>
              <w:rPr>
                <w:rFonts w:hint="eastAsia"/>
                <w:color w:val="auto"/>
                <w:sz w:val="24"/>
                <w:szCs w:val="24"/>
                <w:highlight w:val="none"/>
              </w:rPr>
              <w:t>）</w:t>
            </w:r>
            <w:r>
              <w:rPr>
                <w:rFonts w:hint="eastAsia"/>
                <w:color w:val="auto"/>
                <w:sz w:val="24"/>
                <w:szCs w:val="24"/>
                <w:highlight w:val="none"/>
                <w:lang w:val="en-US" w:eastAsia="zh-CN"/>
              </w:rPr>
              <w:t>化学品库</w:t>
            </w:r>
            <w:r>
              <w:rPr>
                <w:rFonts w:hint="eastAsia"/>
                <w:color w:val="auto"/>
                <w:sz w:val="24"/>
                <w:szCs w:val="24"/>
                <w:highlight w:val="none"/>
              </w:rPr>
              <w:t>环境风险防范措施</w:t>
            </w:r>
          </w:p>
          <w:p w14:paraId="11B2DAAC">
            <w:pPr>
              <w:pStyle w:val="172"/>
              <w:keepNext w:val="0"/>
              <w:keepLines w:val="0"/>
              <w:suppressLineNumbers w:val="0"/>
              <w:adjustRightInd/>
              <w:snapToGrid/>
              <w:spacing w:before="0" w:beforeAutospacing="0" w:after="0" w:afterAutospacing="0" w:line="360" w:lineRule="auto"/>
              <w:ind w:left="0" w:right="0" w:firstLine="480"/>
              <w:rPr>
                <w:rFonts w:hint="default"/>
                <w:color w:val="auto"/>
                <w:sz w:val="24"/>
                <w:szCs w:val="24"/>
                <w:highlight w:val="none"/>
              </w:rPr>
            </w:pPr>
            <w:r>
              <w:rPr>
                <w:rFonts w:hint="default"/>
                <w:color w:val="auto"/>
                <w:sz w:val="24"/>
                <w:szCs w:val="24"/>
                <w:highlight w:val="none"/>
              </w:rPr>
              <w:t>1</w:t>
            </w:r>
            <w:r>
              <w:rPr>
                <w:rFonts w:hint="eastAsia"/>
                <w:color w:val="auto"/>
                <w:sz w:val="24"/>
                <w:szCs w:val="24"/>
                <w:highlight w:val="none"/>
              </w:rPr>
              <w:t>）泄漏</w:t>
            </w:r>
          </w:p>
          <w:p w14:paraId="7E342675">
            <w:pPr>
              <w:pStyle w:val="172"/>
              <w:keepNext w:val="0"/>
              <w:keepLines w:val="0"/>
              <w:suppressLineNumbers w:val="0"/>
              <w:adjustRightInd/>
              <w:snapToGrid/>
              <w:spacing w:before="0" w:beforeAutospacing="0" w:after="0" w:afterAutospacing="0" w:line="360" w:lineRule="auto"/>
              <w:ind w:left="0" w:right="0" w:firstLine="480"/>
              <w:rPr>
                <w:rFonts w:hint="eastAsia" w:eastAsia="宋体"/>
                <w:color w:val="auto"/>
                <w:sz w:val="24"/>
                <w:szCs w:val="24"/>
                <w:highlight w:val="none"/>
                <w:lang w:eastAsia="zh-CN"/>
              </w:rPr>
            </w:pPr>
            <w:r>
              <w:rPr>
                <w:rFonts w:hint="eastAsia"/>
                <w:color w:val="auto"/>
                <w:sz w:val="24"/>
                <w:szCs w:val="24"/>
                <w:highlight w:val="none"/>
              </w:rPr>
              <w:t>①</w:t>
            </w:r>
            <w:r>
              <w:rPr>
                <w:rFonts w:hint="eastAsia"/>
                <w:color w:val="auto"/>
                <w:sz w:val="24"/>
                <w:szCs w:val="24"/>
                <w:highlight w:val="none"/>
                <w:lang w:val="en-US" w:eastAsia="zh-CN"/>
              </w:rPr>
              <w:t>化学品库</w:t>
            </w:r>
            <w:r>
              <w:rPr>
                <w:rFonts w:hint="eastAsia"/>
                <w:color w:val="auto"/>
                <w:sz w:val="24"/>
                <w:highlight w:val="none"/>
              </w:rPr>
              <w:t>地面</w:t>
            </w:r>
            <w:r>
              <w:rPr>
                <w:rFonts w:hint="eastAsia"/>
                <w:color w:val="auto"/>
                <w:sz w:val="24"/>
                <w:highlight w:val="none"/>
                <w:lang w:val="en-US" w:eastAsia="zh-CN"/>
              </w:rPr>
              <w:t>需按要求</w:t>
            </w:r>
            <w:r>
              <w:rPr>
                <w:rFonts w:hint="eastAsia"/>
                <w:color w:val="auto"/>
                <w:sz w:val="24"/>
                <w:highlight w:val="none"/>
              </w:rPr>
              <w:t>做耐腐蚀、防渗漏处理，防渗层</w:t>
            </w:r>
            <w:r>
              <w:rPr>
                <w:rFonts w:hint="eastAsia"/>
                <w:color w:val="auto"/>
                <w:sz w:val="24"/>
                <w:highlight w:val="none"/>
                <w:lang w:val="en-US" w:eastAsia="zh-CN"/>
              </w:rPr>
              <w:t>设置</w:t>
            </w:r>
            <w:r>
              <w:rPr>
                <w:rFonts w:hint="default"/>
                <w:color w:val="auto"/>
                <w:sz w:val="24"/>
                <w:highlight w:val="none"/>
              </w:rPr>
              <w:t>2mm</w:t>
            </w:r>
            <w:r>
              <w:rPr>
                <w:rFonts w:hint="eastAsia"/>
                <w:color w:val="auto"/>
                <w:sz w:val="24"/>
                <w:highlight w:val="none"/>
              </w:rPr>
              <w:t>厚人工材料</w:t>
            </w:r>
            <w:r>
              <w:rPr>
                <w:rFonts w:hint="default" w:ascii="宋体" w:hAnsi="宋体"/>
                <w:color w:val="auto"/>
                <w:sz w:val="24"/>
                <w:highlight w:val="none"/>
              </w:rPr>
              <w:t>(</w:t>
            </w:r>
            <w:r>
              <w:rPr>
                <w:rFonts w:hint="eastAsia" w:ascii="宋体" w:hAnsi="宋体"/>
                <w:color w:val="auto"/>
                <w:sz w:val="24"/>
                <w:highlight w:val="none"/>
              </w:rPr>
              <w:t>防渗</w:t>
            </w:r>
            <w:r>
              <w:rPr>
                <w:rFonts w:hint="eastAsia"/>
                <w:color w:val="auto"/>
                <w:sz w:val="24"/>
                <w:highlight w:val="none"/>
              </w:rPr>
              <w:t>系数</w:t>
            </w:r>
            <w:r>
              <w:rPr>
                <w:rFonts w:hint="default"/>
                <w:color w:val="auto"/>
                <w:sz w:val="24"/>
                <w:highlight w:val="none"/>
              </w:rPr>
              <w:t>&lt;10</w:t>
            </w:r>
            <w:r>
              <w:rPr>
                <w:rFonts w:hint="default"/>
                <w:color w:val="auto"/>
                <w:sz w:val="24"/>
                <w:highlight w:val="none"/>
                <w:vertAlign w:val="superscript"/>
              </w:rPr>
              <w:t>-10</w:t>
            </w:r>
            <w:r>
              <w:rPr>
                <w:rFonts w:hint="default"/>
                <w:color w:val="auto"/>
                <w:sz w:val="24"/>
                <w:highlight w:val="none"/>
              </w:rPr>
              <w:t>cm/s</w:t>
            </w:r>
            <w:r>
              <w:rPr>
                <w:rFonts w:hint="eastAsia"/>
                <w:color w:val="auto"/>
                <w:sz w:val="24"/>
                <w:highlight w:val="none"/>
              </w:rPr>
              <w:t>），保证地面无裂痕</w:t>
            </w:r>
            <w:r>
              <w:rPr>
                <w:rFonts w:hint="eastAsia"/>
                <w:color w:val="auto"/>
                <w:sz w:val="24"/>
                <w:highlight w:val="none"/>
                <w:lang w:eastAsia="zh-CN"/>
              </w:rPr>
              <w:t>，</w:t>
            </w:r>
            <w:r>
              <w:rPr>
                <w:rFonts w:hint="eastAsia"/>
                <w:color w:val="auto"/>
                <w:sz w:val="24"/>
                <w:highlight w:val="none"/>
              </w:rPr>
              <w:t>地面做好耐腐蚀、防渗漏处理，保证地面无裂痕</w:t>
            </w:r>
            <w:r>
              <w:rPr>
                <w:rFonts w:hint="eastAsia"/>
                <w:color w:val="auto"/>
                <w:sz w:val="24"/>
                <w:highlight w:val="none"/>
                <w:lang w:eastAsia="zh-CN"/>
              </w:rPr>
              <w:t>；</w:t>
            </w:r>
          </w:p>
          <w:p w14:paraId="1824F906">
            <w:pPr>
              <w:pStyle w:val="172"/>
              <w:keepNext w:val="0"/>
              <w:keepLines w:val="0"/>
              <w:suppressLineNumbers w:val="0"/>
              <w:tabs>
                <w:tab w:val="left" w:pos="5785"/>
              </w:tabs>
              <w:adjustRightInd/>
              <w:snapToGrid/>
              <w:spacing w:before="0" w:beforeAutospacing="0" w:after="0" w:afterAutospacing="0" w:line="360" w:lineRule="auto"/>
              <w:ind w:left="0" w:right="0" w:firstLine="480"/>
              <w:rPr>
                <w:rFonts w:hint="default"/>
                <w:color w:val="auto"/>
                <w:sz w:val="24"/>
                <w:szCs w:val="24"/>
              </w:rPr>
            </w:pPr>
            <w:r>
              <w:rPr>
                <w:rFonts w:hint="eastAsia"/>
                <w:color w:val="auto"/>
                <w:sz w:val="24"/>
                <w:szCs w:val="24"/>
                <w:highlight w:val="none"/>
              </w:rPr>
              <w:t>②</w:t>
            </w:r>
            <w:r>
              <w:rPr>
                <w:rFonts w:hint="eastAsia"/>
                <w:color w:val="auto"/>
                <w:sz w:val="24"/>
                <w:szCs w:val="24"/>
                <w:highlight w:val="none"/>
                <w:lang w:val="en-US" w:eastAsia="zh-CN"/>
              </w:rPr>
              <w:t>机油</w:t>
            </w:r>
            <w:r>
              <w:rPr>
                <w:rFonts w:hint="eastAsia"/>
                <w:color w:val="auto"/>
                <w:sz w:val="24"/>
                <w:szCs w:val="24"/>
              </w:rPr>
              <w:t>等</w:t>
            </w:r>
            <w:r>
              <w:rPr>
                <w:rFonts w:hint="eastAsia"/>
                <w:color w:val="auto"/>
                <w:sz w:val="24"/>
                <w:szCs w:val="24"/>
                <w:lang w:val="en-US" w:eastAsia="zh-CN"/>
              </w:rPr>
              <w:t>化学品</w:t>
            </w:r>
            <w:r>
              <w:rPr>
                <w:rFonts w:hint="eastAsia"/>
                <w:color w:val="auto"/>
                <w:sz w:val="24"/>
                <w:szCs w:val="24"/>
              </w:rPr>
              <w:t>储存应</w:t>
            </w:r>
            <w:r>
              <w:rPr>
                <w:rFonts w:hint="eastAsia"/>
                <w:color w:val="auto"/>
                <w:sz w:val="24"/>
                <w:szCs w:val="24"/>
                <w:lang w:val="en-US" w:eastAsia="zh-CN"/>
              </w:rPr>
              <w:t>采用防泄漏</w:t>
            </w:r>
            <w:r>
              <w:rPr>
                <w:rFonts w:hint="eastAsia"/>
                <w:color w:val="auto"/>
                <w:sz w:val="24"/>
                <w:szCs w:val="24"/>
              </w:rPr>
              <w:t>托盘</w:t>
            </w:r>
            <w:r>
              <w:rPr>
                <w:rFonts w:hint="eastAsia"/>
                <w:color w:val="auto"/>
                <w:sz w:val="24"/>
              </w:rPr>
              <w:t>，防止物料泄漏流出厂界；</w:t>
            </w:r>
          </w:p>
          <w:p w14:paraId="0A3E3CCF">
            <w:pPr>
              <w:pStyle w:val="172"/>
              <w:keepNext w:val="0"/>
              <w:keepLines w:val="0"/>
              <w:suppressLineNumbers w:val="0"/>
              <w:adjustRightInd/>
              <w:snapToGrid/>
              <w:spacing w:before="0" w:beforeAutospacing="0" w:after="0" w:afterAutospacing="0" w:line="360" w:lineRule="auto"/>
              <w:ind w:left="0" w:right="0" w:firstLine="480"/>
              <w:rPr>
                <w:rFonts w:hint="eastAsia" w:hAnsi="宋体"/>
                <w:color w:val="auto"/>
                <w:kern w:val="0"/>
                <w:sz w:val="24"/>
              </w:rPr>
            </w:pPr>
            <w:r>
              <w:rPr>
                <w:rFonts w:hint="eastAsia"/>
                <w:color w:val="auto"/>
                <w:sz w:val="24"/>
                <w:szCs w:val="24"/>
              </w:rPr>
              <w:t>③</w:t>
            </w:r>
            <w:r>
              <w:rPr>
                <w:rFonts w:hint="eastAsia"/>
                <w:color w:val="auto"/>
                <w:sz w:val="24"/>
                <w:szCs w:val="24"/>
                <w:highlight w:val="none"/>
                <w:lang w:val="en-US" w:eastAsia="zh-CN"/>
              </w:rPr>
              <w:t>机油</w:t>
            </w:r>
            <w:r>
              <w:rPr>
                <w:rFonts w:hint="eastAsia"/>
                <w:color w:val="auto"/>
                <w:sz w:val="24"/>
                <w:szCs w:val="24"/>
              </w:rPr>
              <w:t>等原材料</w:t>
            </w:r>
            <w:r>
              <w:rPr>
                <w:rFonts w:hint="eastAsia" w:hAnsi="宋体"/>
                <w:color w:val="auto"/>
                <w:kern w:val="0"/>
                <w:sz w:val="24"/>
              </w:rPr>
              <w:t>装卸、搬运及使用</w:t>
            </w:r>
            <w:r>
              <w:rPr>
                <w:rFonts w:hint="eastAsia" w:hAnsi="宋体"/>
                <w:color w:val="auto"/>
                <w:kern w:val="0"/>
                <w:sz w:val="24"/>
                <w:lang w:val="en-US" w:eastAsia="zh-CN"/>
              </w:rPr>
              <w:t>等须</w:t>
            </w:r>
            <w:r>
              <w:rPr>
                <w:rFonts w:hint="eastAsia" w:hAnsi="宋体"/>
                <w:color w:val="auto"/>
                <w:kern w:val="0"/>
                <w:sz w:val="24"/>
              </w:rPr>
              <w:t>严守操作规程，应轻拿轻放，不得</w:t>
            </w:r>
            <w:r>
              <w:rPr>
                <w:rFonts w:hint="eastAsia" w:hAnsi="宋体"/>
                <w:color w:val="auto"/>
                <w:kern w:val="0"/>
                <w:sz w:val="24"/>
                <w:lang w:val="en-US" w:eastAsia="zh-CN"/>
              </w:rPr>
              <w:t>以</w:t>
            </w:r>
            <w:r>
              <w:rPr>
                <w:rFonts w:hint="eastAsia" w:hAnsi="宋体"/>
                <w:color w:val="auto"/>
                <w:kern w:val="0"/>
                <w:sz w:val="24"/>
              </w:rPr>
              <w:t>抛、摔、拖、碰、滚等方式进行搬运；</w:t>
            </w:r>
          </w:p>
          <w:p w14:paraId="5997E023">
            <w:pPr>
              <w:pStyle w:val="172"/>
              <w:keepNext w:val="0"/>
              <w:keepLines w:val="0"/>
              <w:suppressLineNumbers w:val="0"/>
              <w:adjustRightInd/>
              <w:snapToGrid/>
              <w:spacing w:before="0" w:beforeAutospacing="0" w:after="0" w:afterAutospacing="0" w:line="360" w:lineRule="auto"/>
              <w:ind w:left="0" w:right="0" w:firstLine="480"/>
              <w:rPr>
                <w:rFonts w:hint="default" w:hAnsi="宋体" w:eastAsia="宋体"/>
                <w:color w:val="auto"/>
                <w:kern w:val="0"/>
                <w:sz w:val="24"/>
                <w:lang w:val="en-US" w:eastAsia="zh-CN"/>
              </w:rPr>
            </w:pPr>
            <w:r>
              <w:rPr>
                <w:rFonts w:hint="eastAsia"/>
                <w:color w:val="auto"/>
                <w:sz w:val="24"/>
                <w:szCs w:val="24"/>
              </w:rPr>
              <w:t>④</w:t>
            </w:r>
            <w:r>
              <w:rPr>
                <w:rFonts w:hint="eastAsia"/>
                <w:color w:val="auto"/>
                <w:sz w:val="24"/>
                <w:szCs w:val="24"/>
                <w:lang w:val="en-US" w:eastAsia="zh-CN"/>
              </w:rPr>
              <w:t>储存液态化学品区域四周需设置导流沟及集液池，以截流泄漏的液态化学品物料；</w:t>
            </w:r>
          </w:p>
          <w:p w14:paraId="7D366902">
            <w:pPr>
              <w:pStyle w:val="172"/>
              <w:keepNext w:val="0"/>
              <w:keepLines w:val="0"/>
              <w:suppressLineNumbers w:val="0"/>
              <w:adjustRightInd/>
              <w:snapToGrid/>
              <w:spacing w:before="0" w:beforeAutospacing="0" w:after="0" w:afterAutospacing="0" w:line="360" w:lineRule="auto"/>
              <w:ind w:left="0" w:right="0" w:firstLine="480"/>
              <w:rPr>
                <w:rFonts w:hint="default"/>
                <w:color w:val="auto"/>
                <w:sz w:val="24"/>
                <w:szCs w:val="24"/>
              </w:rPr>
            </w:pPr>
            <w:r>
              <w:rPr>
                <w:rFonts w:hint="eastAsia"/>
                <w:color w:val="auto"/>
                <w:sz w:val="24"/>
                <w:szCs w:val="24"/>
              </w:rPr>
              <w:t>⑤严格控制厂区原材料的存储量，不得超过临界量；</w:t>
            </w:r>
          </w:p>
          <w:p w14:paraId="03DC8F87">
            <w:pPr>
              <w:pStyle w:val="172"/>
              <w:keepNext w:val="0"/>
              <w:keepLines w:val="0"/>
              <w:suppressLineNumbers w:val="0"/>
              <w:adjustRightInd/>
              <w:snapToGrid/>
              <w:spacing w:before="0" w:beforeAutospacing="0" w:after="0" w:afterAutospacing="0" w:line="360" w:lineRule="auto"/>
              <w:ind w:left="0" w:right="0" w:firstLine="480"/>
              <w:rPr>
                <w:rFonts w:hint="default"/>
                <w:color w:val="auto"/>
                <w:sz w:val="24"/>
                <w:szCs w:val="24"/>
              </w:rPr>
            </w:pPr>
            <w:r>
              <w:rPr>
                <w:rFonts w:hint="eastAsia" w:hAnsi="宋体"/>
                <w:color w:val="auto"/>
                <w:kern w:val="0"/>
                <w:sz w:val="24"/>
                <w:lang w:val="en-US" w:eastAsia="zh-CN"/>
              </w:rPr>
              <w:t>⑥</w:t>
            </w:r>
            <w:r>
              <w:rPr>
                <w:rFonts w:hint="eastAsia" w:hAnsi="宋体"/>
                <w:color w:val="auto"/>
                <w:kern w:val="0"/>
                <w:sz w:val="24"/>
              </w:rPr>
              <w:t>加强操作人员的安全教育和培训，使其了解原辅材料泄漏的应急措施。</w:t>
            </w:r>
          </w:p>
          <w:p w14:paraId="5BDCEA86">
            <w:pPr>
              <w:pStyle w:val="172"/>
              <w:keepNext w:val="0"/>
              <w:keepLines w:val="0"/>
              <w:suppressLineNumbers w:val="0"/>
              <w:adjustRightInd/>
              <w:snapToGrid/>
              <w:spacing w:before="0" w:beforeAutospacing="0" w:after="0" w:afterAutospacing="0" w:line="360" w:lineRule="auto"/>
              <w:ind w:left="0" w:right="0" w:firstLine="480"/>
              <w:rPr>
                <w:rFonts w:hint="default"/>
                <w:color w:val="auto"/>
                <w:sz w:val="24"/>
                <w:szCs w:val="24"/>
              </w:rPr>
            </w:pPr>
            <w:r>
              <w:rPr>
                <w:rFonts w:hint="default"/>
                <w:color w:val="auto"/>
                <w:sz w:val="24"/>
                <w:szCs w:val="24"/>
              </w:rPr>
              <w:t>2</w:t>
            </w:r>
            <w:r>
              <w:rPr>
                <w:rFonts w:hint="eastAsia"/>
                <w:color w:val="auto"/>
                <w:sz w:val="24"/>
                <w:szCs w:val="24"/>
              </w:rPr>
              <w:t>）火灾</w:t>
            </w:r>
          </w:p>
          <w:p w14:paraId="706388FA">
            <w:pPr>
              <w:keepNext w:val="0"/>
              <w:keepLines w:val="0"/>
              <w:suppressLineNumbers w:val="0"/>
              <w:autoSpaceDE w:val="0"/>
              <w:autoSpaceDN w:val="0"/>
              <w:adjustRightInd w:val="0"/>
              <w:spacing w:before="0" w:beforeAutospacing="0" w:after="0" w:afterAutospacing="0" w:line="360" w:lineRule="auto"/>
              <w:ind w:left="0" w:right="0" w:firstLine="480" w:firstLineChars="200"/>
              <w:jc w:val="left"/>
              <w:rPr>
                <w:rFonts w:hint="default" w:hAnsi="宋体"/>
                <w:color w:val="auto"/>
                <w:kern w:val="0"/>
                <w:sz w:val="24"/>
              </w:rPr>
            </w:pPr>
            <w:r>
              <w:rPr>
                <w:rFonts w:hint="eastAsia" w:hAnsi="宋体"/>
                <w:color w:val="auto"/>
                <w:kern w:val="0"/>
                <w:sz w:val="24"/>
              </w:rPr>
              <w:t>①加强对原材料供应商的审核管理，发现资质不全或过期，盛装容器外表破损、严重腐蚀等应立即做退回处理；</w:t>
            </w:r>
          </w:p>
          <w:p w14:paraId="061C3CF3">
            <w:pPr>
              <w:pStyle w:val="172"/>
              <w:keepNext w:val="0"/>
              <w:keepLines w:val="0"/>
              <w:suppressLineNumbers w:val="0"/>
              <w:adjustRightInd/>
              <w:snapToGrid/>
              <w:spacing w:before="0" w:beforeAutospacing="0" w:after="0" w:afterAutospacing="0" w:line="360" w:lineRule="auto"/>
              <w:ind w:left="0" w:right="0" w:firstLine="480"/>
              <w:rPr>
                <w:rFonts w:hint="default"/>
                <w:color w:val="auto"/>
                <w:sz w:val="24"/>
                <w:szCs w:val="24"/>
              </w:rPr>
            </w:pPr>
            <w:r>
              <w:rPr>
                <w:rFonts w:hint="eastAsia" w:hAnsi="宋体"/>
                <w:color w:val="auto"/>
                <w:kern w:val="0"/>
                <w:sz w:val="24"/>
              </w:rPr>
              <w:t>②加强操作人员的安全教育和培训，使其了解公司使用原材料的危害特性及火灾事故下应急措施；</w:t>
            </w:r>
          </w:p>
          <w:p w14:paraId="279AE25C">
            <w:pPr>
              <w:keepNext w:val="0"/>
              <w:keepLines w:val="0"/>
              <w:suppressLineNumbers w:val="0"/>
              <w:autoSpaceDE w:val="0"/>
              <w:autoSpaceDN w:val="0"/>
              <w:adjustRightInd w:val="0"/>
              <w:spacing w:before="0" w:beforeAutospacing="0" w:after="0" w:afterAutospacing="0" w:line="360" w:lineRule="auto"/>
              <w:ind w:left="0" w:right="0" w:firstLine="480" w:firstLineChars="200"/>
              <w:jc w:val="left"/>
              <w:rPr>
                <w:rFonts w:hint="default" w:hAnsi="宋体"/>
                <w:color w:val="auto"/>
                <w:kern w:val="0"/>
                <w:sz w:val="24"/>
              </w:rPr>
            </w:pPr>
            <w:r>
              <w:rPr>
                <w:rFonts w:hint="eastAsia"/>
                <w:color w:val="auto"/>
                <w:sz w:val="24"/>
                <w:szCs w:val="24"/>
              </w:rPr>
              <w:t>③</w:t>
            </w:r>
            <w:r>
              <w:rPr>
                <w:rFonts w:hint="eastAsia" w:hAnsi="宋体"/>
                <w:color w:val="auto"/>
                <w:kern w:val="0"/>
                <w:sz w:val="24"/>
              </w:rPr>
              <w:t>保持原材料储存及使用场所的环境卫生，确保清洁、干燥、物品摆放整齐、道路通畅；</w:t>
            </w:r>
          </w:p>
          <w:p w14:paraId="1488768F">
            <w:pPr>
              <w:pStyle w:val="172"/>
              <w:keepNext w:val="0"/>
              <w:keepLines w:val="0"/>
              <w:suppressLineNumbers w:val="0"/>
              <w:adjustRightInd/>
              <w:snapToGrid/>
              <w:spacing w:before="0" w:beforeAutospacing="0" w:after="0" w:afterAutospacing="0" w:line="360" w:lineRule="auto"/>
              <w:ind w:left="0" w:right="0" w:firstLine="480"/>
              <w:rPr>
                <w:rFonts w:hint="default"/>
                <w:color w:val="auto"/>
                <w:sz w:val="24"/>
                <w:szCs w:val="24"/>
              </w:rPr>
            </w:pPr>
            <w:r>
              <w:rPr>
                <w:rFonts w:hint="eastAsia"/>
                <w:color w:val="auto"/>
                <w:sz w:val="24"/>
                <w:szCs w:val="24"/>
              </w:rPr>
              <w:t>④</w:t>
            </w:r>
            <w:r>
              <w:rPr>
                <w:rFonts w:hint="eastAsia"/>
                <w:color w:val="auto"/>
                <w:sz w:val="24"/>
                <w:szCs w:val="24"/>
                <w:lang w:val="en-US" w:eastAsia="zh-CN"/>
              </w:rPr>
              <w:t>厂房、化学品库</w:t>
            </w:r>
            <w:r>
              <w:rPr>
                <w:rFonts w:hint="eastAsia"/>
                <w:color w:val="auto"/>
                <w:sz w:val="24"/>
                <w:szCs w:val="24"/>
              </w:rPr>
              <w:t>内应张贴防火标识，并配备消防灭火装置；</w:t>
            </w:r>
          </w:p>
          <w:p w14:paraId="7B1345DC">
            <w:pPr>
              <w:pStyle w:val="172"/>
              <w:keepNext w:val="0"/>
              <w:keepLines w:val="0"/>
              <w:suppressLineNumbers w:val="0"/>
              <w:adjustRightInd/>
              <w:snapToGrid/>
              <w:spacing w:before="0" w:beforeAutospacing="0" w:after="0" w:afterAutospacing="0" w:line="360" w:lineRule="auto"/>
              <w:ind w:left="0" w:right="0" w:firstLine="480"/>
              <w:rPr>
                <w:rFonts w:hint="default"/>
                <w:color w:val="auto"/>
                <w:sz w:val="24"/>
                <w:szCs w:val="24"/>
              </w:rPr>
            </w:pPr>
            <w:r>
              <w:rPr>
                <w:rFonts w:hint="eastAsia"/>
                <w:color w:val="auto"/>
                <w:sz w:val="24"/>
                <w:szCs w:val="24"/>
              </w:rPr>
              <w:t>⑤严禁在</w:t>
            </w:r>
            <w:r>
              <w:rPr>
                <w:rFonts w:hint="eastAsia"/>
                <w:color w:val="auto"/>
                <w:sz w:val="24"/>
                <w:szCs w:val="24"/>
                <w:lang w:val="en-US" w:eastAsia="zh-CN"/>
              </w:rPr>
              <w:t>化学品库</w:t>
            </w:r>
            <w:r>
              <w:rPr>
                <w:rFonts w:hint="eastAsia"/>
                <w:color w:val="auto"/>
                <w:sz w:val="24"/>
                <w:szCs w:val="24"/>
              </w:rPr>
              <w:t>内吸烟和使用明火。</w:t>
            </w:r>
          </w:p>
          <w:p w14:paraId="075F114F">
            <w:pPr>
              <w:pStyle w:val="172"/>
              <w:keepNext w:val="0"/>
              <w:keepLines w:val="0"/>
              <w:suppressLineNumbers w:val="0"/>
              <w:adjustRightInd/>
              <w:snapToGrid/>
              <w:spacing w:before="0" w:beforeAutospacing="0" w:after="0" w:afterAutospacing="0" w:line="360" w:lineRule="auto"/>
              <w:ind w:left="0" w:right="0" w:firstLine="480"/>
              <w:rPr>
                <w:rFonts w:hint="default"/>
                <w:color w:val="auto"/>
                <w:sz w:val="24"/>
                <w:szCs w:val="24"/>
              </w:rPr>
            </w:pPr>
            <w:r>
              <w:rPr>
                <w:rFonts w:hint="eastAsia"/>
                <w:color w:val="auto"/>
                <w:sz w:val="24"/>
                <w:szCs w:val="24"/>
              </w:rPr>
              <w:t>（</w:t>
            </w:r>
            <w:r>
              <w:rPr>
                <w:rFonts w:hint="default"/>
                <w:color w:val="auto"/>
                <w:sz w:val="24"/>
                <w:szCs w:val="24"/>
              </w:rPr>
              <w:t>2</w:t>
            </w:r>
            <w:r>
              <w:rPr>
                <w:rFonts w:hint="eastAsia"/>
                <w:color w:val="auto"/>
                <w:sz w:val="24"/>
                <w:szCs w:val="24"/>
              </w:rPr>
              <w:t>）危废暂存间环境风险防范措施</w:t>
            </w:r>
          </w:p>
          <w:p w14:paraId="6F43E656">
            <w:pPr>
              <w:pStyle w:val="172"/>
              <w:keepNext w:val="0"/>
              <w:keepLines w:val="0"/>
              <w:suppressLineNumbers w:val="0"/>
              <w:adjustRightInd/>
              <w:snapToGrid/>
              <w:spacing w:before="0" w:beforeAutospacing="0" w:after="0" w:afterAutospacing="0" w:line="360" w:lineRule="auto"/>
              <w:ind w:left="0" w:right="0" w:firstLine="480"/>
              <w:rPr>
                <w:rFonts w:hint="default"/>
                <w:color w:val="auto"/>
                <w:sz w:val="24"/>
                <w:szCs w:val="24"/>
              </w:rPr>
            </w:pPr>
            <w:r>
              <w:rPr>
                <w:rFonts w:hint="default"/>
                <w:color w:val="auto"/>
                <w:sz w:val="24"/>
                <w:szCs w:val="24"/>
              </w:rPr>
              <w:t>1</w:t>
            </w:r>
            <w:r>
              <w:rPr>
                <w:rFonts w:hint="eastAsia"/>
                <w:color w:val="auto"/>
                <w:sz w:val="24"/>
                <w:szCs w:val="24"/>
              </w:rPr>
              <w:t>）泄漏</w:t>
            </w:r>
          </w:p>
          <w:p w14:paraId="595FA01E">
            <w:pPr>
              <w:keepNext w:val="0"/>
              <w:keepLines w:val="0"/>
              <w:suppressLineNumbers w:val="0"/>
              <w:spacing w:before="0" w:beforeAutospacing="0" w:after="0" w:afterAutospacing="0" w:line="360" w:lineRule="auto"/>
              <w:ind w:left="0" w:right="0" w:firstLine="480" w:firstLineChars="200"/>
              <w:rPr>
                <w:rFonts w:hint="eastAsia" w:eastAsia="宋体"/>
                <w:color w:val="auto"/>
                <w:sz w:val="24"/>
                <w:lang w:eastAsia="zh-CN"/>
              </w:rPr>
            </w:pPr>
            <w:r>
              <w:rPr>
                <w:rFonts w:hint="eastAsia"/>
                <w:color w:val="auto"/>
                <w:sz w:val="24"/>
              </w:rPr>
              <w:t>①危废暂存间</w:t>
            </w:r>
            <w:r>
              <w:rPr>
                <w:rFonts w:hint="eastAsia"/>
                <w:color w:val="auto"/>
                <w:sz w:val="24"/>
                <w:lang w:val="en-US" w:eastAsia="zh-CN"/>
              </w:rPr>
              <w:t>需</w:t>
            </w:r>
            <w:r>
              <w:rPr>
                <w:rFonts w:hint="eastAsia"/>
                <w:color w:val="auto"/>
                <w:sz w:val="24"/>
              </w:rPr>
              <w:t>按照《危险废物贮存污染控制标准》</w:t>
            </w:r>
            <w:r>
              <w:rPr>
                <w:rFonts w:hint="eastAsia"/>
                <w:color w:val="auto"/>
                <w:sz w:val="24"/>
                <w:lang w:val="en-US" w:eastAsia="zh-CN"/>
              </w:rPr>
              <w:t>等</w:t>
            </w:r>
            <w:r>
              <w:rPr>
                <w:rFonts w:hint="eastAsia"/>
                <w:color w:val="auto"/>
                <w:sz w:val="24"/>
              </w:rPr>
              <w:t>相关规定进行</w:t>
            </w:r>
            <w:r>
              <w:rPr>
                <w:rFonts w:hint="eastAsia"/>
                <w:color w:val="auto"/>
                <w:sz w:val="24"/>
                <w:lang w:val="en-US" w:eastAsia="zh-CN"/>
              </w:rPr>
              <w:t>重点防渗、地面防腐</w:t>
            </w:r>
            <w:r>
              <w:rPr>
                <w:rFonts w:hint="eastAsia"/>
                <w:color w:val="auto"/>
                <w:sz w:val="24"/>
              </w:rPr>
              <w:t>设置，各类危险废物分类分开存放，</w:t>
            </w:r>
            <w:r>
              <w:rPr>
                <w:rFonts w:hint="eastAsia"/>
                <w:color w:val="auto"/>
                <w:sz w:val="24"/>
                <w:lang w:val="en-US" w:eastAsia="zh-CN"/>
              </w:rPr>
              <w:t>危废暂存间内</w:t>
            </w:r>
            <w:r>
              <w:rPr>
                <w:rFonts w:hint="eastAsia"/>
                <w:color w:val="auto"/>
                <w:sz w:val="24"/>
              </w:rPr>
              <w:t>并</w:t>
            </w:r>
            <w:r>
              <w:rPr>
                <w:rFonts w:hint="eastAsia"/>
                <w:color w:val="auto"/>
                <w:sz w:val="24"/>
                <w:lang w:val="en-US" w:eastAsia="zh-CN"/>
              </w:rPr>
              <w:t>需</w:t>
            </w:r>
            <w:r>
              <w:rPr>
                <w:rFonts w:hint="eastAsia"/>
                <w:color w:val="auto"/>
                <w:sz w:val="24"/>
              </w:rPr>
              <w:t>设</w:t>
            </w:r>
            <w:r>
              <w:rPr>
                <w:rFonts w:hint="eastAsia"/>
                <w:color w:val="auto"/>
                <w:sz w:val="24"/>
                <w:lang w:val="en-US" w:eastAsia="zh-CN"/>
              </w:rPr>
              <w:t>置导流沟</w:t>
            </w:r>
            <w:r>
              <w:rPr>
                <w:rFonts w:hint="eastAsia"/>
                <w:color w:val="auto"/>
                <w:sz w:val="24"/>
              </w:rPr>
              <w:t>、集液槽</w:t>
            </w:r>
            <w:r>
              <w:rPr>
                <w:rFonts w:hint="eastAsia"/>
                <w:color w:val="auto"/>
                <w:sz w:val="24"/>
                <w:lang w:eastAsia="zh-CN"/>
              </w:rPr>
              <w:t>；</w:t>
            </w:r>
          </w:p>
          <w:p w14:paraId="1AB21AAA">
            <w:pPr>
              <w:keepNext w:val="0"/>
              <w:keepLines w:val="0"/>
              <w:suppressLineNumbers w:val="0"/>
              <w:spacing w:before="0" w:beforeAutospacing="0" w:after="0" w:afterAutospacing="0" w:line="360" w:lineRule="auto"/>
              <w:ind w:left="0" w:right="0" w:firstLine="480" w:firstLineChars="200"/>
              <w:rPr>
                <w:rFonts w:hint="eastAsia" w:eastAsia="宋体"/>
                <w:color w:val="auto"/>
                <w:sz w:val="24"/>
                <w:lang w:eastAsia="zh-CN"/>
              </w:rPr>
            </w:pPr>
            <w:r>
              <w:rPr>
                <w:rFonts w:hint="eastAsia"/>
                <w:color w:val="auto"/>
                <w:sz w:val="24"/>
              </w:rPr>
              <w:t>②危废贮存</w:t>
            </w:r>
            <w:r>
              <w:rPr>
                <w:rFonts w:hint="eastAsia"/>
                <w:color w:val="auto"/>
                <w:sz w:val="24"/>
                <w:lang w:val="en-US" w:eastAsia="zh-CN"/>
              </w:rPr>
              <w:t>区域</w:t>
            </w:r>
            <w:r>
              <w:rPr>
                <w:rFonts w:hint="eastAsia"/>
                <w:color w:val="auto"/>
                <w:sz w:val="24"/>
              </w:rPr>
              <w:t>地面做耐腐蚀、防渗漏处理，防渗层</w:t>
            </w:r>
            <w:r>
              <w:rPr>
                <w:rFonts w:hint="eastAsia"/>
                <w:color w:val="auto"/>
                <w:sz w:val="24"/>
                <w:lang w:val="en-US" w:eastAsia="zh-CN"/>
              </w:rPr>
              <w:t>采取</w:t>
            </w:r>
            <w:r>
              <w:rPr>
                <w:rFonts w:hint="default"/>
                <w:color w:val="auto"/>
                <w:sz w:val="24"/>
              </w:rPr>
              <w:t>2mm</w:t>
            </w:r>
            <w:r>
              <w:rPr>
                <w:rFonts w:hint="eastAsia"/>
                <w:color w:val="auto"/>
                <w:sz w:val="24"/>
              </w:rPr>
              <w:t>厚</w:t>
            </w:r>
            <w:r>
              <w:rPr>
                <w:rFonts w:hint="eastAsia"/>
                <w:color w:val="auto"/>
                <w:sz w:val="24"/>
                <w:lang w:val="en-US" w:eastAsia="zh-CN"/>
              </w:rPr>
              <w:t>的</w:t>
            </w:r>
            <w:r>
              <w:rPr>
                <w:rFonts w:hint="eastAsia"/>
                <w:color w:val="auto"/>
                <w:sz w:val="24"/>
              </w:rPr>
              <w:t>人工材料</w:t>
            </w:r>
            <w:r>
              <w:rPr>
                <w:rFonts w:hint="default"/>
                <w:color w:val="auto"/>
                <w:sz w:val="24"/>
              </w:rPr>
              <w:t>(</w:t>
            </w:r>
            <w:r>
              <w:rPr>
                <w:rFonts w:hint="eastAsia"/>
                <w:color w:val="auto"/>
                <w:sz w:val="24"/>
              </w:rPr>
              <w:t>防渗系数</w:t>
            </w:r>
            <w:r>
              <w:rPr>
                <w:rFonts w:hint="default"/>
                <w:color w:val="auto"/>
                <w:sz w:val="24"/>
              </w:rPr>
              <w:t>&lt;10</w:t>
            </w:r>
            <w:r>
              <w:rPr>
                <w:rFonts w:hint="default"/>
                <w:color w:val="auto"/>
                <w:sz w:val="24"/>
                <w:vertAlign w:val="superscript"/>
              </w:rPr>
              <w:t>-10</w:t>
            </w:r>
            <w:r>
              <w:rPr>
                <w:rFonts w:hint="default"/>
                <w:color w:val="auto"/>
                <w:sz w:val="24"/>
              </w:rPr>
              <w:t>cm/s</w:t>
            </w:r>
            <w:r>
              <w:rPr>
                <w:rFonts w:hint="eastAsia"/>
                <w:color w:val="auto"/>
                <w:sz w:val="24"/>
              </w:rPr>
              <w:t>），保证地面无裂痕</w:t>
            </w:r>
            <w:r>
              <w:rPr>
                <w:rFonts w:hint="eastAsia"/>
                <w:color w:val="auto"/>
                <w:sz w:val="24"/>
                <w:lang w:eastAsia="zh-CN"/>
              </w:rPr>
              <w:t>；</w:t>
            </w:r>
          </w:p>
          <w:p w14:paraId="21CCDC2C">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color w:val="auto"/>
                <w:sz w:val="24"/>
              </w:rPr>
              <w:t>③危废</w:t>
            </w:r>
            <w:r>
              <w:rPr>
                <w:rFonts w:hint="eastAsia"/>
                <w:color w:val="auto"/>
                <w:sz w:val="24"/>
                <w:lang w:val="en-US" w:eastAsia="zh-CN"/>
              </w:rPr>
              <w:t>暂存间内废活性炭、废油、废油桶及废弃劳保用品等危险废物可</w:t>
            </w:r>
            <w:r>
              <w:rPr>
                <w:rFonts w:hint="eastAsia"/>
                <w:color w:val="auto"/>
                <w:sz w:val="24"/>
              </w:rPr>
              <w:t>采用袋/桶装、托盘盛装，危废暂存间内设置导流沟</w:t>
            </w:r>
            <w:r>
              <w:rPr>
                <w:rFonts w:hint="eastAsia"/>
                <w:color w:val="auto"/>
                <w:sz w:val="24"/>
                <w:lang w:val="en-US" w:eastAsia="zh-CN"/>
              </w:rPr>
              <w:t>以</w:t>
            </w:r>
            <w:r>
              <w:rPr>
                <w:rFonts w:hint="eastAsia"/>
                <w:color w:val="auto"/>
                <w:sz w:val="24"/>
              </w:rPr>
              <w:t>防止</w:t>
            </w:r>
            <w:r>
              <w:rPr>
                <w:rFonts w:hint="eastAsia"/>
                <w:color w:val="auto"/>
                <w:sz w:val="24"/>
                <w:lang w:val="en-US" w:eastAsia="zh-CN"/>
              </w:rPr>
              <w:t>液态</w:t>
            </w:r>
            <w:r>
              <w:rPr>
                <w:rFonts w:hint="eastAsia"/>
                <w:color w:val="auto"/>
                <w:sz w:val="24"/>
              </w:rPr>
              <w:t>危险废物泄漏流出厂界</w:t>
            </w:r>
            <w:r>
              <w:rPr>
                <w:rFonts w:hint="eastAsia"/>
                <w:color w:val="auto"/>
                <w:sz w:val="24"/>
                <w:lang w:eastAsia="zh-CN"/>
              </w:rPr>
              <w:t>，</w:t>
            </w:r>
            <w:r>
              <w:rPr>
                <w:rFonts w:hint="eastAsia"/>
                <w:color w:val="auto"/>
                <w:sz w:val="24"/>
                <w:lang w:val="en-US" w:eastAsia="zh-CN"/>
              </w:rPr>
              <w:t>后续应加强危废暂存间管理；</w:t>
            </w:r>
          </w:p>
          <w:p w14:paraId="0353824B">
            <w:pPr>
              <w:pStyle w:val="172"/>
              <w:keepNext w:val="0"/>
              <w:keepLines w:val="0"/>
              <w:suppressLineNumbers w:val="0"/>
              <w:adjustRightInd/>
              <w:snapToGrid/>
              <w:spacing w:before="0" w:beforeAutospacing="0" w:after="0" w:afterAutospacing="0" w:line="360" w:lineRule="auto"/>
              <w:ind w:left="0" w:right="0" w:firstLine="480"/>
              <w:rPr>
                <w:rFonts w:hint="default"/>
                <w:color w:val="auto"/>
                <w:sz w:val="24"/>
                <w:szCs w:val="24"/>
              </w:rPr>
            </w:pPr>
            <w:r>
              <w:rPr>
                <w:rFonts w:hint="eastAsia"/>
                <w:color w:val="auto"/>
                <w:sz w:val="24"/>
                <w:szCs w:val="24"/>
              </w:rPr>
              <w:t>④加强员工环保意识，了解危废种类、收集、贮存要求及环境危害，建立健全危废台账制度，严格管理，责任到人。</w:t>
            </w:r>
          </w:p>
          <w:p w14:paraId="612589AF">
            <w:pPr>
              <w:pStyle w:val="172"/>
              <w:keepNext w:val="0"/>
              <w:keepLines w:val="0"/>
              <w:suppressLineNumbers w:val="0"/>
              <w:adjustRightInd/>
              <w:snapToGrid/>
              <w:spacing w:before="0" w:beforeAutospacing="0" w:after="0" w:afterAutospacing="0" w:line="360" w:lineRule="auto"/>
              <w:ind w:left="0" w:right="0" w:firstLine="480"/>
              <w:rPr>
                <w:rFonts w:hint="default"/>
                <w:color w:val="auto"/>
                <w:sz w:val="24"/>
                <w:szCs w:val="24"/>
              </w:rPr>
            </w:pPr>
            <w:r>
              <w:rPr>
                <w:rFonts w:hint="default"/>
                <w:color w:val="auto"/>
                <w:sz w:val="24"/>
                <w:szCs w:val="24"/>
              </w:rPr>
              <w:t>2</w:t>
            </w:r>
            <w:r>
              <w:rPr>
                <w:rFonts w:hint="eastAsia"/>
                <w:color w:val="auto"/>
                <w:sz w:val="24"/>
                <w:szCs w:val="24"/>
              </w:rPr>
              <w:t>）火灾</w:t>
            </w:r>
          </w:p>
          <w:p w14:paraId="0D8B47AC">
            <w:pPr>
              <w:pStyle w:val="172"/>
              <w:keepNext w:val="0"/>
              <w:keepLines w:val="0"/>
              <w:suppressLineNumbers w:val="0"/>
              <w:adjustRightInd/>
              <w:snapToGrid/>
              <w:spacing w:before="0" w:beforeAutospacing="0" w:after="0" w:afterAutospacing="0" w:line="360" w:lineRule="auto"/>
              <w:ind w:left="0" w:right="0" w:firstLine="480"/>
              <w:rPr>
                <w:rFonts w:hint="eastAsia" w:eastAsia="宋体"/>
                <w:color w:val="auto"/>
                <w:sz w:val="24"/>
                <w:szCs w:val="24"/>
                <w:lang w:eastAsia="zh-CN"/>
              </w:rPr>
            </w:pPr>
            <w:r>
              <w:rPr>
                <w:rFonts w:hint="eastAsia"/>
                <w:color w:val="auto"/>
                <w:sz w:val="24"/>
                <w:szCs w:val="24"/>
              </w:rPr>
              <w:t>①严禁在危废暂存间内吸烟和使用明火</w:t>
            </w:r>
            <w:r>
              <w:rPr>
                <w:rFonts w:hint="eastAsia"/>
                <w:color w:val="auto"/>
                <w:sz w:val="24"/>
                <w:szCs w:val="24"/>
                <w:lang w:eastAsia="zh-CN"/>
              </w:rPr>
              <w:t>；</w:t>
            </w:r>
          </w:p>
          <w:p w14:paraId="7FADB943">
            <w:pPr>
              <w:pStyle w:val="172"/>
              <w:keepNext w:val="0"/>
              <w:keepLines w:val="0"/>
              <w:suppressLineNumbers w:val="0"/>
              <w:adjustRightInd/>
              <w:snapToGrid/>
              <w:spacing w:before="0" w:beforeAutospacing="0" w:after="0" w:afterAutospacing="0" w:line="360" w:lineRule="auto"/>
              <w:ind w:left="0" w:right="0" w:firstLine="480"/>
              <w:rPr>
                <w:rFonts w:hint="default"/>
                <w:color w:val="auto"/>
                <w:sz w:val="24"/>
                <w:szCs w:val="24"/>
              </w:rPr>
            </w:pPr>
            <w:r>
              <w:rPr>
                <w:rFonts w:hint="eastAsia"/>
                <w:color w:val="auto"/>
                <w:sz w:val="24"/>
                <w:szCs w:val="24"/>
              </w:rPr>
              <w:t>②灭火器摆放在相应位置，消防设施前严禁堆放任何物品。</w:t>
            </w:r>
          </w:p>
          <w:p w14:paraId="362780AE">
            <w:pPr>
              <w:pStyle w:val="172"/>
              <w:keepNext w:val="0"/>
              <w:keepLines w:val="0"/>
              <w:suppressLineNumbers w:val="0"/>
              <w:adjustRightInd/>
              <w:snapToGrid/>
              <w:spacing w:before="0" w:beforeAutospacing="0" w:after="0" w:afterAutospacing="0" w:line="360" w:lineRule="auto"/>
              <w:ind w:left="0" w:right="0" w:firstLine="480"/>
              <w:rPr>
                <w:rFonts w:hint="default" w:eastAsia="宋体"/>
                <w:color w:val="auto"/>
                <w:sz w:val="24"/>
                <w:szCs w:val="24"/>
                <w:lang w:val="en-US" w:eastAsia="zh-CN"/>
              </w:rPr>
            </w:pPr>
            <w:r>
              <w:rPr>
                <w:rFonts w:hint="eastAsia"/>
                <w:color w:val="auto"/>
                <w:sz w:val="24"/>
                <w:szCs w:val="24"/>
                <w:lang w:val="en-US" w:eastAsia="zh-CN"/>
              </w:rPr>
              <w:t>③加强消防设施、灭火器材等应急装备配置及环境风险管理，避免出现火灾燃烧事故。</w:t>
            </w:r>
          </w:p>
          <w:p w14:paraId="3598F678">
            <w:pPr>
              <w:pStyle w:val="172"/>
              <w:keepNext w:val="0"/>
              <w:keepLines w:val="0"/>
              <w:suppressLineNumbers w:val="0"/>
              <w:adjustRightInd/>
              <w:snapToGrid/>
              <w:spacing w:before="0" w:beforeAutospacing="0" w:after="0" w:afterAutospacing="0" w:line="360" w:lineRule="auto"/>
              <w:ind w:left="0" w:right="0" w:firstLine="480"/>
              <w:rPr>
                <w:rFonts w:hint="default"/>
                <w:color w:val="auto"/>
                <w:sz w:val="24"/>
                <w:szCs w:val="24"/>
              </w:rPr>
            </w:pPr>
            <w:r>
              <w:rPr>
                <w:rFonts w:hint="eastAsia"/>
                <w:color w:val="auto"/>
                <w:sz w:val="24"/>
                <w:szCs w:val="24"/>
              </w:rPr>
              <w:t>（</w:t>
            </w:r>
            <w:r>
              <w:rPr>
                <w:rFonts w:hint="default"/>
                <w:color w:val="auto"/>
                <w:sz w:val="24"/>
                <w:szCs w:val="24"/>
              </w:rPr>
              <w:t>3</w:t>
            </w:r>
            <w:r>
              <w:rPr>
                <w:rFonts w:hint="eastAsia"/>
                <w:color w:val="auto"/>
                <w:sz w:val="24"/>
                <w:szCs w:val="24"/>
              </w:rPr>
              <w:t>）废气处理设施故障环境风险防范措施</w:t>
            </w:r>
          </w:p>
          <w:p w14:paraId="558B3EA4">
            <w:pPr>
              <w:keepNext w:val="0"/>
              <w:keepLines w:val="0"/>
              <w:suppressLineNumbers w:val="0"/>
              <w:autoSpaceDE w:val="0"/>
              <w:autoSpaceDN w:val="0"/>
              <w:spacing w:before="0" w:beforeAutospacing="0" w:after="0" w:afterAutospacing="0" w:line="360" w:lineRule="auto"/>
              <w:ind w:left="0" w:right="0" w:firstLine="480" w:firstLineChars="200"/>
              <w:rPr>
                <w:rFonts w:hint="default"/>
                <w:color w:val="auto"/>
                <w:sz w:val="24"/>
              </w:rPr>
            </w:pPr>
            <w:r>
              <w:rPr>
                <w:rFonts w:hint="eastAsia"/>
                <w:color w:val="auto"/>
                <w:sz w:val="24"/>
              </w:rPr>
              <w:t>①建立废气治理设施运行管理台账，台账中应标明排放口编号，排放限值、设备开关机时间、设备运行状态以及记录人等；</w:t>
            </w:r>
          </w:p>
          <w:p w14:paraId="1A6D62A9">
            <w:pPr>
              <w:keepNext w:val="0"/>
              <w:keepLines w:val="0"/>
              <w:suppressLineNumbers w:val="0"/>
              <w:autoSpaceDE w:val="0"/>
              <w:autoSpaceDN w:val="0"/>
              <w:spacing w:before="0" w:beforeAutospacing="0" w:after="0" w:afterAutospacing="0" w:line="360" w:lineRule="auto"/>
              <w:ind w:left="0" w:right="0" w:firstLine="480" w:firstLineChars="200"/>
              <w:rPr>
                <w:rFonts w:hint="default"/>
                <w:color w:val="auto"/>
                <w:sz w:val="24"/>
              </w:rPr>
            </w:pPr>
            <w:r>
              <w:rPr>
                <w:rFonts w:hint="eastAsia"/>
                <w:color w:val="auto"/>
                <w:sz w:val="24"/>
              </w:rPr>
              <w:t>②明确污染治理设施管理责任人及相应职责，定期组织污染治理设施管理岗位的能力培训；</w:t>
            </w:r>
          </w:p>
          <w:p w14:paraId="797649B2">
            <w:pPr>
              <w:keepNext w:val="0"/>
              <w:keepLines w:val="0"/>
              <w:suppressLineNumbers w:val="0"/>
              <w:autoSpaceDE w:val="0"/>
              <w:autoSpaceDN w:val="0"/>
              <w:spacing w:before="0" w:beforeAutospacing="0" w:after="0" w:afterAutospacing="0" w:line="360" w:lineRule="auto"/>
              <w:ind w:left="0" w:right="0" w:firstLine="480" w:firstLineChars="200"/>
              <w:rPr>
                <w:rFonts w:hint="default"/>
                <w:color w:val="auto"/>
                <w:sz w:val="24"/>
              </w:rPr>
            </w:pPr>
            <w:r>
              <w:rPr>
                <w:rFonts w:hint="eastAsia"/>
                <w:color w:val="auto"/>
                <w:sz w:val="24"/>
              </w:rPr>
              <w:t>③明确污染治理设施关键运行参数的控制窗口，并制定污染治理设施运行作业指导书。</w:t>
            </w:r>
          </w:p>
          <w:p w14:paraId="4F38F771">
            <w:pPr>
              <w:keepNext w:val="0"/>
              <w:keepLines w:val="0"/>
              <w:suppressLineNumbers w:val="0"/>
              <w:spacing w:before="0" w:beforeAutospacing="0" w:after="0" w:afterAutospacing="0" w:line="360" w:lineRule="auto"/>
              <w:ind w:left="0" w:right="0" w:firstLine="480" w:firstLineChars="200"/>
              <w:rPr>
                <w:rFonts w:hint="default"/>
                <w:b/>
                <w:color w:val="auto"/>
                <w:sz w:val="24"/>
                <w:lang w:val="en-US" w:eastAsia="zh-CN"/>
              </w:rPr>
            </w:pPr>
            <w:r>
              <w:rPr>
                <w:rFonts w:hint="eastAsia"/>
                <w:color w:val="auto"/>
                <w:sz w:val="24"/>
              </w:rPr>
              <w:t>④加强对生产设备以及环保设备的日常检修，发现故障及时维护、维修。</w:t>
            </w:r>
          </w:p>
          <w:p w14:paraId="3C37FCC8">
            <w:pPr>
              <w:keepNext w:val="0"/>
              <w:keepLines w:val="0"/>
              <w:suppressLineNumbers w:val="0"/>
              <w:spacing w:before="0" w:beforeAutospacing="0" w:after="0" w:afterAutospacing="0" w:line="360" w:lineRule="auto"/>
              <w:ind w:left="0" w:right="0" w:firstLine="482" w:firstLineChars="200"/>
              <w:rPr>
                <w:rFonts w:hint="default"/>
                <w:b/>
                <w:color w:val="auto"/>
                <w:sz w:val="24"/>
                <w:lang w:val="en-US" w:eastAsia="zh-CN"/>
              </w:rPr>
            </w:pPr>
          </w:p>
          <w:p w14:paraId="1C1A031B">
            <w:pPr>
              <w:keepNext w:val="0"/>
              <w:keepLines w:val="0"/>
              <w:suppressLineNumbers w:val="0"/>
              <w:spacing w:before="0" w:beforeAutospacing="0" w:after="0" w:afterAutospacing="0" w:line="360" w:lineRule="auto"/>
              <w:ind w:left="0" w:right="0" w:firstLine="482" w:firstLineChars="200"/>
              <w:rPr>
                <w:rFonts w:hint="default"/>
                <w:b/>
                <w:color w:val="auto"/>
                <w:sz w:val="24"/>
              </w:rPr>
            </w:pPr>
            <w:r>
              <w:rPr>
                <w:rFonts w:hint="eastAsia"/>
                <w:b/>
                <w:color w:val="auto"/>
                <w:sz w:val="24"/>
                <w:lang w:val="en-US" w:eastAsia="zh-CN"/>
              </w:rPr>
              <w:t>4.</w:t>
            </w:r>
            <w:r>
              <w:rPr>
                <w:rFonts w:hint="eastAsia"/>
                <w:b/>
                <w:color w:val="auto"/>
                <w:sz w:val="24"/>
              </w:rPr>
              <w:t>环境风险评价结论</w:t>
            </w:r>
          </w:p>
          <w:p w14:paraId="729CBAFE">
            <w:pPr>
              <w:keepNext w:val="0"/>
              <w:keepLines w:val="0"/>
              <w:suppressLineNumbers w:val="0"/>
              <w:spacing w:before="0" w:beforeAutospacing="0" w:after="0" w:afterAutospacing="0" w:line="360" w:lineRule="auto"/>
              <w:ind w:left="0" w:right="0" w:firstLine="480" w:firstLineChars="200"/>
              <w:rPr>
                <w:rFonts w:hint="eastAsia"/>
                <w:b w:val="0"/>
                <w:bCs/>
                <w:color w:val="auto"/>
                <w:sz w:val="24"/>
              </w:rPr>
            </w:pPr>
            <w:r>
              <w:rPr>
                <w:rFonts w:hint="eastAsia"/>
                <w:color w:val="auto"/>
                <w:sz w:val="24"/>
              </w:rPr>
              <w:t>参照《建设项目环境风险评价技术导则》附录</w:t>
            </w:r>
            <w:r>
              <w:rPr>
                <w:rFonts w:hint="default"/>
                <w:color w:val="auto"/>
                <w:sz w:val="24"/>
              </w:rPr>
              <w:t>B</w:t>
            </w:r>
            <w:r>
              <w:rPr>
                <w:rFonts w:hint="eastAsia"/>
                <w:color w:val="auto"/>
                <w:sz w:val="24"/>
              </w:rPr>
              <w:t>，本项目风险潜势为</w:t>
            </w:r>
            <w:r>
              <w:rPr>
                <w:rFonts w:hint="default"/>
                <w:color w:val="auto"/>
                <w:sz w:val="24"/>
              </w:rPr>
              <w:t>I</w:t>
            </w:r>
            <w:r>
              <w:rPr>
                <w:rFonts w:hint="eastAsia"/>
                <w:color w:val="auto"/>
                <w:sz w:val="24"/>
              </w:rPr>
              <w:t>。根据风险分析和以上风险防范措施的设立，可以较为有效的防范风险事故的发生和有效处置，企业在运营过程中</w:t>
            </w:r>
            <w:r>
              <w:rPr>
                <w:rFonts w:hint="eastAsia"/>
                <w:color w:val="auto"/>
                <w:sz w:val="24"/>
                <w:lang w:val="en-US" w:eastAsia="zh-CN"/>
              </w:rPr>
              <w:t>应</w:t>
            </w:r>
            <w:r>
              <w:rPr>
                <w:rFonts w:hint="eastAsia"/>
                <w:color w:val="auto"/>
                <w:sz w:val="24"/>
              </w:rPr>
              <w:t>制定和</w:t>
            </w:r>
            <w:r>
              <w:rPr>
                <w:rFonts w:hint="eastAsia"/>
                <w:color w:val="auto"/>
                <w:sz w:val="24"/>
                <w:lang w:val="en-US" w:eastAsia="zh-CN"/>
              </w:rPr>
              <w:t>持续</w:t>
            </w:r>
            <w:r>
              <w:rPr>
                <w:rFonts w:hint="eastAsia"/>
                <w:color w:val="auto"/>
                <w:sz w:val="24"/>
              </w:rPr>
              <w:t>完善风险防范措施和应急预案，项目所发生的环境风险可以控制在较低的水平，并能减少或者避免风险</w:t>
            </w:r>
            <w:r>
              <w:rPr>
                <w:rFonts w:hint="eastAsia"/>
                <w:color w:val="auto"/>
                <w:sz w:val="24"/>
                <w:lang w:val="en-US" w:eastAsia="zh-CN"/>
              </w:rPr>
              <w:t>事故</w:t>
            </w:r>
            <w:r>
              <w:rPr>
                <w:rFonts w:hint="eastAsia"/>
                <w:color w:val="auto"/>
                <w:sz w:val="24"/>
              </w:rPr>
              <w:t>的发生</w:t>
            </w:r>
            <w:r>
              <w:rPr>
                <w:rFonts w:hint="eastAsia"/>
                <w:b w:val="0"/>
                <w:bCs/>
                <w:color w:val="auto"/>
                <w:sz w:val="24"/>
              </w:rPr>
              <w:t>。</w:t>
            </w:r>
          </w:p>
          <w:p w14:paraId="569BB2BA">
            <w:pPr>
              <w:keepNext w:val="0"/>
              <w:keepLines w:val="0"/>
              <w:suppressLineNumbers w:val="0"/>
              <w:spacing w:before="0" w:beforeAutospacing="0" w:after="0" w:afterAutospacing="0" w:line="360" w:lineRule="auto"/>
              <w:ind w:left="0" w:right="0" w:firstLine="480" w:firstLineChars="200"/>
              <w:rPr>
                <w:rFonts w:hint="eastAsia"/>
                <w:color w:val="auto"/>
                <w:sz w:val="24"/>
              </w:rPr>
            </w:pPr>
            <w:r>
              <w:rPr>
                <w:rFonts w:hint="eastAsia"/>
                <w:color w:val="auto"/>
                <w:sz w:val="24"/>
              </w:rPr>
              <w:t>综上所述，在加强监控、建立上述风险防范措施的情况下，本项目的环境风险可</w:t>
            </w:r>
            <w:r>
              <w:rPr>
                <w:rFonts w:hint="eastAsia"/>
                <w:color w:val="auto"/>
                <w:sz w:val="24"/>
                <w:lang w:val="en-US" w:eastAsia="zh-CN"/>
              </w:rPr>
              <w:t>防</w:t>
            </w:r>
            <w:r>
              <w:rPr>
                <w:rFonts w:hint="eastAsia"/>
                <w:color w:val="auto"/>
                <w:sz w:val="24"/>
              </w:rPr>
              <w:t>控。</w:t>
            </w:r>
          </w:p>
          <w:p w14:paraId="04972771">
            <w:pPr>
              <w:keepNext w:val="0"/>
              <w:keepLines w:val="0"/>
              <w:suppressLineNumbers w:val="0"/>
              <w:spacing w:before="0" w:beforeAutospacing="0" w:after="0" w:afterAutospacing="0" w:line="360" w:lineRule="auto"/>
              <w:ind w:left="0" w:right="0" w:firstLine="482" w:firstLineChars="200"/>
              <w:jc w:val="left"/>
              <w:rPr>
                <w:rFonts w:hint="default"/>
                <w:b/>
                <w:snapToGrid w:val="0"/>
                <w:color w:val="auto"/>
                <w:kern w:val="0"/>
                <w:sz w:val="24"/>
              </w:rPr>
            </w:pPr>
            <w:r>
              <w:rPr>
                <w:rFonts w:hint="eastAsia"/>
                <w:b/>
                <w:snapToGrid w:val="0"/>
                <w:color w:val="auto"/>
                <w:kern w:val="0"/>
                <w:sz w:val="24"/>
              </w:rPr>
              <w:t>七、</w:t>
            </w:r>
            <w:r>
              <w:rPr>
                <w:rFonts w:hint="eastAsia" w:hAnsi="宋体"/>
                <w:b/>
                <w:snapToGrid w:val="0"/>
                <w:color w:val="auto"/>
                <w:kern w:val="0"/>
                <w:sz w:val="24"/>
              </w:rPr>
              <w:t>环境管理</w:t>
            </w:r>
          </w:p>
          <w:p w14:paraId="0722C1CB">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1</w:t>
            </w:r>
            <w:r>
              <w:rPr>
                <w:rFonts w:hint="eastAsia"/>
                <w:color w:val="auto"/>
                <w:sz w:val="24"/>
                <w:lang w:val="en-US" w:eastAsia="zh-CN"/>
              </w:rPr>
              <w:t>.</w:t>
            </w:r>
            <w:r>
              <w:rPr>
                <w:rFonts w:hint="eastAsia"/>
                <w:color w:val="auto"/>
                <w:sz w:val="24"/>
              </w:rPr>
              <w:t>环境管理的目的和意义</w:t>
            </w:r>
          </w:p>
          <w:p w14:paraId="35078B92">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color w:val="auto"/>
                <w:sz w:val="24"/>
              </w:rPr>
              <w:t>实践证明，要解决或减轻工业生产造成的环境问题，首先要强化环境管理。由于企业产品的产出与污染物的排放是同一生产过程的两个方面，因此，建立健全的、行之有效环境保护管理体系，是生产管理的重要内容。其目的在于发展生产，同时控制污染物排放，保护环境质量，对所排放的污染物实行严格的总量控制，实现清洁、文明生产。</w:t>
            </w:r>
          </w:p>
          <w:p w14:paraId="12F34CB5">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2</w:t>
            </w:r>
            <w:r>
              <w:rPr>
                <w:rFonts w:hint="eastAsia"/>
                <w:color w:val="auto"/>
                <w:sz w:val="24"/>
                <w:lang w:val="en-US" w:eastAsia="zh-CN"/>
              </w:rPr>
              <w:t>.</w:t>
            </w:r>
            <w:r>
              <w:rPr>
                <w:rFonts w:hint="eastAsia"/>
                <w:color w:val="auto"/>
                <w:sz w:val="24"/>
              </w:rPr>
              <w:t>环境管理体系</w:t>
            </w:r>
          </w:p>
          <w:p w14:paraId="0430E5A3">
            <w:pPr>
              <w:keepNext w:val="0"/>
              <w:keepLines w:val="0"/>
              <w:suppressLineNumbers w:val="0"/>
              <w:spacing w:before="0" w:beforeAutospacing="0" w:after="0" w:afterAutospacing="0" w:line="360" w:lineRule="auto"/>
              <w:ind w:left="0" w:right="0" w:firstLine="360" w:firstLineChars="150"/>
              <w:rPr>
                <w:rFonts w:hint="default"/>
                <w:color w:val="auto"/>
                <w:sz w:val="24"/>
              </w:rPr>
            </w:pPr>
            <w:r>
              <w:rPr>
                <w:rFonts w:hint="eastAsia"/>
                <w:color w:val="auto"/>
                <w:sz w:val="24"/>
              </w:rPr>
              <w:t>（</w:t>
            </w:r>
            <w:r>
              <w:rPr>
                <w:rFonts w:hint="default"/>
                <w:color w:val="auto"/>
                <w:sz w:val="24"/>
              </w:rPr>
              <w:t>1</w:t>
            </w:r>
            <w:r>
              <w:rPr>
                <w:rFonts w:hint="eastAsia"/>
                <w:color w:val="auto"/>
                <w:sz w:val="24"/>
              </w:rPr>
              <w:t>）组织机构</w:t>
            </w:r>
          </w:p>
          <w:p w14:paraId="22437F9F">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eastAsia"/>
                <w:color w:val="auto"/>
                <w:sz w:val="24"/>
              </w:rPr>
              <w:t>根据《</w:t>
            </w:r>
            <w:r>
              <w:rPr>
                <w:rFonts w:hint="eastAsia"/>
                <w:color w:val="auto"/>
                <w:sz w:val="24"/>
                <w:lang w:val="en-US" w:eastAsia="zh-CN"/>
              </w:rPr>
              <w:t>建设项目环境保护管理条例</w:t>
            </w:r>
            <w:r>
              <w:rPr>
                <w:rFonts w:hint="eastAsia"/>
                <w:color w:val="auto"/>
                <w:sz w:val="24"/>
              </w:rPr>
              <w:t>》，为加强企业环境保护管理工作，建议项目设置环保科，配备兼职环保管理人员，负责组织、落实、监督企业环境保护工作。其主要职责：负责贯彻执行国家环境保护法规和标准；制定企业环保规划和管理规章制度并监督实施；组织和协调环境监测工作，建立监控档案；检查、监督环保设施运行情况；组织开展环境教育、环保技术培训和技术交流；负责环境管理日常工作和环境保护行政主管部门及其他社会各界的协调工作；参加环境污染事故调查与处理工作，根据实际情况，提出处理意见和建议。</w:t>
            </w:r>
          </w:p>
          <w:p w14:paraId="67F8BD95">
            <w:pPr>
              <w:keepNext w:val="0"/>
              <w:keepLines w:val="0"/>
              <w:suppressLineNumbers w:val="0"/>
              <w:spacing w:before="0" w:beforeAutospacing="0" w:after="0" w:afterAutospacing="0" w:line="360" w:lineRule="auto"/>
              <w:ind w:left="0" w:right="0" w:firstLine="360" w:firstLineChars="150"/>
              <w:rPr>
                <w:rFonts w:hint="default"/>
                <w:color w:val="auto"/>
                <w:sz w:val="24"/>
              </w:rPr>
            </w:pPr>
            <w:r>
              <w:rPr>
                <w:rFonts w:hint="eastAsia"/>
                <w:color w:val="auto"/>
                <w:sz w:val="24"/>
              </w:rPr>
              <w:t>（</w:t>
            </w:r>
            <w:r>
              <w:rPr>
                <w:rFonts w:hint="default"/>
                <w:color w:val="auto"/>
                <w:sz w:val="24"/>
              </w:rPr>
              <w:t>2</w:t>
            </w:r>
            <w:r>
              <w:rPr>
                <w:rFonts w:hint="eastAsia"/>
                <w:color w:val="auto"/>
                <w:sz w:val="24"/>
              </w:rPr>
              <w:t>）环境监测机构及职能</w:t>
            </w:r>
          </w:p>
          <w:p w14:paraId="6CAE700B">
            <w:pPr>
              <w:keepNext w:val="0"/>
              <w:keepLines w:val="0"/>
              <w:widowControl/>
              <w:suppressLineNumbers w:val="0"/>
              <w:spacing w:before="0" w:beforeAutospacing="0" w:after="0" w:afterAutospacing="0" w:line="360" w:lineRule="auto"/>
              <w:ind w:left="0" w:right="0" w:firstLine="480" w:firstLineChars="200"/>
              <w:outlineLvl w:val="0"/>
              <w:rPr>
                <w:rFonts w:hint="default" w:ascii="宋体" w:hAnsi="宋体"/>
                <w:b/>
                <w:bCs/>
                <w:color w:val="auto"/>
                <w:kern w:val="0"/>
                <w:sz w:val="24"/>
                <w:szCs w:val="24"/>
              </w:rPr>
            </w:pPr>
            <w:r>
              <w:rPr>
                <w:rFonts w:hint="eastAsia"/>
                <w:color w:val="auto"/>
                <w:sz w:val="24"/>
              </w:rPr>
              <w:t>为保证项目建成投产后，能迅速全面地反映该项目的污染状况，为项目的环境管理、污染控制、环保规划提供准确、可靠的监测数据，建议本项目设置环境监测机构和环境监测人员，负责企业污染源常规监测、环保设施运行情况日常监测以及污染事故调查监测。污染源例行监测可委托第三方检测公司承担。</w:t>
            </w:r>
          </w:p>
          <w:p w14:paraId="3EF3100E">
            <w:pPr>
              <w:keepNext w:val="0"/>
              <w:keepLines w:val="0"/>
              <w:suppressLineNumbers w:val="0"/>
              <w:spacing w:before="0" w:beforeAutospacing="0" w:after="0" w:afterAutospacing="0" w:line="360" w:lineRule="auto"/>
              <w:ind w:left="0" w:right="0" w:firstLine="360" w:firstLineChars="150"/>
              <w:rPr>
                <w:rFonts w:hint="default"/>
                <w:color w:val="auto"/>
                <w:sz w:val="24"/>
              </w:rPr>
            </w:pPr>
            <w:r>
              <w:rPr>
                <w:rFonts w:hint="eastAsia"/>
                <w:color w:val="auto"/>
                <w:sz w:val="24"/>
                <w:lang w:val="en-US" w:eastAsia="zh-CN"/>
              </w:rPr>
              <w:t>3.</w:t>
            </w:r>
            <w:r>
              <w:rPr>
                <w:rFonts w:hint="eastAsia"/>
                <w:color w:val="auto"/>
                <w:sz w:val="24"/>
              </w:rPr>
              <w:t>环境管理措施</w:t>
            </w:r>
          </w:p>
          <w:p w14:paraId="4DD457E4">
            <w:pPr>
              <w:keepNext w:val="0"/>
              <w:keepLines w:val="0"/>
              <w:suppressLineNumbers w:val="0"/>
              <w:spacing w:before="0" w:beforeAutospacing="0" w:after="0" w:afterAutospacing="0" w:line="360" w:lineRule="auto"/>
              <w:ind w:left="0" w:right="0" w:firstLine="360" w:firstLineChars="150"/>
              <w:rPr>
                <w:rFonts w:hint="default"/>
                <w:color w:val="auto"/>
                <w:sz w:val="24"/>
              </w:rPr>
            </w:pPr>
            <w:r>
              <w:rPr>
                <w:rFonts w:hint="eastAsia"/>
                <w:color w:val="auto"/>
                <w:sz w:val="24"/>
                <w:lang w:eastAsia="zh-CN"/>
              </w:rPr>
              <w:t>（</w:t>
            </w:r>
            <w:r>
              <w:rPr>
                <w:rFonts w:hint="default"/>
                <w:color w:val="auto"/>
                <w:sz w:val="24"/>
              </w:rPr>
              <w:t>1</w:t>
            </w:r>
            <w:r>
              <w:rPr>
                <w:rFonts w:hint="eastAsia"/>
                <w:color w:val="auto"/>
                <w:sz w:val="24"/>
              </w:rPr>
              <w:t>）制订环境保护岗位目标责任制，将环境管理纳入生产管理体系，环保评估与经济效益评估相结合，建立严格的奖惩机制。</w:t>
            </w:r>
          </w:p>
          <w:p w14:paraId="3D26794E">
            <w:pPr>
              <w:keepNext w:val="0"/>
              <w:keepLines w:val="0"/>
              <w:suppressLineNumbers w:val="0"/>
              <w:spacing w:before="0" w:beforeAutospacing="0" w:after="0" w:afterAutospacing="0" w:line="360" w:lineRule="auto"/>
              <w:ind w:left="0" w:right="0" w:firstLine="360" w:firstLineChars="150"/>
              <w:rPr>
                <w:rFonts w:hint="default"/>
                <w:color w:val="auto"/>
                <w:sz w:val="24"/>
              </w:rPr>
            </w:pPr>
            <w:r>
              <w:rPr>
                <w:rFonts w:hint="eastAsia"/>
                <w:color w:val="auto"/>
                <w:sz w:val="24"/>
              </w:rPr>
              <w:t>（</w:t>
            </w:r>
            <w:r>
              <w:rPr>
                <w:rFonts w:hint="default"/>
                <w:color w:val="auto"/>
                <w:sz w:val="24"/>
              </w:rPr>
              <w:t>2</w:t>
            </w:r>
            <w:r>
              <w:rPr>
                <w:rFonts w:hint="eastAsia"/>
                <w:color w:val="auto"/>
                <w:sz w:val="24"/>
              </w:rPr>
              <w:t>）加强环境保护宣传教育工作，进行岗位培训。环保管理人员必须通过专门培训。企业要把职工对环保基本知识的了解和环保应知应会作为考核职工基本素质的一项内容，新职工进厂要通过环保培训考试合格后才能上岗。使全体职工能够意识到环境保护与企业生产、生存和发展的关系，把环保工作落实到每一位员工。</w:t>
            </w:r>
          </w:p>
          <w:p w14:paraId="67EBF86B">
            <w:pPr>
              <w:keepNext w:val="0"/>
              <w:keepLines w:val="0"/>
              <w:suppressLineNumbers w:val="0"/>
              <w:spacing w:before="0" w:beforeAutospacing="0" w:after="0" w:afterAutospacing="0" w:line="360" w:lineRule="auto"/>
              <w:ind w:left="0" w:right="0" w:firstLine="360" w:firstLineChars="150"/>
              <w:rPr>
                <w:rFonts w:hint="default"/>
                <w:color w:val="auto"/>
                <w:sz w:val="24"/>
              </w:rPr>
            </w:pPr>
            <w:r>
              <w:rPr>
                <w:rFonts w:hint="eastAsia"/>
                <w:color w:val="auto"/>
                <w:sz w:val="24"/>
              </w:rPr>
              <w:t>（</w:t>
            </w:r>
            <w:r>
              <w:rPr>
                <w:rFonts w:hint="default"/>
                <w:color w:val="auto"/>
                <w:sz w:val="24"/>
              </w:rPr>
              <w:t>3</w:t>
            </w:r>
            <w:r>
              <w:rPr>
                <w:rFonts w:hint="eastAsia"/>
                <w:color w:val="auto"/>
                <w:sz w:val="24"/>
              </w:rPr>
              <w:t>）加强环境监测数据的统计工作，建立全厂完善的污染源及物料流失档案，严格控制污染物排放总量，确保污染物排放指标达到设计要求。</w:t>
            </w:r>
          </w:p>
          <w:p w14:paraId="38838032">
            <w:pPr>
              <w:keepNext w:val="0"/>
              <w:keepLines w:val="0"/>
              <w:suppressLineNumbers w:val="0"/>
              <w:spacing w:before="0" w:beforeAutospacing="0" w:after="0" w:afterAutospacing="0" w:line="360" w:lineRule="auto"/>
              <w:ind w:left="0" w:right="0" w:firstLine="360" w:firstLineChars="150"/>
              <w:rPr>
                <w:rFonts w:hint="default"/>
                <w:color w:val="auto"/>
                <w:sz w:val="24"/>
              </w:rPr>
            </w:pPr>
            <w:r>
              <w:rPr>
                <w:rFonts w:hint="eastAsia"/>
                <w:color w:val="auto"/>
                <w:sz w:val="24"/>
              </w:rPr>
              <w:t>（</w:t>
            </w:r>
            <w:r>
              <w:rPr>
                <w:rFonts w:hint="default"/>
                <w:color w:val="auto"/>
                <w:sz w:val="24"/>
              </w:rPr>
              <w:t>4</w:t>
            </w:r>
            <w:r>
              <w:rPr>
                <w:rFonts w:hint="eastAsia"/>
                <w:color w:val="auto"/>
                <w:sz w:val="24"/>
              </w:rPr>
              <w:t>）强化对环保设施运行监督、管理的职能，建立全厂完善的环保设施运行、维护、维修等技术档案，以及加强对环保设施操作人员的技术培训，确保环保设施处于正常运行情况，污染物排放连续达标。</w:t>
            </w:r>
          </w:p>
          <w:p w14:paraId="77E1357F">
            <w:pPr>
              <w:keepNext w:val="0"/>
              <w:keepLines w:val="0"/>
              <w:suppressLineNumbers w:val="0"/>
              <w:spacing w:before="0" w:beforeAutospacing="0" w:after="0" w:afterAutospacing="0" w:line="360" w:lineRule="auto"/>
              <w:ind w:left="0" w:right="0" w:firstLine="360" w:firstLineChars="150"/>
              <w:rPr>
                <w:rFonts w:hint="eastAsia"/>
                <w:color w:val="auto"/>
              </w:rPr>
            </w:pPr>
            <w:r>
              <w:rPr>
                <w:rFonts w:hint="eastAsia"/>
                <w:color w:val="auto"/>
                <w:sz w:val="24"/>
              </w:rPr>
              <w:t>（5）加强对开停车等非正常工况及周围环境的监测，并制订能够控制污染扩大</w:t>
            </w:r>
            <w:r>
              <w:rPr>
                <w:rFonts w:hint="eastAsia"/>
                <w:color w:val="auto"/>
                <w:sz w:val="24"/>
                <w:lang w:eastAsia="zh-CN"/>
              </w:rPr>
              <w:t>、</w:t>
            </w:r>
            <w:r>
              <w:rPr>
                <w:rFonts w:hint="eastAsia"/>
                <w:color w:val="auto"/>
                <w:sz w:val="24"/>
              </w:rPr>
              <w:t>防治污染事故发生的有效措施。</w:t>
            </w:r>
          </w:p>
          <w:p w14:paraId="09A51923">
            <w:pPr>
              <w:keepNext w:val="0"/>
              <w:keepLines w:val="0"/>
              <w:suppressLineNumbers w:val="0"/>
              <w:adjustRightInd w:val="0"/>
              <w:spacing w:before="0" w:beforeAutospacing="0" w:after="0" w:afterAutospacing="0" w:line="360" w:lineRule="auto"/>
              <w:ind w:left="0" w:right="0" w:firstLine="482" w:firstLineChars="200"/>
              <w:jc w:val="left"/>
              <w:rPr>
                <w:rFonts w:hint="default"/>
                <w:b/>
                <w:color w:val="auto"/>
                <w:kern w:val="0"/>
                <w:sz w:val="24"/>
              </w:rPr>
            </w:pPr>
            <w:r>
              <w:rPr>
                <w:rFonts w:hint="eastAsia" w:hAnsi="宋体"/>
                <w:b/>
                <w:color w:val="auto"/>
                <w:kern w:val="0"/>
                <w:sz w:val="24"/>
              </w:rPr>
              <w:t>八</w:t>
            </w:r>
            <w:r>
              <w:rPr>
                <w:rFonts w:hint="default" w:hAnsi="宋体"/>
                <w:b/>
                <w:color w:val="auto"/>
                <w:kern w:val="0"/>
                <w:sz w:val="24"/>
              </w:rPr>
              <w:t>、污染源排放口规范化要求</w:t>
            </w:r>
          </w:p>
          <w:p w14:paraId="4C0F2FA2">
            <w:pPr>
              <w:keepNext w:val="0"/>
              <w:keepLines w:val="0"/>
              <w:suppressLineNumbers w:val="0"/>
              <w:adjustRightInd w:val="0"/>
              <w:spacing w:before="0" w:beforeAutospacing="0" w:after="0" w:afterAutospacing="0" w:line="360" w:lineRule="auto"/>
              <w:ind w:left="0" w:right="0" w:firstLine="480" w:firstLineChars="200"/>
              <w:rPr>
                <w:rFonts w:hint="default"/>
                <w:color w:val="auto"/>
                <w:sz w:val="24"/>
              </w:rPr>
            </w:pPr>
            <w:r>
              <w:rPr>
                <w:rFonts w:hint="default" w:ascii="Times New Roman" w:hAnsi="Times New Roman" w:eastAsia="宋体" w:cs="Times New Roman"/>
                <w:color w:val="auto"/>
                <w:sz w:val="24"/>
              </w:rPr>
              <w:t>厂区废水总排放口设置应满足现场采样和流量测定条件的采样口，设在厂内或厂界外10米内。废气排气筒应设置人工采样平台和采样口，采样口的设置应符合《污染源监测技术规范》要求</w:t>
            </w:r>
            <w:r>
              <w:rPr>
                <w:rFonts w:hint="default" w:ascii="Times New Roman" w:hAnsi="Times New Roman" w:eastAsia="宋体" w:cs="Times New Roman"/>
                <w:color w:val="auto"/>
                <w:szCs w:val="21"/>
              </w:rPr>
              <w:t>。</w:t>
            </w:r>
            <w:r>
              <w:rPr>
                <w:rFonts w:hint="default" w:ascii="Times New Roman" w:hAnsi="Times New Roman" w:eastAsia="宋体" w:cs="Times New Roman"/>
                <w:color w:val="auto"/>
                <w:sz w:val="24"/>
              </w:rPr>
              <w:t>企业污染物排放口（源）及固体废物贮存、堆放场必须按照国家标准《环境保护图形标志》（GB15562.1-1995）的规定设置与之相适应的环境保护图形标志牌，环境保护图形标志牌设置位置应距污染物排放口（源）、固体废物贮存（堆放）场或采样点较近且醒目处，并能长久保留。同时如实填写《中华人民共和国规范化排污口标记登记证》，由环保部门签发。环保主管部门和建设单位可分别按以下内容建立排污口管理的专门档案：排污口性质和编号；位置；排放主要污染物种类、数量、浓度；排放去向；达标情况；治理设施运行情况及整改意见</w:t>
            </w:r>
            <w:r>
              <w:rPr>
                <w:rFonts w:hint="default" w:hAnsi="宋体"/>
                <w:color w:val="auto"/>
                <w:sz w:val="24"/>
              </w:rPr>
              <w:t>。</w:t>
            </w:r>
          </w:p>
          <w:p w14:paraId="6F3EB88C">
            <w:pPr>
              <w:keepNext w:val="0"/>
              <w:keepLines w:val="0"/>
              <w:suppressLineNumbers w:val="0"/>
              <w:adjustRightInd w:val="0"/>
              <w:spacing w:before="0" w:beforeAutospacing="0" w:after="0" w:afterAutospacing="0" w:line="360" w:lineRule="auto"/>
              <w:ind w:left="0" w:right="0" w:firstLine="482" w:firstLineChars="200"/>
              <w:jc w:val="left"/>
              <w:rPr>
                <w:rFonts w:hint="default" w:hAnsi="宋体"/>
                <w:b/>
                <w:color w:val="auto"/>
                <w:sz w:val="24"/>
              </w:rPr>
            </w:pPr>
          </w:p>
          <w:p w14:paraId="594CD38B">
            <w:pPr>
              <w:keepNext w:val="0"/>
              <w:keepLines w:val="0"/>
              <w:suppressLineNumbers w:val="0"/>
              <w:adjustRightInd w:val="0"/>
              <w:spacing w:before="0" w:beforeAutospacing="0" w:after="0" w:afterAutospacing="0" w:line="360" w:lineRule="auto"/>
              <w:ind w:left="0" w:right="0" w:firstLine="482" w:firstLineChars="200"/>
              <w:jc w:val="left"/>
              <w:rPr>
                <w:rFonts w:hint="default"/>
                <w:b/>
                <w:color w:val="auto"/>
                <w:sz w:val="24"/>
              </w:rPr>
            </w:pPr>
            <w:r>
              <w:rPr>
                <w:rFonts w:hint="default" w:hAnsi="宋体"/>
                <w:b/>
                <w:color w:val="auto"/>
                <w:sz w:val="24"/>
              </w:rPr>
              <w:t>环境保护图形标志：</w:t>
            </w:r>
          </w:p>
          <w:p w14:paraId="6540C41A">
            <w:pPr>
              <w:keepNext w:val="0"/>
              <w:keepLines w:val="0"/>
              <w:suppressLineNumbers w:val="0"/>
              <w:adjustRightInd w:val="0"/>
              <w:spacing w:before="0" w:beforeAutospacing="0" w:after="0" w:afterAutospacing="0" w:line="360" w:lineRule="auto"/>
              <w:ind w:left="0" w:right="0" w:firstLine="480" w:firstLineChars="200"/>
              <w:jc w:val="left"/>
              <w:rPr>
                <w:rFonts w:hint="eastAsia" w:hAnsi="宋体"/>
                <w:color w:val="auto"/>
                <w:sz w:val="24"/>
              </w:rPr>
            </w:pPr>
            <w:r>
              <w:rPr>
                <w:rFonts w:hint="default" w:ascii="Times New Roman" w:hAnsi="Times New Roman" w:eastAsia="宋体" w:cs="Times New Roman"/>
                <w:color w:val="auto"/>
                <w:sz w:val="24"/>
              </w:rPr>
              <w:t>在厂区的废水排放口、废气排放口、噪声排放源、固体废物贮存处置场应设置环境保护图形标志</w:t>
            </w:r>
            <w:r>
              <w:rPr>
                <w:rFonts w:hint="default" w:hAnsi="宋体"/>
                <w:color w:val="auto"/>
                <w:sz w:val="24"/>
              </w:rPr>
              <w:t>，图形符号分为提示图形和警告图形符号两种，分别按</w:t>
            </w:r>
            <w:r>
              <w:rPr>
                <w:rFonts w:hint="default"/>
                <w:color w:val="auto"/>
                <w:sz w:val="24"/>
              </w:rPr>
              <w:t>GB15562.1-1995</w:t>
            </w:r>
            <w:r>
              <w:rPr>
                <w:rFonts w:hint="default" w:hAnsi="宋体"/>
                <w:color w:val="auto"/>
                <w:sz w:val="24"/>
              </w:rPr>
              <w:t>、</w:t>
            </w:r>
            <w:r>
              <w:rPr>
                <w:rFonts w:hint="default"/>
                <w:color w:val="auto"/>
                <w:sz w:val="24"/>
              </w:rPr>
              <w:t>GB15562.2-1995</w:t>
            </w:r>
            <w:r>
              <w:rPr>
                <w:rFonts w:hint="eastAsia"/>
                <w:color w:val="auto"/>
                <w:sz w:val="24"/>
                <w:lang w:val="en-US" w:eastAsia="zh-CN"/>
              </w:rPr>
              <w:t>修改单</w:t>
            </w:r>
            <w:r>
              <w:rPr>
                <w:rFonts w:hint="default" w:hAnsi="宋体"/>
                <w:color w:val="auto"/>
                <w:sz w:val="24"/>
              </w:rPr>
              <w:t>执行。环境境保护图形符号见表</w:t>
            </w:r>
            <w:r>
              <w:rPr>
                <w:rFonts w:hint="eastAsia"/>
                <w:color w:val="auto"/>
                <w:sz w:val="24"/>
                <w:lang w:val="en-US" w:eastAsia="zh-CN"/>
              </w:rPr>
              <w:t>4-23</w:t>
            </w:r>
            <w:r>
              <w:rPr>
                <w:rFonts w:hint="default" w:hAnsi="宋体"/>
                <w:color w:val="auto"/>
                <w:sz w:val="24"/>
              </w:rPr>
              <w:t>。环境保护图形标志的形状及颜色见表</w:t>
            </w:r>
            <w:r>
              <w:rPr>
                <w:rFonts w:hint="eastAsia"/>
                <w:color w:val="auto"/>
                <w:sz w:val="24"/>
                <w:lang w:val="en-US" w:eastAsia="zh-CN"/>
              </w:rPr>
              <w:t>4-24</w:t>
            </w:r>
            <w:r>
              <w:rPr>
                <w:rFonts w:hint="eastAsia" w:hAnsi="宋体"/>
                <w:color w:val="auto"/>
                <w:sz w:val="24"/>
              </w:rPr>
              <w:t>。</w:t>
            </w:r>
          </w:p>
          <w:p w14:paraId="0BC7A8FB">
            <w:pPr>
              <w:keepNext w:val="0"/>
              <w:keepLines w:val="0"/>
              <w:suppressLineNumbers w:val="0"/>
              <w:spacing w:before="0" w:beforeAutospacing="0" w:after="0" w:afterAutospacing="0" w:line="360" w:lineRule="auto"/>
              <w:ind w:left="0" w:right="0"/>
              <w:jc w:val="center"/>
              <w:rPr>
                <w:rFonts w:hint="default" w:hAnsi="黑体" w:eastAsia="黑体"/>
                <w:color w:val="auto"/>
                <w:sz w:val="24"/>
              </w:rPr>
            </w:pPr>
            <w:r>
              <w:rPr>
                <w:rFonts w:hint="default" w:hAnsi="黑体" w:eastAsia="黑体"/>
                <w:color w:val="auto"/>
                <w:sz w:val="24"/>
              </w:rPr>
              <w:t>表</w:t>
            </w:r>
            <w:r>
              <w:rPr>
                <w:rFonts w:hint="eastAsia" w:hAnsi="黑体" w:eastAsia="黑体"/>
                <w:color w:val="auto"/>
                <w:sz w:val="24"/>
                <w:lang w:val="en-US" w:eastAsia="zh-CN"/>
              </w:rPr>
              <w:t>4-23</w:t>
            </w:r>
            <w:r>
              <w:rPr>
                <w:rFonts w:hint="eastAsia" w:hAnsi="黑体" w:eastAsia="黑体"/>
                <w:color w:val="auto"/>
                <w:sz w:val="24"/>
              </w:rPr>
              <w:t xml:space="preserve"> </w:t>
            </w:r>
            <w:r>
              <w:rPr>
                <w:rFonts w:hint="default" w:hAnsi="黑体" w:eastAsia="黑体"/>
                <w:color w:val="auto"/>
                <w:sz w:val="24"/>
              </w:rPr>
              <w:t>本项目环境保护图形符号表</w:t>
            </w:r>
          </w:p>
          <w:tbl>
            <w:tblPr>
              <w:tblStyle w:val="3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814"/>
              <w:gridCol w:w="1874"/>
              <w:gridCol w:w="1799"/>
              <w:gridCol w:w="1845"/>
            </w:tblGrid>
            <w:tr w14:paraId="2B96EC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399" w:type="pct"/>
                  <w:tcBorders>
                    <w:top w:val="single" w:color="auto" w:sz="12" w:space="0"/>
                    <w:left w:val="nil"/>
                    <w:bottom w:val="single" w:color="auto" w:sz="4" w:space="0"/>
                    <w:right w:val="single" w:color="auto" w:sz="4" w:space="0"/>
                  </w:tcBorders>
                  <w:vAlign w:val="center"/>
                </w:tcPr>
                <w:p w14:paraId="7F871910">
                  <w:pPr>
                    <w:keepNext w:val="0"/>
                    <w:keepLines w:val="0"/>
                    <w:suppressLineNumbers w:val="0"/>
                    <w:spacing w:before="0" w:beforeAutospacing="0" w:after="0" w:afterAutospacing="0" w:line="276" w:lineRule="auto"/>
                    <w:ind w:left="0" w:right="0"/>
                    <w:jc w:val="center"/>
                    <w:rPr>
                      <w:rFonts w:hint="default" w:ascii="Times New Roman" w:hAnsi="Times New Roman" w:cs="Times New Roman"/>
                      <w:b/>
                      <w:color w:val="auto"/>
                      <w:spacing w:val="-2"/>
                      <w:szCs w:val="21"/>
                    </w:rPr>
                  </w:pPr>
                  <w:r>
                    <w:rPr>
                      <w:rFonts w:hint="default" w:ascii="Times New Roman" w:hAnsi="Times New Roman" w:cs="Times New Roman"/>
                      <w:b/>
                      <w:color w:val="auto"/>
                      <w:szCs w:val="21"/>
                    </w:rPr>
                    <w:t>序号</w:t>
                  </w:r>
                </w:p>
              </w:tc>
              <w:tc>
                <w:tcPr>
                  <w:tcW w:w="1138" w:type="pct"/>
                  <w:tcBorders>
                    <w:top w:val="single" w:color="auto" w:sz="12" w:space="0"/>
                    <w:left w:val="single" w:color="auto" w:sz="4" w:space="0"/>
                    <w:bottom w:val="single" w:color="auto" w:sz="4" w:space="0"/>
                    <w:right w:val="single" w:color="auto" w:sz="4" w:space="0"/>
                  </w:tcBorders>
                  <w:vAlign w:val="center"/>
                </w:tcPr>
                <w:p w14:paraId="0B5E1475">
                  <w:pPr>
                    <w:keepNext w:val="0"/>
                    <w:keepLines w:val="0"/>
                    <w:suppressLineNumbers w:val="0"/>
                    <w:spacing w:before="0" w:beforeAutospacing="0" w:after="0" w:afterAutospacing="0" w:line="276" w:lineRule="auto"/>
                    <w:ind w:left="0" w:right="0"/>
                    <w:jc w:val="center"/>
                    <w:rPr>
                      <w:rFonts w:hint="default" w:ascii="Times New Roman" w:hAnsi="Times New Roman" w:cs="Times New Roman"/>
                      <w:b/>
                      <w:color w:val="auto"/>
                      <w:spacing w:val="-2"/>
                      <w:szCs w:val="21"/>
                    </w:rPr>
                  </w:pPr>
                  <w:r>
                    <w:rPr>
                      <w:rFonts w:hint="default" w:ascii="Times New Roman" w:hAnsi="Times New Roman" w:cs="Times New Roman"/>
                      <w:b/>
                      <w:color w:val="auto"/>
                      <w:szCs w:val="21"/>
                    </w:rPr>
                    <w:t>提示图形符号</w:t>
                  </w:r>
                </w:p>
              </w:tc>
              <w:tc>
                <w:tcPr>
                  <w:tcW w:w="1176" w:type="pct"/>
                  <w:tcBorders>
                    <w:top w:val="single" w:color="auto" w:sz="12" w:space="0"/>
                    <w:left w:val="single" w:color="auto" w:sz="4" w:space="0"/>
                    <w:bottom w:val="single" w:color="auto" w:sz="4" w:space="0"/>
                    <w:right w:val="single" w:color="auto" w:sz="4" w:space="0"/>
                  </w:tcBorders>
                  <w:vAlign w:val="center"/>
                </w:tcPr>
                <w:p w14:paraId="5F835FA1">
                  <w:pPr>
                    <w:keepNext w:val="0"/>
                    <w:keepLines w:val="0"/>
                    <w:suppressLineNumbers w:val="0"/>
                    <w:spacing w:before="0" w:beforeAutospacing="0" w:after="0" w:afterAutospacing="0" w:line="276" w:lineRule="auto"/>
                    <w:ind w:left="0" w:right="0"/>
                    <w:jc w:val="center"/>
                    <w:rPr>
                      <w:rFonts w:hint="default" w:ascii="Times New Roman" w:hAnsi="Times New Roman" w:cs="Times New Roman"/>
                      <w:b/>
                      <w:color w:val="auto"/>
                      <w:spacing w:val="-2"/>
                      <w:szCs w:val="21"/>
                    </w:rPr>
                  </w:pPr>
                  <w:r>
                    <w:rPr>
                      <w:rFonts w:hint="default" w:ascii="Times New Roman" w:hAnsi="Times New Roman" w:cs="Times New Roman"/>
                      <w:b/>
                      <w:color w:val="auto"/>
                      <w:szCs w:val="21"/>
                    </w:rPr>
                    <w:t>警告图形符号</w:t>
                  </w:r>
                </w:p>
              </w:tc>
              <w:tc>
                <w:tcPr>
                  <w:tcW w:w="1129" w:type="pct"/>
                  <w:tcBorders>
                    <w:top w:val="single" w:color="auto" w:sz="12" w:space="0"/>
                    <w:left w:val="single" w:color="auto" w:sz="4" w:space="0"/>
                    <w:bottom w:val="single" w:color="auto" w:sz="4" w:space="0"/>
                    <w:right w:val="single" w:color="auto" w:sz="4" w:space="0"/>
                  </w:tcBorders>
                  <w:vAlign w:val="center"/>
                </w:tcPr>
                <w:p w14:paraId="44860239">
                  <w:pPr>
                    <w:keepNext w:val="0"/>
                    <w:keepLines w:val="0"/>
                    <w:suppressLineNumbers w:val="0"/>
                    <w:spacing w:before="0" w:beforeAutospacing="0" w:after="0" w:afterAutospacing="0" w:line="276" w:lineRule="auto"/>
                    <w:ind w:left="0" w:right="0"/>
                    <w:jc w:val="center"/>
                    <w:rPr>
                      <w:rFonts w:hint="default" w:ascii="Times New Roman" w:hAnsi="Times New Roman" w:cs="Times New Roman"/>
                      <w:b/>
                      <w:color w:val="auto"/>
                      <w:spacing w:val="-2"/>
                      <w:szCs w:val="21"/>
                    </w:rPr>
                  </w:pPr>
                  <w:r>
                    <w:rPr>
                      <w:rFonts w:hint="default" w:ascii="Times New Roman" w:hAnsi="Times New Roman" w:cs="Times New Roman"/>
                      <w:b/>
                      <w:color w:val="auto"/>
                      <w:szCs w:val="21"/>
                    </w:rPr>
                    <w:t>名称</w:t>
                  </w:r>
                </w:p>
              </w:tc>
              <w:tc>
                <w:tcPr>
                  <w:tcW w:w="1158" w:type="pct"/>
                  <w:tcBorders>
                    <w:top w:val="single" w:color="auto" w:sz="12" w:space="0"/>
                    <w:left w:val="single" w:color="auto" w:sz="4" w:space="0"/>
                    <w:bottom w:val="single" w:color="auto" w:sz="4" w:space="0"/>
                    <w:right w:val="nil"/>
                  </w:tcBorders>
                  <w:vAlign w:val="center"/>
                </w:tcPr>
                <w:p w14:paraId="6F3DCC02">
                  <w:pPr>
                    <w:keepNext w:val="0"/>
                    <w:keepLines w:val="0"/>
                    <w:suppressLineNumbers w:val="0"/>
                    <w:spacing w:before="0" w:beforeAutospacing="0" w:after="0" w:afterAutospacing="0" w:line="276" w:lineRule="auto"/>
                    <w:ind w:left="0" w:right="0"/>
                    <w:jc w:val="center"/>
                    <w:rPr>
                      <w:rFonts w:hint="default" w:ascii="Times New Roman" w:hAnsi="Times New Roman" w:cs="Times New Roman"/>
                      <w:b/>
                      <w:color w:val="auto"/>
                      <w:spacing w:val="-2"/>
                      <w:szCs w:val="21"/>
                    </w:rPr>
                  </w:pPr>
                  <w:r>
                    <w:rPr>
                      <w:rFonts w:hint="default" w:ascii="Times New Roman" w:hAnsi="Times New Roman" w:cs="Times New Roman"/>
                      <w:b/>
                      <w:color w:val="auto"/>
                      <w:szCs w:val="21"/>
                    </w:rPr>
                    <w:t>功能</w:t>
                  </w:r>
                </w:p>
              </w:tc>
            </w:tr>
            <w:tr w14:paraId="0DA603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399" w:type="pct"/>
                  <w:tcBorders>
                    <w:top w:val="single" w:color="auto" w:sz="4" w:space="0"/>
                    <w:left w:val="nil"/>
                    <w:bottom w:val="single" w:color="auto" w:sz="4" w:space="0"/>
                    <w:right w:val="single" w:color="auto" w:sz="4" w:space="0"/>
                  </w:tcBorders>
                  <w:vAlign w:val="center"/>
                </w:tcPr>
                <w:p w14:paraId="57B234FD">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color w:val="auto"/>
                      <w:szCs w:val="21"/>
                    </w:rPr>
                    <w:t>1</w:t>
                  </w:r>
                </w:p>
              </w:tc>
              <w:tc>
                <w:tcPr>
                  <w:tcW w:w="1138" w:type="pct"/>
                  <w:tcBorders>
                    <w:top w:val="single" w:color="auto" w:sz="4" w:space="0"/>
                    <w:left w:val="single" w:color="auto" w:sz="4" w:space="0"/>
                    <w:bottom w:val="single" w:color="auto" w:sz="4" w:space="0"/>
                    <w:right w:val="single" w:color="auto" w:sz="4" w:space="0"/>
                  </w:tcBorders>
                  <w:vAlign w:val="center"/>
                </w:tcPr>
                <w:p w14:paraId="3258893C">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smallCaps/>
                      <w:color w:val="auto"/>
                      <w:szCs w:val="21"/>
                    </w:rPr>
                    <w:drawing>
                      <wp:inline distT="0" distB="0" distL="0" distR="0">
                        <wp:extent cx="754380" cy="754380"/>
                        <wp:effectExtent l="0" t="0" r="7620" b="7620"/>
                        <wp:docPr id="8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43"/>
                                <pic:cNvPicPr>
                                  <a:picLocks noChangeAspect="1" noChangeArrowheads="1"/>
                                </pic:cNvPicPr>
                              </pic:nvPicPr>
                              <pic:blipFill>
                                <a:blip r:embed="rId20" cstate="print"/>
                                <a:srcRect/>
                                <a:stretch>
                                  <a:fillRect/>
                                </a:stretch>
                              </pic:blipFill>
                              <pic:spPr>
                                <a:xfrm>
                                  <a:off x="0" y="0"/>
                                  <a:ext cx="754380" cy="754380"/>
                                </a:xfrm>
                                <a:prstGeom prst="rect">
                                  <a:avLst/>
                                </a:prstGeom>
                                <a:noFill/>
                                <a:ln w="9525">
                                  <a:noFill/>
                                  <a:miter lim="800000"/>
                                  <a:headEnd/>
                                  <a:tailEnd/>
                                </a:ln>
                              </pic:spPr>
                            </pic:pic>
                          </a:graphicData>
                        </a:graphic>
                      </wp:inline>
                    </w:drawing>
                  </w:r>
                </w:p>
              </w:tc>
              <w:tc>
                <w:tcPr>
                  <w:tcW w:w="1176" w:type="pct"/>
                  <w:tcBorders>
                    <w:top w:val="single" w:color="auto" w:sz="4" w:space="0"/>
                    <w:left w:val="single" w:color="auto" w:sz="4" w:space="0"/>
                    <w:bottom w:val="single" w:color="auto" w:sz="4" w:space="0"/>
                    <w:right w:val="single" w:color="auto" w:sz="4" w:space="0"/>
                  </w:tcBorders>
                  <w:vAlign w:val="center"/>
                </w:tcPr>
                <w:p w14:paraId="087E4CD0">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smallCaps/>
                      <w:color w:val="auto"/>
                      <w:szCs w:val="21"/>
                    </w:rPr>
                    <w:drawing>
                      <wp:inline distT="0" distB="0" distL="0" distR="0">
                        <wp:extent cx="847725" cy="756285"/>
                        <wp:effectExtent l="0" t="0" r="9525" b="5715"/>
                        <wp:docPr id="91"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44"/>
                                <pic:cNvPicPr>
                                  <a:picLocks noChangeAspect="1" noChangeArrowheads="1"/>
                                </pic:cNvPicPr>
                              </pic:nvPicPr>
                              <pic:blipFill>
                                <a:blip r:embed="rId21" cstate="print"/>
                                <a:srcRect/>
                                <a:stretch>
                                  <a:fillRect/>
                                </a:stretch>
                              </pic:blipFill>
                              <pic:spPr>
                                <a:xfrm>
                                  <a:off x="0" y="0"/>
                                  <a:ext cx="847725" cy="756285"/>
                                </a:xfrm>
                                <a:prstGeom prst="rect">
                                  <a:avLst/>
                                </a:prstGeom>
                                <a:noFill/>
                                <a:ln w="9525">
                                  <a:noFill/>
                                  <a:miter lim="800000"/>
                                  <a:headEnd/>
                                  <a:tailEnd/>
                                </a:ln>
                              </pic:spPr>
                            </pic:pic>
                          </a:graphicData>
                        </a:graphic>
                      </wp:inline>
                    </w:drawing>
                  </w:r>
                </w:p>
              </w:tc>
              <w:tc>
                <w:tcPr>
                  <w:tcW w:w="1129" w:type="pct"/>
                  <w:tcBorders>
                    <w:top w:val="single" w:color="auto" w:sz="4" w:space="0"/>
                    <w:left w:val="single" w:color="auto" w:sz="4" w:space="0"/>
                    <w:bottom w:val="single" w:color="auto" w:sz="4" w:space="0"/>
                    <w:right w:val="single" w:color="auto" w:sz="4" w:space="0"/>
                  </w:tcBorders>
                  <w:vAlign w:val="center"/>
                </w:tcPr>
                <w:p w14:paraId="4EECA57B">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color w:val="auto"/>
                      <w:szCs w:val="21"/>
                    </w:rPr>
                    <w:t>污水排放口</w:t>
                  </w:r>
                </w:p>
              </w:tc>
              <w:tc>
                <w:tcPr>
                  <w:tcW w:w="1158" w:type="pct"/>
                  <w:tcBorders>
                    <w:top w:val="single" w:color="auto" w:sz="4" w:space="0"/>
                    <w:left w:val="single" w:color="auto" w:sz="4" w:space="0"/>
                    <w:bottom w:val="single" w:color="auto" w:sz="4" w:space="0"/>
                    <w:right w:val="nil"/>
                  </w:tcBorders>
                  <w:vAlign w:val="center"/>
                </w:tcPr>
                <w:p w14:paraId="6E39444B">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color w:val="auto"/>
                      <w:szCs w:val="21"/>
                    </w:rPr>
                    <w:t>表示污水向水体排放</w:t>
                  </w:r>
                </w:p>
              </w:tc>
            </w:tr>
            <w:tr w14:paraId="553E93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399" w:type="pct"/>
                  <w:tcBorders>
                    <w:top w:val="single" w:color="auto" w:sz="4" w:space="0"/>
                    <w:left w:val="nil"/>
                    <w:bottom w:val="single" w:color="auto" w:sz="4" w:space="0"/>
                    <w:right w:val="single" w:color="auto" w:sz="4" w:space="0"/>
                  </w:tcBorders>
                  <w:vAlign w:val="center"/>
                </w:tcPr>
                <w:p w14:paraId="01E03D33">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color w:val="auto"/>
                      <w:szCs w:val="21"/>
                    </w:rPr>
                    <w:t>2</w:t>
                  </w:r>
                </w:p>
              </w:tc>
              <w:tc>
                <w:tcPr>
                  <w:tcW w:w="1138" w:type="pct"/>
                  <w:tcBorders>
                    <w:top w:val="single" w:color="auto" w:sz="4" w:space="0"/>
                    <w:left w:val="single" w:color="auto" w:sz="4" w:space="0"/>
                    <w:bottom w:val="single" w:color="auto" w:sz="4" w:space="0"/>
                    <w:right w:val="single" w:color="auto" w:sz="4" w:space="0"/>
                  </w:tcBorders>
                  <w:vAlign w:val="center"/>
                </w:tcPr>
                <w:p w14:paraId="5E60201E">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smallCaps/>
                      <w:color w:val="auto"/>
                      <w:szCs w:val="21"/>
                    </w:rPr>
                    <w:drawing>
                      <wp:inline distT="0" distB="0" distL="0" distR="0">
                        <wp:extent cx="756285" cy="756285"/>
                        <wp:effectExtent l="0" t="0" r="5715" b="5715"/>
                        <wp:docPr id="9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45"/>
                                <pic:cNvPicPr>
                                  <a:picLocks noChangeAspect="1" noChangeArrowheads="1"/>
                                </pic:cNvPicPr>
                              </pic:nvPicPr>
                              <pic:blipFill>
                                <a:blip r:embed="rId22" cstate="print"/>
                                <a:srcRect/>
                                <a:stretch>
                                  <a:fillRect/>
                                </a:stretch>
                              </pic:blipFill>
                              <pic:spPr>
                                <a:xfrm>
                                  <a:off x="0" y="0"/>
                                  <a:ext cx="756285" cy="756285"/>
                                </a:xfrm>
                                <a:prstGeom prst="rect">
                                  <a:avLst/>
                                </a:prstGeom>
                                <a:noFill/>
                                <a:ln w="9525">
                                  <a:noFill/>
                                  <a:miter lim="800000"/>
                                  <a:headEnd/>
                                  <a:tailEnd/>
                                </a:ln>
                              </pic:spPr>
                            </pic:pic>
                          </a:graphicData>
                        </a:graphic>
                      </wp:inline>
                    </w:drawing>
                  </w:r>
                </w:p>
              </w:tc>
              <w:tc>
                <w:tcPr>
                  <w:tcW w:w="1176" w:type="pct"/>
                  <w:tcBorders>
                    <w:top w:val="single" w:color="auto" w:sz="4" w:space="0"/>
                    <w:left w:val="single" w:color="auto" w:sz="4" w:space="0"/>
                    <w:bottom w:val="single" w:color="auto" w:sz="4" w:space="0"/>
                    <w:right w:val="single" w:color="auto" w:sz="4" w:space="0"/>
                  </w:tcBorders>
                  <w:vAlign w:val="center"/>
                </w:tcPr>
                <w:p w14:paraId="5D7095C9">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smallCaps/>
                      <w:color w:val="auto"/>
                      <w:szCs w:val="21"/>
                    </w:rPr>
                    <w:drawing>
                      <wp:inline distT="0" distB="0" distL="0" distR="0">
                        <wp:extent cx="847725" cy="756285"/>
                        <wp:effectExtent l="0" t="0" r="9525" b="5715"/>
                        <wp:docPr id="9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46"/>
                                <pic:cNvPicPr>
                                  <a:picLocks noChangeAspect="1" noChangeArrowheads="1"/>
                                </pic:cNvPicPr>
                              </pic:nvPicPr>
                              <pic:blipFill>
                                <a:blip r:embed="rId23" cstate="print"/>
                                <a:srcRect/>
                                <a:stretch>
                                  <a:fillRect/>
                                </a:stretch>
                              </pic:blipFill>
                              <pic:spPr>
                                <a:xfrm>
                                  <a:off x="0" y="0"/>
                                  <a:ext cx="847725" cy="756285"/>
                                </a:xfrm>
                                <a:prstGeom prst="rect">
                                  <a:avLst/>
                                </a:prstGeom>
                                <a:noFill/>
                                <a:ln w="9525">
                                  <a:noFill/>
                                  <a:miter lim="800000"/>
                                  <a:headEnd/>
                                  <a:tailEnd/>
                                </a:ln>
                              </pic:spPr>
                            </pic:pic>
                          </a:graphicData>
                        </a:graphic>
                      </wp:inline>
                    </w:drawing>
                  </w:r>
                </w:p>
              </w:tc>
              <w:tc>
                <w:tcPr>
                  <w:tcW w:w="1129" w:type="pct"/>
                  <w:tcBorders>
                    <w:top w:val="single" w:color="auto" w:sz="4" w:space="0"/>
                    <w:left w:val="single" w:color="auto" w:sz="4" w:space="0"/>
                    <w:bottom w:val="single" w:color="auto" w:sz="4" w:space="0"/>
                    <w:right w:val="single" w:color="auto" w:sz="4" w:space="0"/>
                  </w:tcBorders>
                  <w:vAlign w:val="center"/>
                </w:tcPr>
                <w:p w14:paraId="188122A5">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color w:val="auto"/>
                      <w:szCs w:val="21"/>
                    </w:rPr>
                    <w:t>废气排放口</w:t>
                  </w:r>
                </w:p>
              </w:tc>
              <w:tc>
                <w:tcPr>
                  <w:tcW w:w="1158" w:type="pct"/>
                  <w:tcBorders>
                    <w:top w:val="single" w:color="auto" w:sz="4" w:space="0"/>
                    <w:left w:val="single" w:color="auto" w:sz="4" w:space="0"/>
                    <w:bottom w:val="single" w:color="auto" w:sz="4" w:space="0"/>
                    <w:right w:val="nil"/>
                  </w:tcBorders>
                  <w:vAlign w:val="center"/>
                </w:tcPr>
                <w:p w14:paraId="777D524E">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color w:val="auto"/>
                      <w:szCs w:val="21"/>
                    </w:rPr>
                    <w:t>表示废气向大气环境排放</w:t>
                  </w:r>
                </w:p>
              </w:tc>
            </w:tr>
            <w:tr w14:paraId="136D97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399" w:type="pct"/>
                  <w:tcBorders>
                    <w:top w:val="single" w:color="auto" w:sz="4" w:space="0"/>
                    <w:left w:val="nil"/>
                    <w:bottom w:val="single" w:color="auto" w:sz="4" w:space="0"/>
                    <w:right w:val="single" w:color="auto" w:sz="4" w:space="0"/>
                  </w:tcBorders>
                  <w:vAlign w:val="center"/>
                </w:tcPr>
                <w:p w14:paraId="12E42D84">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color w:val="auto"/>
                      <w:szCs w:val="21"/>
                    </w:rPr>
                    <w:t>3</w:t>
                  </w:r>
                </w:p>
              </w:tc>
              <w:tc>
                <w:tcPr>
                  <w:tcW w:w="1138" w:type="pct"/>
                  <w:tcBorders>
                    <w:top w:val="single" w:color="auto" w:sz="4" w:space="0"/>
                    <w:left w:val="single" w:color="auto" w:sz="4" w:space="0"/>
                    <w:bottom w:val="single" w:color="auto" w:sz="4" w:space="0"/>
                    <w:right w:val="single" w:color="auto" w:sz="4" w:space="0"/>
                  </w:tcBorders>
                  <w:vAlign w:val="center"/>
                </w:tcPr>
                <w:p w14:paraId="5EB41CA8">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smallCaps/>
                      <w:color w:val="auto"/>
                      <w:szCs w:val="21"/>
                    </w:rPr>
                    <w:drawing>
                      <wp:inline distT="0" distB="0" distL="0" distR="0">
                        <wp:extent cx="756285" cy="756285"/>
                        <wp:effectExtent l="0" t="0" r="5715" b="5715"/>
                        <wp:docPr id="9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47"/>
                                <pic:cNvPicPr>
                                  <a:picLocks noChangeAspect="1" noChangeArrowheads="1"/>
                                </pic:cNvPicPr>
                              </pic:nvPicPr>
                              <pic:blipFill>
                                <a:blip r:embed="rId24" cstate="print"/>
                                <a:srcRect/>
                                <a:stretch>
                                  <a:fillRect/>
                                </a:stretch>
                              </pic:blipFill>
                              <pic:spPr>
                                <a:xfrm>
                                  <a:off x="0" y="0"/>
                                  <a:ext cx="756285" cy="756285"/>
                                </a:xfrm>
                                <a:prstGeom prst="rect">
                                  <a:avLst/>
                                </a:prstGeom>
                                <a:noFill/>
                                <a:ln w="9525">
                                  <a:noFill/>
                                  <a:miter lim="800000"/>
                                  <a:headEnd/>
                                  <a:tailEnd/>
                                </a:ln>
                              </pic:spPr>
                            </pic:pic>
                          </a:graphicData>
                        </a:graphic>
                      </wp:inline>
                    </w:drawing>
                  </w:r>
                </w:p>
              </w:tc>
              <w:tc>
                <w:tcPr>
                  <w:tcW w:w="1176" w:type="pct"/>
                  <w:tcBorders>
                    <w:top w:val="single" w:color="auto" w:sz="4" w:space="0"/>
                    <w:left w:val="single" w:color="auto" w:sz="4" w:space="0"/>
                    <w:bottom w:val="single" w:color="auto" w:sz="4" w:space="0"/>
                    <w:right w:val="single" w:color="auto" w:sz="4" w:space="0"/>
                  </w:tcBorders>
                  <w:vAlign w:val="center"/>
                </w:tcPr>
                <w:p w14:paraId="1C5DCD71">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smallCaps/>
                      <w:color w:val="auto"/>
                      <w:szCs w:val="21"/>
                    </w:rPr>
                    <w:drawing>
                      <wp:inline distT="0" distB="0" distL="0" distR="0">
                        <wp:extent cx="847725" cy="756285"/>
                        <wp:effectExtent l="0" t="0" r="9525" b="5715"/>
                        <wp:docPr id="9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48"/>
                                <pic:cNvPicPr>
                                  <a:picLocks noChangeAspect="1" noChangeArrowheads="1"/>
                                </pic:cNvPicPr>
                              </pic:nvPicPr>
                              <pic:blipFill>
                                <a:blip r:embed="rId25" cstate="print"/>
                                <a:srcRect/>
                                <a:stretch>
                                  <a:fillRect/>
                                </a:stretch>
                              </pic:blipFill>
                              <pic:spPr>
                                <a:xfrm>
                                  <a:off x="0" y="0"/>
                                  <a:ext cx="847725" cy="756285"/>
                                </a:xfrm>
                                <a:prstGeom prst="rect">
                                  <a:avLst/>
                                </a:prstGeom>
                                <a:noFill/>
                                <a:ln w="9525">
                                  <a:noFill/>
                                  <a:miter lim="800000"/>
                                  <a:headEnd/>
                                  <a:tailEnd/>
                                </a:ln>
                              </pic:spPr>
                            </pic:pic>
                          </a:graphicData>
                        </a:graphic>
                      </wp:inline>
                    </w:drawing>
                  </w:r>
                </w:p>
              </w:tc>
              <w:tc>
                <w:tcPr>
                  <w:tcW w:w="1129" w:type="pct"/>
                  <w:tcBorders>
                    <w:top w:val="single" w:color="auto" w:sz="4" w:space="0"/>
                    <w:left w:val="single" w:color="auto" w:sz="4" w:space="0"/>
                    <w:bottom w:val="single" w:color="auto" w:sz="4" w:space="0"/>
                    <w:right w:val="single" w:color="auto" w:sz="4" w:space="0"/>
                  </w:tcBorders>
                  <w:vAlign w:val="center"/>
                </w:tcPr>
                <w:p w14:paraId="582603AA">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color w:val="auto"/>
                      <w:szCs w:val="21"/>
                    </w:rPr>
                    <w:t>一般工业固体废物</w:t>
                  </w:r>
                </w:p>
              </w:tc>
              <w:tc>
                <w:tcPr>
                  <w:tcW w:w="1158" w:type="pct"/>
                  <w:tcBorders>
                    <w:top w:val="single" w:color="auto" w:sz="4" w:space="0"/>
                    <w:left w:val="single" w:color="auto" w:sz="4" w:space="0"/>
                    <w:bottom w:val="single" w:color="auto" w:sz="4" w:space="0"/>
                    <w:right w:val="nil"/>
                  </w:tcBorders>
                  <w:vAlign w:val="center"/>
                </w:tcPr>
                <w:p w14:paraId="394D2473">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color w:val="auto"/>
                      <w:szCs w:val="21"/>
                    </w:rPr>
                    <w:t>表示一般工业固体废物贮存、处置场</w:t>
                  </w:r>
                </w:p>
              </w:tc>
            </w:tr>
            <w:tr w14:paraId="3C0B0D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399" w:type="pct"/>
                  <w:tcBorders>
                    <w:top w:val="single" w:color="auto" w:sz="4" w:space="0"/>
                    <w:left w:val="nil"/>
                    <w:bottom w:val="single" w:color="auto" w:sz="4" w:space="0"/>
                    <w:right w:val="single" w:color="auto" w:sz="4" w:space="0"/>
                  </w:tcBorders>
                  <w:vAlign w:val="center"/>
                </w:tcPr>
                <w:p w14:paraId="1CAE367D">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color w:val="auto"/>
                      <w:szCs w:val="21"/>
                    </w:rPr>
                    <w:t>4</w:t>
                  </w:r>
                </w:p>
              </w:tc>
              <w:tc>
                <w:tcPr>
                  <w:tcW w:w="1138" w:type="pct"/>
                  <w:tcBorders>
                    <w:top w:val="single" w:color="auto" w:sz="4" w:space="0"/>
                    <w:left w:val="single" w:color="auto" w:sz="4" w:space="0"/>
                    <w:bottom w:val="single" w:color="auto" w:sz="4" w:space="0"/>
                    <w:right w:val="single" w:color="auto" w:sz="4" w:space="0"/>
                  </w:tcBorders>
                  <w:vAlign w:val="center"/>
                </w:tcPr>
                <w:p w14:paraId="6D5E537F">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color w:val="auto"/>
                      <w:spacing w:val="-2"/>
                      <w:szCs w:val="21"/>
                    </w:rPr>
                    <w:t>/</w:t>
                  </w:r>
                </w:p>
              </w:tc>
              <w:tc>
                <w:tcPr>
                  <w:tcW w:w="1176" w:type="pct"/>
                  <w:tcBorders>
                    <w:top w:val="single" w:color="auto" w:sz="4" w:space="0"/>
                    <w:left w:val="single" w:color="auto" w:sz="4" w:space="0"/>
                    <w:bottom w:val="single" w:color="auto" w:sz="4" w:space="0"/>
                    <w:right w:val="single" w:color="auto" w:sz="4" w:space="0"/>
                  </w:tcBorders>
                  <w:vAlign w:val="center"/>
                </w:tcPr>
                <w:p w14:paraId="124B8ACA">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color w:val="auto"/>
                      <w:spacing w:val="-2"/>
                      <w:szCs w:val="21"/>
                    </w:rPr>
                    <w:drawing>
                      <wp:inline distT="0" distB="0" distL="0" distR="0">
                        <wp:extent cx="956310" cy="756285"/>
                        <wp:effectExtent l="0" t="0" r="15240" b="5715"/>
                        <wp:docPr id="99" name="图片 1" descr="5[GH5T597V}4NCI(}UJT3[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 descr="5[GH5T597V}4NCI(}UJT3[R.png"/>
                                <pic:cNvPicPr>
                                  <a:picLocks noChangeAspect="1"/>
                                </pic:cNvPicPr>
                              </pic:nvPicPr>
                              <pic:blipFill>
                                <a:blip r:embed="rId26" cstate="print"/>
                                <a:stretch>
                                  <a:fillRect/>
                                </a:stretch>
                              </pic:blipFill>
                              <pic:spPr>
                                <a:xfrm>
                                  <a:off x="0" y="0"/>
                                  <a:ext cx="956310" cy="756285"/>
                                </a:xfrm>
                                <a:prstGeom prst="rect">
                                  <a:avLst/>
                                </a:prstGeom>
                              </pic:spPr>
                            </pic:pic>
                          </a:graphicData>
                        </a:graphic>
                      </wp:inline>
                    </w:drawing>
                  </w:r>
                </w:p>
              </w:tc>
              <w:tc>
                <w:tcPr>
                  <w:tcW w:w="1129" w:type="pct"/>
                  <w:tcBorders>
                    <w:top w:val="single" w:color="auto" w:sz="4" w:space="0"/>
                    <w:left w:val="single" w:color="auto" w:sz="4" w:space="0"/>
                    <w:bottom w:val="single" w:color="auto" w:sz="4" w:space="0"/>
                    <w:right w:val="single" w:color="auto" w:sz="4" w:space="0"/>
                  </w:tcBorders>
                  <w:vAlign w:val="center"/>
                </w:tcPr>
                <w:p w14:paraId="735C94C7">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color w:val="auto"/>
                      <w:szCs w:val="21"/>
                    </w:rPr>
                    <w:t>危险废物</w:t>
                  </w:r>
                </w:p>
              </w:tc>
              <w:tc>
                <w:tcPr>
                  <w:tcW w:w="1158" w:type="pct"/>
                  <w:tcBorders>
                    <w:top w:val="single" w:color="auto" w:sz="4" w:space="0"/>
                    <w:left w:val="single" w:color="auto" w:sz="4" w:space="0"/>
                    <w:bottom w:val="single" w:color="auto" w:sz="4" w:space="0"/>
                    <w:right w:val="nil"/>
                  </w:tcBorders>
                  <w:vAlign w:val="center"/>
                </w:tcPr>
                <w:p w14:paraId="570E38F6">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color w:val="auto"/>
                      <w:szCs w:val="21"/>
                    </w:rPr>
                    <w:t>表示危险废物贮存、处置场</w:t>
                  </w:r>
                </w:p>
              </w:tc>
            </w:tr>
            <w:tr w14:paraId="251D77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399" w:type="pct"/>
                  <w:tcBorders>
                    <w:top w:val="single" w:color="auto" w:sz="4" w:space="0"/>
                    <w:left w:val="nil"/>
                    <w:bottom w:val="single" w:color="auto" w:sz="12" w:space="0"/>
                    <w:right w:val="single" w:color="auto" w:sz="4" w:space="0"/>
                  </w:tcBorders>
                  <w:vAlign w:val="center"/>
                </w:tcPr>
                <w:p w14:paraId="72A4FEA6">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color w:val="auto"/>
                      <w:szCs w:val="21"/>
                    </w:rPr>
                    <w:t>5</w:t>
                  </w:r>
                </w:p>
              </w:tc>
              <w:tc>
                <w:tcPr>
                  <w:tcW w:w="1138" w:type="pct"/>
                  <w:tcBorders>
                    <w:top w:val="single" w:color="auto" w:sz="4" w:space="0"/>
                    <w:left w:val="single" w:color="auto" w:sz="4" w:space="0"/>
                    <w:bottom w:val="single" w:color="auto" w:sz="12" w:space="0"/>
                    <w:right w:val="single" w:color="auto" w:sz="4" w:space="0"/>
                  </w:tcBorders>
                  <w:vAlign w:val="center"/>
                </w:tcPr>
                <w:p w14:paraId="4BC21368">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color w:val="auto"/>
                      <w:szCs w:val="21"/>
                    </w:rPr>
                    <w:drawing>
                      <wp:inline distT="0" distB="0" distL="0" distR="0">
                        <wp:extent cx="756285" cy="756285"/>
                        <wp:effectExtent l="0" t="0" r="5715" b="5715"/>
                        <wp:docPr id="100" name="图片 50" descr="mark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50" descr="mark_3"/>
                                <pic:cNvPicPr>
                                  <a:picLocks noChangeAspect="1" noChangeArrowheads="1"/>
                                </pic:cNvPicPr>
                              </pic:nvPicPr>
                              <pic:blipFill>
                                <a:blip r:embed="rId27" cstate="print"/>
                                <a:srcRect/>
                                <a:stretch>
                                  <a:fillRect/>
                                </a:stretch>
                              </pic:blipFill>
                              <pic:spPr>
                                <a:xfrm>
                                  <a:off x="0" y="0"/>
                                  <a:ext cx="756285" cy="756285"/>
                                </a:xfrm>
                                <a:prstGeom prst="rect">
                                  <a:avLst/>
                                </a:prstGeom>
                                <a:noFill/>
                                <a:ln w="9525">
                                  <a:noFill/>
                                  <a:miter lim="800000"/>
                                  <a:headEnd/>
                                  <a:tailEnd/>
                                </a:ln>
                              </pic:spPr>
                            </pic:pic>
                          </a:graphicData>
                        </a:graphic>
                      </wp:inline>
                    </w:drawing>
                  </w:r>
                </w:p>
              </w:tc>
              <w:tc>
                <w:tcPr>
                  <w:tcW w:w="1176" w:type="pct"/>
                  <w:tcBorders>
                    <w:top w:val="single" w:color="auto" w:sz="4" w:space="0"/>
                    <w:left w:val="single" w:color="auto" w:sz="4" w:space="0"/>
                    <w:bottom w:val="single" w:color="auto" w:sz="12" w:space="0"/>
                    <w:right w:val="single" w:color="auto" w:sz="4" w:space="0"/>
                  </w:tcBorders>
                  <w:vAlign w:val="center"/>
                </w:tcPr>
                <w:p w14:paraId="6240483A">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color w:val="auto"/>
                      <w:szCs w:val="21"/>
                    </w:rPr>
                    <w:drawing>
                      <wp:inline distT="0" distB="0" distL="0" distR="0">
                        <wp:extent cx="847725" cy="756285"/>
                        <wp:effectExtent l="0" t="0" r="9525" b="5715"/>
                        <wp:docPr id="101" name="图片 51" descr="mark_j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51" descr="mark_j3"/>
                                <pic:cNvPicPr>
                                  <a:picLocks noChangeAspect="1" noChangeArrowheads="1"/>
                                </pic:cNvPicPr>
                              </pic:nvPicPr>
                              <pic:blipFill>
                                <a:blip r:embed="rId28" cstate="print"/>
                                <a:srcRect/>
                                <a:stretch>
                                  <a:fillRect/>
                                </a:stretch>
                              </pic:blipFill>
                              <pic:spPr>
                                <a:xfrm>
                                  <a:off x="0" y="0"/>
                                  <a:ext cx="847725" cy="756285"/>
                                </a:xfrm>
                                <a:prstGeom prst="rect">
                                  <a:avLst/>
                                </a:prstGeom>
                                <a:noFill/>
                                <a:ln w="9525">
                                  <a:noFill/>
                                  <a:miter lim="800000"/>
                                  <a:headEnd/>
                                  <a:tailEnd/>
                                </a:ln>
                              </pic:spPr>
                            </pic:pic>
                          </a:graphicData>
                        </a:graphic>
                      </wp:inline>
                    </w:drawing>
                  </w:r>
                </w:p>
              </w:tc>
              <w:tc>
                <w:tcPr>
                  <w:tcW w:w="1129" w:type="pct"/>
                  <w:tcBorders>
                    <w:top w:val="single" w:color="auto" w:sz="4" w:space="0"/>
                    <w:left w:val="single" w:color="auto" w:sz="4" w:space="0"/>
                    <w:bottom w:val="single" w:color="auto" w:sz="12" w:space="0"/>
                    <w:right w:val="single" w:color="auto" w:sz="4" w:space="0"/>
                  </w:tcBorders>
                  <w:vAlign w:val="center"/>
                </w:tcPr>
                <w:p w14:paraId="4B8B19AC">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color w:val="auto"/>
                      <w:szCs w:val="21"/>
                    </w:rPr>
                    <w:t>噪声排放源</w:t>
                  </w:r>
                </w:p>
              </w:tc>
              <w:tc>
                <w:tcPr>
                  <w:tcW w:w="1158" w:type="pct"/>
                  <w:tcBorders>
                    <w:top w:val="single" w:color="auto" w:sz="4" w:space="0"/>
                    <w:left w:val="single" w:color="auto" w:sz="4" w:space="0"/>
                    <w:bottom w:val="single" w:color="auto" w:sz="12" w:space="0"/>
                    <w:right w:val="nil"/>
                  </w:tcBorders>
                  <w:vAlign w:val="center"/>
                </w:tcPr>
                <w:p w14:paraId="32F15467">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color w:val="auto"/>
                      <w:szCs w:val="21"/>
                    </w:rPr>
                    <w:t>表示噪声向</w:t>
                  </w:r>
                </w:p>
                <w:p w14:paraId="0C5BDC0B">
                  <w:pPr>
                    <w:keepNext w:val="0"/>
                    <w:keepLines w:val="0"/>
                    <w:suppressLineNumbers w:val="0"/>
                    <w:spacing w:before="0" w:beforeAutospacing="0" w:after="0" w:afterAutospacing="0" w:line="276" w:lineRule="auto"/>
                    <w:ind w:left="0" w:right="0"/>
                    <w:jc w:val="center"/>
                    <w:rPr>
                      <w:rFonts w:hint="default" w:ascii="Times New Roman" w:hAnsi="Times New Roman" w:cs="Times New Roman"/>
                      <w:color w:val="auto"/>
                      <w:spacing w:val="-2"/>
                      <w:szCs w:val="21"/>
                    </w:rPr>
                  </w:pPr>
                  <w:r>
                    <w:rPr>
                      <w:rFonts w:hint="default" w:ascii="Times New Roman" w:hAnsi="Times New Roman" w:cs="Times New Roman"/>
                      <w:color w:val="auto"/>
                      <w:szCs w:val="21"/>
                    </w:rPr>
                    <w:t>外环境排放</w:t>
                  </w:r>
                </w:p>
              </w:tc>
            </w:tr>
          </w:tbl>
          <w:p w14:paraId="51B488B2">
            <w:pPr>
              <w:keepNext w:val="0"/>
              <w:keepLines w:val="0"/>
              <w:suppressLineNumbers w:val="0"/>
              <w:spacing w:before="0" w:beforeAutospacing="0" w:after="0" w:afterAutospacing="0" w:line="360" w:lineRule="auto"/>
              <w:ind w:left="0" w:right="0"/>
              <w:jc w:val="center"/>
              <w:rPr>
                <w:rFonts w:hint="default" w:hAnsi="黑体" w:eastAsia="黑体"/>
                <w:color w:val="auto"/>
                <w:sz w:val="24"/>
              </w:rPr>
            </w:pPr>
            <w:r>
              <w:rPr>
                <w:rFonts w:hint="default" w:hAnsi="黑体" w:eastAsia="黑体"/>
                <w:color w:val="auto"/>
                <w:sz w:val="24"/>
              </w:rPr>
              <w:t>表</w:t>
            </w:r>
            <w:r>
              <w:rPr>
                <w:rFonts w:hint="eastAsia" w:hAnsi="黑体" w:eastAsia="黑体"/>
                <w:color w:val="auto"/>
                <w:sz w:val="24"/>
                <w:lang w:val="en-US" w:eastAsia="zh-CN"/>
              </w:rPr>
              <w:t>4-24</w:t>
            </w:r>
            <w:r>
              <w:rPr>
                <w:rFonts w:hint="eastAsia" w:hAnsi="黑体" w:eastAsia="黑体"/>
                <w:color w:val="auto"/>
                <w:sz w:val="24"/>
              </w:rPr>
              <w:t xml:space="preserve"> </w:t>
            </w:r>
            <w:r>
              <w:rPr>
                <w:rFonts w:hint="default" w:hAnsi="黑体" w:eastAsia="黑体"/>
                <w:color w:val="auto"/>
                <w:sz w:val="24"/>
              </w:rPr>
              <w:t>环境保护图形标志的形状及颜色表</w:t>
            </w:r>
          </w:p>
          <w:tbl>
            <w:tblPr>
              <w:tblStyle w:val="37"/>
              <w:tblW w:w="5000"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992"/>
              <w:gridCol w:w="1992"/>
              <w:gridCol w:w="1992"/>
              <w:gridCol w:w="1992"/>
            </w:tblGrid>
            <w:tr w14:paraId="697C9D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4" w:hRule="atLeast"/>
              </w:trPr>
              <w:tc>
                <w:tcPr>
                  <w:tcW w:w="1250" w:type="pct"/>
                  <w:tcBorders>
                    <w:tl2br w:val="nil"/>
                    <w:tr2bl w:val="nil"/>
                  </w:tcBorders>
                  <w:vAlign w:val="center"/>
                </w:tcPr>
                <w:p w14:paraId="6376A8D3">
                  <w:pPr>
                    <w:keepNext w:val="0"/>
                    <w:keepLines w:val="0"/>
                    <w:suppressLineNumbers w:val="0"/>
                    <w:spacing w:before="0" w:beforeAutospacing="0" w:after="0" w:afterAutospacing="0" w:line="276" w:lineRule="auto"/>
                    <w:ind w:left="0" w:right="0"/>
                    <w:jc w:val="center"/>
                    <w:rPr>
                      <w:rFonts w:hint="default"/>
                      <w:b/>
                      <w:color w:val="auto"/>
                      <w:spacing w:val="-2"/>
                      <w:szCs w:val="21"/>
                    </w:rPr>
                  </w:pPr>
                  <w:r>
                    <w:rPr>
                      <w:rFonts w:hint="default" w:hAnsi="宋体"/>
                      <w:b/>
                      <w:color w:val="auto"/>
                      <w:szCs w:val="21"/>
                    </w:rPr>
                    <w:t>标志名称</w:t>
                  </w:r>
                </w:p>
              </w:tc>
              <w:tc>
                <w:tcPr>
                  <w:tcW w:w="1250" w:type="pct"/>
                  <w:tcBorders>
                    <w:tl2br w:val="nil"/>
                    <w:tr2bl w:val="nil"/>
                  </w:tcBorders>
                  <w:vAlign w:val="center"/>
                </w:tcPr>
                <w:p w14:paraId="5254F2F6">
                  <w:pPr>
                    <w:keepNext w:val="0"/>
                    <w:keepLines w:val="0"/>
                    <w:suppressLineNumbers w:val="0"/>
                    <w:spacing w:before="0" w:beforeAutospacing="0" w:after="0" w:afterAutospacing="0" w:line="276" w:lineRule="auto"/>
                    <w:ind w:left="0" w:right="0"/>
                    <w:jc w:val="center"/>
                    <w:rPr>
                      <w:rFonts w:hint="default"/>
                      <w:b/>
                      <w:color w:val="auto"/>
                      <w:spacing w:val="-2"/>
                      <w:szCs w:val="21"/>
                    </w:rPr>
                  </w:pPr>
                  <w:r>
                    <w:rPr>
                      <w:rFonts w:hint="default" w:hAnsi="宋体"/>
                      <w:b/>
                      <w:color w:val="auto"/>
                      <w:szCs w:val="21"/>
                    </w:rPr>
                    <w:t>形状</w:t>
                  </w:r>
                </w:p>
              </w:tc>
              <w:tc>
                <w:tcPr>
                  <w:tcW w:w="1250" w:type="pct"/>
                  <w:tcBorders>
                    <w:tl2br w:val="nil"/>
                    <w:tr2bl w:val="nil"/>
                  </w:tcBorders>
                  <w:vAlign w:val="center"/>
                </w:tcPr>
                <w:p w14:paraId="5D3EFC72">
                  <w:pPr>
                    <w:keepNext w:val="0"/>
                    <w:keepLines w:val="0"/>
                    <w:suppressLineNumbers w:val="0"/>
                    <w:spacing w:before="0" w:beforeAutospacing="0" w:after="0" w:afterAutospacing="0" w:line="276" w:lineRule="auto"/>
                    <w:ind w:left="0" w:right="0"/>
                    <w:jc w:val="center"/>
                    <w:rPr>
                      <w:rFonts w:hint="default"/>
                      <w:b/>
                      <w:color w:val="auto"/>
                      <w:spacing w:val="-2"/>
                      <w:szCs w:val="21"/>
                    </w:rPr>
                  </w:pPr>
                  <w:r>
                    <w:rPr>
                      <w:rFonts w:hint="default" w:hAnsi="宋体"/>
                      <w:b/>
                      <w:color w:val="auto"/>
                      <w:szCs w:val="21"/>
                    </w:rPr>
                    <w:t>背景颜色</w:t>
                  </w:r>
                </w:p>
              </w:tc>
              <w:tc>
                <w:tcPr>
                  <w:tcW w:w="1250" w:type="pct"/>
                  <w:tcBorders>
                    <w:tl2br w:val="nil"/>
                    <w:tr2bl w:val="nil"/>
                  </w:tcBorders>
                  <w:vAlign w:val="center"/>
                </w:tcPr>
                <w:p w14:paraId="61F4D0DE">
                  <w:pPr>
                    <w:keepNext w:val="0"/>
                    <w:keepLines w:val="0"/>
                    <w:suppressLineNumbers w:val="0"/>
                    <w:spacing w:before="0" w:beforeAutospacing="0" w:after="0" w:afterAutospacing="0" w:line="276" w:lineRule="auto"/>
                    <w:ind w:left="0" w:right="0"/>
                    <w:jc w:val="center"/>
                    <w:rPr>
                      <w:rFonts w:hint="default"/>
                      <w:b/>
                      <w:color w:val="auto"/>
                      <w:spacing w:val="-2"/>
                      <w:szCs w:val="21"/>
                    </w:rPr>
                  </w:pPr>
                  <w:r>
                    <w:rPr>
                      <w:rFonts w:hint="default" w:hAnsi="宋体"/>
                      <w:b/>
                      <w:color w:val="auto"/>
                      <w:szCs w:val="21"/>
                    </w:rPr>
                    <w:t>图形颜色</w:t>
                  </w:r>
                </w:p>
              </w:tc>
            </w:tr>
            <w:tr w14:paraId="18514C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4" w:hRule="atLeast"/>
              </w:trPr>
              <w:tc>
                <w:tcPr>
                  <w:tcW w:w="1250" w:type="pct"/>
                  <w:tcBorders>
                    <w:tl2br w:val="nil"/>
                    <w:tr2bl w:val="nil"/>
                  </w:tcBorders>
                  <w:vAlign w:val="center"/>
                </w:tcPr>
                <w:p w14:paraId="3D4998CC">
                  <w:pPr>
                    <w:keepNext w:val="0"/>
                    <w:keepLines w:val="0"/>
                    <w:suppressLineNumbers w:val="0"/>
                    <w:spacing w:before="0" w:beforeAutospacing="0" w:after="0" w:afterAutospacing="0" w:line="276" w:lineRule="auto"/>
                    <w:ind w:left="0" w:right="0"/>
                    <w:jc w:val="center"/>
                    <w:rPr>
                      <w:rFonts w:hint="default"/>
                      <w:color w:val="auto"/>
                      <w:spacing w:val="-2"/>
                      <w:szCs w:val="21"/>
                    </w:rPr>
                  </w:pPr>
                  <w:r>
                    <w:rPr>
                      <w:rFonts w:hint="default" w:hAnsi="宋体"/>
                      <w:color w:val="auto"/>
                      <w:szCs w:val="21"/>
                    </w:rPr>
                    <w:t>警告标志</w:t>
                  </w:r>
                </w:p>
              </w:tc>
              <w:tc>
                <w:tcPr>
                  <w:tcW w:w="1250" w:type="pct"/>
                  <w:tcBorders>
                    <w:tl2br w:val="nil"/>
                    <w:tr2bl w:val="nil"/>
                  </w:tcBorders>
                  <w:vAlign w:val="center"/>
                </w:tcPr>
                <w:p w14:paraId="4D7143D3">
                  <w:pPr>
                    <w:keepNext w:val="0"/>
                    <w:keepLines w:val="0"/>
                    <w:suppressLineNumbers w:val="0"/>
                    <w:spacing w:before="0" w:beforeAutospacing="0" w:after="0" w:afterAutospacing="0" w:line="276" w:lineRule="auto"/>
                    <w:ind w:left="0" w:right="0"/>
                    <w:jc w:val="center"/>
                    <w:rPr>
                      <w:rFonts w:hint="default"/>
                      <w:color w:val="auto"/>
                      <w:spacing w:val="-2"/>
                      <w:szCs w:val="21"/>
                    </w:rPr>
                  </w:pPr>
                  <w:r>
                    <w:rPr>
                      <w:rFonts w:hint="default" w:hAnsi="宋体"/>
                      <w:color w:val="auto"/>
                      <w:szCs w:val="21"/>
                    </w:rPr>
                    <w:t>三角形边框</w:t>
                  </w:r>
                </w:p>
              </w:tc>
              <w:tc>
                <w:tcPr>
                  <w:tcW w:w="1250" w:type="pct"/>
                  <w:tcBorders>
                    <w:tl2br w:val="nil"/>
                    <w:tr2bl w:val="nil"/>
                  </w:tcBorders>
                  <w:vAlign w:val="center"/>
                </w:tcPr>
                <w:p w14:paraId="14189C8B">
                  <w:pPr>
                    <w:keepNext w:val="0"/>
                    <w:keepLines w:val="0"/>
                    <w:suppressLineNumbers w:val="0"/>
                    <w:spacing w:before="0" w:beforeAutospacing="0" w:after="0" w:afterAutospacing="0" w:line="276" w:lineRule="auto"/>
                    <w:ind w:left="0" w:right="0"/>
                    <w:jc w:val="center"/>
                    <w:rPr>
                      <w:rFonts w:hint="default"/>
                      <w:color w:val="auto"/>
                      <w:spacing w:val="-2"/>
                      <w:szCs w:val="21"/>
                    </w:rPr>
                  </w:pPr>
                  <w:r>
                    <w:rPr>
                      <w:rFonts w:hint="default" w:hAnsi="宋体"/>
                      <w:color w:val="auto"/>
                      <w:szCs w:val="21"/>
                    </w:rPr>
                    <w:t>黄色</w:t>
                  </w:r>
                </w:p>
              </w:tc>
              <w:tc>
                <w:tcPr>
                  <w:tcW w:w="1250" w:type="pct"/>
                  <w:tcBorders>
                    <w:tl2br w:val="nil"/>
                    <w:tr2bl w:val="nil"/>
                  </w:tcBorders>
                  <w:vAlign w:val="center"/>
                </w:tcPr>
                <w:p w14:paraId="279CC866">
                  <w:pPr>
                    <w:keepNext w:val="0"/>
                    <w:keepLines w:val="0"/>
                    <w:suppressLineNumbers w:val="0"/>
                    <w:spacing w:before="0" w:beforeAutospacing="0" w:after="0" w:afterAutospacing="0" w:line="276" w:lineRule="auto"/>
                    <w:ind w:left="0" w:right="0"/>
                    <w:jc w:val="center"/>
                    <w:rPr>
                      <w:rFonts w:hint="default"/>
                      <w:color w:val="auto"/>
                      <w:spacing w:val="-2"/>
                      <w:szCs w:val="21"/>
                    </w:rPr>
                  </w:pPr>
                  <w:r>
                    <w:rPr>
                      <w:rFonts w:hint="default" w:hAnsi="宋体"/>
                      <w:color w:val="auto"/>
                      <w:szCs w:val="21"/>
                    </w:rPr>
                    <w:t>黑色</w:t>
                  </w:r>
                </w:p>
              </w:tc>
            </w:tr>
            <w:tr w14:paraId="04D3D5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4" w:hRule="atLeast"/>
              </w:trPr>
              <w:tc>
                <w:tcPr>
                  <w:tcW w:w="1250" w:type="pct"/>
                  <w:tcBorders>
                    <w:tl2br w:val="nil"/>
                    <w:tr2bl w:val="nil"/>
                  </w:tcBorders>
                  <w:vAlign w:val="center"/>
                </w:tcPr>
                <w:p w14:paraId="403549D0">
                  <w:pPr>
                    <w:keepNext w:val="0"/>
                    <w:keepLines w:val="0"/>
                    <w:suppressLineNumbers w:val="0"/>
                    <w:spacing w:before="0" w:beforeAutospacing="0" w:after="0" w:afterAutospacing="0" w:line="276" w:lineRule="auto"/>
                    <w:ind w:left="0" w:right="0"/>
                    <w:jc w:val="center"/>
                    <w:rPr>
                      <w:rFonts w:hint="default"/>
                      <w:color w:val="auto"/>
                      <w:spacing w:val="-2"/>
                      <w:szCs w:val="21"/>
                    </w:rPr>
                  </w:pPr>
                  <w:r>
                    <w:rPr>
                      <w:rFonts w:hint="default" w:hAnsi="宋体"/>
                      <w:color w:val="auto"/>
                      <w:szCs w:val="21"/>
                    </w:rPr>
                    <w:t>提示标志</w:t>
                  </w:r>
                </w:p>
              </w:tc>
              <w:tc>
                <w:tcPr>
                  <w:tcW w:w="1250" w:type="pct"/>
                  <w:tcBorders>
                    <w:tl2br w:val="nil"/>
                    <w:tr2bl w:val="nil"/>
                  </w:tcBorders>
                  <w:vAlign w:val="center"/>
                </w:tcPr>
                <w:p w14:paraId="36C2F27D">
                  <w:pPr>
                    <w:keepNext w:val="0"/>
                    <w:keepLines w:val="0"/>
                    <w:suppressLineNumbers w:val="0"/>
                    <w:spacing w:before="0" w:beforeAutospacing="0" w:after="0" w:afterAutospacing="0" w:line="276" w:lineRule="auto"/>
                    <w:ind w:left="0" w:right="0"/>
                    <w:jc w:val="center"/>
                    <w:rPr>
                      <w:rFonts w:hint="default"/>
                      <w:color w:val="auto"/>
                      <w:spacing w:val="-2"/>
                      <w:szCs w:val="21"/>
                    </w:rPr>
                  </w:pPr>
                  <w:r>
                    <w:rPr>
                      <w:rFonts w:hint="default" w:hAnsi="宋体"/>
                      <w:color w:val="auto"/>
                      <w:szCs w:val="21"/>
                    </w:rPr>
                    <w:t>正方形边框</w:t>
                  </w:r>
                </w:p>
              </w:tc>
              <w:tc>
                <w:tcPr>
                  <w:tcW w:w="1250" w:type="pct"/>
                  <w:tcBorders>
                    <w:tl2br w:val="nil"/>
                    <w:tr2bl w:val="nil"/>
                  </w:tcBorders>
                  <w:vAlign w:val="center"/>
                </w:tcPr>
                <w:p w14:paraId="75683C78">
                  <w:pPr>
                    <w:keepNext w:val="0"/>
                    <w:keepLines w:val="0"/>
                    <w:suppressLineNumbers w:val="0"/>
                    <w:spacing w:before="0" w:beforeAutospacing="0" w:after="0" w:afterAutospacing="0" w:line="276" w:lineRule="auto"/>
                    <w:ind w:left="0" w:right="0"/>
                    <w:jc w:val="center"/>
                    <w:rPr>
                      <w:rFonts w:hint="default"/>
                      <w:color w:val="auto"/>
                      <w:spacing w:val="-2"/>
                      <w:szCs w:val="21"/>
                    </w:rPr>
                  </w:pPr>
                  <w:r>
                    <w:rPr>
                      <w:rFonts w:hint="default" w:hAnsi="宋体"/>
                      <w:color w:val="auto"/>
                      <w:szCs w:val="21"/>
                    </w:rPr>
                    <w:t>绿色</w:t>
                  </w:r>
                </w:p>
              </w:tc>
              <w:tc>
                <w:tcPr>
                  <w:tcW w:w="1250" w:type="pct"/>
                  <w:tcBorders>
                    <w:tl2br w:val="nil"/>
                    <w:tr2bl w:val="nil"/>
                  </w:tcBorders>
                  <w:vAlign w:val="center"/>
                </w:tcPr>
                <w:p w14:paraId="7C272FE1">
                  <w:pPr>
                    <w:keepNext w:val="0"/>
                    <w:keepLines w:val="0"/>
                    <w:suppressLineNumbers w:val="0"/>
                    <w:spacing w:before="0" w:beforeAutospacing="0" w:after="0" w:afterAutospacing="0" w:line="276" w:lineRule="auto"/>
                    <w:ind w:left="0" w:right="0"/>
                    <w:jc w:val="center"/>
                    <w:rPr>
                      <w:rFonts w:hint="default"/>
                      <w:color w:val="auto"/>
                      <w:spacing w:val="-2"/>
                      <w:szCs w:val="21"/>
                    </w:rPr>
                  </w:pPr>
                  <w:r>
                    <w:rPr>
                      <w:rFonts w:hint="default" w:hAnsi="宋体"/>
                      <w:color w:val="auto"/>
                      <w:szCs w:val="21"/>
                    </w:rPr>
                    <w:t>白色</w:t>
                  </w:r>
                </w:p>
              </w:tc>
            </w:tr>
          </w:tbl>
          <w:p w14:paraId="290AA899">
            <w:pPr>
              <w:keepNext w:val="0"/>
              <w:keepLines w:val="0"/>
              <w:suppressLineNumbers w:val="0"/>
              <w:spacing w:before="0" w:beforeAutospacing="0" w:after="0" w:afterAutospacing="0" w:line="360" w:lineRule="auto"/>
              <w:ind w:left="0" w:right="0"/>
              <w:jc w:val="left"/>
              <w:rPr>
                <w:rFonts w:hint="default" w:hAnsi="黑体" w:eastAsia="黑体"/>
                <w:color w:val="auto"/>
                <w:sz w:val="24"/>
              </w:rPr>
            </w:pPr>
          </w:p>
          <w:p w14:paraId="198D28E8">
            <w:pPr>
              <w:keepNext w:val="0"/>
              <w:keepLines w:val="0"/>
              <w:suppressLineNumbers w:val="0"/>
              <w:spacing w:before="0" w:beforeAutospacing="0" w:after="0" w:afterAutospacing="0" w:line="360" w:lineRule="auto"/>
              <w:ind w:left="0" w:right="0"/>
              <w:jc w:val="left"/>
              <w:rPr>
                <w:rFonts w:hint="default" w:hAnsi="黑体" w:eastAsia="黑体"/>
                <w:color w:val="auto"/>
                <w:sz w:val="24"/>
              </w:rPr>
            </w:pPr>
          </w:p>
          <w:p w14:paraId="0099B34C">
            <w:pPr>
              <w:keepNext w:val="0"/>
              <w:keepLines w:val="0"/>
              <w:suppressLineNumbers w:val="0"/>
              <w:spacing w:before="0" w:beforeAutospacing="0" w:after="0" w:afterAutospacing="0" w:line="360" w:lineRule="auto"/>
              <w:ind w:left="0" w:right="0"/>
              <w:jc w:val="left"/>
              <w:rPr>
                <w:rFonts w:hint="default" w:hAnsi="黑体" w:eastAsia="黑体"/>
                <w:color w:val="auto"/>
                <w:sz w:val="24"/>
              </w:rPr>
            </w:pPr>
          </w:p>
          <w:p w14:paraId="3CB0511D">
            <w:pPr>
              <w:keepNext w:val="0"/>
              <w:keepLines w:val="0"/>
              <w:suppressLineNumbers w:val="0"/>
              <w:spacing w:before="0" w:beforeAutospacing="0" w:after="0" w:afterAutospacing="0" w:line="360" w:lineRule="auto"/>
              <w:ind w:left="0" w:right="0"/>
              <w:jc w:val="left"/>
              <w:rPr>
                <w:rFonts w:hint="default" w:hAnsi="黑体" w:eastAsia="黑体"/>
                <w:color w:val="auto"/>
                <w:sz w:val="24"/>
              </w:rPr>
            </w:pPr>
          </w:p>
          <w:p w14:paraId="646DDF48">
            <w:pPr>
              <w:keepNext w:val="0"/>
              <w:keepLines w:val="0"/>
              <w:suppressLineNumbers w:val="0"/>
              <w:spacing w:before="0" w:beforeAutospacing="0" w:after="0" w:afterAutospacing="0"/>
              <w:ind w:left="0" w:right="0"/>
              <w:rPr>
                <w:rFonts w:hint="default"/>
                <w:color w:val="auto"/>
                <w:vertAlign w:val="baseline"/>
              </w:rPr>
            </w:pPr>
          </w:p>
        </w:tc>
      </w:tr>
    </w:tbl>
    <w:p w14:paraId="5AD538F4">
      <w:pPr>
        <w:rPr>
          <w:color w:val="auto"/>
        </w:rPr>
        <w:sectPr>
          <w:pgSz w:w="11906" w:h="16838"/>
          <w:pgMar w:top="1440" w:right="1508" w:bottom="1440" w:left="1797" w:header="851" w:footer="992" w:gutter="0"/>
          <w:pgBorders>
            <w:top w:val="none" w:sz="0" w:space="0"/>
            <w:left w:val="none" w:sz="0" w:space="0"/>
            <w:bottom w:val="none" w:sz="0" w:space="0"/>
            <w:right w:val="none" w:sz="0" w:space="0"/>
          </w:pgBorders>
          <w:cols w:space="720" w:num="1"/>
          <w:docGrid w:type="lines" w:linePitch="312" w:charSpace="0"/>
        </w:sectPr>
      </w:pPr>
    </w:p>
    <w:bookmarkEnd w:id="13"/>
    <w:p w14:paraId="642730A1">
      <w:pPr>
        <w:widowControl/>
        <w:jc w:val="center"/>
        <w:outlineLvl w:val="0"/>
        <w:rPr>
          <w:rFonts w:ascii="宋体" w:hAnsi="宋体"/>
          <w:b/>
          <w:bCs/>
          <w:color w:val="auto"/>
          <w:kern w:val="0"/>
          <w:sz w:val="30"/>
          <w:szCs w:val="30"/>
        </w:rPr>
      </w:pPr>
      <w:r>
        <w:rPr>
          <w:rFonts w:hint="eastAsia" w:ascii="宋体" w:hAnsi="宋体"/>
          <w:b/>
          <w:bCs/>
          <w:color w:val="auto"/>
          <w:kern w:val="0"/>
          <w:sz w:val="30"/>
          <w:szCs w:val="30"/>
        </w:rPr>
        <w:t>五、环境</w:t>
      </w:r>
      <w:r>
        <w:rPr>
          <w:rFonts w:ascii="宋体" w:hAnsi="宋体"/>
          <w:b/>
          <w:bCs/>
          <w:color w:val="auto"/>
          <w:kern w:val="0"/>
          <w:sz w:val="30"/>
          <w:szCs w:val="30"/>
        </w:rPr>
        <w:t>保护措施监督检查清单</w:t>
      </w:r>
    </w:p>
    <w:tbl>
      <w:tblPr>
        <w:tblStyle w:val="37"/>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69"/>
        <w:gridCol w:w="1716"/>
        <w:gridCol w:w="1430"/>
        <w:gridCol w:w="1815"/>
        <w:gridCol w:w="2787"/>
      </w:tblGrid>
      <w:tr w14:paraId="3091A0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069" w:type="dxa"/>
            <w:tcBorders>
              <w:top w:val="single" w:color="000000" w:sz="6" w:space="0"/>
              <w:left w:val="single" w:color="000000" w:sz="6" w:space="0"/>
              <w:tl2br w:val="single" w:color="auto" w:sz="6" w:space="0"/>
            </w:tcBorders>
            <w:vAlign w:val="center"/>
          </w:tcPr>
          <w:p w14:paraId="01C1663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right"/>
              <w:textAlignment w:val="auto"/>
              <w:rPr>
                <w:rFonts w:hint="default"/>
                <w:b/>
                <w:bCs/>
                <w:color w:val="auto"/>
                <w:sz w:val="24"/>
                <w:szCs w:val="24"/>
              </w:rPr>
            </w:pPr>
            <w:r>
              <w:rPr>
                <w:rFonts w:hint="default"/>
                <w:b/>
                <w:bCs/>
                <w:color w:val="auto"/>
                <w:sz w:val="24"/>
                <w:szCs w:val="24"/>
              </w:rPr>
              <w:t>内容</w:t>
            </w:r>
          </w:p>
          <w:p w14:paraId="003FE3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left"/>
              <w:textAlignment w:val="auto"/>
              <w:rPr>
                <w:rFonts w:hint="default"/>
                <w:b/>
                <w:bCs/>
                <w:color w:val="auto"/>
                <w:sz w:val="24"/>
                <w:szCs w:val="24"/>
              </w:rPr>
            </w:pPr>
            <w:r>
              <w:rPr>
                <w:rFonts w:hint="eastAsia"/>
                <w:b/>
                <w:bCs/>
                <w:color w:val="auto"/>
                <w:sz w:val="24"/>
                <w:szCs w:val="24"/>
              </w:rPr>
              <w:t>要素</w:t>
            </w:r>
          </w:p>
        </w:tc>
        <w:tc>
          <w:tcPr>
            <w:tcW w:w="1716" w:type="dxa"/>
            <w:tcBorders>
              <w:top w:val="single" w:color="000000" w:sz="6" w:space="0"/>
            </w:tcBorders>
            <w:vAlign w:val="center"/>
          </w:tcPr>
          <w:p w14:paraId="7F2C48F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4"/>
                <w:szCs w:val="24"/>
              </w:rPr>
            </w:pPr>
            <w:r>
              <w:rPr>
                <w:rFonts w:hint="eastAsia"/>
                <w:b/>
                <w:bCs/>
                <w:color w:val="auto"/>
                <w:sz w:val="24"/>
                <w:szCs w:val="24"/>
              </w:rPr>
              <w:t>排放口（编号、名称）/污染源</w:t>
            </w:r>
          </w:p>
        </w:tc>
        <w:tc>
          <w:tcPr>
            <w:tcW w:w="1430" w:type="dxa"/>
            <w:tcBorders>
              <w:top w:val="single" w:color="000000" w:sz="6" w:space="0"/>
            </w:tcBorders>
            <w:vAlign w:val="center"/>
          </w:tcPr>
          <w:p w14:paraId="474A205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sz w:val="24"/>
                <w:szCs w:val="24"/>
              </w:rPr>
            </w:pPr>
            <w:r>
              <w:rPr>
                <w:rFonts w:hint="eastAsia"/>
                <w:b/>
                <w:bCs/>
                <w:color w:val="auto"/>
                <w:sz w:val="24"/>
                <w:szCs w:val="24"/>
              </w:rPr>
              <w:t>污染物</w:t>
            </w:r>
            <w:r>
              <w:rPr>
                <w:rFonts w:hint="default"/>
                <w:b/>
                <w:bCs/>
                <w:color w:val="auto"/>
                <w:sz w:val="24"/>
                <w:szCs w:val="24"/>
              </w:rPr>
              <w:t>项目</w:t>
            </w:r>
          </w:p>
        </w:tc>
        <w:tc>
          <w:tcPr>
            <w:tcW w:w="1815" w:type="dxa"/>
            <w:tcBorders>
              <w:top w:val="single" w:color="000000" w:sz="6" w:space="0"/>
            </w:tcBorders>
            <w:vAlign w:val="center"/>
          </w:tcPr>
          <w:p w14:paraId="7F642B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kern w:val="0"/>
                <w:sz w:val="24"/>
                <w:szCs w:val="24"/>
              </w:rPr>
            </w:pPr>
            <w:r>
              <w:rPr>
                <w:rFonts w:hint="eastAsia"/>
                <w:b/>
                <w:bCs/>
                <w:color w:val="auto"/>
                <w:kern w:val="0"/>
                <w:sz w:val="24"/>
                <w:szCs w:val="24"/>
              </w:rPr>
              <w:t>环境保护措施</w:t>
            </w:r>
          </w:p>
        </w:tc>
        <w:tc>
          <w:tcPr>
            <w:tcW w:w="2787" w:type="dxa"/>
            <w:tcBorders>
              <w:top w:val="single" w:color="000000" w:sz="6" w:space="0"/>
              <w:right w:val="single" w:color="000000" w:sz="6" w:space="0"/>
            </w:tcBorders>
            <w:vAlign w:val="center"/>
          </w:tcPr>
          <w:p w14:paraId="48E038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b/>
                <w:bCs/>
                <w:color w:val="auto"/>
                <w:kern w:val="0"/>
                <w:sz w:val="24"/>
                <w:szCs w:val="24"/>
              </w:rPr>
            </w:pPr>
            <w:r>
              <w:rPr>
                <w:rFonts w:hint="eastAsia"/>
                <w:b/>
                <w:bCs/>
                <w:color w:val="auto"/>
                <w:kern w:val="0"/>
                <w:sz w:val="24"/>
                <w:szCs w:val="24"/>
              </w:rPr>
              <w:t>执行</w:t>
            </w:r>
            <w:r>
              <w:rPr>
                <w:rFonts w:hint="default"/>
                <w:b/>
                <w:bCs/>
                <w:color w:val="auto"/>
                <w:kern w:val="0"/>
                <w:sz w:val="24"/>
                <w:szCs w:val="24"/>
              </w:rPr>
              <w:t>标准</w:t>
            </w:r>
          </w:p>
        </w:tc>
      </w:tr>
      <w:tr w14:paraId="2601DC7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69" w:type="dxa"/>
            <w:vMerge w:val="restart"/>
            <w:tcBorders>
              <w:left w:val="single" w:color="000000" w:sz="6" w:space="0"/>
            </w:tcBorders>
            <w:vAlign w:val="center"/>
          </w:tcPr>
          <w:p w14:paraId="2EAB3E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4"/>
                <w:szCs w:val="24"/>
              </w:rPr>
            </w:pPr>
            <w:r>
              <w:rPr>
                <w:rFonts w:hint="default"/>
                <w:color w:val="auto"/>
                <w:sz w:val="24"/>
                <w:szCs w:val="24"/>
              </w:rPr>
              <w:t>大气</w:t>
            </w:r>
          </w:p>
          <w:p w14:paraId="527284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4"/>
                <w:szCs w:val="24"/>
              </w:rPr>
            </w:pPr>
            <w:r>
              <w:rPr>
                <w:rFonts w:hint="default"/>
                <w:color w:val="auto"/>
                <w:sz w:val="24"/>
                <w:szCs w:val="24"/>
              </w:rPr>
              <w:t>污染</w:t>
            </w:r>
          </w:p>
          <w:p w14:paraId="348DC31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kern w:val="0"/>
                <w:sz w:val="24"/>
                <w:szCs w:val="24"/>
              </w:rPr>
            </w:pPr>
            <w:r>
              <w:rPr>
                <w:rFonts w:hint="default"/>
                <w:color w:val="auto"/>
                <w:sz w:val="24"/>
                <w:szCs w:val="24"/>
              </w:rPr>
              <w:t>物</w:t>
            </w:r>
          </w:p>
        </w:tc>
        <w:tc>
          <w:tcPr>
            <w:tcW w:w="1716" w:type="dxa"/>
            <w:vMerge w:val="restart"/>
            <w:shd w:val="clear" w:color="auto" w:fill="auto"/>
            <w:vAlign w:val="center"/>
          </w:tcPr>
          <w:p w14:paraId="406FF8D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4"/>
                <w:szCs w:val="24"/>
              </w:rPr>
            </w:pPr>
            <w:r>
              <w:rPr>
                <w:rFonts w:hint="eastAsia"/>
                <w:color w:val="auto"/>
                <w:sz w:val="24"/>
                <w:szCs w:val="24"/>
              </w:rPr>
              <w:t>DA0</w:t>
            </w:r>
            <w:r>
              <w:rPr>
                <w:rFonts w:hint="eastAsia"/>
                <w:color w:val="auto"/>
                <w:sz w:val="24"/>
                <w:szCs w:val="24"/>
                <w:lang w:val="en-US" w:eastAsia="zh-CN"/>
              </w:rPr>
              <w:t>01</w:t>
            </w:r>
            <w:r>
              <w:rPr>
                <w:rFonts w:hint="eastAsia"/>
                <w:color w:val="auto"/>
                <w:sz w:val="24"/>
                <w:szCs w:val="24"/>
              </w:rPr>
              <w:t>/</w:t>
            </w:r>
          </w:p>
          <w:p w14:paraId="4624271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eastAsia="宋体" w:cs="Times New Roman"/>
                <w:color w:val="auto"/>
                <w:kern w:val="2"/>
                <w:sz w:val="24"/>
                <w:szCs w:val="24"/>
                <w:lang w:val="en-US" w:eastAsia="zh-CN" w:bidi="ar-SA"/>
              </w:rPr>
            </w:pPr>
            <w:r>
              <w:rPr>
                <w:rFonts w:hint="eastAsia"/>
                <w:color w:val="auto"/>
                <w:sz w:val="24"/>
                <w:szCs w:val="24"/>
                <w:lang w:val="en-US" w:eastAsia="zh-CN"/>
              </w:rPr>
              <w:t>注塑</w:t>
            </w:r>
            <w:r>
              <w:rPr>
                <w:rFonts w:hint="eastAsia"/>
                <w:color w:val="auto"/>
                <w:sz w:val="24"/>
                <w:szCs w:val="24"/>
              </w:rPr>
              <w:t>工序</w:t>
            </w:r>
          </w:p>
        </w:tc>
        <w:tc>
          <w:tcPr>
            <w:tcW w:w="1430" w:type="dxa"/>
            <w:shd w:val="clear" w:color="auto" w:fill="auto"/>
            <w:vAlign w:val="center"/>
          </w:tcPr>
          <w:p w14:paraId="565F1CF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eastAsia="宋体" w:cs="Times New Roman"/>
                <w:color w:val="auto"/>
                <w:kern w:val="2"/>
                <w:sz w:val="24"/>
                <w:szCs w:val="24"/>
                <w:lang w:val="en-US" w:eastAsia="zh-CN" w:bidi="ar-SA"/>
              </w:rPr>
            </w:pPr>
            <w:r>
              <w:rPr>
                <w:rFonts w:hint="eastAsia"/>
                <w:color w:val="auto"/>
                <w:sz w:val="24"/>
                <w:szCs w:val="24"/>
              </w:rPr>
              <w:t>非甲烷总烃、</w:t>
            </w:r>
            <w:r>
              <w:rPr>
                <w:rFonts w:hint="eastAsia"/>
                <w:color w:val="auto"/>
                <w:sz w:val="24"/>
                <w:szCs w:val="24"/>
                <w:lang w:val="en-US" w:eastAsia="zh-CN"/>
              </w:rPr>
              <w:t>二甲苯</w:t>
            </w:r>
          </w:p>
        </w:tc>
        <w:tc>
          <w:tcPr>
            <w:tcW w:w="1815" w:type="dxa"/>
            <w:vMerge w:val="restart"/>
            <w:shd w:val="clear" w:color="auto" w:fill="auto"/>
            <w:vAlign w:val="center"/>
          </w:tcPr>
          <w:p w14:paraId="228CD4A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ascii="Times New Roman" w:hAnsi="Times New Roman" w:eastAsia="宋体" w:cs="Times New Roman"/>
                <w:color w:val="auto"/>
                <w:kern w:val="2"/>
                <w:sz w:val="24"/>
                <w:szCs w:val="24"/>
                <w:lang w:val="en-US" w:eastAsia="zh-CN" w:bidi="ar-SA"/>
              </w:rPr>
            </w:pPr>
            <w:r>
              <w:rPr>
                <w:rFonts w:hint="eastAsia"/>
                <w:color w:val="auto"/>
                <w:sz w:val="24"/>
                <w:szCs w:val="24"/>
                <w:lang w:val="en-US" w:eastAsia="zh-CN"/>
              </w:rPr>
              <w:t>注塑废气经设备上方集气罩收集后，通过1套“二级活性炭吸附装置”处理，后由1根23m高排气筒（DA001）排放</w:t>
            </w:r>
          </w:p>
        </w:tc>
        <w:tc>
          <w:tcPr>
            <w:tcW w:w="2787" w:type="dxa"/>
            <w:tcBorders>
              <w:right w:val="single" w:color="000000" w:sz="6" w:space="0"/>
            </w:tcBorders>
            <w:shd w:val="clear" w:color="auto" w:fill="auto"/>
            <w:vAlign w:val="center"/>
          </w:tcPr>
          <w:p w14:paraId="6C7CBC1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eastAsia="宋体" w:cs="Times New Roman"/>
                <w:color w:val="auto"/>
                <w:kern w:val="0"/>
                <w:sz w:val="24"/>
                <w:szCs w:val="24"/>
                <w:lang w:val="en-US" w:eastAsia="zh-CN" w:bidi="ar-SA"/>
              </w:rPr>
            </w:pPr>
            <w:r>
              <w:rPr>
                <w:rFonts w:hint="eastAsia"/>
                <w:color w:val="auto"/>
                <w:spacing w:val="-2"/>
                <w:kern w:val="0"/>
                <w:sz w:val="24"/>
                <w:szCs w:val="24"/>
              </w:rPr>
              <w:t>满足安徽省《固定源挥发性有机物综合排放标准 第6部分：其他行业》（DB34/4812.6-2024）表1中排放限值</w:t>
            </w:r>
          </w:p>
        </w:tc>
      </w:tr>
      <w:tr w14:paraId="03575CE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69" w:type="dxa"/>
            <w:vMerge w:val="continue"/>
            <w:tcBorders>
              <w:left w:val="single" w:color="000000" w:sz="6" w:space="0"/>
            </w:tcBorders>
            <w:vAlign w:val="center"/>
          </w:tcPr>
          <w:p w14:paraId="329F90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4"/>
                <w:szCs w:val="24"/>
              </w:rPr>
            </w:pPr>
          </w:p>
        </w:tc>
        <w:tc>
          <w:tcPr>
            <w:tcW w:w="1716" w:type="dxa"/>
            <w:vMerge w:val="continue"/>
            <w:shd w:val="clear" w:color="auto" w:fill="auto"/>
            <w:vAlign w:val="center"/>
          </w:tcPr>
          <w:p w14:paraId="7E1FC1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4"/>
                <w:szCs w:val="24"/>
                <w:lang w:val="en-US" w:eastAsia="zh-CN"/>
              </w:rPr>
            </w:pPr>
          </w:p>
        </w:tc>
        <w:tc>
          <w:tcPr>
            <w:tcW w:w="1430" w:type="dxa"/>
            <w:shd w:val="clear" w:color="auto" w:fill="auto"/>
            <w:vAlign w:val="center"/>
          </w:tcPr>
          <w:p w14:paraId="3A4D470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4"/>
                <w:szCs w:val="24"/>
                <w:lang w:val="en-US"/>
              </w:rPr>
            </w:pPr>
            <w:r>
              <w:rPr>
                <w:rFonts w:hint="eastAsia"/>
                <w:color w:val="auto"/>
                <w:sz w:val="24"/>
                <w:szCs w:val="24"/>
                <w:lang w:val="en-US" w:eastAsia="zh-CN"/>
              </w:rPr>
              <w:t>苯乙烯、甲苯、苯、乙苯</w:t>
            </w:r>
          </w:p>
        </w:tc>
        <w:tc>
          <w:tcPr>
            <w:tcW w:w="1815" w:type="dxa"/>
            <w:vMerge w:val="continue"/>
            <w:shd w:val="clear" w:color="auto" w:fill="auto"/>
            <w:vAlign w:val="center"/>
          </w:tcPr>
          <w:p w14:paraId="278FFD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4"/>
                <w:szCs w:val="24"/>
                <w:lang w:val="en-US" w:eastAsia="zh-CN"/>
              </w:rPr>
            </w:pPr>
          </w:p>
        </w:tc>
        <w:tc>
          <w:tcPr>
            <w:tcW w:w="2787" w:type="dxa"/>
            <w:tcBorders>
              <w:right w:val="single" w:color="000000" w:sz="6" w:space="0"/>
            </w:tcBorders>
            <w:shd w:val="clear" w:color="auto" w:fill="auto"/>
            <w:vAlign w:val="center"/>
          </w:tcPr>
          <w:p w14:paraId="5D2565E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cs="Times New Roman"/>
                <w:color w:val="auto"/>
                <w:kern w:val="2"/>
                <w:sz w:val="24"/>
                <w:szCs w:val="24"/>
                <w:lang w:val="en-US" w:eastAsia="zh-CN" w:bidi="ar-SA"/>
              </w:rPr>
            </w:pPr>
            <w:r>
              <w:rPr>
                <w:rFonts w:hint="eastAsia"/>
                <w:color w:val="auto"/>
                <w:sz w:val="24"/>
                <w:szCs w:val="24"/>
                <w:lang w:val="en-US" w:eastAsia="zh-CN"/>
              </w:rPr>
              <w:t>满足</w:t>
            </w:r>
            <w:r>
              <w:rPr>
                <w:rFonts w:hint="eastAsia"/>
                <w:color w:val="auto"/>
                <w:sz w:val="24"/>
                <w:szCs w:val="24"/>
              </w:rPr>
              <w:t>《合成树脂工业污染物排放标准》（GB31572-2015</w:t>
            </w:r>
            <w:r>
              <w:rPr>
                <w:rFonts w:hint="eastAsia"/>
                <w:color w:val="auto"/>
                <w:sz w:val="24"/>
                <w:szCs w:val="24"/>
                <w:lang w:eastAsia="zh-CN"/>
              </w:rPr>
              <w:t>，含2024年修改单）</w:t>
            </w:r>
            <w:r>
              <w:rPr>
                <w:rFonts w:hint="eastAsia" w:ascii="Times New Roman" w:hAnsi="Times New Roman"/>
                <w:color w:val="auto"/>
                <w:kern w:val="0"/>
                <w:sz w:val="24"/>
                <w:szCs w:val="24"/>
                <w:lang w:val="en-US" w:eastAsia="zh-CN"/>
              </w:rPr>
              <w:t>表5中特别排放限值</w:t>
            </w:r>
            <w:r>
              <w:rPr>
                <w:rFonts w:hint="eastAsia"/>
                <w:color w:val="auto"/>
                <w:kern w:val="0"/>
                <w:sz w:val="24"/>
                <w:szCs w:val="24"/>
                <w:lang w:val="en-US" w:eastAsia="zh-CN"/>
              </w:rPr>
              <w:t>等要求</w:t>
            </w:r>
          </w:p>
        </w:tc>
      </w:tr>
      <w:tr w14:paraId="23952D9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69" w:type="dxa"/>
            <w:vMerge w:val="continue"/>
            <w:tcBorders>
              <w:left w:val="single" w:color="000000" w:sz="6" w:space="0"/>
            </w:tcBorders>
            <w:vAlign w:val="center"/>
          </w:tcPr>
          <w:p w14:paraId="4B146EC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4"/>
                <w:szCs w:val="24"/>
              </w:rPr>
            </w:pPr>
          </w:p>
        </w:tc>
        <w:tc>
          <w:tcPr>
            <w:tcW w:w="1716" w:type="dxa"/>
            <w:vMerge w:val="continue"/>
            <w:shd w:val="clear" w:color="auto" w:fill="auto"/>
            <w:vAlign w:val="center"/>
          </w:tcPr>
          <w:p w14:paraId="527FDC8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4"/>
                <w:szCs w:val="24"/>
                <w:lang w:val="en-US" w:eastAsia="zh-CN"/>
              </w:rPr>
            </w:pPr>
          </w:p>
        </w:tc>
        <w:tc>
          <w:tcPr>
            <w:tcW w:w="1430" w:type="dxa"/>
            <w:shd w:val="clear" w:color="auto" w:fill="auto"/>
            <w:vAlign w:val="center"/>
          </w:tcPr>
          <w:p w14:paraId="1AB4343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4"/>
                <w:szCs w:val="24"/>
                <w:lang w:val="en-US" w:eastAsia="zh-CN"/>
              </w:rPr>
            </w:pPr>
            <w:r>
              <w:rPr>
                <w:rFonts w:hint="eastAsia"/>
                <w:color w:val="auto"/>
                <w:sz w:val="24"/>
                <w:szCs w:val="24"/>
                <w:lang w:val="en-US" w:eastAsia="zh-CN"/>
              </w:rPr>
              <w:t>臭气浓度</w:t>
            </w:r>
          </w:p>
        </w:tc>
        <w:tc>
          <w:tcPr>
            <w:tcW w:w="1815" w:type="dxa"/>
            <w:vMerge w:val="continue"/>
            <w:shd w:val="clear" w:color="auto" w:fill="auto"/>
            <w:vAlign w:val="center"/>
          </w:tcPr>
          <w:p w14:paraId="68B2F1D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4"/>
                <w:szCs w:val="24"/>
                <w:lang w:val="en-US" w:eastAsia="zh-CN"/>
              </w:rPr>
            </w:pPr>
          </w:p>
        </w:tc>
        <w:tc>
          <w:tcPr>
            <w:tcW w:w="2787" w:type="dxa"/>
            <w:tcBorders>
              <w:right w:val="single" w:color="000000" w:sz="6" w:space="0"/>
            </w:tcBorders>
            <w:shd w:val="clear" w:color="auto" w:fill="auto"/>
            <w:vAlign w:val="center"/>
          </w:tcPr>
          <w:p w14:paraId="7DEBE5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eastAsia" w:cs="Times New Roman"/>
                <w:color w:val="auto"/>
                <w:kern w:val="2"/>
                <w:sz w:val="24"/>
                <w:szCs w:val="24"/>
                <w:lang w:val="en-US" w:eastAsia="zh-CN" w:bidi="ar-SA"/>
              </w:rPr>
            </w:pPr>
            <w:r>
              <w:rPr>
                <w:rFonts w:hint="eastAsia"/>
                <w:color w:val="auto"/>
                <w:spacing w:val="-2"/>
                <w:kern w:val="0"/>
                <w:sz w:val="24"/>
                <w:szCs w:val="24"/>
                <w:lang w:val="en-US" w:eastAsia="zh-CN"/>
              </w:rPr>
              <w:t>满足《恶臭污染物排放标准》（GB14554-93）表2相关限值要求</w:t>
            </w:r>
          </w:p>
        </w:tc>
      </w:tr>
      <w:tr w14:paraId="7B2A537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69" w:type="dxa"/>
            <w:vMerge w:val="continue"/>
            <w:tcBorders>
              <w:left w:val="single" w:color="000000" w:sz="6" w:space="0"/>
            </w:tcBorders>
            <w:vAlign w:val="center"/>
          </w:tcPr>
          <w:p w14:paraId="726275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4"/>
                <w:szCs w:val="24"/>
              </w:rPr>
            </w:pPr>
          </w:p>
        </w:tc>
        <w:tc>
          <w:tcPr>
            <w:tcW w:w="1716" w:type="dxa"/>
            <w:shd w:val="clear" w:color="auto" w:fill="auto"/>
            <w:vAlign w:val="center"/>
          </w:tcPr>
          <w:p w14:paraId="56C24EB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z w:val="24"/>
                <w:szCs w:val="24"/>
              </w:rPr>
            </w:pPr>
            <w:r>
              <w:rPr>
                <w:rFonts w:hint="eastAsia"/>
                <w:color w:val="auto"/>
                <w:sz w:val="24"/>
                <w:szCs w:val="24"/>
              </w:rPr>
              <w:t>DA0</w:t>
            </w:r>
            <w:r>
              <w:rPr>
                <w:rFonts w:hint="eastAsia"/>
                <w:color w:val="auto"/>
                <w:sz w:val="24"/>
                <w:szCs w:val="24"/>
                <w:lang w:val="en-US" w:eastAsia="zh-CN"/>
              </w:rPr>
              <w:t>02</w:t>
            </w:r>
            <w:r>
              <w:rPr>
                <w:rFonts w:hint="eastAsia"/>
                <w:color w:val="auto"/>
                <w:sz w:val="24"/>
                <w:szCs w:val="24"/>
              </w:rPr>
              <w:t>/</w:t>
            </w:r>
          </w:p>
          <w:p w14:paraId="6C5010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eastAsia"/>
                <w:color w:val="auto"/>
                <w:sz w:val="24"/>
                <w:szCs w:val="24"/>
                <w:lang w:val="en-US" w:eastAsia="zh-CN"/>
              </w:rPr>
            </w:pPr>
            <w:r>
              <w:rPr>
                <w:rFonts w:hint="eastAsia"/>
                <w:color w:val="auto"/>
                <w:sz w:val="24"/>
                <w:szCs w:val="24"/>
                <w:lang w:val="en-US" w:eastAsia="zh-CN"/>
              </w:rPr>
              <w:t>粉碎</w:t>
            </w:r>
            <w:r>
              <w:rPr>
                <w:rFonts w:hint="eastAsia"/>
                <w:color w:val="auto"/>
                <w:sz w:val="24"/>
                <w:szCs w:val="24"/>
              </w:rPr>
              <w:t>工序</w:t>
            </w:r>
          </w:p>
        </w:tc>
        <w:tc>
          <w:tcPr>
            <w:tcW w:w="1430" w:type="dxa"/>
            <w:shd w:val="clear" w:color="auto" w:fill="auto"/>
            <w:vAlign w:val="center"/>
          </w:tcPr>
          <w:p w14:paraId="76F138C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default"/>
                <w:color w:val="auto"/>
                <w:sz w:val="24"/>
                <w:szCs w:val="24"/>
              </w:rPr>
            </w:pPr>
            <w:r>
              <w:rPr>
                <w:rFonts w:hint="default"/>
                <w:color w:val="auto"/>
                <w:sz w:val="24"/>
                <w:szCs w:val="24"/>
              </w:rPr>
              <w:t>颗粒物</w:t>
            </w:r>
          </w:p>
        </w:tc>
        <w:tc>
          <w:tcPr>
            <w:tcW w:w="1815" w:type="dxa"/>
            <w:shd w:val="clear" w:color="auto" w:fill="auto"/>
            <w:vAlign w:val="center"/>
          </w:tcPr>
          <w:p w14:paraId="2792AEF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auto"/>
              <w:rPr>
                <w:rFonts w:hint="eastAsia"/>
                <w:color w:val="auto"/>
                <w:sz w:val="24"/>
                <w:szCs w:val="24"/>
                <w:lang w:val="en-US" w:eastAsia="zh-CN"/>
              </w:rPr>
            </w:pPr>
            <w:r>
              <w:rPr>
                <w:rFonts w:hint="eastAsia"/>
                <w:color w:val="auto"/>
                <w:sz w:val="24"/>
                <w:szCs w:val="24"/>
                <w:lang w:val="en-US" w:eastAsia="zh-CN"/>
              </w:rPr>
              <w:t>粉碎粉尘经各自设备上方集气罩收集后，通过1套布袋除尘器处理，后由1根23m高排气筒（DA002）排放</w:t>
            </w:r>
          </w:p>
        </w:tc>
        <w:tc>
          <w:tcPr>
            <w:tcW w:w="2787" w:type="dxa"/>
            <w:tcBorders>
              <w:right w:val="single" w:color="000000" w:sz="6" w:space="0"/>
            </w:tcBorders>
            <w:shd w:val="clear" w:color="auto" w:fill="auto"/>
            <w:vAlign w:val="center"/>
          </w:tcPr>
          <w:p w14:paraId="76D6AF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kern w:val="2"/>
                <w:sz w:val="24"/>
                <w:szCs w:val="24"/>
                <w:lang w:val="en-US" w:eastAsia="zh-CN" w:bidi="ar-SA"/>
              </w:rPr>
            </w:pPr>
            <w:r>
              <w:rPr>
                <w:rFonts w:hint="eastAsia"/>
                <w:color w:val="auto"/>
                <w:sz w:val="24"/>
                <w:szCs w:val="24"/>
                <w:lang w:val="en-US" w:eastAsia="zh-CN"/>
              </w:rPr>
              <w:t>满足</w:t>
            </w:r>
            <w:r>
              <w:rPr>
                <w:rFonts w:hint="eastAsia"/>
                <w:color w:val="auto"/>
                <w:sz w:val="24"/>
                <w:szCs w:val="24"/>
              </w:rPr>
              <w:t>《合成树脂工业污染物排放标准》（GB31572-2015</w:t>
            </w:r>
            <w:r>
              <w:rPr>
                <w:rFonts w:hint="eastAsia"/>
                <w:color w:val="auto"/>
                <w:sz w:val="24"/>
                <w:szCs w:val="24"/>
                <w:lang w:eastAsia="zh-CN"/>
              </w:rPr>
              <w:t>，含2024年修改单）</w:t>
            </w:r>
            <w:r>
              <w:rPr>
                <w:rFonts w:hint="eastAsia" w:ascii="Times New Roman" w:hAnsi="Times New Roman"/>
                <w:color w:val="auto"/>
                <w:kern w:val="0"/>
                <w:sz w:val="24"/>
                <w:szCs w:val="24"/>
                <w:lang w:val="en-US" w:eastAsia="zh-CN"/>
              </w:rPr>
              <w:t>表5中特别排放限值</w:t>
            </w:r>
            <w:r>
              <w:rPr>
                <w:rFonts w:hint="eastAsia"/>
                <w:color w:val="auto"/>
                <w:kern w:val="0"/>
                <w:sz w:val="24"/>
                <w:szCs w:val="24"/>
                <w:lang w:val="en-US" w:eastAsia="zh-CN"/>
              </w:rPr>
              <w:t>等要求</w:t>
            </w:r>
          </w:p>
        </w:tc>
      </w:tr>
      <w:tr w14:paraId="49F181F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69" w:type="dxa"/>
            <w:vMerge w:val="continue"/>
            <w:tcBorders>
              <w:left w:val="single" w:color="000000" w:sz="6" w:space="0"/>
            </w:tcBorders>
            <w:vAlign w:val="center"/>
          </w:tcPr>
          <w:p w14:paraId="55941E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kern w:val="0"/>
                <w:sz w:val="24"/>
                <w:szCs w:val="24"/>
              </w:rPr>
            </w:pPr>
          </w:p>
        </w:tc>
        <w:tc>
          <w:tcPr>
            <w:tcW w:w="1716" w:type="dxa"/>
            <w:vMerge w:val="restart"/>
            <w:vAlign w:val="center"/>
          </w:tcPr>
          <w:p w14:paraId="556430D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4"/>
                <w:szCs w:val="24"/>
              </w:rPr>
            </w:pPr>
            <w:r>
              <w:rPr>
                <w:rFonts w:hint="default"/>
                <w:color w:val="auto"/>
                <w:sz w:val="24"/>
                <w:szCs w:val="24"/>
              </w:rPr>
              <w:t>厂界</w:t>
            </w:r>
          </w:p>
        </w:tc>
        <w:tc>
          <w:tcPr>
            <w:tcW w:w="1430" w:type="dxa"/>
            <w:vAlign w:val="center"/>
          </w:tcPr>
          <w:p w14:paraId="4A7085F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eastAsia="宋体"/>
                <w:color w:val="auto"/>
                <w:sz w:val="24"/>
                <w:szCs w:val="24"/>
                <w:lang w:val="en-US" w:eastAsia="zh-CN"/>
              </w:rPr>
            </w:pPr>
            <w:r>
              <w:rPr>
                <w:rFonts w:hint="default" w:eastAsia="宋体"/>
                <w:color w:val="auto"/>
                <w:sz w:val="24"/>
                <w:szCs w:val="24"/>
                <w:lang w:val="en-US" w:eastAsia="zh-CN"/>
              </w:rPr>
              <w:t>非甲烷总烃、甲苯</w:t>
            </w:r>
          </w:p>
        </w:tc>
        <w:tc>
          <w:tcPr>
            <w:tcW w:w="1815" w:type="dxa"/>
            <w:vMerge w:val="restart"/>
            <w:vAlign w:val="center"/>
          </w:tcPr>
          <w:p w14:paraId="34E19E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4"/>
                <w:szCs w:val="24"/>
              </w:rPr>
            </w:pPr>
            <w:r>
              <w:rPr>
                <w:rFonts w:hint="default"/>
                <w:color w:val="auto"/>
                <w:sz w:val="24"/>
                <w:szCs w:val="24"/>
              </w:rPr>
              <w:t>加强车间通风</w:t>
            </w:r>
          </w:p>
        </w:tc>
        <w:tc>
          <w:tcPr>
            <w:tcW w:w="2787" w:type="dxa"/>
            <w:vMerge w:val="restart"/>
            <w:tcBorders>
              <w:right w:val="single" w:color="000000" w:sz="6" w:space="0"/>
            </w:tcBorders>
            <w:vAlign w:val="center"/>
          </w:tcPr>
          <w:p w14:paraId="7529C1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Style w:val="49"/>
                <w:rFonts w:hint="eastAsia" w:eastAsia="宋体"/>
                <w:color w:val="auto"/>
                <w:sz w:val="24"/>
                <w:szCs w:val="24"/>
                <w:highlight w:val="none"/>
                <w:lang w:eastAsia="zh-CN"/>
              </w:rPr>
            </w:pPr>
            <w:r>
              <w:rPr>
                <w:rFonts w:hint="eastAsia"/>
                <w:color w:val="auto"/>
                <w:spacing w:val="-2"/>
                <w:kern w:val="0"/>
                <w:sz w:val="24"/>
                <w:szCs w:val="24"/>
                <w:highlight w:val="none"/>
                <w:lang w:val="en-US" w:eastAsia="zh-CN"/>
              </w:rPr>
              <w:t>满足《合成树脂工业污染物排放标准》（</w:t>
            </w:r>
            <w:r>
              <w:rPr>
                <w:rFonts w:hint="eastAsia" w:ascii="Times New Roman" w:hAnsi="Times New Roman"/>
                <w:color w:val="auto"/>
                <w:kern w:val="0"/>
                <w:sz w:val="24"/>
                <w:szCs w:val="24"/>
                <w:highlight w:val="none"/>
                <w:lang w:val="en-US" w:eastAsia="zh-CN"/>
              </w:rPr>
              <w:t>GB31572-2015，含2024年修改单</w:t>
            </w:r>
            <w:r>
              <w:rPr>
                <w:rFonts w:hint="eastAsia"/>
                <w:color w:val="auto"/>
                <w:spacing w:val="-2"/>
                <w:kern w:val="0"/>
                <w:sz w:val="24"/>
                <w:szCs w:val="24"/>
                <w:highlight w:val="none"/>
                <w:lang w:val="en-US" w:eastAsia="zh-CN"/>
              </w:rPr>
              <w:t>）表9企业边界大气污染物限值</w:t>
            </w:r>
          </w:p>
        </w:tc>
      </w:tr>
      <w:tr w14:paraId="341AA25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69" w:type="dxa"/>
            <w:vMerge w:val="continue"/>
            <w:tcBorders>
              <w:left w:val="single" w:color="000000" w:sz="6" w:space="0"/>
            </w:tcBorders>
            <w:vAlign w:val="center"/>
          </w:tcPr>
          <w:p w14:paraId="6A5287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kern w:val="0"/>
                <w:sz w:val="24"/>
                <w:szCs w:val="24"/>
              </w:rPr>
            </w:pPr>
          </w:p>
        </w:tc>
        <w:tc>
          <w:tcPr>
            <w:tcW w:w="1716" w:type="dxa"/>
            <w:vMerge w:val="continue"/>
            <w:vAlign w:val="center"/>
          </w:tcPr>
          <w:p w14:paraId="1C9D840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4"/>
                <w:szCs w:val="24"/>
              </w:rPr>
            </w:pPr>
          </w:p>
        </w:tc>
        <w:tc>
          <w:tcPr>
            <w:tcW w:w="1430" w:type="dxa"/>
            <w:vAlign w:val="center"/>
          </w:tcPr>
          <w:p w14:paraId="31B23D2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eastAsia="宋体"/>
                <w:color w:val="auto"/>
                <w:sz w:val="24"/>
                <w:szCs w:val="24"/>
                <w:lang w:val="en-US" w:eastAsia="zh-CN"/>
              </w:rPr>
            </w:pPr>
            <w:r>
              <w:rPr>
                <w:rFonts w:hint="eastAsia"/>
                <w:color w:val="auto"/>
                <w:sz w:val="24"/>
                <w:szCs w:val="24"/>
                <w:lang w:val="en-US" w:eastAsia="zh-CN"/>
              </w:rPr>
              <w:t>颗粒物</w:t>
            </w:r>
          </w:p>
        </w:tc>
        <w:tc>
          <w:tcPr>
            <w:tcW w:w="1815" w:type="dxa"/>
            <w:vMerge w:val="continue"/>
            <w:vAlign w:val="center"/>
          </w:tcPr>
          <w:p w14:paraId="79AE43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4"/>
                <w:szCs w:val="24"/>
              </w:rPr>
            </w:pPr>
          </w:p>
        </w:tc>
        <w:tc>
          <w:tcPr>
            <w:tcW w:w="2787" w:type="dxa"/>
            <w:vMerge w:val="continue"/>
            <w:tcBorders>
              <w:right w:val="single" w:color="000000" w:sz="6" w:space="0"/>
            </w:tcBorders>
            <w:vAlign w:val="center"/>
          </w:tcPr>
          <w:p w14:paraId="71FA50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pacing w:val="-2"/>
                <w:kern w:val="0"/>
                <w:sz w:val="24"/>
                <w:szCs w:val="24"/>
                <w:lang w:val="en-US" w:eastAsia="zh-CN"/>
              </w:rPr>
            </w:pPr>
          </w:p>
        </w:tc>
      </w:tr>
      <w:tr w14:paraId="41DEB1F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69" w:type="dxa"/>
            <w:vMerge w:val="continue"/>
            <w:tcBorders>
              <w:left w:val="single" w:color="000000" w:sz="6" w:space="0"/>
            </w:tcBorders>
            <w:vAlign w:val="center"/>
          </w:tcPr>
          <w:p w14:paraId="2C4E18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kern w:val="0"/>
                <w:sz w:val="24"/>
                <w:szCs w:val="24"/>
              </w:rPr>
            </w:pPr>
          </w:p>
        </w:tc>
        <w:tc>
          <w:tcPr>
            <w:tcW w:w="1716" w:type="dxa"/>
            <w:vMerge w:val="continue"/>
            <w:vAlign w:val="center"/>
          </w:tcPr>
          <w:p w14:paraId="170C553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4"/>
                <w:szCs w:val="24"/>
              </w:rPr>
            </w:pPr>
          </w:p>
        </w:tc>
        <w:tc>
          <w:tcPr>
            <w:tcW w:w="1430" w:type="dxa"/>
            <w:shd w:val="clear" w:color="auto" w:fill="auto"/>
            <w:vAlign w:val="center"/>
          </w:tcPr>
          <w:p w14:paraId="5C7515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eastAsia="宋体" w:cs="Times New Roman"/>
                <w:color w:val="auto"/>
                <w:kern w:val="2"/>
                <w:sz w:val="24"/>
                <w:szCs w:val="24"/>
                <w:lang w:val="en-US" w:eastAsia="zh-CN" w:bidi="ar-SA"/>
              </w:rPr>
            </w:pPr>
            <w:r>
              <w:rPr>
                <w:rFonts w:hint="eastAsia"/>
                <w:color w:val="auto"/>
                <w:sz w:val="24"/>
                <w:szCs w:val="24"/>
                <w:lang w:val="en-US" w:eastAsia="zh-CN"/>
              </w:rPr>
              <w:t>乙苯、苯</w:t>
            </w:r>
          </w:p>
        </w:tc>
        <w:tc>
          <w:tcPr>
            <w:tcW w:w="1815" w:type="dxa"/>
            <w:vMerge w:val="continue"/>
            <w:vAlign w:val="center"/>
          </w:tcPr>
          <w:p w14:paraId="258986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4"/>
                <w:szCs w:val="24"/>
              </w:rPr>
            </w:pPr>
          </w:p>
        </w:tc>
        <w:tc>
          <w:tcPr>
            <w:tcW w:w="2787" w:type="dxa"/>
            <w:tcBorders>
              <w:right w:val="single" w:color="000000" w:sz="6" w:space="0"/>
            </w:tcBorders>
            <w:vAlign w:val="center"/>
          </w:tcPr>
          <w:p w14:paraId="4C0772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pacing w:val="-2"/>
                <w:kern w:val="0"/>
                <w:sz w:val="24"/>
                <w:szCs w:val="24"/>
                <w:lang w:val="en-US" w:eastAsia="zh-CN"/>
              </w:rPr>
            </w:pPr>
            <w:r>
              <w:rPr>
                <w:rFonts w:hint="eastAsia"/>
                <w:color w:val="auto"/>
                <w:spacing w:val="-2"/>
                <w:kern w:val="0"/>
                <w:sz w:val="24"/>
                <w:szCs w:val="24"/>
                <w:lang w:val="en-US" w:eastAsia="zh-CN"/>
              </w:rPr>
              <w:t>满足安徽省《固定源挥发性有机物综合排放标准 第6部分：其他行业》（DB34/4812.6-2024）</w:t>
            </w:r>
          </w:p>
        </w:tc>
      </w:tr>
      <w:tr w14:paraId="375D93C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69" w:type="dxa"/>
            <w:vMerge w:val="continue"/>
            <w:tcBorders>
              <w:left w:val="single" w:color="000000" w:sz="6" w:space="0"/>
            </w:tcBorders>
            <w:vAlign w:val="center"/>
          </w:tcPr>
          <w:p w14:paraId="15EB61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kern w:val="0"/>
                <w:sz w:val="24"/>
                <w:szCs w:val="24"/>
              </w:rPr>
            </w:pPr>
          </w:p>
        </w:tc>
        <w:tc>
          <w:tcPr>
            <w:tcW w:w="1716" w:type="dxa"/>
            <w:vMerge w:val="continue"/>
            <w:vAlign w:val="center"/>
          </w:tcPr>
          <w:p w14:paraId="70CA9A9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4"/>
                <w:szCs w:val="24"/>
              </w:rPr>
            </w:pPr>
          </w:p>
        </w:tc>
        <w:tc>
          <w:tcPr>
            <w:tcW w:w="1430" w:type="dxa"/>
            <w:shd w:val="clear" w:color="auto" w:fill="auto"/>
            <w:vAlign w:val="center"/>
          </w:tcPr>
          <w:p w14:paraId="5CD2CC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imes New Roman" w:hAnsi="Times New Roman" w:eastAsia="宋体" w:cs="Times New Roman"/>
                <w:color w:val="auto"/>
                <w:kern w:val="2"/>
                <w:sz w:val="24"/>
                <w:szCs w:val="24"/>
                <w:lang w:val="en-US" w:eastAsia="zh-CN" w:bidi="ar-SA"/>
              </w:rPr>
            </w:pPr>
            <w:r>
              <w:rPr>
                <w:rFonts w:hint="eastAsia"/>
                <w:color w:val="auto"/>
                <w:sz w:val="24"/>
                <w:szCs w:val="24"/>
                <w:lang w:val="en-US" w:eastAsia="zh-CN"/>
              </w:rPr>
              <w:t>苯乙烯、臭气浓度</w:t>
            </w:r>
          </w:p>
        </w:tc>
        <w:tc>
          <w:tcPr>
            <w:tcW w:w="1815" w:type="dxa"/>
            <w:vMerge w:val="continue"/>
            <w:vAlign w:val="center"/>
          </w:tcPr>
          <w:p w14:paraId="727FA7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4"/>
                <w:szCs w:val="24"/>
              </w:rPr>
            </w:pPr>
          </w:p>
        </w:tc>
        <w:tc>
          <w:tcPr>
            <w:tcW w:w="2787" w:type="dxa"/>
            <w:tcBorders>
              <w:right w:val="single" w:color="000000" w:sz="6" w:space="0"/>
            </w:tcBorders>
            <w:vAlign w:val="center"/>
          </w:tcPr>
          <w:p w14:paraId="3E1529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pacing w:val="-2"/>
                <w:kern w:val="0"/>
                <w:sz w:val="24"/>
                <w:szCs w:val="24"/>
                <w:lang w:val="en-US" w:eastAsia="zh-CN"/>
              </w:rPr>
            </w:pPr>
            <w:r>
              <w:rPr>
                <w:rFonts w:hint="eastAsia"/>
                <w:color w:val="auto"/>
                <w:spacing w:val="-2"/>
                <w:kern w:val="0"/>
                <w:sz w:val="24"/>
                <w:szCs w:val="24"/>
                <w:lang w:val="en-US" w:eastAsia="zh-CN"/>
              </w:rPr>
              <w:t>满足《恶臭污染物排放标准》（GB14554-93）表1相关限值要求</w:t>
            </w:r>
          </w:p>
        </w:tc>
      </w:tr>
      <w:tr w14:paraId="6626981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69" w:type="dxa"/>
            <w:vMerge w:val="continue"/>
            <w:tcBorders>
              <w:left w:val="single" w:color="000000" w:sz="6" w:space="0"/>
            </w:tcBorders>
            <w:vAlign w:val="center"/>
          </w:tcPr>
          <w:p w14:paraId="292D61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kern w:val="0"/>
                <w:sz w:val="24"/>
                <w:szCs w:val="24"/>
              </w:rPr>
            </w:pPr>
          </w:p>
        </w:tc>
        <w:tc>
          <w:tcPr>
            <w:tcW w:w="1716" w:type="dxa"/>
            <w:vAlign w:val="center"/>
          </w:tcPr>
          <w:p w14:paraId="6463D71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4"/>
                <w:szCs w:val="24"/>
              </w:rPr>
            </w:pPr>
            <w:r>
              <w:rPr>
                <w:rFonts w:hint="default"/>
                <w:color w:val="auto"/>
                <w:sz w:val="24"/>
                <w:szCs w:val="24"/>
              </w:rPr>
              <w:t>厂区内</w:t>
            </w:r>
          </w:p>
        </w:tc>
        <w:tc>
          <w:tcPr>
            <w:tcW w:w="1430" w:type="dxa"/>
            <w:vAlign w:val="center"/>
          </w:tcPr>
          <w:p w14:paraId="108511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4"/>
                <w:szCs w:val="24"/>
              </w:rPr>
            </w:pPr>
            <w:r>
              <w:rPr>
                <w:rFonts w:hint="eastAsia"/>
                <w:color w:val="auto"/>
                <w:sz w:val="24"/>
                <w:szCs w:val="24"/>
              </w:rPr>
              <w:t>非甲烷总烃</w:t>
            </w:r>
          </w:p>
        </w:tc>
        <w:tc>
          <w:tcPr>
            <w:tcW w:w="1815" w:type="dxa"/>
            <w:vAlign w:val="center"/>
          </w:tcPr>
          <w:p w14:paraId="516999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4"/>
                <w:szCs w:val="24"/>
              </w:rPr>
            </w:pPr>
            <w:r>
              <w:rPr>
                <w:rFonts w:hint="eastAsia"/>
                <w:color w:val="auto"/>
                <w:sz w:val="24"/>
                <w:szCs w:val="24"/>
              </w:rPr>
              <w:t>/</w:t>
            </w:r>
          </w:p>
        </w:tc>
        <w:tc>
          <w:tcPr>
            <w:tcW w:w="2787" w:type="dxa"/>
            <w:tcBorders>
              <w:right w:val="single" w:color="000000" w:sz="6" w:space="0"/>
            </w:tcBorders>
            <w:vAlign w:val="center"/>
          </w:tcPr>
          <w:p w14:paraId="2E3A0C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z w:val="24"/>
                <w:szCs w:val="24"/>
              </w:rPr>
            </w:pPr>
            <w:r>
              <w:rPr>
                <w:rFonts w:hint="eastAsia"/>
                <w:color w:val="auto"/>
                <w:spacing w:val="-2"/>
                <w:kern w:val="0"/>
                <w:sz w:val="24"/>
                <w:szCs w:val="24"/>
              </w:rPr>
              <w:t>满足安徽省《固定源挥发性有机物综合排放标准 第6部分：其他行业》（DB34/4812.6-2024）表4中排放限值</w:t>
            </w:r>
          </w:p>
        </w:tc>
      </w:tr>
      <w:tr w14:paraId="46E8B4C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69" w:type="dxa"/>
            <w:tcBorders>
              <w:left w:val="single" w:color="000000" w:sz="6" w:space="0"/>
            </w:tcBorders>
            <w:vAlign w:val="center"/>
          </w:tcPr>
          <w:p w14:paraId="2D1E285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pacing w:val="-2"/>
                <w:kern w:val="0"/>
                <w:sz w:val="24"/>
                <w:szCs w:val="24"/>
              </w:rPr>
            </w:pPr>
            <w:r>
              <w:rPr>
                <w:rFonts w:hint="eastAsia"/>
                <w:color w:val="auto"/>
                <w:spacing w:val="-2"/>
                <w:kern w:val="0"/>
                <w:sz w:val="24"/>
                <w:szCs w:val="24"/>
              </w:rPr>
              <w:t>水污染物</w:t>
            </w:r>
          </w:p>
        </w:tc>
        <w:tc>
          <w:tcPr>
            <w:tcW w:w="1716" w:type="dxa"/>
            <w:vAlign w:val="center"/>
          </w:tcPr>
          <w:p w14:paraId="68E248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pacing w:val="-2"/>
                <w:kern w:val="0"/>
                <w:sz w:val="24"/>
                <w:szCs w:val="24"/>
                <w:lang w:val="en-US" w:eastAsia="zh-CN"/>
              </w:rPr>
            </w:pPr>
            <w:r>
              <w:rPr>
                <w:rFonts w:hint="default"/>
                <w:color w:val="auto"/>
                <w:spacing w:val="-2"/>
                <w:kern w:val="0"/>
                <w:sz w:val="24"/>
                <w:szCs w:val="24"/>
                <w:lang w:val="en-US" w:eastAsia="zh-CN"/>
              </w:rPr>
              <w:t>循环冷却系统排水</w:t>
            </w:r>
            <w:r>
              <w:rPr>
                <w:rFonts w:hint="eastAsia"/>
                <w:color w:val="auto"/>
                <w:spacing w:val="-2"/>
                <w:kern w:val="0"/>
                <w:sz w:val="24"/>
                <w:szCs w:val="24"/>
                <w:lang w:val="en-US" w:eastAsia="zh-CN"/>
              </w:rPr>
              <w:t>、</w:t>
            </w:r>
            <w:r>
              <w:rPr>
                <w:rFonts w:hint="default"/>
                <w:color w:val="auto"/>
                <w:spacing w:val="-2"/>
                <w:kern w:val="0"/>
                <w:sz w:val="24"/>
                <w:szCs w:val="24"/>
                <w:lang w:val="en-US" w:eastAsia="zh-CN"/>
              </w:rPr>
              <w:t>生活污水</w:t>
            </w:r>
          </w:p>
        </w:tc>
        <w:tc>
          <w:tcPr>
            <w:tcW w:w="1430" w:type="dxa"/>
            <w:vAlign w:val="center"/>
          </w:tcPr>
          <w:p w14:paraId="7EF74C5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pacing w:val="-2"/>
                <w:kern w:val="0"/>
                <w:sz w:val="24"/>
                <w:szCs w:val="24"/>
                <w:lang w:val="en-US" w:eastAsia="zh-CN"/>
              </w:rPr>
            </w:pPr>
            <w:r>
              <w:rPr>
                <w:rFonts w:hint="eastAsia"/>
                <w:color w:val="auto"/>
                <w:sz w:val="24"/>
                <w:szCs w:val="24"/>
                <w:lang w:val="en-US" w:eastAsia="zh-CN"/>
              </w:rPr>
              <w:t>pH、</w:t>
            </w:r>
            <w:r>
              <w:rPr>
                <w:rFonts w:hint="eastAsia"/>
                <w:color w:val="auto"/>
                <w:sz w:val="24"/>
                <w:szCs w:val="24"/>
                <w:highlight w:val="none"/>
                <w:lang w:val="en-US" w:eastAsia="zh-CN"/>
              </w:rPr>
              <w:t>COD</w:t>
            </w:r>
            <w:r>
              <w:rPr>
                <w:rFonts w:hint="eastAsia"/>
                <w:color w:val="auto"/>
                <w:sz w:val="24"/>
                <w:szCs w:val="24"/>
                <w:highlight w:val="none"/>
                <w:vertAlign w:val="subscript"/>
                <w:lang w:val="en-US" w:eastAsia="zh-CN"/>
              </w:rPr>
              <w:t>Cr</w:t>
            </w:r>
            <w:r>
              <w:rPr>
                <w:rFonts w:hint="eastAsia"/>
                <w:color w:val="auto"/>
                <w:sz w:val="24"/>
                <w:szCs w:val="24"/>
                <w:highlight w:val="none"/>
                <w:vertAlign w:val="baseline"/>
                <w:lang w:val="en-US" w:eastAsia="zh-CN"/>
              </w:rPr>
              <w:t>、</w:t>
            </w:r>
            <w:r>
              <w:rPr>
                <w:rFonts w:hint="eastAsia"/>
                <w:color w:val="auto"/>
                <w:sz w:val="24"/>
                <w:szCs w:val="24"/>
                <w:highlight w:val="none"/>
                <w:lang w:val="en-US" w:eastAsia="zh-CN"/>
              </w:rPr>
              <w:t>BOD</w:t>
            </w:r>
            <w:r>
              <w:rPr>
                <w:rFonts w:hint="eastAsia"/>
                <w:color w:val="auto"/>
                <w:sz w:val="24"/>
                <w:szCs w:val="24"/>
                <w:highlight w:val="none"/>
                <w:vertAlign w:val="subscript"/>
                <w:lang w:val="en-US" w:eastAsia="zh-CN"/>
              </w:rPr>
              <w:t>5</w:t>
            </w:r>
            <w:r>
              <w:rPr>
                <w:rFonts w:hint="eastAsia"/>
                <w:color w:val="auto"/>
                <w:sz w:val="24"/>
                <w:szCs w:val="24"/>
                <w:highlight w:val="none"/>
                <w:vertAlign w:val="baseline"/>
                <w:lang w:val="en-US" w:eastAsia="zh-CN"/>
              </w:rPr>
              <w:t>、</w:t>
            </w:r>
            <w:r>
              <w:rPr>
                <w:rFonts w:hint="eastAsia"/>
                <w:color w:val="auto"/>
                <w:sz w:val="24"/>
                <w:szCs w:val="24"/>
                <w:highlight w:val="none"/>
              </w:rPr>
              <w:t>SS、</w:t>
            </w:r>
            <w:r>
              <w:rPr>
                <w:rFonts w:hint="eastAsia"/>
                <w:color w:val="auto"/>
                <w:sz w:val="24"/>
                <w:szCs w:val="24"/>
                <w:highlight w:val="none"/>
                <w:lang w:val="en-US" w:eastAsia="zh-CN"/>
              </w:rPr>
              <w:t>NH</w:t>
            </w:r>
            <w:r>
              <w:rPr>
                <w:rFonts w:hint="eastAsia"/>
                <w:color w:val="auto"/>
                <w:sz w:val="24"/>
                <w:szCs w:val="24"/>
                <w:highlight w:val="none"/>
                <w:vertAlign w:val="subscript"/>
                <w:lang w:val="en-US" w:eastAsia="zh-CN"/>
              </w:rPr>
              <w:t>3</w:t>
            </w:r>
            <w:r>
              <w:rPr>
                <w:rFonts w:hint="eastAsia"/>
                <w:color w:val="auto"/>
                <w:sz w:val="24"/>
                <w:szCs w:val="24"/>
                <w:highlight w:val="none"/>
                <w:lang w:val="en-US" w:eastAsia="zh-CN"/>
              </w:rPr>
              <w:t>-N、总氮、总磷</w:t>
            </w:r>
          </w:p>
        </w:tc>
        <w:tc>
          <w:tcPr>
            <w:tcW w:w="1815" w:type="dxa"/>
            <w:vAlign w:val="center"/>
          </w:tcPr>
          <w:p w14:paraId="1DCE2DD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pacing w:val="-2"/>
                <w:kern w:val="0"/>
                <w:sz w:val="24"/>
                <w:szCs w:val="24"/>
                <w:lang w:val="en-US" w:eastAsia="zh-CN"/>
              </w:rPr>
            </w:pPr>
            <w:r>
              <w:rPr>
                <w:rFonts w:hint="eastAsia"/>
                <w:color w:val="auto"/>
                <w:spacing w:val="-2"/>
                <w:kern w:val="0"/>
                <w:sz w:val="24"/>
                <w:szCs w:val="24"/>
                <w:lang w:val="en-US" w:eastAsia="zh-CN"/>
              </w:rPr>
              <w:t>生活污水经化粪池预处理</w:t>
            </w:r>
          </w:p>
        </w:tc>
        <w:tc>
          <w:tcPr>
            <w:tcW w:w="2787" w:type="dxa"/>
            <w:tcBorders>
              <w:right w:val="single" w:color="000000" w:sz="6" w:space="0"/>
            </w:tcBorders>
            <w:vAlign w:val="center"/>
          </w:tcPr>
          <w:p w14:paraId="1665F95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spacing w:val="-2"/>
                <w:kern w:val="0"/>
                <w:sz w:val="24"/>
                <w:szCs w:val="24"/>
                <w:lang w:val="en-US" w:eastAsia="zh-CN"/>
              </w:rPr>
            </w:pPr>
            <w:r>
              <w:rPr>
                <w:rFonts w:hint="eastAsia"/>
                <w:color w:val="auto"/>
                <w:spacing w:val="-2"/>
                <w:kern w:val="0"/>
                <w:sz w:val="24"/>
                <w:szCs w:val="24"/>
                <w:lang w:val="en-US" w:eastAsia="zh-CN"/>
              </w:rPr>
              <w:t>满足凤台县污水处理厂接管限值、《污水综合排放标准》（GB8978-1996）三级标准及《污水排入城镇下水道水质标准》（GB/T31962-2015）B级相关标准限值</w:t>
            </w:r>
          </w:p>
        </w:tc>
      </w:tr>
      <w:tr w14:paraId="0971143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69" w:type="dxa"/>
            <w:tcBorders>
              <w:left w:val="single" w:color="000000" w:sz="6" w:space="0"/>
            </w:tcBorders>
            <w:vAlign w:val="center"/>
          </w:tcPr>
          <w:p w14:paraId="3DDC3B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pacing w:val="-2"/>
                <w:kern w:val="0"/>
                <w:sz w:val="24"/>
                <w:szCs w:val="24"/>
              </w:rPr>
            </w:pPr>
            <w:r>
              <w:rPr>
                <w:rFonts w:hint="eastAsia"/>
                <w:color w:val="auto"/>
                <w:spacing w:val="-2"/>
                <w:kern w:val="0"/>
                <w:sz w:val="24"/>
                <w:szCs w:val="24"/>
              </w:rPr>
              <w:t>声环境</w:t>
            </w:r>
          </w:p>
        </w:tc>
        <w:tc>
          <w:tcPr>
            <w:tcW w:w="1716" w:type="dxa"/>
            <w:vAlign w:val="center"/>
          </w:tcPr>
          <w:p w14:paraId="0B6EA03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pacing w:val="-2"/>
                <w:kern w:val="0"/>
                <w:sz w:val="24"/>
                <w:szCs w:val="24"/>
              </w:rPr>
            </w:pPr>
            <w:r>
              <w:rPr>
                <w:rFonts w:hint="eastAsia"/>
                <w:color w:val="auto"/>
                <w:spacing w:val="-2"/>
                <w:kern w:val="0"/>
                <w:sz w:val="24"/>
                <w:szCs w:val="24"/>
              </w:rPr>
              <w:t>厂界四周</w:t>
            </w:r>
          </w:p>
        </w:tc>
        <w:tc>
          <w:tcPr>
            <w:tcW w:w="1430" w:type="dxa"/>
            <w:vAlign w:val="center"/>
          </w:tcPr>
          <w:p w14:paraId="48F10C8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pacing w:val="-2"/>
                <w:kern w:val="0"/>
                <w:sz w:val="24"/>
                <w:szCs w:val="24"/>
              </w:rPr>
            </w:pPr>
            <w:r>
              <w:rPr>
                <w:rFonts w:hint="eastAsia"/>
                <w:color w:val="auto"/>
                <w:spacing w:val="-2"/>
                <w:kern w:val="0"/>
                <w:sz w:val="24"/>
                <w:szCs w:val="24"/>
              </w:rPr>
              <w:t>噪声</w:t>
            </w:r>
          </w:p>
        </w:tc>
        <w:tc>
          <w:tcPr>
            <w:tcW w:w="1815" w:type="dxa"/>
            <w:vAlign w:val="center"/>
          </w:tcPr>
          <w:p w14:paraId="1F01C9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pacing w:val="-2"/>
                <w:kern w:val="0"/>
                <w:sz w:val="24"/>
                <w:szCs w:val="24"/>
              </w:rPr>
            </w:pPr>
            <w:r>
              <w:rPr>
                <w:rFonts w:hint="eastAsia"/>
                <w:color w:val="auto"/>
                <w:spacing w:val="-2"/>
                <w:kern w:val="0"/>
                <w:sz w:val="24"/>
                <w:szCs w:val="24"/>
              </w:rPr>
              <w:t>①项目使用的高噪声设备均</w:t>
            </w:r>
            <w:r>
              <w:rPr>
                <w:rFonts w:hint="eastAsia"/>
                <w:color w:val="auto"/>
                <w:spacing w:val="-2"/>
                <w:kern w:val="0"/>
                <w:sz w:val="24"/>
                <w:szCs w:val="24"/>
                <w:lang w:val="en-US" w:eastAsia="zh-CN"/>
              </w:rPr>
              <w:t>设置</w:t>
            </w:r>
            <w:r>
              <w:rPr>
                <w:rFonts w:hint="eastAsia"/>
                <w:color w:val="auto"/>
                <w:spacing w:val="-2"/>
                <w:kern w:val="0"/>
                <w:sz w:val="24"/>
                <w:szCs w:val="24"/>
              </w:rPr>
              <w:t>减</w:t>
            </w:r>
            <w:r>
              <w:rPr>
                <w:rFonts w:hint="eastAsia"/>
                <w:color w:val="auto"/>
                <w:spacing w:val="-2"/>
                <w:kern w:val="0"/>
                <w:sz w:val="24"/>
                <w:szCs w:val="24"/>
                <w:lang w:val="en-US" w:eastAsia="zh-CN"/>
              </w:rPr>
              <w:t>振</w:t>
            </w:r>
            <w:r>
              <w:rPr>
                <w:rFonts w:hint="eastAsia"/>
                <w:color w:val="auto"/>
                <w:spacing w:val="-2"/>
                <w:kern w:val="0"/>
                <w:sz w:val="24"/>
                <w:szCs w:val="24"/>
              </w:rPr>
              <w:t>底座，</w:t>
            </w:r>
            <w:r>
              <w:rPr>
                <w:rFonts w:hint="eastAsia"/>
                <w:color w:val="auto"/>
                <w:spacing w:val="-2"/>
                <w:kern w:val="0"/>
                <w:sz w:val="24"/>
                <w:szCs w:val="24"/>
                <w:lang w:val="en-US" w:eastAsia="zh-CN"/>
              </w:rPr>
              <w:t>设备采取隔声屏障，</w:t>
            </w:r>
            <w:r>
              <w:rPr>
                <w:rFonts w:hint="eastAsia"/>
                <w:color w:val="auto"/>
                <w:spacing w:val="-2"/>
                <w:kern w:val="0"/>
                <w:sz w:val="24"/>
                <w:szCs w:val="24"/>
              </w:rPr>
              <w:t>厂房四壁均使用隔声性能较好的材料建设；</w:t>
            </w:r>
          </w:p>
          <w:p w14:paraId="3E0AC40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pacing w:val="-2"/>
                <w:kern w:val="0"/>
                <w:sz w:val="24"/>
                <w:szCs w:val="24"/>
              </w:rPr>
            </w:pPr>
            <w:r>
              <w:rPr>
                <w:rFonts w:hint="eastAsia"/>
                <w:color w:val="auto"/>
                <w:spacing w:val="-2"/>
                <w:kern w:val="0"/>
                <w:sz w:val="24"/>
                <w:szCs w:val="24"/>
              </w:rPr>
              <w:t>②对排风管道采取消声减</w:t>
            </w:r>
            <w:r>
              <w:rPr>
                <w:rFonts w:hint="eastAsia"/>
                <w:color w:val="auto"/>
                <w:spacing w:val="-2"/>
                <w:kern w:val="0"/>
                <w:sz w:val="24"/>
                <w:szCs w:val="24"/>
                <w:lang w:val="en-US" w:eastAsia="zh-CN"/>
              </w:rPr>
              <w:t>振</w:t>
            </w:r>
            <w:r>
              <w:rPr>
                <w:rFonts w:hint="eastAsia"/>
                <w:color w:val="auto"/>
                <w:spacing w:val="-2"/>
                <w:kern w:val="0"/>
                <w:sz w:val="24"/>
                <w:szCs w:val="24"/>
              </w:rPr>
              <w:t>措施，并在墙上进行加固，减少因风机噪声和管道振动引起的低频噪声对周围环境和自身的影响。</w:t>
            </w:r>
          </w:p>
        </w:tc>
        <w:tc>
          <w:tcPr>
            <w:tcW w:w="2787" w:type="dxa"/>
            <w:tcBorders>
              <w:right w:val="single" w:color="000000" w:sz="6" w:space="0"/>
            </w:tcBorders>
            <w:vAlign w:val="center"/>
          </w:tcPr>
          <w:p w14:paraId="395A3F6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pacing w:val="-2"/>
                <w:kern w:val="0"/>
                <w:sz w:val="24"/>
                <w:szCs w:val="24"/>
              </w:rPr>
            </w:pPr>
            <w:r>
              <w:rPr>
                <w:rFonts w:hint="eastAsia"/>
                <w:color w:val="auto"/>
                <w:spacing w:val="-2"/>
                <w:kern w:val="0"/>
                <w:sz w:val="24"/>
                <w:szCs w:val="24"/>
              </w:rPr>
              <w:t>符合《工业企业厂界环境噪声排放标准》（GB12348-2008）</w:t>
            </w:r>
            <w:r>
              <w:rPr>
                <w:rFonts w:hint="eastAsia"/>
                <w:color w:val="auto"/>
                <w:spacing w:val="-2"/>
                <w:kern w:val="0"/>
                <w:sz w:val="24"/>
                <w:szCs w:val="24"/>
                <w:lang w:val="en-US" w:eastAsia="zh-CN"/>
              </w:rPr>
              <w:t>3</w:t>
            </w:r>
            <w:r>
              <w:rPr>
                <w:rFonts w:hint="eastAsia"/>
                <w:color w:val="auto"/>
                <w:spacing w:val="-2"/>
                <w:kern w:val="0"/>
                <w:sz w:val="24"/>
                <w:szCs w:val="24"/>
              </w:rPr>
              <w:t>类标准要求</w:t>
            </w:r>
          </w:p>
        </w:tc>
      </w:tr>
      <w:tr w14:paraId="71399BB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69" w:type="dxa"/>
            <w:tcBorders>
              <w:left w:val="single" w:color="000000" w:sz="6" w:space="0"/>
            </w:tcBorders>
            <w:vAlign w:val="center"/>
          </w:tcPr>
          <w:p w14:paraId="6D2837C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pacing w:val="-2"/>
                <w:kern w:val="0"/>
                <w:sz w:val="24"/>
                <w:szCs w:val="24"/>
              </w:rPr>
            </w:pPr>
            <w:r>
              <w:rPr>
                <w:rFonts w:hint="eastAsia"/>
                <w:color w:val="auto"/>
                <w:spacing w:val="-2"/>
                <w:kern w:val="0"/>
                <w:sz w:val="24"/>
                <w:szCs w:val="24"/>
              </w:rPr>
              <w:t>电磁</w:t>
            </w:r>
          </w:p>
          <w:p w14:paraId="13864D6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pacing w:val="-2"/>
                <w:kern w:val="0"/>
                <w:sz w:val="24"/>
                <w:szCs w:val="24"/>
              </w:rPr>
            </w:pPr>
            <w:r>
              <w:rPr>
                <w:rFonts w:hint="eastAsia"/>
                <w:color w:val="auto"/>
                <w:spacing w:val="-2"/>
                <w:kern w:val="0"/>
                <w:sz w:val="24"/>
                <w:szCs w:val="24"/>
              </w:rPr>
              <w:t>辐射</w:t>
            </w:r>
          </w:p>
        </w:tc>
        <w:tc>
          <w:tcPr>
            <w:tcW w:w="7748" w:type="dxa"/>
            <w:gridSpan w:val="4"/>
            <w:tcBorders>
              <w:right w:val="single" w:color="000000" w:sz="6" w:space="0"/>
            </w:tcBorders>
            <w:vAlign w:val="center"/>
          </w:tcPr>
          <w:p w14:paraId="329302A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pacing w:val="-2"/>
                <w:kern w:val="0"/>
                <w:sz w:val="24"/>
                <w:szCs w:val="24"/>
              </w:rPr>
            </w:pPr>
            <w:r>
              <w:rPr>
                <w:rFonts w:hint="eastAsia"/>
                <w:color w:val="auto"/>
                <w:spacing w:val="-2"/>
                <w:kern w:val="0"/>
                <w:sz w:val="24"/>
                <w:szCs w:val="24"/>
              </w:rPr>
              <w:t>本项目不涉及电磁辐射建设</w:t>
            </w:r>
          </w:p>
        </w:tc>
      </w:tr>
      <w:tr w14:paraId="3D770FB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69" w:type="dxa"/>
            <w:tcBorders>
              <w:left w:val="single" w:color="000000" w:sz="6" w:space="0"/>
            </w:tcBorders>
            <w:vAlign w:val="center"/>
          </w:tcPr>
          <w:p w14:paraId="22840AA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pacing w:val="-2"/>
                <w:kern w:val="0"/>
                <w:sz w:val="24"/>
                <w:szCs w:val="24"/>
              </w:rPr>
            </w:pPr>
            <w:r>
              <w:rPr>
                <w:rFonts w:hint="eastAsia"/>
                <w:color w:val="auto"/>
                <w:spacing w:val="-2"/>
                <w:kern w:val="0"/>
                <w:sz w:val="24"/>
                <w:szCs w:val="24"/>
              </w:rPr>
              <w:t>固体</w:t>
            </w:r>
          </w:p>
          <w:p w14:paraId="3452EE6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color w:val="auto"/>
                <w:spacing w:val="-2"/>
                <w:kern w:val="0"/>
                <w:sz w:val="24"/>
                <w:szCs w:val="24"/>
              </w:rPr>
            </w:pPr>
            <w:r>
              <w:rPr>
                <w:rFonts w:hint="eastAsia"/>
                <w:color w:val="auto"/>
                <w:spacing w:val="-2"/>
                <w:kern w:val="0"/>
                <w:sz w:val="24"/>
                <w:szCs w:val="24"/>
              </w:rPr>
              <w:t>废物</w:t>
            </w:r>
          </w:p>
        </w:tc>
        <w:tc>
          <w:tcPr>
            <w:tcW w:w="7748" w:type="dxa"/>
            <w:gridSpan w:val="4"/>
            <w:tcBorders>
              <w:right w:val="single" w:color="000000" w:sz="6" w:space="0"/>
            </w:tcBorders>
            <w:vAlign w:val="center"/>
          </w:tcPr>
          <w:p w14:paraId="7C2ADC1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left"/>
              <w:textAlignment w:val="auto"/>
              <w:rPr>
                <w:rFonts w:hint="eastAsia"/>
                <w:color w:val="auto"/>
                <w:spacing w:val="-2"/>
                <w:kern w:val="0"/>
                <w:sz w:val="24"/>
                <w:szCs w:val="24"/>
                <w:highlight w:val="none"/>
              </w:rPr>
            </w:pPr>
            <w:r>
              <w:rPr>
                <w:rFonts w:hint="eastAsia"/>
                <w:color w:val="auto"/>
                <w:spacing w:val="-2"/>
                <w:kern w:val="0"/>
                <w:sz w:val="24"/>
                <w:szCs w:val="24"/>
              </w:rPr>
              <w:t>1</w:t>
            </w:r>
            <w:r>
              <w:rPr>
                <w:rFonts w:hint="eastAsia"/>
                <w:color w:val="auto"/>
                <w:spacing w:val="-2"/>
                <w:kern w:val="0"/>
                <w:sz w:val="24"/>
                <w:szCs w:val="24"/>
                <w:lang w:val="en-US" w:eastAsia="zh-CN"/>
              </w:rPr>
              <w:t>.</w:t>
            </w:r>
            <w:r>
              <w:rPr>
                <w:rFonts w:hint="eastAsia"/>
                <w:color w:val="auto"/>
                <w:spacing w:val="-2"/>
                <w:kern w:val="0"/>
                <w:sz w:val="24"/>
                <w:szCs w:val="24"/>
              </w:rPr>
              <w:t>生产经营过程中</w:t>
            </w:r>
            <w:r>
              <w:rPr>
                <w:rFonts w:hint="eastAsia"/>
                <w:color w:val="auto"/>
                <w:spacing w:val="-2"/>
                <w:kern w:val="0"/>
                <w:sz w:val="24"/>
                <w:szCs w:val="24"/>
                <w:lang w:val="en-US" w:eastAsia="zh-CN"/>
              </w:rPr>
              <w:t>产生的</w:t>
            </w:r>
            <w:r>
              <w:rPr>
                <w:rFonts w:hint="eastAsia"/>
                <w:color w:val="auto"/>
                <w:sz w:val="24"/>
                <w:szCs w:val="24"/>
                <w:lang w:val="en-US" w:eastAsia="zh-CN"/>
              </w:rPr>
              <w:t>废包装、废包材</w:t>
            </w:r>
            <w:r>
              <w:rPr>
                <w:rFonts w:hint="eastAsia"/>
                <w:color w:val="auto"/>
                <w:spacing w:val="-2"/>
                <w:kern w:val="0"/>
                <w:sz w:val="24"/>
                <w:szCs w:val="24"/>
                <w:highlight w:val="none"/>
                <w:lang w:val="en-US" w:eastAsia="zh-CN"/>
              </w:rPr>
              <w:t>等一般工业固废</w:t>
            </w:r>
            <w:r>
              <w:rPr>
                <w:rFonts w:hint="eastAsia"/>
                <w:color w:val="auto"/>
                <w:spacing w:val="-2"/>
                <w:kern w:val="0"/>
                <w:sz w:val="24"/>
                <w:szCs w:val="24"/>
                <w:highlight w:val="none"/>
              </w:rPr>
              <w:t>等在厂区内</w:t>
            </w:r>
            <w:r>
              <w:rPr>
                <w:rFonts w:hint="eastAsia"/>
                <w:color w:val="auto"/>
                <w:spacing w:val="-2"/>
                <w:kern w:val="0"/>
                <w:sz w:val="24"/>
                <w:szCs w:val="24"/>
                <w:highlight w:val="none"/>
                <w:lang w:val="en-US" w:eastAsia="zh-CN"/>
              </w:rPr>
              <w:t>新建的1座占地面积约20m</w:t>
            </w:r>
            <w:r>
              <w:rPr>
                <w:rFonts w:hint="eastAsia"/>
                <w:color w:val="auto"/>
                <w:spacing w:val="-2"/>
                <w:kern w:val="0"/>
                <w:sz w:val="24"/>
                <w:szCs w:val="24"/>
                <w:highlight w:val="none"/>
                <w:vertAlign w:val="superscript"/>
                <w:lang w:val="en-US" w:eastAsia="zh-CN"/>
              </w:rPr>
              <w:t>2</w:t>
            </w:r>
            <w:r>
              <w:rPr>
                <w:rFonts w:hint="eastAsia"/>
                <w:color w:val="auto"/>
                <w:spacing w:val="-2"/>
                <w:kern w:val="0"/>
                <w:sz w:val="24"/>
                <w:szCs w:val="24"/>
                <w:highlight w:val="none"/>
                <w:lang w:val="en-US" w:eastAsia="zh-CN"/>
              </w:rPr>
              <w:t>的一般工业固废间</w:t>
            </w:r>
            <w:r>
              <w:rPr>
                <w:rFonts w:hint="eastAsia"/>
                <w:color w:val="auto"/>
                <w:spacing w:val="-2"/>
                <w:kern w:val="0"/>
                <w:sz w:val="24"/>
                <w:szCs w:val="24"/>
                <w:highlight w:val="none"/>
              </w:rPr>
              <w:t>暂存</w:t>
            </w:r>
            <w:r>
              <w:rPr>
                <w:rFonts w:hint="eastAsia"/>
                <w:color w:val="auto"/>
                <w:spacing w:val="-2"/>
                <w:kern w:val="0"/>
                <w:sz w:val="24"/>
                <w:szCs w:val="24"/>
                <w:highlight w:val="none"/>
                <w:lang w:eastAsia="zh-CN"/>
              </w:rPr>
              <w:t>，</w:t>
            </w:r>
            <w:r>
              <w:rPr>
                <w:rFonts w:hint="eastAsia"/>
                <w:color w:val="auto"/>
                <w:sz w:val="24"/>
                <w:szCs w:val="24"/>
                <w:highlight w:val="none"/>
                <w:lang w:val="en-US" w:eastAsia="zh-CN"/>
              </w:rPr>
              <w:t>废包装、废包材</w:t>
            </w:r>
            <w:r>
              <w:rPr>
                <w:rFonts w:hint="eastAsia"/>
                <w:color w:val="auto"/>
                <w:spacing w:val="-2"/>
                <w:kern w:val="0"/>
                <w:sz w:val="24"/>
                <w:szCs w:val="24"/>
                <w:highlight w:val="none"/>
                <w:lang w:val="en-US" w:eastAsia="zh-CN"/>
              </w:rPr>
              <w:t>定期外售物资部门综合利用，</w:t>
            </w:r>
            <w:r>
              <w:rPr>
                <w:rFonts w:hint="eastAsia"/>
                <w:color w:val="auto"/>
                <w:sz w:val="24"/>
                <w:szCs w:val="24"/>
                <w:highlight w:val="none"/>
                <w:lang w:val="en-US" w:eastAsia="zh-CN"/>
              </w:rPr>
              <w:t>废塑料边角料、不合格塑料半成品粉碎后回用于塑料制品生产，（粉碎工序）布袋除尘器粉尘经分类收集后回用于塑料制品生产</w:t>
            </w:r>
            <w:r>
              <w:rPr>
                <w:rFonts w:hint="eastAsia"/>
                <w:color w:val="auto"/>
                <w:spacing w:val="-2"/>
                <w:kern w:val="0"/>
                <w:sz w:val="24"/>
                <w:szCs w:val="24"/>
                <w:highlight w:val="none"/>
              </w:rPr>
              <w:t>；</w:t>
            </w:r>
          </w:p>
          <w:p w14:paraId="46B4E32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left"/>
              <w:textAlignment w:val="auto"/>
              <w:rPr>
                <w:rFonts w:hint="eastAsia"/>
                <w:color w:val="auto"/>
                <w:spacing w:val="-2"/>
                <w:kern w:val="0"/>
                <w:sz w:val="24"/>
                <w:szCs w:val="24"/>
              </w:rPr>
            </w:pPr>
            <w:r>
              <w:rPr>
                <w:rFonts w:hint="eastAsia"/>
                <w:color w:val="auto"/>
                <w:spacing w:val="-2"/>
                <w:kern w:val="0"/>
                <w:sz w:val="24"/>
                <w:szCs w:val="24"/>
                <w:highlight w:val="none"/>
              </w:rPr>
              <w:t>2</w:t>
            </w:r>
            <w:r>
              <w:rPr>
                <w:rFonts w:hint="eastAsia"/>
                <w:color w:val="auto"/>
                <w:spacing w:val="-2"/>
                <w:kern w:val="0"/>
                <w:sz w:val="24"/>
                <w:szCs w:val="24"/>
                <w:highlight w:val="none"/>
                <w:lang w:val="en-US" w:eastAsia="zh-CN"/>
              </w:rPr>
              <w:t>.厂房1F西部设置1座</w:t>
            </w:r>
            <w:r>
              <w:rPr>
                <w:rFonts w:hint="eastAsia"/>
                <w:color w:val="auto"/>
                <w:spacing w:val="-2"/>
                <w:kern w:val="0"/>
                <w:sz w:val="24"/>
                <w:szCs w:val="24"/>
                <w:highlight w:val="none"/>
              </w:rPr>
              <w:t>危废暂存间，占地面积</w:t>
            </w:r>
            <w:r>
              <w:rPr>
                <w:rFonts w:hint="eastAsia"/>
                <w:color w:val="auto"/>
                <w:spacing w:val="-2"/>
                <w:kern w:val="0"/>
                <w:sz w:val="24"/>
                <w:szCs w:val="24"/>
                <w:highlight w:val="none"/>
                <w:lang w:val="en-US" w:eastAsia="zh-CN"/>
              </w:rPr>
              <w:t>10</w:t>
            </w:r>
            <w:r>
              <w:rPr>
                <w:rFonts w:hint="eastAsia"/>
                <w:color w:val="auto"/>
                <w:spacing w:val="-2"/>
                <w:kern w:val="0"/>
                <w:sz w:val="24"/>
                <w:szCs w:val="24"/>
                <w:highlight w:val="none"/>
              </w:rPr>
              <w:t>m</w:t>
            </w:r>
            <w:r>
              <w:rPr>
                <w:rFonts w:hint="eastAsia"/>
                <w:color w:val="auto"/>
                <w:spacing w:val="-2"/>
                <w:kern w:val="0"/>
                <w:sz w:val="24"/>
                <w:szCs w:val="24"/>
                <w:highlight w:val="none"/>
                <w:vertAlign w:val="superscript"/>
              </w:rPr>
              <w:t>2</w:t>
            </w:r>
            <w:r>
              <w:rPr>
                <w:rFonts w:hint="eastAsia"/>
                <w:color w:val="auto"/>
                <w:spacing w:val="-2"/>
                <w:kern w:val="0"/>
                <w:sz w:val="24"/>
                <w:szCs w:val="24"/>
                <w:highlight w:val="none"/>
              </w:rPr>
              <w:t>。生产经营过程中产生的</w:t>
            </w:r>
            <w:r>
              <w:rPr>
                <w:rFonts w:hint="eastAsia"/>
                <w:color w:val="auto"/>
                <w:sz w:val="24"/>
                <w:szCs w:val="24"/>
                <w:highlight w:val="none"/>
                <w:lang w:val="en-US" w:eastAsia="zh-CN"/>
              </w:rPr>
              <w:t>废活性炭、废机油、废油桶及废弃劳保用品</w:t>
            </w:r>
            <w:r>
              <w:rPr>
                <w:rFonts w:hint="eastAsia"/>
                <w:color w:val="auto"/>
                <w:spacing w:val="-2"/>
                <w:kern w:val="0"/>
                <w:sz w:val="24"/>
                <w:szCs w:val="24"/>
                <w:highlight w:val="none"/>
              </w:rPr>
              <w:t>收集后于危废暂存间暂存，并委托有资质单位定期处理处置。</w:t>
            </w:r>
          </w:p>
        </w:tc>
      </w:tr>
      <w:tr w14:paraId="0153C95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69" w:type="dxa"/>
            <w:tcBorders>
              <w:left w:val="single" w:color="000000" w:sz="6" w:space="0"/>
            </w:tcBorders>
            <w:vAlign w:val="center"/>
          </w:tcPr>
          <w:p w14:paraId="563AA1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kern w:val="0"/>
                <w:sz w:val="24"/>
                <w:szCs w:val="24"/>
              </w:rPr>
            </w:pPr>
            <w:r>
              <w:rPr>
                <w:rFonts w:hint="eastAsia"/>
                <w:color w:val="auto"/>
                <w:kern w:val="0"/>
                <w:sz w:val="24"/>
                <w:szCs w:val="24"/>
              </w:rPr>
              <w:t>土壤及地下水防治措施</w:t>
            </w:r>
          </w:p>
        </w:tc>
        <w:tc>
          <w:tcPr>
            <w:tcW w:w="7748" w:type="dxa"/>
            <w:gridSpan w:val="4"/>
            <w:tcBorders>
              <w:right w:val="single" w:color="000000" w:sz="6" w:space="0"/>
            </w:tcBorders>
            <w:vAlign w:val="center"/>
          </w:tcPr>
          <w:p w14:paraId="037B48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left"/>
              <w:textAlignment w:val="auto"/>
              <w:rPr>
                <w:rFonts w:hint="default" w:hAnsi="宋体"/>
                <w:color w:val="auto"/>
                <w:sz w:val="24"/>
                <w:szCs w:val="24"/>
              </w:rPr>
            </w:pPr>
            <w:r>
              <w:rPr>
                <w:rFonts w:hint="eastAsia" w:hAnsi="宋体"/>
                <w:color w:val="auto"/>
                <w:sz w:val="24"/>
                <w:szCs w:val="24"/>
              </w:rPr>
              <w:t>1</w:t>
            </w:r>
            <w:r>
              <w:rPr>
                <w:rFonts w:hint="eastAsia" w:hAnsi="宋体"/>
                <w:color w:val="auto"/>
                <w:sz w:val="24"/>
                <w:szCs w:val="24"/>
                <w:lang w:val="en-US" w:eastAsia="zh-CN"/>
              </w:rPr>
              <w:t>.</w:t>
            </w:r>
            <w:r>
              <w:rPr>
                <w:rFonts w:hint="eastAsia" w:hAnsi="宋体"/>
                <w:color w:val="auto"/>
                <w:sz w:val="24"/>
                <w:szCs w:val="24"/>
              </w:rPr>
              <w:t>重点防渗区：主要为</w:t>
            </w:r>
            <w:r>
              <w:rPr>
                <w:rFonts w:hint="eastAsia"/>
                <w:color w:val="auto"/>
                <w:sz w:val="24"/>
                <w:szCs w:val="24"/>
              </w:rPr>
              <w:t>危废暂存间、</w:t>
            </w:r>
            <w:r>
              <w:rPr>
                <w:rFonts w:hint="eastAsia"/>
                <w:color w:val="auto"/>
                <w:sz w:val="24"/>
                <w:szCs w:val="24"/>
                <w:lang w:val="en-US" w:eastAsia="zh-CN"/>
              </w:rPr>
              <w:t>化学品库</w:t>
            </w:r>
            <w:r>
              <w:rPr>
                <w:rFonts w:hint="eastAsia" w:hAnsi="宋体"/>
                <w:color w:val="auto"/>
                <w:sz w:val="24"/>
                <w:szCs w:val="24"/>
              </w:rPr>
              <w:t>。重点防渗区的防渗技术要求：等效黏土防渗层</w:t>
            </w:r>
            <w:r>
              <w:rPr>
                <w:rFonts w:hint="default"/>
                <w:color w:val="auto"/>
                <w:sz w:val="24"/>
                <w:szCs w:val="24"/>
              </w:rPr>
              <w:t>Mb≥</w:t>
            </w:r>
            <w:r>
              <w:rPr>
                <w:rFonts w:hint="eastAsia"/>
                <w:color w:val="auto"/>
                <w:sz w:val="24"/>
                <w:szCs w:val="24"/>
              </w:rPr>
              <w:t>1.0</w:t>
            </w:r>
            <w:r>
              <w:rPr>
                <w:rFonts w:hint="default"/>
                <w:color w:val="auto"/>
                <w:sz w:val="24"/>
                <w:szCs w:val="24"/>
              </w:rPr>
              <w:t>m</w:t>
            </w:r>
            <w:r>
              <w:rPr>
                <w:rFonts w:hint="eastAsia" w:hAnsi="宋体"/>
                <w:color w:val="auto"/>
                <w:sz w:val="24"/>
                <w:szCs w:val="24"/>
              </w:rPr>
              <w:t>，</w:t>
            </w:r>
            <w:r>
              <w:rPr>
                <w:rFonts w:hint="default"/>
                <w:color w:val="auto"/>
                <w:sz w:val="24"/>
                <w:szCs w:val="24"/>
              </w:rPr>
              <w:t>K≤10</w:t>
            </w:r>
            <w:r>
              <w:rPr>
                <w:rFonts w:hint="default"/>
                <w:color w:val="auto"/>
                <w:sz w:val="24"/>
                <w:szCs w:val="24"/>
                <w:vertAlign w:val="superscript"/>
              </w:rPr>
              <w:t>-7</w:t>
            </w:r>
            <w:r>
              <w:rPr>
                <w:rFonts w:hint="default"/>
                <w:color w:val="auto"/>
                <w:sz w:val="24"/>
                <w:szCs w:val="24"/>
              </w:rPr>
              <w:t>cm/s</w:t>
            </w:r>
            <w:r>
              <w:rPr>
                <w:rFonts w:hint="eastAsia" w:hAnsi="宋体"/>
                <w:color w:val="auto"/>
                <w:sz w:val="24"/>
                <w:szCs w:val="24"/>
              </w:rPr>
              <w:t>或参照《危险废物贮存污染控制标准》（</w:t>
            </w:r>
            <w:r>
              <w:rPr>
                <w:rFonts w:hint="default"/>
                <w:color w:val="auto"/>
                <w:sz w:val="24"/>
                <w:szCs w:val="24"/>
              </w:rPr>
              <w:t>GB18597-20</w:t>
            </w:r>
            <w:r>
              <w:rPr>
                <w:rFonts w:hint="eastAsia"/>
                <w:color w:val="auto"/>
                <w:sz w:val="24"/>
                <w:szCs w:val="24"/>
              </w:rPr>
              <w:t>23</w:t>
            </w:r>
            <w:r>
              <w:rPr>
                <w:rFonts w:hint="eastAsia" w:hAnsi="宋体"/>
                <w:color w:val="auto"/>
                <w:sz w:val="24"/>
                <w:szCs w:val="24"/>
              </w:rPr>
              <w:t>）中相关要求。采用</w:t>
            </w:r>
            <w:r>
              <w:rPr>
                <w:rFonts w:hint="eastAsia" w:hAnsi="宋体"/>
                <w:color w:val="auto"/>
                <w:sz w:val="24"/>
                <w:szCs w:val="24"/>
                <w:lang w:val="en-US" w:eastAsia="zh-CN"/>
              </w:rPr>
              <w:t>250mm厚</w:t>
            </w:r>
            <w:r>
              <w:rPr>
                <w:rFonts w:hint="eastAsia" w:hAnsi="宋体"/>
                <w:color w:val="auto"/>
                <w:sz w:val="24"/>
                <w:szCs w:val="24"/>
              </w:rPr>
              <w:t>抗渗混凝土防渗+涂抹2mm厚的环氧树脂防渗层。</w:t>
            </w:r>
          </w:p>
          <w:p w14:paraId="6818572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left"/>
              <w:textAlignment w:val="auto"/>
              <w:rPr>
                <w:rFonts w:hint="default"/>
                <w:color w:val="auto"/>
                <w:sz w:val="24"/>
                <w:szCs w:val="24"/>
              </w:rPr>
            </w:pPr>
            <w:r>
              <w:rPr>
                <w:rFonts w:hint="eastAsia" w:hAnsi="宋体"/>
                <w:color w:val="auto"/>
                <w:kern w:val="0"/>
                <w:sz w:val="24"/>
                <w:szCs w:val="24"/>
              </w:rPr>
              <w:t>2</w:t>
            </w:r>
            <w:r>
              <w:rPr>
                <w:rFonts w:hint="eastAsia" w:hAnsi="宋体"/>
                <w:color w:val="auto"/>
                <w:kern w:val="0"/>
                <w:sz w:val="24"/>
                <w:szCs w:val="24"/>
                <w:lang w:val="en-US" w:eastAsia="zh-CN"/>
              </w:rPr>
              <w:t>.</w:t>
            </w:r>
            <w:r>
              <w:rPr>
                <w:rFonts w:hint="eastAsia" w:hAnsi="宋体"/>
                <w:color w:val="auto"/>
                <w:kern w:val="0"/>
                <w:sz w:val="24"/>
                <w:szCs w:val="24"/>
              </w:rPr>
              <w:t>一般防渗区：生产区域、原材料存放区、包材区、配电房及一般工业固废间</w:t>
            </w:r>
            <w:r>
              <w:rPr>
                <w:rFonts w:hint="eastAsia" w:hAnsi="宋体"/>
                <w:color w:val="auto"/>
                <w:kern w:val="0"/>
                <w:sz w:val="24"/>
                <w:szCs w:val="24"/>
                <w:lang w:val="en-US" w:eastAsia="zh-CN"/>
              </w:rPr>
              <w:t>等</w:t>
            </w:r>
            <w:r>
              <w:rPr>
                <w:rFonts w:hint="default"/>
                <w:color w:val="auto"/>
                <w:sz w:val="24"/>
                <w:szCs w:val="24"/>
                <w:lang w:val="zh-CN"/>
              </w:rPr>
              <w:t>除重点防渗区以外的生产厂房其他区域</w:t>
            </w:r>
            <w:r>
              <w:rPr>
                <w:rFonts w:hint="eastAsia" w:hAnsi="宋体"/>
                <w:color w:val="auto"/>
                <w:kern w:val="0"/>
                <w:sz w:val="24"/>
                <w:szCs w:val="24"/>
              </w:rPr>
              <w:t>均设为一般防渗区。一般防渗区的防渗技术要求：等效黏土防渗层</w:t>
            </w:r>
            <w:r>
              <w:rPr>
                <w:rFonts w:hint="default"/>
                <w:color w:val="auto"/>
                <w:kern w:val="0"/>
                <w:sz w:val="24"/>
                <w:szCs w:val="24"/>
              </w:rPr>
              <w:t>Mb≥1.5m</w:t>
            </w:r>
            <w:r>
              <w:rPr>
                <w:rFonts w:hint="eastAsia" w:hAnsi="宋体"/>
                <w:color w:val="auto"/>
                <w:kern w:val="0"/>
                <w:sz w:val="24"/>
                <w:szCs w:val="24"/>
              </w:rPr>
              <w:t>，</w:t>
            </w:r>
            <w:r>
              <w:rPr>
                <w:rFonts w:hint="default"/>
                <w:color w:val="auto"/>
                <w:kern w:val="0"/>
                <w:sz w:val="24"/>
                <w:szCs w:val="24"/>
              </w:rPr>
              <w:t>K≤10</w:t>
            </w:r>
            <w:r>
              <w:rPr>
                <w:rFonts w:hint="default"/>
                <w:color w:val="auto"/>
                <w:kern w:val="0"/>
                <w:sz w:val="24"/>
                <w:szCs w:val="24"/>
                <w:vertAlign w:val="superscript"/>
              </w:rPr>
              <w:t>-7</w:t>
            </w:r>
            <w:r>
              <w:rPr>
                <w:rFonts w:hint="default"/>
                <w:color w:val="auto"/>
                <w:kern w:val="0"/>
                <w:sz w:val="24"/>
                <w:szCs w:val="24"/>
              </w:rPr>
              <w:t>cm/s</w:t>
            </w:r>
            <w:r>
              <w:rPr>
                <w:rFonts w:hint="eastAsia" w:hAnsi="宋体"/>
                <w:color w:val="auto"/>
                <w:sz w:val="24"/>
                <w:szCs w:val="24"/>
              </w:rPr>
              <w:t>或参照</w:t>
            </w:r>
            <w:r>
              <w:rPr>
                <w:rFonts w:hint="eastAsia" w:ascii="宋体" w:hAnsi="宋体"/>
                <w:color w:val="auto"/>
                <w:sz w:val="24"/>
                <w:szCs w:val="24"/>
              </w:rPr>
              <w:t>《一般工业固体废物贮存和填埋污染控制标准》（</w:t>
            </w:r>
            <w:r>
              <w:rPr>
                <w:rFonts w:hint="default"/>
                <w:color w:val="auto"/>
                <w:sz w:val="24"/>
                <w:szCs w:val="24"/>
              </w:rPr>
              <w:t>GB18599-2020</w:t>
            </w:r>
            <w:r>
              <w:rPr>
                <w:rFonts w:hint="eastAsia" w:ascii="宋体" w:hAnsi="宋体"/>
                <w:color w:val="auto"/>
                <w:sz w:val="24"/>
                <w:szCs w:val="24"/>
              </w:rPr>
              <w:t>）中相关要求</w:t>
            </w:r>
            <w:r>
              <w:rPr>
                <w:rFonts w:hint="eastAsia" w:hAnsi="宋体"/>
                <w:color w:val="auto"/>
                <w:kern w:val="0"/>
                <w:sz w:val="24"/>
                <w:szCs w:val="24"/>
              </w:rPr>
              <w:t>。采用</w:t>
            </w:r>
            <w:r>
              <w:rPr>
                <w:rFonts w:hint="eastAsia" w:hAnsi="宋体"/>
                <w:color w:val="auto"/>
                <w:kern w:val="0"/>
                <w:sz w:val="24"/>
                <w:szCs w:val="24"/>
                <w:lang w:val="en-US" w:eastAsia="zh-CN"/>
              </w:rPr>
              <w:t>250mm厚</w:t>
            </w:r>
            <w:r>
              <w:rPr>
                <w:rFonts w:hint="eastAsia" w:hAnsi="宋体"/>
                <w:color w:val="auto"/>
                <w:sz w:val="24"/>
                <w:szCs w:val="24"/>
              </w:rPr>
              <w:t>抗渗混凝土防渗。</w:t>
            </w:r>
          </w:p>
        </w:tc>
      </w:tr>
      <w:tr w14:paraId="2E12620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69" w:type="dxa"/>
            <w:tcBorders>
              <w:left w:val="single" w:color="000000" w:sz="6" w:space="0"/>
            </w:tcBorders>
            <w:vAlign w:val="center"/>
          </w:tcPr>
          <w:p w14:paraId="3070E7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kern w:val="0"/>
                <w:sz w:val="24"/>
                <w:szCs w:val="24"/>
              </w:rPr>
            </w:pPr>
            <w:r>
              <w:rPr>
                <w:rFonts w:hint="eastAsia"/>
                <w:color w:val="auto"/>
                <w:kern w:val="0"/>
                <w:sz w:val="24"/>
                <w:szCs w:val="24"/>
              </w:rPr>
              <w:t>生态保护措施</w:t>
            </w:r>
          </w:p>
        </w:tc>
        <w:tc>
          <w:tcPr>
            <w:tcW w:w="7748" w:type="dxa"/>
            <w:gridSpan w:val="4"/>
            <w:tcBorders>
              <w:right w:val="single" w:color="000000" w:sz="6" w:space="0"/>
            </w:tcBorders>
            <w:vAlign w:val="center"/>
          </w:tcPr>
          <w:p w14:paraId="4C9AB5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textAlignment w:val="auto"/>
              <w:rPr>
                <w:rFonts w:hint="default"/>
                <w:color w:val="auto"/>
                <w:sz w:val="24"/>
                <w:szCs w:val="24"/>
              </w:rPr>
            </w:pPr>
            <w:r>
              <w:rPr>
                <w:rFonts w:hint="default"/>
                <w:color w:val="auto"/>
                <w:sz w:val="24"/>
                <w:szCs w:val="24"/>
              </w:rPr>
              <w:t>本</w:t>
            </w:r>
            <w:r>
              <w:rPr>
                <w:rFonts w:hint="eastAsia"/>
                <w:color w:val="auto"/>
                <w:sz w:val="24"/>
                <w:szCs w:val="24"/>
              </w:rPr>
              <w:t>项目所处区域无</w:t>
            </w:r>
            <w:r>
              <w:rPr>
                <w:rFonts w:hint="eastAsia"/>
                <w:color w:val="auto"/>
                <w:sz w:val="24"/>
                <w:szCs w:val="24"/>
                <w:lang w:bidi="en-US"/>
              </w:rPr>
              <w:t>自然保护区、风景名胜区、饮用水水源保护区和其他需要特别保护的区域等</w:t>
            </w:r>
            <w:r>
              <w:rPr>
                <w:rFonts w:hint="eastAsia"/>
                <w:color w:val="auto"/>
                <w:sz w:val="24"/>
                <w:szCs w:val="24"/>
              </w:rPr>
              <w:t>等，不属于生态保护红线管控的区域。</w:t>
            </w:r>
          </w:p>
        </w:tc>
      </w:tr>
      <w:tr w14:paraId="670FEBD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69" w:type="dxa"/>
            <w:tcBorders>
              <w:left w:val="single" w:color="000000" w:sz="6" w:space="0"/>
            </w:tcBorders>
            <w:vAlign w:val="center"/>
          </w:tcPr>
          <w:p w14:paraId="6E530A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kern w:val="0"/>
                <w:sz w:val="24"/>
                <w:szCs w:val="24"/>
              </w:rPr>
            </w:pPr>
            <w:r>
              <w:rPr>
                <w:rFonts w:hint="eastAsia"/>
                <w:color w:val="auto"/>
                <w:kern w:val="0"/>
                <w:sz w:val="24"/>
                <w:szCs w:val="24"/>
              </w:rPr>
              <w:t>环境风险防范</w:t>
            </w:r>
          </w:p>
        </w:tc>
        <w:tc>
          <w:tcPr>
            <w:tcW w:w="7748" w:type="dxa"/>
            <w:gridSpan w:val="4"/>
            <w:tcBorders>
              <w:right w:val="single" w:color="000000" w:sz="6" w:space="0"/>
            </w:tcBorders>
            <w:vAlign w:val="center"/>
          </w:tcPr>
          <w:p w14:paraId="520DB8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color w:val="auto"/>
                <w:sz w:val="24"/>
                <w:szCs w:val="24"/>
              </w:rPr>
            </w:pPr>
            <w:r>
              <w:rPr>
                <w:rFonts w:hint="default"/>
                <w:color w:val="auto"/>
                <w:sz w:val="24"/>
                <w:szCs w:val="24"/>
              </w:rPr>
              <w:t>1</w:t>
            </w:r>
            <w:r>
              <w:rPr>
                <w:rFonts w:hint="eastAsia" w:hAnsi="宋体"/>
                <w:color w:val="auto"/>
                <w:sz w:val="24"/>
                <w:szCs w:val="24"/>
                <w:lang w:val="en-US" w:eastAsia="zh-CN"/>
              </w:rPr>
              <w:t>.</w:t>
            </w:r>
            <w:r>
              <w:rPr>
                <w:rFonts w:hint="eastAsia" w:hAnsi="宋体"/>
                <w:color w:val="auto"/>
                <w:sz w:val="24"/>
                <w:szCs w:val="24"/>
              </w:rPr>
              <w:t>按照国家和地方规定，</w:t>
            </w:r>
            <w:r>
              <w:rPr>
                <w:rFonts w:hint="eastAsia" w:hAnsi="宋体"/>
                <w:color w:val="auto"/>
                <w:sz w:val="24"/>
                <w:szCs w:val="24"/>
                <w:lang w:val="en-US" w:eastAsia="zh-CN"/>
              </w:rPr>
              <w:t>编制</w:t>
            </w:r>
            <w:r>
              <w:rPr>
                <w:rFonts w:hint="eastAsia" w:hAnsi="宋体"/>
                <w:color w:val="auto"/>
                <w:sz w:val="24"/>
                <w:szCs w:val="24"/>
              </w:rPr>
              <w:t>企业突发环境事件应急预案，并报</w:t>
            </w:r>
            <w:r>
              <w:rPr>
                <w:rFonts w:hint="eastAsia" w:hAnsi="宋体"/>
                <w:color w:val="auto"/>
                <w:sz w:val="24"/>
                <w:szCs w:val="24"/>
                <w:lang w:val="en-US" w:eastAsia="zh-CN"/>
              </w:rPr>
              <w:t>当地生态</w:t>
            </w:r>
            <w:r>
              <w:rPr>
                <w:rFonts w:hint="eastAsia" w:hAnsi="宋体"/>
                <w:color w:val="auto"/>
                <w:sz w:val="24"/>
                <w:szCs w:val="24"/>
              </w:rPr>
              <w:t>环境部门备案</w:t>
            </w:r>
            <w:r>
              <w:rPr>
                <w:rFonts w:hint="default" w:hAnsi="宋体"/>
                <w:color w:val="auto"/>
                <w:sz w:val="24"/>
                <w:szCs w:val="24"/>
              </w:rPr>
              <w:t>；</w:t>
            </w:r>
          </w:p>
          <w:p w14:paraId="13349DD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color w:val="auto"/>
                <w:sz w:val="24"/>
                <w:szCs w:val="24"/>
              </w:rPr>
            </w:pPr>
            <w:r>
              <w:rPr>
                <w:rFonts w:hint="default"/>
                <w:color w:val="auto"/>
                <w:sz w:val="24"/>
                <w:szCs w:val="24"/>
              </w:rPr>
              <w:t>2</w:t>
            </w:r>
            <w:r>
              <w:rPr>
                <w:rFonts w:hint="eastAsia" w:hAnsi="宋体"/>
                <w:color w:val="auto"/>
                <w:sz w:val="24"/>
                <w:szCs w:val="24"/>
                <w:lang w:val="en-US" w:eastAsia="zh-CN"/>
              </w:rPr>
              <w:t>.</w:t>
            </w:r>
            <w:r>
              <w:rPr>
                <w:rFonts w:hint="eastAsia" w:hAnsi="宋体"/>
                <w:color w:val="auto"/>
                <w:sz w:val="24"/>
                <w:szCs w:val="24"/>
              </w:rPr>
              <w:t>危废暂存间要有专人定期巡查检查。一旦出现</w:t>
            </w:r>
            <w:r>
              <w:rPr>
                <w:rFonts w:hint="eastAsia" w:hAnsi="宋体"/>
                <w:color w:val="auto"/>
                <w:sz w:val="24"/>
                <w:szCs w:val="24"/>
                <w:lang w:val="en-US" w:eastAsia="zh-CN"/>
              </w:rPr>
              <w:t>危险物质</w:t>
            </w:r>
            <w:r>
              <w:rPr>
                <w:rFonts w:hint="eastAsia" w:hAnsi="宋体"/>
                <w:color w:val="auto"/>
                <w:sz w:val="24"/>
                <w:szCs w:val="24"/>
              </w:rPr>
              <w:t>泄漏、火灾及环保治理设施故障等环境事件，立即启动相应突发环境事件应急预案，按照事件的大小进行相应的处置，控制环境事件的发生和发展，避免产生二次灾害和环境污染</w:t>
            </w:r>
            <w:r>
              <w:rPr>
                <w:rFonts w:hint="default"/>
                <w:color w:val="auto"/>
                <w:sz w:val="24"/>
                <w:szCs w:val="24"/>
              </w:rPr>
              <w:t>；</w:t>
            </w:r>
          </w:p>
          <w:p w14:paraId="7A40DA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eastAsia" w:hAnsi="宋体"/>
                <w:color w:val="auto"/>
                <w:sz w:val="24"/>
                <w:szCs w:val="24"/>
              </w:rPr>
            </w:pPr>
            <w:r>
              <w:rPr>
                <w:rFonts w:hint="eastAsia" w:hAnsi="宋体"/>
                <w:color w:val="auto"/>
                <w:sz w:val="24"/>
                <w:szCs w:val="24"/>
              </w:rPr>
              <w:t>3</w:t>
            </w:r>
            <w:r>
              <w:rPr>
                <w:rFonts w:hint="eastAsia" w:hAnsi="宋体"/>
                <w:color w:val="auto"/>
                <w:sz w:val="24"/>
                <w:szCs w:val="24"/>
                <w:lang w:val="en-US" w:eastAsia="zh-CN"/>
              </w:rPr>
              <w:t>.</w:t>
            </w:r>
            <w:r>
              <w:rPr>
                <w:rFonts w:hint="eastAsia" w:hAnsi="宋体"/>
                <w:color w:val="auto"/>
                <w:sz w:val="24"/>
                <w:szCs w:val="24"/>
              </w:rPr>
              <w:t>保证设备的正常运行，同时对其它涉及到的运行部位经常进行检查、维修，保证其正常运转。一旦发生系统失效，应立即停止设备运行，通知厂家进行维修，维修正常后再行运行。</w:t>
            </w:r>
          </w:p>
          <w:p w14:paraId="457A797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eastAsia" w:hAnsi="宋体"/>
                <w:color w:val="auto"/>
                <w:sz w:val="24"/>
                <w:szCs w:val="24"/>
              </w:rPr>
            </w:pPr>
            <w:r>
              <w:rPr>
                <w:rFonts w:hint="eastAsia" w:hAnsi="宋体"/>
                <w:color w:val="auto"/>
                <w:sz w:val="24"/>
                <w:szCs w:val="24"/>
              </w:rPr>
              <w:t>4</w:t>
            </w:r>
            <w:r>
              <w:rPr>
                <w:rFonts w:hint="eastAsia" w:hAnsi="宋体"/>
                <w:color w:val="auto"/>
                <w:sz w:val="24"/>
                <w:szCs w:val="24"/>
                <w:lang w:val="en-US" w:eastAsia="zh-CN"/>
              </w:rPr>
              <w:t>.</w:t>
            </w:r>
            <w:r>
              <w:rPr>
                <w:rFonts w:hint="eastAsia" w:hAnsi="宋体"/>
                <w:color w:val="auto"/>
                <w:sz w:val="24"/>
                <w:szCs w:val="24"/>
              </w:rPr>
              <w:t>做好厂区日常环境风险应急措施和演练工作，确保事故状态下，厂区风险应急体系能够有效运转。</w:t>
            </w:r>
          </w:p>
          <w:p w14:paraId="4D57A4F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color w:val="auto"/>
                <w:sz w:val="24"/>
                <w:szCs w:val="24"/>
              </w:rPr>
            </w:pPr>
            <w:r>
              <w:rPr>
                <w:rFonts w:hint="eastAsia" w:hAnsi="宋体"/>
                <w:color w:val="auto"/>
                <w:sz w:val="24"/>
                <w:szCs w:val="24"/>
              </w:rPr>
              <w:t>5</w:t>
            </w:r>
            <w:r>
              <w:rPr>
                <w:rFonts w:hint="eastAsia" w:hAnsi="宋体"/>
                <w:color w:val="auto"/>
                <w:sz w:val="24"/>
                <w:szCs w:val="24"/>
                <w:lang w:val="en-US" w:eastAsia="zh-CN"/>
              </w:rPr>
              <w:t>.</w:t>
            </w:r>
            <w:r>
              <w:rPr>
                <w:rFonts w:hint="eastAsia" w:hAnsi="宋体"/>
                <w:color w:val="auto"/>
                <w:sz w:val="24"/>
                <w:szCs w:val="24"/>
              </w:rPr>
              <w:t>危险废物由专人负责收集、贮存及运输，采取</w:t>
            </w:r>
            <w:r>
              <w:rPr>
                <w:rFonts w:hint="eastAsia" w:hAnsi="宋体"/>
                <w:color w:val="auto"/>
                <w:sz w:val="24"/>
                <w:szCs w:val="24"/>
                <w:lang w:val="en-US" w:eastAsia="zh-CN"/>
              </w:rPr>
              <w:t>有效</w:t>
            </w:r>
            <w:r>
              <w:rPr>
                <w:rFonts w:hint="eastAsia" w:hAnsi="宋体"/>
                <w:color w:val="auto"/>
                <w:sz w:val="24"/>
                <w:szCs w:val="24"/>
              </w:rPr>
              <w:t>技术和管理措施</w:t>
            </w:r>
            <w:r>
              <w:rPr>
                <w:rFonts w:hint="eastAsia" w:hAnsi="宋体"/>
                <w:color w:val="auto"/>
                <w:sz w:val="24"/>
                <w:szCs w:val="24"/>
                <w:lang w:eastAsia="zh-CN"/>
              </w:rPr>
              <w:t>，</w:t>
            </w:r>
            <w:r>
              <w:rPr>
                <w:rFonts w:hint="eastAsia" w:hAnsi="宋体"/>
                <w:color w:val="auto"/>
                <w:sz w:val="24"/>
                <w:szCs w:val="24"/>
              </w:rPr>
              <w:t>防止无关人员进入。</w:t>
            </w:r>
          </w:p>
        </w:tc>
      </w:tr>
      <w:tr w14:paraId="41E1AFB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69" w:type="dxa"/>
            <w:tcBorders>
              <w:left w:val="single" w:color="000000" w:sz="6" w:space="0"/>
            </w:tcBorders>
            <w:vAlign w:val="center"/>
          </w:tcPr>
          <w:p w14:paraId="53D896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color w:val="auto"/>
                <w:kern w:val="0"/>
                <w:sz w:val="24"/>
                <w:szCs w:val="24"/>
              </w:rPr>
            </w:pPr>
            <w:r>
              <w:rPr>
                <w:rFonts w:hint="eastAsia"/>
                <w:color w:val="auto"/>
                <w:kern w:val="0"/>
                <w:sz w:val="24"/>
                <w:szCs w:val="24"/>
              </w:rPr>
              <w:t>其他</w:t>
            </w:r>
            <w:r>
              <w:rPr>
                <w:rFonts w:hint="default"/>
                <w:color w:val="auto"/>
                <w:kern w:val="0"/>
                <w:sz w:val="24"/>
                <w:szCs w:val="24"/>
              </w:rPr>
              <w:t>环境管理要求</w:t>
            </w:r>
          </w:p>
        </w:tc>
        <w:tc>
          <w:tcPr>
            <w:tcW w:w="7748" w:type="dxa"/>
            <w:gridSpan w:val="4"/>
            <w:tcBorders>
              <w:right w:val="single" w:color="000000" w:sz="6" w:space="0"/>
            </w:tcBorders>
            <w:vAlign w:val="center"/>
          </w:tcPr>
          <w:p w14:paraId="7F74B51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eastAsia" w:hAnsi="宋体"/>
                <w:color w:val="auto"/>
                <w:sz w:val="24"/>
                <w:szCs w:val="24"/>
                <w:lang w:val="en-US" w:eastAsia="zh-CN"/>
              </w:rPr>
            </w:pPr>
            <w:r>
              <w:rPr>
                <w:rFonts w:hint="eastAsia" w:hAnsi="宋体"/>
                <w:color w:val="auto"/>
                <w:sz w:val="24"/>
                <w:szCs w:val="24"/>
                <w:lang w:val="en-US" w:eastAsia="zh-CN"/>
              </w:rPr>
              <w:t>项目需遵守下列要求：</w:t>
            </w:r>
          </w:p>
          <w:p w14:paraId="6EB1BA7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eastAsia" w:hAnsi="宋体"/>
                <w:color w:val="auto"/>
                <w:sz w:val="24"/>
                <w:szCs w:val="24"/>
                <w:lang w:val="en-US" w:eastAsia="zh-CN"/>
              </w:rPr>
            </w:pPr>
            <w:r>
              <w:rPr>
                <w:rFonts w:hint="eastAsia" w:hAnsi="宋体"/>
                <w:color w:val="auto"/>
                <w:sz w:val="24"/>
                <w:szCs w:val="24"/>
                <w:lang w:val="en-US" w:eastAsia="zh-CN"/>
              </w:rPr>
              <w:t>1.在实际排污之前，应根据《排污许可管理办法》《排污许可管理条例》《固定污染源排污许可分类管理名录》依法申请排污许可。</w:t>
            </w:r>
          </w:p>
          <w:p w14:paraId="7D5E418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eastAsia" w:hAnsi="宋体"/>
                <w:color w:val="auto"/>
                <w:sz w:val="24"/>
                <w:szCs w:val="24"/>
                <w:lang w:val="en-US" w:eastAsia="zh-CN"/>
              </w:rPr>
            </w:pPr>
            <w:r>
              <w:rPr>
                <w:rFonts w:hint="eastAsia" w:hAnsi="宋体"/>
                <w:color w:val="auto"/>
                <w:sz w:val="24"/>
                <w:szCs w:val="24"/>
                <w:lang w:val="en-US" w:eastAsia="zh-CN"/>
              </w:rPr>
              <w:t>2.项目建设必须严格执行配套的环境保护设施与主体工程同时设计、同时施工、同时投产使用的环境保护“三同时”制度。</w:t>
            </w:r>
          </w:p>
          <w:p w14:paraId="27C9478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color w:val="auto"/>
                <w:sz w:val="24"/>
                <w:szCs w:val="24"/>
              </w:rPr>
            </w:pPr>
            <w:r>
              <w:rPr>
                <w:rFonts w:hint="eastAsia" w:hAnsi="宋体"/>
                <w:color w:val="auto"/>
                <w:sz w:val="24"/>
                <w:szCs w:val="24"/>
              </w:rPr>
              <w:t>3</w:t>
            </w:r>
            <w:r>
              <w:rPr>
                <w:rFonts w:hint="eastAsia" w:hAnsi="宋体"/>
                <w:color w:val="auto"/>
                <w:sz w:val="24"/>
                <w:szCs w:val="24"/>
                <w:lang w:val="en-US" w:eastAsia="zh-CN"/>
              </w:rPr>
              <w:t>.</w:t>
            </w:r>
            <w:r>
              <w:rPr>
                <w:rFonts w:hint="eastAsia" w:hAnsi="宋体"/>
                <w:color w:val="auto"/>
                <w:sz w:val="24"/>
                <w:szCs w:val="24"/>
              </w:rPr>
              <w:t>项目实际的生产地点、主要生产单元、生产工艺、生产设施、污染防治设施应与排污许可证相符，实际情况与排污许可证载明的规模、参数等信息基本相符。所有有组织排放口个数、类别、排放方式和去向等与排污许可证载明信息一致。</w:t>
            </w:r>
          </w:p>
          <w:p w14:paraId="36DE29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color w:val="auto"/>
                <w:sz w:val="24"/>
                <w:szCs w:val="24"/>
              </w:rPr>
            </w:pPr>
            <w:r>
              <w:rPr>
                <w:rFonts w:hint="eastAsia" w:hAnsi="宋体"/>
                <w:color w:val="auto"/>
                <w:sz w:val="24"/>
                <w:szCs w:val="24"/>
              </w:rPr>
              <w:t>4</w:t>
            </w:r>
            <w:r>
              <w:rPr>
                <w:rFonts w:hint="eastAsia" w:hAnsi="宋体"/>
                <w:color w:val="auto"/>
                <w:sz w:val="24"/>
                <w:szCs w:val="24"/>
                <w:lang w:val="en-US" w:eastAsia="zh-CN"/>
              </w:rPr>
              <w:t>.</w:t>
            </w:r>
            <w:r>
              <w:rPr>
                <w:rFonts w:hint="eastAsia" w:hAnsi="宋体"/>
                <w:color w:val="auto"/>
                <w:sz w:val="24"/>
                <w:szCs w:val="24"/>
              </w:rPr>
              <w:t>企业应强化对环保设施运行监督、管理的职能，建立全厂完善的环保设施运行、维护、维修等技术档案，以及加强对环保设施操作人员的技术培训，确保环保设施处于正常运行情况，污染物排放连续达标。</w:t>
            </w:r>
          </w:p>
          <w:p w14:paraId="416F9C5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eastAsia" w:hAnsi="宋体"/>
                <w:color w:val="auto"/>
                <w:sz w:val="24"/>
                <w:szCs w:val="24"/>
              </w:rPr>
            </w:pPr>
            <w:r>
              <w:rPr>
                <w:rFonts w:hint="eastAsia" w:hAnsi="宋体"/>
                <w:color w:val="auto"/>
                <w:sz w:val="24"/>
                <w:szCs w:val="24"/>
              </w:rPr>
              <w:t>5</w:t>
            </w:r>
            <w:r>
              <w:rPr>
                <w:rFonts w:hint="eastAsia" w:hAnsi="宋体"/>
                <w:color w:val="auto"/>
                <w:sz w:val="24"/>
                <w:szCs w:val="24"/>
                <w:lang w:val="en-US" w:eastAsia="zh-CN"/>
              </w:rPr>
              <w:t>.</w:t>
            </w:r>
            <w:r>
              <w:rPr>
                <w:rFonts w:hint="eastAsia" w:hAnsi="宋体"/>
                <w:color w:val="auto"/>
                <w:sz w:val="24"/>
                <w:szCs w:val="24"/>
              </w:rPr>
              <w:t>企业</w:t>
            </w:r>
            <w:r>
              <w:rPr>
                <w:rFonts w:hint="eastAsia" w:hAnsi="宋体"/>
                <w:color w:val="auto"/>
                <w:sz w:val="24"/>
                <w:szCs w:val="24"/>
                <w:lang w:val="en-US" w:eastAsia="zh-CN"/>
              </w:rPr>
              <w:t>可</w:t>
            </w:r>
            <w:r>
              <w:rPr>
                <w:rFonts w:hint="eastAsia" w:hAnsi="宋体"/>
                <w:color w:val="auto"/>
                <w:sz w:val="24"/>
                <w:szCs w:val="24"/>
              </w:rPr>
              <w:t>参照</w:t>
            </w:r>
            <w:r>
              <w:rPr>
                <w:rFonts w:hint="eastAsia"/>
                <w:color w:val="auto"/>
                <w:sz w:val="24"/>
                <w:szCs w:val="24"/>
                <w:lang w:val="en-US" w:eastAsia="zh-CN"/>
              </w:rPr>
              <w:t>《排污单位自行监测技术指南 总则》（HJ819-2017）、《排污单位自行监测技术指南 橡胶和塑料制品》（HJ1207-2021）</w:t>
            </w:r>
            <w:r>
              <w:rPr>
                <w:rFonts w:hint="eastAsia" w:hAnsi="宋体"/>
                <w:color w:val="auto"/>
                <w:sz w:val="24"/>
                <w:szCs w:val="24"/>
              </w:rPr>
              <w:t>中的要求</w:t>
            </w:r>
            <w:r>
              <w:rPr>
                <w:rFonts w:hint="eastAsia" w:hAnsi="宋体"/>
                <w:color w:val="auto"/>
                <w:sz w:val="24"/>
                <w:szCs w:val="24"/>
                <w:lang w:val="en-US" w:eastAsia="zh-CN"/>
              </w:rPr>
              <w:t>按需开展</w:t>
            </w:r>
            <w:r>
              <w:rPr>
                <w:rFonts w:hint="eastAsia" w:hAnsi="宋体"/>
                <w:color w:val="auto"/>
                <w:sz w:val="24"/>
                <w:szCs w:val="24"/>
              </w:rPr>
              <w:t>运营期自行监测计划，主动公开项目环评文件和验收报告，接受社会监督。</w:t>
            </w:r>
          </w:p>
          <w:p w14:paraId="36B0B2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40CDBFC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01BFD4A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618E48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0055E1A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6085CC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5C1512B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49C17DA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5178FD4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66AB4D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423334B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5503878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53ED02F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7292980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31E924F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7247DB2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008470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421DA4F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7EC4807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098F8E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6A96A9F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5DB34D8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1DD667C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3B79465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0FBAF60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58DBFF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12826F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color w:val="auto"/>
                <w:sz w:val="24"/>
                <w:szCs w:val="24"/>
              </w:rPr>
            </w:pPr>
          </w:p>
          <w:p w14:paraId="4B6382A3">
            <w:pPr>
              <w:keepNext w:val="0"/>
              <w:keepLines w:val="0"/>
              <w:suppressLineNumbers w:val="0"/>
              <w:spacing w:before="0" w:beforeAutospacing="0" w:after="0" w:afterAutospacing="0"/>
              <w:ind w:left="0" w:right="0"/>
              <w:rPr>
                <w:rFonts w:hint="eastAsia"/>
              </w:rPr>
            </w:pPr>
          </w:p>
        </w:tc>
      </w:tr>
    </w:tbl>
    <w:p w14:paraId="764C7D2D">
      <w:pPr>
        <w:widowControl/>
        <w:outlineLvl w:val="0"/>
        <w:rPr>
          <w:b/>
          <w:bCs/>
          <w:color w:val="auto"/>
          <w:kern w:val="0"/>
          <w:sz w:val="24"/>
          <w:szCs w:val="24"/>
        </w:rPr>
        <w:sectPr>
          <w:pgSz w:w="11906" w:h="16838"/>
          <w:pgMar w:top="1440" w:right="1508" w:bottom="1440" w:left="1797" w:header="851" w:footer="992" w:gutter="0"/>
          <w:pgBorders>
            <w:top w:val="none" w:sz="0" w:space="0"/>
            <w:left w:val="none" w:sz="0" w:space="0"/>
            <w:bottom w:val="none" w:sz="0" w:space="0"/>
            <w:right w:val="none" w:sz="0" w:space="0"/>
          </w:pgBorders>
          <w:cols w:space="720" w:num="1"/>
          <w:docGrid w:type="lines" w:linePitch="312" w:charSpace="0"/>
        </w:sectPr>
      </w:pPr>
    </w:p>
    <w:p w14:paraId="7069B354">
      <w:pPr>
        <w:widowControl/>
        <w:jc w:val="center"/>
        <w:outlineLvl w:val="0"/>
        <w:rPr>
          <w:rFonts w:ascii="宋体" w:hAnsi="宋体"/>
          <w:b/>
          <w:bCs/>
          <w:color w:val="auto"/>
          <w:kern w:val="0"/>
          <w:sz w:val="30"/>
          <w:szCs w:val="30"/>
        </w:rPr>
      </w:pPr>
      <w:r>
        <w:rPr>
          <w:rFonts w:hint="eastAsia" w:ascii="宋体" w:hAnsi="宋体"/>
          <w:b/>
          <w:bCs/>
          <w:color w:val="auto"/>
          <w:kern w:val="0"/>
          <w:sz w:val="30"/>
          <w:szCs w:val="30"/>
        </w:rPr>
        <w:t>六、结论</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817"/>
      </w:tblGrid>
      <w:tr w14:paraId="38999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70" w:hRule="atLeast"/>
        </w:trPr>
        <w:tc>
          <w:tcPr>
            <w:tcW w:w="8817" w:type="dxa"/>
          </w:tcPr>
          <w:p w14:paraId="7A36E42C">
            <w:pPr>
              <w:keepNext w:val="0"/>
              <w:keepLines w:val="0"/>
              <w:suppressLineNumbers w:val="0"/>
              <w:spacing w:before="0" w:beforeAutospacing="0" w:after="0" w:afterAutospacing="0" w:line="360" w:lineRule="auto"/>
              <w:ind w:left="0" w:right="0" w:firstLine="480" w:firstLineChars="200"/>
              <w:jc w:val="left"/>
              <w:rPr>
                <w:rFonts w:hint="default" w:hAnsi="宋体"/>
                <w:color w:val="auto"/>
                <w:sz w:val="24"/>
              </w:rPr>
            </w:pPr>
            <w:r>
              <w:rPr>
                <w:rFonts w:hint="default" w:hAnsi="宋体"/>
                <w:color w:val="auto"/>
                <w:sz w:val="24"/>
              </w:rPr>
              <w:t>综上所述，本项目符合国家产业政策，符合当地规划，选址可行。项目</w:t>
            </w:r>
            <w:r>
              <w:rPr>
                <w:rFonts w:hint="eastAsia" w:hAnsi="宋体"/>
                <w:color w:val="auto"/>
                <w:sz w:val="24"/>
              </w:rPr>
              <w:t>施工期和</w:t>
            </w:r>
            <w:r>
              <w:rPr>
                <w:rFonts w:hint="default" w:hAnsi="宋体"/>
                <w:color w:val="auto"/>
                <w:sz w:val="24"/>
              </w:rPr>
              <w:t>营运期产生的各类污染对区域环境质量会产生一定影响，但只要认真落实各项环境保护措施，各类污染物均可实现达标排放，并且不会对周围环境产生显著影响，不会造成区域环境功能级别的改变。</w:t>
            </w:r>
          </w:p>
          <w:p w14:paraId="6758CAE1">
            <w:pPr>
              <w:keepNext w:val="0"/>
              <w:keepLines w:val="0"/>
              <w:suppressLineNumbers w:val="0"/>
              <w:spacing w:before="0" w:beforeAutospacing="0" w:after="0" w:afterAutospacing="0" w:line="360" w:lineRule="auto"/>
              <w:ind w:left="0" w:right="0" w:firstLine="480" w:firstLineChars="200"/>
              <w:jc w:val="left"/>
              <w:rPr>
                <w:rFonts w:hint="default" w:hAnsi="宋体"/>
                <w:color w:val="auto"/>
                <w:sz w:val="24"/>
              </w:rPr>
            </w:pPr>
            <w:r>
              <w:rPr>
                <w:rFonts w:hint="default" w:hAnsi="宋体"/>
                <w:color w:val="auto"/>
                <w:sz w:val="24"/>
              </w:rPr>
              <w:t>因此，从环</w:t>
            </w:r>
            <w:r>
              <w:rPr>
                <w:rFonts w:hint="eastAsia" w:hAnsi="宋体"/>
                <w:color w:val="auto"/>
                <w:sz w:val="24"/>
              </w:rPr>
              <w:t>境保护</w:t>
            </w:r>
            <w:r>
              <w:rPr>
                <w:rFonts w:hint="default" w:hAnsi="宋体"/>
                <w:color w:val="auto"/>
                <w:sz w:val="24"/>
              </w:rPr>
              <w:t>角度考虑，该项目的建设是可行的。</w:t>
            </w:r>
          </w:p>
        </w:tc>
      </w:tr>
    </w:tbl>
    <w:p w14:paraId="35E8316C">
      <w:pPr>
        <w:bidi w:val="0"/>
        <w:rPr>
          <w:color w:val="auto"/>
        </w:rPr>
        <w:sectPr>
          <w:pgSz w:w="11906" w:h="16838"/>
          <w:pgMar w:top="1440" w:right="1508" w:bottom="1440" w:left="1797" w:header="851" w:footer="992" w:gutter="0"/>
          <w:pgBorders>
            <w:top w:val="none" w:sz="0" w:space="0"/>
            <w:left w:val="none" w:sz="0" w:space="0"/>
            <w:bottom w:val="none" w:sz="0" w:space="0"/>
            <w:right w:val="none" w:sz="0" w:space="0"/>
          </w:pgBorders>
          <w:cols w:space="720" w:num="1"/>
          <w:docGrid w:type="lines" w:linePitch="312" w:charSpace="0"/>
        </w:sectPr>
      </w:pPr>
    </w:p>
    <w:p w14:paraId="34F024E6">
      <w:pPr>
        <w:spacing w:line="379" w:lineRule="exact"/>
        <w:ind w:left="111"/>
        <w:rPr>
          <w:rFonts w:ascii="宋体" w:hAnsi="宋体" w:cs="黑体"/>
          <w:b/>
          <w:color w:val="auto"/>
          <w:sz w:val="30"/>
          <w:szCs w:val="30"/>
        </w:rPr>
      </w:pPr>
      <w:r>
        <w:rPr>
          <w:rFonts w:ascii="宋体" w:hAnsi="宋体" w:cs="黑体"/>
          <w:b/>
          <w:color w:val="auto"/>
          <w:sz w:val="30"/>
          <w:szCs w:val="30"/>
        </w:rPr>
        <w:t>附表</w:t>
      </w:r>
    </w:p>
    <w:p w14:paraId="46336450">
      <w:pPr>
        <w:spacing w:line="360" w:lineRule="auto"/>
        <w:jc w:val="center"/>
        <w:rPr>
          <w:rFonts w:ascii="宋体" w:hAnsi="宋体" w:cs="微软雅黑"/>
          <w:color w:val="auto"/>
          <w:sz w:val="30"/>
          <w:szCs w:val="30"/>
        </w:rPr>
      </w:pPr>
      <w:r>
        <w:rPr>
          <w:rFonts w:ascii="宋体" w:hAnsi="宋体" w:cs="微软雅黑"/>
          <w:color w:val="auto"/>
          <w:sz w:val="30"/>
          <w:szCs w:val="30"/>
        </w:rPr>
        <w:t>建设项目污染物排放量汇总表</w:t>
      </w:r>
    </w:p>
    <w:tbl>
      <w:tblPr>
        <w:tblStyle w:val="37"/>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54"/>
        <w:gridCol w:w="712"/>
        <w:gridCol w:w="1012"/>
        <w:gridCol w:w="1301"/>
        <w:gridCol w:w="1310"/>
        <w:gridCol w:w="1660"/>
        <w:gridCol w:w="1725"/>
        <w:gridCol w:w="1517"/>
        <w:gridCol w:w="1660"/>
        <w:gridCol w:w="1863"/>
      </w:tblGrid>
      <w:tr w14:paraId="235DDE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47" w:type="pct"/>
            <w:tcBorders>
              <w:tl2br w:val="single" w:color="auto" w:sz="4" w:space="0"/>
            </w:tcBorders>
            <w:tcMar>
              <w:left w:w="28" w:type="dxa"/>
              <w:right w:w="28" w:type="dxa"/>
            </w:tcMar>
            <w:vAlign w:val="center"/>
          </w:tcPr>
          <w:p w14:paraId="0F8B9AE9">
            <w:pPr>
              <w:pStyle w:val="162"/>
              <w:keepNext w:val="0"/>
              <w:keepLines w:val="0"/>
              <w:suppressLineNumbers w:val="0"/>
              <w:spacing w:before="0" w:beforeAutospacing="0" w:after="0" w:afterAutospacing="0" w:line="360" w:lineRule="auto"/>
              <w:ind w:left="0" w:right="0"/>
              <w:jc w:val="right"/>
              <w:rPr>
                <w:rFonts w:hint="default" w:ascii="Times New Roman" w:hAnsi="Times New Roman" w:cs="Times New Roman"/>
                <w:snapToGrid w:val="0"/>
                <w:color w:val="auto"/>
                <w:spacing w:val="-6"/>
                <w:kern w:val="21"/>
                <w:sz w:val="24"/>
                <w:szCs w:val="24"/>
              </w:rPr>
            </w:pPr>
            <w:r>
              <w:rPr>
                <w:rFonts w:hint="default" w:ascii="Times New Roman" w:hAnsi="Times New Roman" w:cs="Times New Roman"/>
                <w:snapToGrid w:val="0"/>
                <w:color w:val="auto"/>
                <w:spacing w:val="-6"/>
                <w:kern w:val="21"/>
                <w:sz w:val="24"/>
                <w:szCs w:val="24"/>
              </w:rPr>
              <w:t>项目</w:t>
            </w:r>
          </w:p>
          <w:p w14:paraId="7171BACC">
            <w:pPr>
              <w:pStyle w:val="162"/>
              <w:keepNext w:val="0"/>
              <w:keepLines w:val="0"/>
              <w:suppressLineNumbers w:val="0"/>
              <w:spacing w:before="0" w:beforeAutospacing="0" w:after="0" w:afterAutospacing="0" w:line="360" w:lineRule="auto"/>
              <w:ind w:left="0" w:right="0"/>
              <w:jc w:val="left"/>
              <w:rPr>
                <w:rFonts w:hint="default" w:ascii="Times New Roman" w:hAnsi="Times New Roman" w:cs="Times New Roman"/>
                <w:snapToGrid w:val="0"/>
                <w:color w:val="auto"/>
                <w:spacing w:val="-6"/>
                <w:kern w:val="21"/>
                <w:sz w:val="24"/>
                <w:szCs w:val="24"/>
              </w:rPr>
            </w:pPr>
            <w:r>
              <w:rPr>
                <w:rFonts w:hint="default" w:ascii="Times New Roman" w:hAnsi="Times New Roman" w:cs="Times New Roman"/>
                <w:snapToGrid w:val="0"/>
                <w:color w:val="auto"/>
                <w:spacing w:val="-6"/>
                <w:kern w:val="21"/>
                <w:sz w:val="24"/>
                <w:szCs w:val="24"/>
              </w:rPr>
              <w:t>分类</w:t>
            </w:r>
          </w:p>
        </w:tc>
        <w:tc>
          <w:tcPr>
            <w:tcW w:w="615" w:type="pct"/>
            <w:gridSpan w:val="2"/>
            <w:tcMar>
              <w:left w:w="28" w:type="dxa"/>
              <w:right w:w="28" w:type="dxa"/>
            </w:tcMar>
            <w:vAlign w:val="center"/>
          </w:tcPr>
          <w:p w14:paraId="0978A03C">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spacing w:val="-6"/>
                <w:kern w:val="21"/>
                <w:sz w:val="24"/>
                <w:szCs w:val="24"/>
              </w:rPr>
            </w:pPr>
            <w:r>
              <w:rPr>
                <w:rFonts w:hint="default" w:ascii="Times New Roman" w:hAnsi="Times New Roman" w:cs="Times New Roman"/>
                <w:snapToGrid w:val="0"/>
                <w:color w:val="auto"/>
                <w:spacing w:val="-6"/>
                <w:kern w:val="21"/>
                <w:sz w:val="24"/>
                <w:szCs w:val="24"/>
              </w:rPr>
              <w:t>污染物名称</w:t>
            </w:r>
          </w:p>
        </w:tc>
        <w:tc>
          <w:tcPr>
            <w:tcW w:w="464" w:type="pct"/>
            <w:tcMar>
              <w:left w:w="28" w:type="dxa"/>
              <w:right w:w="28" w:type="dxa"/>
            </w:tcMar>
            <w:vAlign w:val="center"/>
          </w:tcPr>
          <w:p w14:paraId="443112E3">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spacing w:val="-6"/>
                <w:kern w:val="21"/>
                <w:sz w:val="24"/>
                <w:szCs w:val="24"/>
              </w:rPr>
            </w:pPr>
            <w:r>
              <w:rPr>
                <w:rFonts w:hint="default" w:ascii="Times New Roman" w:hAnsi="Times New Roman" w:cs="Times New Roman"/>
                <w:snapToGrid w:val="0"/>
                <w:color w:val="auto"/>
                <w:spacing w:val="-6"/>
                <w:kern w:val="21"/>
                <w:sz w:val="24"/>
                <w:szCs w:val="24"/>
              </w:rPr>
              <w:t>现有工程</w:t>
            </w:r>
          </w:p>
          <w:p w14:paraId="0C245048">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spacing w:val="-6"/>
                <w:kern w:val="21"/>
                <w:sz w:val="24"/>
                <w:szCs w:val="24"/>
              </w:rPr>
            </w:pPr>
            <w:r>
              <w:rPr>
                <w:rFonts w:hint="default" w:ascii="Times New Roman" w:hAnsi="Times New Roman" w:cs="Times New Roman"/>
                <w:snapToGrid w:val="0"/>
                <w:color w:val="auto"/>
                <w:spacing w:val="-6"/>
                <w:kern w:val="21"/>
                <w:sz w:val="24"/>
                <w:szCs w:val="24"/>
              </w:rPr>
              <w:t>排放量（固体废物产生量）</w:t>
            </w:r>
            <w:r>
              <w:rPr>
                <w:rFonts w:hint="default" w:ascii="Times New Roman" w:hAnsi="Times New Roman" w:cs="Times New Roman"/>
                <w:snapToGrid w:val="0"/>
                <w:color w:val="auto"/>
                <w:spacing w:val="-6"/>
                <w:kern w:val="21"/>
                <w:sz w:val="24"/>
                <w:szCs w:val="24"/>
              </w:rPr>
              <w:fldChar w:fldCharType="begin"/>
            </w:r>
            <w:r>
              <w:rPr>
                <w:rFonts w:hint="default" w:ascii="Times New Roman" w:hAnsi="Times New Roman" w:cs="Times New Roman"/>
                <w:snapToGrid w:val="0"/>
                <w:color w:val="auto"/>
                <w:spacing w:val="-6"/>
                <w:kern w:val="21"/>
                <w:sz w:val="24"/>
                <w:szCs w:val="24"/>
              </w:rPr>
              <w:instrText xml:space="preserve"> = 1 \* GB3 \* MERGEFORMAT </w:instrText>
            </w:r>
            <w:r>
              <w:rPr>
                <w:rFonts w:hint="default" w:ascii="Times New Roman" w:hAnsi="Times New Roman" w:cs="Times New Roman"/>
                <w:snapToGrid w:val="0"/>
                <w:color w:val="auto"/>
                <w:spacing w:val="-6"/>
                <w:kern w:val="21"/>
                <w:sz w:val="24"/>
                <w:szCs w:val="24"/>
              </w:rPr>
              <w:fldChar w:fldCharType="separate"/>
            </w:r>
            <w:r>
              <w:rPr>
                <w:rFonts w:hint="default" w:ascii="Times New Roman" w:hAnsi="Times New Roman" w:cs="Times New Roman"/>
                <w:color w:val="auto"/>
                <w:sz w:val="24"/>
                <w:szCs w:val="24"/>
              </w:rPr>
              <w:t>①</w:t>
            </w:r>
            <w:r>
              <w:rPr>
                <w:rFonts w:hint="default" w:ascii="Times New Roman" w:hAnsi="Times New Roman" w:cs="Times New Roman"/>
                <w:snapToGrid w:val="0"/>
                <w:color w:val="auto"/>
                <w:spacing w:val="-6"/>
                <w:kern w:val="21"/>
                <w:sz w:val="24"/>
                <w:szCs w:val="24"/>
              </w:rPr>
              <w:fldChar w:fldCharType="end"/>
            </w:r>
          </w:p>
        </w:tc>
        <w:tc>
          <w:tcPr>
            <w:tcW w:w="467" w:type="pct"/>
            <w:tcMar>
              <w:left w:w="28" w:type="dxa"/>
              <w:right w:w="28" w:type="dxa"/>
            </w:tcMar>
            <w:vAlign w:val="center"/>
          </w:tcPr>
          <w:p w14:paraId="101E0983">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spacing w:val="-6"/>
                <w:kern w:val="21"/>
                <w:sz w:val="24"/>
                <w:szCs w:val="24"/>
              </w:rPr>
            </w:pPr>
            <w:r>
              <w:rPr>
                <w:rFonts w:hint="default" w:ascii="Times New Roman" w:hAnsi="Times New Roman" w:cs="Times New Roman"/>
                <w:snapToGrid w:val="0"/>
                <w:color w:val="auto"/>
                <w:spacing w:val="-6"/>
                <w:kern w:val="21"/>
                <w:sz w:val="24"/>
                <w:szCs w:val="24"/>
              </w:rPr>
              <w:t>现有工程</w:t>
            </w:r>
          </w:p>
          <w:p w14:paraId="278A4555">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spacing w:val="-6"/>
                <w:kern w:val="21"/>
                <w:sz w:val="24"/>
                <w:szCs w:val="24"/>
              </w:rPr>
            </w:pPr>
            <w:r>
              <w:rPr>
                <w:rFonts w:hint="default" w:ascii="Times New Roman" w:hAnsi="Times New Roman" w:cs="Times New Roman"/>
                <w:snapToGrid w:val="0"/>
                <w:color w:val="auto"/>
                <w:spacing w:val="-6"/>
                <w:kern w:val="21"/>
                <w:sz w:val="24"/>
                <w:szCs w:val="24"/>
              </w:rPr>
              <w:t>许可排放量</w:t>
            </w:r>
          </w:p>
          <w:p w14:paraId="022E6B70">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spacing w:val="-6"/>
                <w:kern w:val="21"/>
                <w:sz w:val="24"/>
                <w:szCs w:val="24"/>
              </w:rPr>
            </w:pPr>
            <w:r>
              <w:rPr>
                <w:rFonts w:hint="default" w:ascii="Times New Roman" w:hAnsi="Times New Roman" w:cs="Times New Roman"/>
                <w:snapToGrid w:val="0"/>
                <w:color w:val="auto"/>
                <w:spacing w:val="-6"/>
                <w:kern w:val="21"/>
                <w:sz w:val="24"/>
                <w:szCs w:val="24"/>
              </w:rPr>
              <w:fldChar w:fldCharType="begin"/>
            </w:r>
            <w:r>
              <w:rPr>
                <w:rFonts w:hint="default" w:ascii="Times New Roman" w:hAnsi="Times New Roman" w:cs="Times New Roman"/>
                <w:snapToGrid w:val="0"/>
                <w:color w:val="auto"/>
                <w:spacing w:val="-6"/>
                <w:kern w:val="21"/>
                <w:sz w:val="24"/>
                <w:szCs w:val="24"/>
              </w:rPr>
              <w:instrText xml:space="preserve"> = 2 \* GB3 \* MERGEFORMAT </w:instrText>
            </w:r>
            <w:r>
              <w:rPr>
                <w:rFonts w:hint="default" w:ascii="Times New Roman" w:hAnsi="Times New Roman" w:cs="Times New Roman"/>
                <w:snapToGrid w:val="0"/>
                <w:color w:val="auto"/>
                <w:spacing w:val="-6"/>
                <w:kern w:val="21"/>
                <w:sz w:val="24"/>
                <w:szCs w:val="24"/>
              </w:rPr>
              <w:fldChar w:fldCharType="separate"/>
            </w:r>
            <w:r>
              <w:rPr>
                <w:rFonts w:hint="default" w:ascii="Times New Roman" w:hAnsi="Times New Roman" w:cs="Times New Roman"/>
                <w:snapToGrid w:val="0"/>
                <w:color w:val="auto"/>
                <w:spacing w:val="-6"/>
                <w:kern w:val="21"/>
                <w:sz w:val="24"/>
                <w:szCs w:val="24"/>
              </w:rPr>
              <w:t>②</w:t>
            </w:r>
            <w:r>
              <w:rPr>
                <w:rFonts w:hint="default" w:ascii="Times New Roman" w:hAnsi="Times New Roman" w:cs="Times New Roman"/>
                <w:snapToGrid w:val="0"/>
                <w:color w:val="auto"/>
                <w:spacing w:val="-6"/>
                <w:kern w:val="21"/>
                <w:sz w:val="24"/>
                <w:szCs w:val="24"/>
              </w:rPr>
              <w:fldChar w:fldCharType="end"/>
            </w:r>
          </w:p>
        </w:tc>
        <w:tc>
          <w:tcPr>
            <w:tcW w:w="592" w:type="pct"/>
            <w:tcMar>
              <w:left w:w="28" w:type="dxa"/>
              <w:right w:w="28" w:type="dxa"/>
            </w:tcMar>
            <w:vAlign w:val="center"/>
          </w:tcPr>
          <w:p w14:paraId="34453D6A">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spacing w:val="-6"/>
                <w:kern w:val="21"/>
                <w:sz w:val="24"/>
                <w:szCs w:val="24"/>
              </w:rPr>
            </w:pPr>
            <w:r>
              <w:rPr>
                <w:rFonts w:hint="default" w:ascii="Times New Roman" w:hAnsi="Times New Roman" w:cs="Times New Roman"/>
                <w:snapToGrid w:val="0"/>
                <w:color w:val="auto"/>
                <w:spacing w:val="-6"/>
                <w:kern w:val="21"/>
                <w:sz w:val="24"/>
                <w:szCs w:val="24"/>
              </w:rPr>
              <w:t>在建工程</w:t>
            </w:r>
          </w:p>
          <w:p w14:paraId="40567664">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spacing w:val="-6"/>
                <w:kern w:val="21"/>
                <w:sz w:val="24"/>
                <w:szCs w:val="24"/>
              </w:rPr>
            </w:pPr>
            <w:r>
              <w:rPr>
                <w:rFonts w:hint="default" w:ascii="Times New Roman" w:hAnsi="Times New Roman" w:cs="Times New Roman"/>
                <w:snapToGrid w:val="0"/>
                <w:color w:val="auto"/>
                <w:spacing w:val="-6"/>
                <w:kern w:val="21"/>
                <w:sz w:val="24"/>
                <w:szCs w:val="24"/>
              </w:rPr>
              <w:t>排放量（固体废物产生量）</w:t>
            </w:r>
            <w:r>
              <w:rPr>
                <w:rFonts w:hint="default" w:ascii="Times New Roman" w:hAnsi="Times New Roman" w:cs="Times New Roman"/>
                <w:snapToGrid w:val="0"/>
                <w:color w:val="auto"/>
                <w:spacing w:val="-6"/>
                <w:kern w:val="21"/>
                <w:sz w:val="24"/>
                <w:szCs w:val="24"/>
              </w:rPr>
              <w:fldChar w:fldCharType="begin"/>
            </w:r>
            <w:r>
              <w:rPr>
                <w:rFonts w:hint="default" w:ascii="Times New Roman" w:hAnsi="Times New Roman" w:cs="Times New Roman"/>
                <w:snapToGrid w:val="0"/>
                <w:color w:val="auto"/>
                <w:spacing w:val="-6"/>
                <w:kern w:val="21"/>
                <w:sz w:val="24"/>
                <w:szCs w:val="24"/>
              </w:rPr>
              <w:instrText xml:space="preserve"> = 3 \* GB3 \* MERGEFORMAT </w:instrText>
            </w:r>
            <w:r>
              <w:rPr>
                <w:rFonts w:hint="default" w:ascii="Times New Roman" w:hAnsi="Times New Roman" w:cs="Times New Roman"/>
                <w:snapToGrid w:val="0"/>
                <w:color w:val="auto"/>
                <w:spacing w:val="-6"/>
                <w:kern w:val="21"/>
                <w:sz w:val="24"/>
                <w:szCs w:val="24"/>
              </w:rPr>
              <w:fldChar w:fldCharType="separate"/>
            </w:r>
            <w:r>
              <w:rPr>
                <w:rFonts w:hint="default" w:ascii="Times New Roman" w:hAnsi="Times New Roman" w:cs="Times New Roman"/>
                <w:color w:val="auto"/>
                <w:sz w:val="24"/>
                <w:szCs w:val="24"/>
              </w:rPr>
              <w:t>③</w:t>
            </w:r>
            <w:r>
              <w:rPr>
                <w:rFonts w:hint="default" w:ascii="Times New Roman" w:hAnsi="Times New Roman" w:cs="Times New Roman"/>
                <w:snapToGrid w:val="0"/>
                <w:color w:val="auto"/>
                <w:spacing w:val="-6"/>
                <w:kern w:val="21"/>
                <w:sz w:val="24"/>
                <w:szCs w:val="24"/>
              </w:rPr>
              <w:fldChar w:fldCharType="end"/>
            </w:r>
          </w:p>
        </w:tc>
        <w:tc>
          <w:tcPr>
            <w:tcW w:w="615" w:type="pct"/>
            <w:tcMar>
              <w:left w:w="28" w:type="dxa"/>
              <w:right w:w="28" w:type="dxa"/>
            </w:tcMar>
            <w:vAlign w:val="center"/>
          </w:tcPr>
          <w:p w14:paraId="48F4A452">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spacing w:val="-6"/>
                <w:kern w:val="21"/>
                <w:sz w:val="24"/>
                <w:szCs w:val="24"/>
              </w:rPr>
            </w:pPr>
            <w:r>
              <w:rPr>
                <w:rFonts w:hint="default" w:ascii="Times New Roman" w:hAnsi="Times New Roman" w:cs="Times New Roman"/>
                <w:snapToGrid w:val="0"/>
                <w:color w:val="auto"/>
                <w:spacing w:val="-6"/>
                <w:kern w:val="21"/>
                <w:sz w:val="24"/>
                <w:szCs w:val="24"/>
              </w:rPr>
              <w:t>本项目</w:t>
            </w:r>
          </w:p>
          <w:p w14:paraId="0983501E">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spacing w:val="-6"/>
                <w:kern w:val="21"/>
                <w:sz w:val="24"/>
                <w:szCs w:val="24"/>
              </w:rPr>
            </w:pPr>
            <w:r>
              <w:rPr>
                <w:rFonts w:hint="default" w:ascii="Times New Roman" w:hAnsi="Times New Roman" w:cs="Times New Roman"/>
                <w:snapToGrid w:val="0"/>
                <w:color w:val="auto"/>
                <w:spacing w:val="-6"/>
                <w:kern w:val="21"/>
                <w:sz w:val="24"/>
                <w:szCs w:val="24"/>
              </w:rPr>
              <w:t>排放量（固体废物产生量）</w:t>
            </w:r>
            <w:r>
              <w:rPr>
                <w:rFonts w:hint="default" w:ascii="Times New Roman" w:hAnsi="Times New Roman" w:cs="Times New Roman"/>
                <w:snapToGrid w:val="0"/>
                <w:color w:val="auto"/>
                <w:spacing w:val="-6"/>
                <w:kern w:val="21"/>
                <w:sz w:val="24"/>
                <w:szCs w:val="24"/>
              </w:rPr>
              <w:fldChar w:fldCharType="begin"/>
            </w:r>
            <w:r>
              <w:rPr>
                <w:rFonts w:hint="default" w:ascii="Times New Roman" w:hAnsi="Times New Roman" w:cs="Times New Roman"/>
                <w:snapToGrid w:val="0"/>
                <w:color w:val="auto"/>
                <w:spacing w:val="-6"/>
                <w:kern w:val="21"/>
                <w:sz w:val="24"/>
                <w:szCs w:val="24"/>
              </w:rPr>
              <w:instrText xml:space="preserve"> = 4 \* GB3 \* MERGEFORMAT </w:instrText>
            </w:r>
            <w:r>
              <w:rPr>
                <w:rFonts w:hint="default" w:ascii="Times New Roman" w:hAnsi="Times New Roman" w:cs="Times New Roman"/>
                <w:snapToGrid w:val="0"/>
                <w:color w:val="auto"/>
                <w:spacing w:val="-6"/>
                <w:kern w:val="21"/>
                <w:sz w:val="24"/>
                <w:szCs w:val="24"/>
              </w:rPr>
              <w:fldChar w:fldCharType="separate"/>
            </w:r>
            <w:r>
              <w:rPr>
                <w:rFonts w:hint="default" w:ascii="Times New Roman" w:hAnsi="Times New Roman" w:cs="Times New Roman"/>
                <w:color w:val="auto"/>
                <w:sz w:val="24"/>
                <w:szCs w:val="24"/>
              </w:rPr>
              <w:t>④</w:t>
            </w:r>
            <w:r>
              <w:rPr>
                <w:rFonts w:hint="default" w:ascii="Times New Roman" w:hAnsi="Times New Roman" w:cs="Times New Roman"/>
                <w:snapToGrid w:val="0"/>
                <w:color w:val="auto"/>
                <w:spacing w:val="-6"/>
                <w:kern w:val="21"/>
                <w:sz w:val="24"/>
                <w:szCs w:val="24"/>
              </w:rPr>
              <w:fldChar w:fldCharType="end"/>
            </w:r>
          </w:p>
        </w:tc>
        <w:tc>
          <w:tcPr>
            <w:tcW w:w="541" w:type="pct"/>
            <w:tcMar>
              <w:left w:w="28" w:type="dxa"/>
              <w:right w:w="28" w:type="dxa"/>
            </w:tcMar>
            <w:vAlign w:val="center"/>
          </w:tcPr>
          <w:p w14:paraId="3E32C52D">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spacing w:val="-16"/>
                <w:kern w:val="21"/>
                <w:sz w:val="24"/>
                <w:szCs w:val="24"/>
              </w:rPr>
            </w:pPr>
            <w:r>
              <w:rPr>
                <w:rFonts w:hint="default" w:ascii="Times New Roman" w:hAnsi="Times New Roman" w:cs="Times New Roman"/>
                <w:snapToGrid w:val="0"/>
                <w:color w:val="auto"/>
                <w:spacing w:val="-16"/>
                <w:kern w:val="21"/>
                <w:sz w:val="24"/>
                <w:szCs w:val="24"/>
              </w:rPr>
              <w:t>以新带老削减量</w:t>
            </w:r>
          </w:p>
          <w:p w14:paraId="7A9F220C">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spacing w:val="-16"/>
                <w:kern w:val="21"/>
                <w:sz w:val="24"/>
                <w:szCs w:val="24"/>
              </w:rPr>
            </w:pPr>
            <w:r>
              <w:rPr>
                <w:rFonts w:hint="default" w:ascii="Times New Roman" w:hAnsi="Times New Roman" w:cs="Times New Roman"/>
                <w:snapToGrid w:val="0"/>
                <w:color w:val="auto"/>
                <w:spacing w:val="-16"/>
                <w:kern w:val="21"/>
                <w:sz w:val="24"/>
                <w:szCs w:val="24"/>
              </w:rPr>
              <w:t>（新建项目不填）</w:t>
            </w:r>
            <w:r>
              <w:rPr>
                <w:rFonts w:hint="default" w:ascii="Times New Roman" w:hAnsi="Times New Roman" w:cs="Times New Roman"/>
                <w:snapToGrid w:val="0"/>
                <w:color w:val="auto"/>
                <w:spacing w:val="-16"/>
                <w:kern w:val="21"/>
                <w:sz w:val="24"/>
                <w:szCs w:val="24"/>
              </w:rPr>
              <w:fldChar w:fldCharType="begin"/>
            </w:r>
            <w:r>
              <w:rPr>
                <w:rFonts w:hint="default" w:ascii="Times New Roman" w:hAnsi="Times New Roman" w:cs="Times New Roman"/>
                <w:snapToGrid w:val="0"/>
                <w:color w:val="auto"/>
                <w:spacing w:val="-16"/>
                <w:kern w:val="21"/>
                <w:sz w:val="24"/>
                <w:szCs w:val="24"/>
              </w:rPr>
              <w:instrText xml:space="preserve"> = 5 \* GB3 \* MERGEFORMAT </w:instrText>
            </w:r>
            <w:r>
              <w:rPr>
                <w:rFonts w:hint="default" w:ascii="Times New Roman" w:hAnsi="Times New Roman" w:cs="Times New Roman"/>
                <w:snapToGrid w:val="0"/>
                <w:color w:val="auto"/>
                <w:spacing w:val="-16"/>
                <w:kern w:val="21"/>
                <w:sz w:val="24"/>
                <w:szCs w:val="24"/>
              </w:rPr>
              <w:fldChar w:fldCharType="separate"/>
            </w:r>
            <w:r>
              <w:rPr>
                <w:rFonts w:hint="default" w:ascii="Times New Roman" w:hAnsi="Times New Roman" w:cs="Times New Roman"/>
                <w:color w:val="auto"/>
                <w:sz w:val="24"/>
                <w:szCs w:val="24"/>
              </w:rPr>
              <w:t>⑤</w:t>
            </w:r>
            <w:r>
              <w:rPr>
                <w:rFonts w:hint="default" w:ascii="Times New Roman" w:hAnsi="Times New Roman" w:cs="Times New Roman"/>
                <w:snapToGrid w:val="0"/>
                <w:color w:val="auto"/>
                <w:spacing w:val="-16"/>
                <w:kern w:val="21"/>
                <w:sz w:val="24"/>
                <w:szCs w:val="24"/>
              </w:rPr>
              <w:fldChar w:fldCharType="end"/>
            </w:r>
          </w:p>
        </w:tc>
        <w:tc>
          <w:tcPr>
            <w:tcW w:w="592" w:type="pct"/>
            <w:tcMar>
              <w:left w:w="28" w:type="dxa"/>
              <w:right w:w="28" w:type="dxa"/>
            </w:tcMar>
            <w:vAlign w:val="center"/>
          </w:tcPr>
          <w:p w14:paraId="0DDF0D2B">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spacing w:val="-16"/>
                <w:kern w:val="21"/>
                <w:sz w:val="24"/>
                <w:szCs w:val="24"/>
              </w:rPr>
            </w:pPr>
            <w:r>
              <w:rPr>
                <w:rFonts w:hint="default" w:ascii="Times New Roman" w:hAnsi="Times New Roman" w:cs="Times New Roman"/>
                <w:snapToGrid w:val="0"/>
                <w:color w:val="auto"/>
                <w:spacing w:val="-16"/>
                <w:kern w:val="21"/>
                <w:sz w:val="24"/>
                <w:szCs w:val="24"/>
              </w:rPr>
              <w:t>本项目建成后</w:t>
            </w:r>
          </w:p>
          <w:p w14:paraId="25BB5739">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spacing w:val="-16"/>
                <w:kern w:val="21"/>
                <w:sz w:val="24"/>
                <w:szCs w:val="24"/>
              </w:rPr>
            </w:pPr>
            <w:r>
              <w:rPr>
                <w:rFonts w:hint="default" w:ascii="Times New Roman" w:hAnsi="Times New Roman" w:cs="Times New Roman"/>
                <w:snapToGrid w:val="0"/>
                <w:color w:val="auto"/>
                <w:spacing w:val="-16"/>
                <w:kern w:val="21"/>
                <w:sz w:val="24"/>
                <w:szCs w:val="24"/>
              </w:rPr>
              <w:t>全厂排放量（固体废物产生量）</w:t>
            </w:r>
            <w:r>
              <w:rPr>
                <w:rFonts w:hint="default" w:ascii="Times New Roman" w:hAnsi="Times New Roman" w:cs="Times New Roman"/>
                <w:snapToGrid w:val="0"/>
                <w:color w:val="auto"/>
                <w:spacing w:val="-16"/>
                <w:kern w:val="21"/>
                <w:sz w:val="24"/>
                <w:szCs w:val="24"/>
              </w:rPr>
              <w:fldChar w:fldCharType="begin"/>
            </w:r>
            <w:r>
              <w:rPr>
                <w:rFonts w:hint="default" w:ascii="Times New Roman" w:hAnsi="Times New Roman" w:cs="Times New Roman"/>
                <w:snapToGrid w:val="0"/>
                <w:color w:val="auto"/>
                <w:spacing w:val="-16"/>
                <w:kern w:val="21"/>
                <w:sz w:val="24"/>
                <w:szCs w:val="24"/>
              </w:rPr>
              <w:instrText xml:space="preserve"> = 6 \* GB3 \* MERGEFORMAT </w:instrText>
            </w:r>
            <w:r>
              <w:rPr>
                <w:rFonts w:hint="default" w:ascii="Times New Roman" w:hAnsi="Times New Roman" w:cs="Times New Roman"/>
                <w:snapToGrid w:val="0"/>
                <w:color w:val="auto"/>
                <w:spacing w:val="-16"/>
                <w:kern w:val="21"/>
                <w:sz w:val="24"/>
                <w:szCs w:val="24"/>
              </w:rPr>
              <w:fldChar w:fldCharType="separate"/>
            </w:r>
            <w:r>
              <w:rPr>
                <w:rFonts w:hint="default" w:ascii="Times New Roman" w:hAnsi="Times New Roman" w:cs="Times New Roman"/>
                <w:color w:val="auto"/>
                <w:sz w:val="24"/>
                <w:szCs w:val="24"/>
              </w:rPr>
              <w:t>⑥</w:t>
            </w:r>
            <w:r>
              <w:rPr>
                <w:rFonts w:hint="default" w:ascii="Times New Roman" w:hAnsi="Times New Roman" w:cs="Times New Roman"/>
                <w:snapToGrid w:val="0"/>
                <w:color w:val="auto"/>
                <w:spacing w:val="-16"/>
                <w:kern w:val="21"/>
                <w:sz w:val="24"/>
                <w:szCs w:val="24"/>
              </w:rPr>
              <w:fldChar w:fldCharType="end"/>
            </w:r>
          </w:p>
        </w:tc>
        <w:tc>
          <w:tcPr>
            <w:tcW w:w="664" w:type="pct"/>
            <w:tcMar>
              <w:left w:w="28" w:type="dxa"/>
              <w:right w:w="28" w:type="dxa"/>
            </w:tcMar>
            <w:vAlign w:val="center"/>
          </w:tcPr>
          <w:p w14:paraId="2BB6AEE1">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spacing w:val="-6"/>
                <w:kern w:val="21"/>
                <w:sz w:val="24"/>
                <w:szCs w:val="24"/>
              </w:rPr>
            </w:pPr>
            <w:r>
              <w:rPr>
                <w:rFonts w:hint="default" w:ascii="Times New Roman" w:hAnsi="Times New Roman" w:cs="Times New Roman"/>
                <w:snapToGrid w:val="0"/>
                <w:color w:val="auto"/>
                <w:spacing w:val="-6"/>
                <w:kern w:val="21"/>
                <w:sz w:val="24"/>
                <w:szCs w:val="24"/>
              </w:rPr>
              <w:t>变化量</w:t>
            </w:r>
          </w:p>
          <w:p w14:paraId="5BACB894">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spacing w:val="-6"/>
                <w:kern w:val="21"/>
                <w:sz w:val="24"/>
                <w:szCs w:val="24"/>
              </w:rPr>
            </w:pPr>
            <w:r>
              <w:rPr>
                <w:rFonts w:hint="default" w:ascii="Times New Roman" w:hAnsi="Times New Roman" w:cs="Times New Roman"/>
                <w:snapToGrid w:val="0"/>
                <w:color w:val="auto"/>
                <w:spacing w:val="-6"/>
                <w:kern w:val="21"/>
                <w:sz w:val="24"/>
                <w:szCs w:val="24"/>
              </w:rPr>
              <w:fldChar w:fldCharType="begin"/>
            </w:r>
            <w:r>
              <w:rPr>
                <w:rFonts w:hint="default" w:ascii="Times New Roman" w:hAnsi="Times New Roman" w:cs="Times New Roman"/>
                <w:snapToGrid w:val="0"/>
                <w:color w:val="auto"/>
                <w:spacing w:val="-6"/>
                <w:kern w:val="21"/>
                <w:sz w:val="24"/>
                <w:szCs w:val="24"/>
              </w:rPr>
              <w:instrText xml:space="preserve"> = 7 \* GB3 \* MERGEFORMAT </w:instrText>
            </w:r>
            <w:r>
              <w:rPr>
                <w:rFonts w:hint="default" w:ascii="Times New Roman" w:hAnsi="Times New Roman" w:cs="Times New Roman"/>
                <w:snapToGrid w:val="0"/>
                <w:color w:val="auto"/>
                <w:spacing w:val="-6"/>
                <w:kern w:val="21"/>
                <w:sz w:val="24"/>
                <w:szCs w:val="24"/>
              </w:rPr>
              <w:fldChar w:fldCharType="separate"/>
            </w:r>
            <w:r>
              <w:rPr>
                <w:rFonts w:hint="default" w:ascii="Times New Roman" w:hAnsi="Times New Roman" w:cs="Times New Roman"/>
                <w:color w:val="auto"/>
                <w:sz w:val="24"/>
                <w:szCs w:val="24"/>
              </w:rPr>
              <w:t>⑦</w:t>
            </w:r>
            <w:r>
              <w:rPr>
                <w:rFonts w:hint="default" w:ascii="Times New Roman" w:hAnsi="Times New Roman" w:cs="Times New Roman"/>
                <w:snapToGrid w:val="0"/>
                <w:color w:val="auto"/>
                <w:spacing w:val="-6"/>
                <w:kern w:val="21"/>
                <w:sz w:val="24"/>
                <w:szCs w:val="24"/>
              </w:rPr>
              <w:fldChar w:fldCharType="end"/>
            </w:r>
          </w:p>
        </w:tc>
      </w:tr>
      <w:tr w14:paraId="35BD63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47" w:type="pct"/>
            <w:vMerge w:val="restart"/>
            <w:vAlign w:val="center"/>
          </w:tcPr>
          <w:p w14:paraId="0C135BDA">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rPr>
            </w:pPr>
            <w:r>
              <w:rPr>
                <w:rFonts w:hint="default" w:ascii="Times New Roman" w:hAnsi="Times New Roman" w:cs="Times New Roman"/>
                <w:snapToGrid w:val="0"/>
                <w:color w:val="auto"/>
                <w:kern w:val="21"/>
                <w:sz w:val="24"/>
                <w:szCs w:val="24"/>
              </w:rPr>
              <w:t>废气</w:t>
            </w:r>
          </w:p>
        </w:tc>
        <w:tc>
          <w:tcPr>
            <w:tcW w:w="254" w:type="pct"/>
            <w:vMerge w:val="restart"/>
            <w:vAlign w:val="center"/>
          </w:tcPr>
          <w:p w14:paraId="36EDC171">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rPr>
            </w:pPr>
            <w:r>
              <w:rPr>
                <w:rFonts w:hint="default" w:ascii="Times New Roman" w:hAnsi="Times New Roman" w:cs="Times New Roman"/>
                <w:snapToGrid w:val="0"/>
                <w:color w:val="auto"/>
                <w:kern w:val="21"/>
                <w:sz w:val="24"/>
                <w:szCs w:val="24"/>
              </w:rPr>
              <w:t>颗粒物</w:t>
            </w:r>
          </w:p>
        </w:tc>
        <w:tc>
          <w:tcPr>
            <w:tcW w:w="361" w:type="pct"/>
            <w:vAlign w:val="center"/>
          </w:tcPr>
          <w:p w14:paraId="7C537A24">
            <w:pPr>
              <w:pStyle w:val="162"/>
              <w:keepNext w:val="0"/>
              <w:keepLines w:val="0"/>
              <w:suppressLineNumbers w:val="0"/>
              <w:spacing w:before="0" w:beforeAutospacing="0" w:after="0" w:afterAutospacing="0" w:line="360" w:lineRule="auto"/>
              <w:ind w:left="0" w:right="0"/>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cs="Times New Roman"/>
                <w:snapToGrid w:val="0"/>
                <w:color w:val="auto"/>
                <w:kern w:val="21"/>
                <w:sz w:val="24"/>
                <w:szCs w:val="24"/>
                <w:lang w:val="en-US" w:eastAsia="zh-CN"/>
              </w:rPr>
              <w:t>有组织</w:t>
            </w:r>
          </w:p>
        </w:tc>
        <w:tc>
          <w:tcPr>
            <w:tcW w:w="464" w:type="pct"/>
            <w:vAlign w:val="center"/>
          </w:tcPr>
          <w:p w14:paraId="4A1A027C">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lang w:val="en-US" w:eastAsia="zh-CN"/>
              </w:rPr>
              <w:t>/</w:t>
            </w:r>
          </w:p>
        </w:tc>
        <w:tc>
          <w:tcPr>
            <w:tcW w:w="467" w:type="pct"/>
            <w:vAlign w:val="center"/>
          </w:tcPr>
          <w:p w14:paraId="1CA9E26F">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lang w:val="en-US" w:eastAsia="zh-CN"/>
              </w:rPr>
              <w:t>/</w:t>
            </w:r>
          </w:p>
        </w:tc>
        <w:tc>
          <w:tcPr>
            <w:tcW w:w="592" w:type="pct"/>
            <w:vAlign w:val="center"/>
          </w:tcPr>
          <w:p w14:paraId="60E0CEFA">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rPr>
              <w:t>0</w:t>
            </w:r>
          </w:p>
        </w:tc>
        <w:tc>
          <w:tcPr>
            <w:tcW w:w="615" w:type="pct"/>
            <w:vAlign w:val="center"/>
          </w:tcPr>
          <w:p w14:paraId="4BA7C50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0.030</w:t>
            </w:r>
            <w:r>
              <w:rPr>
                <w:rFonts w:hint="default" w:ascii="Times New Roman" w:hAnsi="Times New Roman" w:cs="Times New Roman"/>
                <w:color w:val="auto"/>
                <w:sz w:val="24"/>
                <w:szCs w:val="24"/>
                <w:highlight w:val="none"/>
              </w:rPr>
              <w:t>t/a</w:t>
            </w:r>
          </w:p>
        </w:tc>
        <w:tc>
          <w:tcPr>
            <w:tcW w:w="541" w:type="pct"/>
            <w:vAlign w:val="center"/>
          </w:tcPr>
          <w:p w14:paraId="32FE51E9">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rPr>
              <w:t>/</w:t>
            </w:r>
          </w:p>
        </w:tc>
        <w:tc>
          <w:tcPr>
            <w:tcW w:w="592" w:type="pct"/>
            <w:vAlign w:val="center"/>
          </w:tcPr>
          <w:p w14:paraId="19F6BEBF">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0.030</w:t>
            </w:r>
            <w:r>
              <w:rPr>
                <w:rFonts w:hint="default" w:ascii="Times New Roman" w:hAnsi="Times New Roman" w:cs="Times New Roman"/>
                <w:color w:val="auto"/>
                <w:sz w:val="24"/>
                <w:szCs w:val="24"/>
                <w:highlight w:val="none"/>
              </w:rPr>
              <w:t>t/a</w:t>
            </w:r>
          </w:p>
        </w:tc>
        <w:tc>
          <w:tcPr>
            <w:tcW w:w="664" w:type="pct"/>
            <w:vAlign w:val="center"/>
          </w:tcPr>
          <w:p w14:paraId="797DDBE1">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0.030</w:t>
            </w:r>
            <w:r>
              <w:rPr>
                <w:rFonts w:hint="default" w:ascii="Times New Roman" w:hAnsi="Times New Roman" w:cs="Times New Roman"/>
                <w:color w:val="auto"/>
                <w:sz w:val="24"/>
                <w:szCs w:val="24"/>
                <w:highlight w:val="none"/>
              </w:rPr>
              <w:t>t/a</w:t>
            </w:r>
          </w:p>
        </w:tc>
      </w:tr>
      <w:tr w14:paraId="1EA7DF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47" w:type="pct"/>
            <w:vMerge w:val="continue"/>
            <w:vAlign w:val="center"/>
          </w:tcPr>
          <w:p w14:paraId="0B4657DB">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rPr>
            </w:pPr>
          </w:p>
        </w:tc>
        <w:tc>
          <w:tcPr>
            <w:tcW w:w="254" w:type="pct"/>
            <w:vMerge w:val="continue"/>
            <w:vAlign w:val="center"/>
          </w:tcPr>
          <w:p w14:paraId="4C2C3A32">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rPr>
            </w:pPr>
          </w:p>
        </w:tc>
        <w:tc>
          <w:tcPr>
            <w:tcW w:w="361" w:type="pct"/>
            <w:vAlign w:val="center"/>
          </w:tcPr>
          <w:p w14:paraId="017AD8DF">
            <w:pPr>
              <w:pStyle w:val="162"/>
              <w:keepNext w:val="0"/>
              <w:keepLines w:val="0"/>
              <w:suppressLineNumbers w:val="0"/>
              <w:spacing w:before="0" w:beforeAutospacing="0" w:after="0" w:afterAutospacing="0" w:line="360" w:lineRule="auto"/>
              <w:ind w:left="0" w:right="0"/>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cs="Times New Roman"/>
                <w:snapToGrid w:val="0"/>
                <w:color w:val="auto"/>
                <w:kern w:val="21"/>
                <w:sz w:val="24"/>
                <w:szCs w:val="24"/>
                <w:lang w:val="en-US" w:eastAsia="zh-CN"/>
              </w:rPr>
              <w:t>无组织</w:t>
            </w:r>
          </w:p>
        </w:tc>
        <w:tc>
          <w:tcPr>
            <w:tcW w:w="464" w:type="pct"/>
            <w:vAlign w:val="center"/>
          </w:tcPr>
          <w:p w14:paraId="7BE8BB7E">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cs="Times New Roman"/>
                <w:snapToGrid w:val="0"/>
                <w:color w:val="auto"/>
                <w:kern w:val="21"/>
                <w:sz w:val="24"/>
                <w:szCs w:val="24"/>
                <w:highlight w:val="none"/>
                <w:lang w:val="en-US" w:eastAsia="zh-CN"/>
              </w:rPr>
            </w:pPr>
            <w:r>
              <w:rPr>
                <w:rFonts w:hint="default" w:ascii="Times New Roman" w:hAnsi="Times New Roman" w:cs="Times New Roman"/>
                <w:snapToGrid w:val="0"/>
                <w:color w:val="auto"/>
                <w:kern w:val="21"/>
                <w:sz w:val="24"/>
                <w:szCs w:val="24"/>
                <w:highlight w:val="none"/>
                <w:lang w:val="en-US" w:eastAsia="zh-CN"/>
              </w:rPr>
              <w:t>/</w:t>
            </w:r>
          </w:p>
        </w:tc>
        <w:tc>
          <w:tcPr>
            <w:tcW w:w="467" w:type="pct"/>
            <w:vAlign w:val="center"/>
          </w:tcPr>
          <w:p w14:paraId="0E86BE64">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cs="Times New Roman"/>
                <w:snapToGrid w:val="0"/>
                <w:color w:val="auto"/>
                <w:kern w:val="21"/>
                <w:sz w:val="24"/>
                <w:szCs w:val="24"/>
                <w:highlight w:val="none"/>
                <w:lang w:val="en-US" w:eastAsia="zh-CN"/>
              </w:rPr>
            </w:pPr>
            <w:r>
              <w:rPr>
                <w:rFonts w:hint="default" w:ascii="Times New Roman" w:hAnsi="Times New Roman" w:cs="Times New Roman"/>
                <w:snapToGrid w:val="0"/>
                <w:color w:val="auto"/>
                <w:kern w:val="21"/>
                <w:sz w:val="24"/>
                <w:szCs w:val="24"/>
                <w:highlight w:val="none"/>
                <w:lang w:val="en-US" w:eastAsia="zh-CN"/>
              </w:rPr>
              <w:t>/</w:t>
            </w:r>
          </w:p>
        </w:tc>
        <w:tc>
          <w:tcPr>
            <w:tcW w:w="592" w:type="pct"/>
            <w:vAlign w:val="center"/>
          </w:tcPr>
          <w:p w14:paraId="62E7B777">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rPr>
              <w:t>0</w:t>
            </w:r>
          </w:p>
        </w:tc>
        <w:tc>
          <w:tcPr>
            <w:tcW w:w="615" w:type="pct"/>
            <w:vAlign w:val="center"/>
          </w:tcPr>
          <w:p w14:paraId="68D70CAF">
            <w:pPr>
              <w:keepNext w:val="0"/>
              <w:keepLines w:val="0"/>
              <w:suppressLineNumbers w:val="0"/>
              <w:spacing w:before="0" w:beforeAutospacing="0" w:after="0" w:afterAutospacing="0" w:line="360" w:lineRule="auto"/>
              <w:ind w:left="0" w:right="0"/>
              <w:jc w:val="center"/>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1.655</w:t>
            </w:r>
            <w:r>
              <w:rPr>
                <w:rFonts w:hint="default" w:ascii="Times New Roman" w:hAnsi="Times New Roman" w:cs="Times New Roman"/>
                <w:color w:val="auto"/>
                <w:sz w:val="24"/>
                <w:szCs w:val="24"/>
                <w:highlight w:val="none"/>
                <w:lang w:val="en-US" w:eastAsia="zh-CN"/>
              </w:rPr>
              <w:t>t/a</w:t>
            </w:r>
          </w:p>
        </w:tc>
        <w:tc>
          <w:tcPr>
            <w:tcW w:w="541" w:type="pct"/>
            <w:vAlign w:val="center"/>
          </w:tcPr>
          <w:p w14:paraId="244E6783">
            <w:pPr>
              <w:pStyle w:val="162"/>
              <w:keepNext w:val="0"/>
              <w:keepLines w:val="0"/>
              <w:suppressLineNumbers w:val="0"/>
              <w:spacing w:before="0" w:beforeAutospacing="0" w:after="0" w:afterAutospacing="0" w:line="360" w:lineRule="auto"/>
              <w:ind w:left="0" w:right="0"/>
              <w:rPr>
                <w:rFonts w:hint="default" w:ascii="Times New Roman" w:hAnsi="Times New Roman" w:eastAsia="宋体" w:cs="Times New Roman"/>
                <w:snapToGrid w:val="0"/>
                <w:color w:val="auto"/>
                <w:kern w:val="21"/>
                <w:sz w:val="24"/>
                <w:szCs w:val="24"/>
                <w:highlight w:val="none"/>
                <w:lang w:val="en-US" w:eastAsia="zh-CN"/>
              </w:rPr>
            </w:pPr>
            <w:r>
              <w:rPr>
                <w:rFonts w:hint="default" w:ascii="Times New Roman" w:hAnsi="Times New Roman" w:cs="Times New Roman"/>
                <w:snapToGrid w:val="0"/>
                <w:color w:val="auto"/>
                <w:kern w:val="21"/>
                <w:sz w:val="24"/>
                <w:szCs w:val="24"/>
                <w:highlight w:val="none"/>
                <w:lang w:val="en-US" w:eastAsia="zh-CN"/>
              </w:rPr>
              <w:t>/</w:t>
            </w:r>
          </w:p>
        </w:tc>
        <w:tc>
          <w:tcPr>
            <w:tcW w:w="592" w:type="pct"/>
            <w:vAlign w:val="center"/>
          </w:tcPr>
          <w:p w14:paraId="5F5E366A">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1.655</w:t>
            </w:r>
            <w:r>
              <w:rPr>
                <w:rFonts w:hint="default" w:ascii="Times New Roman" w:hAnsi="Times New Roman" w:cs="Times New Roman"/>
                <w:color w:val="auto"/>
                <w:sz w:val="24"/>
                <w:szCs w:val="24"/>
                <w:highlight w:val="none"/>
                <w:lang w:val="en-US" w:eastAsia="zh-CN"/>
              </w:rPr>
              <w:t>t/a</w:t>
            </w:r>
          </w:p>
        </w:tc>
        <w:tc>
          <w:tcPr>
            <w:tcW w:w="664" w:type="pct"/>
            <w:vAlign w:val="center"/>
          </w:tcPr>
          <w:p w14:paraId="0218720B">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1.655</w:t>
            </w:r>
            <w:r>
              <w:rPr>
                <w:rFonts w:hint="default" w:ascii="Times New Roman" w:hAnsi="Times New Roman" w:cs="Times New Roman"/>
                <w:color w:val="auto"/>
                <w:sz w:val="24"/>
                <w:szCs w:val="24"/>
                <w:highlight w:val="none"/>
                <w:lang w:val="en-US" w:eastAsia="zh-CN"/>
              </w:rPr>
              <w:t>t/a</w:t>
            </w:r>
          </w:p>
        </w:tc>
      </w:tr>
      <w:tr w14:paraId="2C8D38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47" w:type="pct"/>
            <w:vMerge w:val="continue"/>
            <w:vAlign w:val="center"/>
          </w:tcPr>
          <w:p w14:paraId="3A741BCA">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rPr>
            </w:pPr>
          </w:p>
        </w:tc>
        <w:tc>
          <w:tcPr>
            <w:tcW w:w="254" w:type="pct"/>
            <w:vMerge w:val="restart"/>
            <w:vAlign w:val="center"/>
          </w:tcPr>
          <w:p w14:paraId="01ACB114">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rPr>
            </w:pPr>
            <w:r>
              <w:rPr>
                <w:rFonts w:hint="default" w:ascii="Times New Roman" w:hAnsi="Times New Roman" w:cs="Times New Roman"/>
                <w:snapToGrid w:val="0"/>
                <w:color w:val="auto"/>
                <w:kern w:val="21"/>
                <w:sz w:val="24"/>
                <w:szCs w:val="24"/>
              </w:rPr>
              <w:t>非甲烷总烃</w:t>
            </w:r>
          </w:p>
        </w:tc>
        <w:tc>
          <w:tcPr>
            <w:tcW w:w="361" w:type="pct"/>
            <w:vAlign w:val="center"/>
          </w:tcPr>
          <w:p w14:paraId="4B5DA7E2">
            <w:pPr>
              <w:pStyle w:val="162"/>
              <w:keepNext w:val="0"/>
              <w:keepLines w:val="0"/>
              <w:suppressLineNumbers w:val="0"/>
              <w:spacing w:before="0" w:beforeAutospacing="0" w:after="0" w:afterAutospacing="0" w:line="360" w:lineRule="auto"/>
              <w:ind w:left="0" w:right="0"/>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cs="Times New Roman"/>
                <w:snapToGrid w:val="0"/>
                <w:color w:val="auto"/>
                <w:kern w:val="21"/>
                <w:sz w:val="24"/>
                <w:szCs w:val="24"/>
                <w:lang w:val="en-US" w:eastAsia="zh-CN"/>
              </w:rPr>
              <w:t>有组织</w:t>
            </w:r>
          </w:p>
        </w:tc>
        <w:tc>
          <w:tcPr>
            <w:tcW w:w="464" w:type="pct"/>
            <w:vAlign w:val="center"/>
          </w:tcPr>
          <w:p w14:paraId="2F869912">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lang w:val="en-US" w:eastAsia="zh-CN"/>
              </w:rPr>
              <w:t>/</w:t>
            </w:r>
          </w:p>
        </w:tc>
        <w:tc>
          <w:tcPr>
            <w:tcW w:w="467" w:type="pct"/>
            <w:vAlign w:val="center"/>
          </w:tcPr>
          <w:p w14:paraId="65CF6088">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lang w:val="en-US" w:eastAsia="zh-CN"/>
              </w:rPr>
              <w:t>/</w:t>
            </w:r>
          </w:p>
        </w:tc>
        <w:tc>
          <w:tcPr>
            <w:tcW w:w="592" w:type="pct"/>
            <w:vAlign w:val="center"/>
          </w:tcPr>
          <w:p w14:paraId="2DA7117E">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rPr>
              <w:t>0</w:t>
            </w:r>
          </w:p>
        </w:tc>
        <w:tc>
          <w:tcPr>
            <w:tcW w:w="615" w:type="pct"/>
            <w:vAlign w:val="center"/>
          </w:tcPr>
          <w:p w14:paraId="2F20181D">
            <w:pPr>
              <w:keepNext w:val="0"/>
              <w:keepLines w:val="0"/>
              <w:suppressLineNumbers w:val="0"/>
              <w:spacing w:before="0" w:beforeAutospacing="0" w:after="0" w:afterAutospacing="0" w:line="360" w:lineRule="auto"/>
              <w:ind w:left="0" w:right="0"/>
              <w:jc w:val="center"/>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0.123</w:t>
            </w:r>
            <w:r>
              <w:rPr>
                <w:rFonts w:hint="default" w:ascii="Times New Roman" w:hAnsi="Times New Roman" w:cs="Times New Roman"/>
                <w:color w:val="auto"/>
                <w:sz w:val="24"/>
                <w:szCs w:val="24"/>
                <w:highlight w:val="none"/>
              </w:rPr>
              <w:t>t/a</w:t>
            </w:r>
          </w:p>
        </w:tc>
        <w:tc>
          <w:tcPr>
            <w:tcW w:w="541" w:type="pct"/>
            <w:vAlign w:val="center"/>
          </w:tcPr>
          <w:p w14:paraId="3EA55BC6">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rPr>
              <w:t>/</w:t>
            </w:r>
          </w:p>
        </w:tc>
        <w:tc>
          <w:tcPr>
            <w:tcW w:w="592" w:type="pct"/>
            <w:vAlign w:val="center"/>
          </w:tcPr>
          <w:p w14:paraId="22163627">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0.123</w:t>
            </w:r>
            <w:r>
              <w:rPr>
                <w:rFonts w:hint="default" w:ascii="Times New Roman" w:hAnsi="Times New Roman" w:cs="Times New Roman"/>
                <w:color w:val="auto"/>
                <w:sz w:val="24"/>
                <w:szCs w:val="24"/>
                <w:highlight w:val="none"/>
              </w:rPr>
              <w:t>t/a</w:t>
            </w:r>
          </w:p>
        </w:tc>
        <w:tc>
          <w:tcPr>
            <w:tcW w:w="664" w:type="pct"/>
            <w:vAlign w:val="center"/>
          </w:tcPr>
          <w:p w14:paraId="5FD38E30">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0.123</w:t>
            </w:r>
            <w:r>
              <w:rPr>
                <w:rFonts w:hint="default" w:ascii="Times New Roman" w:hAnsi="Times New Roman" w:cs="Times New Roman"/>
                <w:color w:val="auto"/>
                <w:sz w:val="24"/>
                <w:szCs w:val="24"/>
                <w:highlight w:val="none"/>
              </w:rPr>
              <w:t>t/a</w:t>
            </w:r>
          </w:p>
        </w:tc>
      </w:tr>
      <w:tr w14:paraId="5DBB71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47" w:type="pct"/>
            <w:vMerge w:val="continue"/>
            <w:vAlign w:val="center"/>
          </w:tcPr>
          <w:p w14:paraId="1289D032">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rPr>
            </w:pPr>
          </w:p>
        </w:tc>
        <w:tc>
          <w:tcPr>
            <w:tcW w:w="254" w:type="pct"/>
            <w:vMerge w:val="continue"/>
            <w:vAlign w:val="center"/>
          </w:tcPr>
          <w:p w14:paraId="481F2E79">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rPr>
            </w:pPr>
          </w:p>
        </w:tc>
        <w:tc>
          <w:tcPr>
            <w:tcW w:w="361" w:type="pct"/>
            <w:vAlign w:val="center"/>
          </w:tcPr>
          <w:p w14:paraId="0A04A88F">
            <w:pPr>
              <w:pStyle w:val="162"/>
              <w:keepNext w:val="0"/>
              <w:keepLines w:val="0"/>
              <w:suppressLineNumbers w:val="0"/>
              <w:spacing w:before="0" w:beforeAutospacing="0" w:after="0" w:afterAutospacing="0" w:line="360" w:lineRule="auto"/>
              <w:ind w:left="0" w:right="0"/>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cs="Times New Roman"/>
                <w:snapToGrid w:val="0"/>
                <w:color w:val="auto"/>
                <w:kern w:val="21"/>
                <w:sz w:val="24"/>
                <w:szCs w:val="24"/>
                <w:lang w:val="en-US" w:eastAsia="zh-CN"/>
              </w:rPr>
              <w:t>无组织</w:t>
            </w:r>
          </w:p>
        </w:tc>
        <w:tc>
          <w:tcPr>
            <w:tcW w:w="464" w:type="pct"/>
            <w:vAlign w:val="center"/>
          </w:tcPr>
          <w:p w14:paraId="7BF866BF">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cs="Times New Roman"/>
                <w:snapToGrid w:val="0"/>
                <w:color w:val="auto"/>
                <w:kern w:val="21"/>
                <w:sz w:val="24"/>
                <w:szCs w:val="24"/>
                <w:highlight w:val="none"/>
                <w:lang w:val="en-US" w:eastAsia="zh-CN"/>
              </w:rPr>
            </w:pPr>
            <w:r>
              <w:rPr>
                <w:rFonts w:hint="default" w:ascii="Times New Roman" w:hAnsi="Times New Roman" w:cs="Times New Roman"/>
                <w:snapToGrid w:val="0"/>
                <w:color w:val="auto"/>
                <w:kern w:val="21"/>
                <w:sz w:val="24"/>
                <w:szCs w:val="24"/>
                <w:highlight w:val="none"/>
                <w:lang w:val="en-US" w:eastAsia="zh-CN"/>
              </w:rPr>
              <w:t>/</w:t>
            </w:r>
          </w:p>
        </w:tc>
        <w:tc>
          <w:tcPr>
            <w:tcW w:w="467" w:type="pct"/>
            <w:vAlign w:val="center"/>
          </w:tcPr>
          <w:p w14:paraId="736F998F">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cs="Times New Roman"/>
                <w:snapToGrid w:val="0"/>
                <w:color w:val="auto"/>
                <w:kern w:val="21"/>
                <w:sz w:val="24"/>
                <w:szCs w:val="24"/>
                <w:highlight w:val="none"/>
                <w:lang w:val="en-US" w:eastAsia="zh-CN"/>
              </w:rPr>
            </w:pPr>
            <w:r>
              <w:rPr>
                <w:rFonts w:hint="default" w:ascii="Times New Roman" w:hAnsi="Times New Roman" w:cs="Times New Roman"/>
                <w:snapToGrid w:val="0"/>
                <w:color w:val="auto"/>
                <w:kern w:val="21"/>
                <w:sz w:val="24"/>
                <w:szCs w:val="24"/>
                <w:highlight w:val="none"/>
                <w:lang w:val="en-US" w:eastAsia="zh-CN"/>
              </w:rPr>
              <w:t>/</w:t>
            </w:r>
          </w:p>
        </w:tc>
        <w:tc>
          <w:tcPr>
            <w:tcW w:w="592" w:type="pct"/>
            <w:vAlign w:val="center"/>
          </w:tcPr>
          <w:p w14:paraId="5B29CEB8">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rPr>
              <w:t>0</w:t>
            </w:r>
          </w:p>
        </w:tc>
        <w:tc>
          <w:tcPr>
            <w:tcW w:w="615" w:type="pct"/>
            <w:vAlign w:val="center"/>
          </w:tcPr>
          <w:p w14:paraId="4069CB7E">
            <w:pPr>
              <w:keepNext w:val="0"/>
              <w:keepLines w:val="0"/>
              <w:suppressLineNumbers w:val="0"/>
              <w:spacing w:before="0" w:beforeAutospacing="0" w:after="0" w:afterAutospacing="0" w:line="360" w:lineRule="auto"/>
              <w:ind w:left="0" w:right="0"/>
              <w:jc w:val="center"/>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0.137</w:t>
            </w:r>
            <w:r>
              <w:rPr>
                <w:rFonts w:hint="default" w:ascii="Times New Roman" w:hAnsi="Times New Roman" w:cs="Times New Roman"/>
                <w:color w:val="auto"/>
                <w:sz w:val="24"/>
                <w:szCs w:val="24"/>
                <w:highlight w:val="none"/>
                <w:lang w:val="en-US" w:eastAsia="zh-CN"/>
              </w:rPr>
              <w:t>t/a</w:t>
            </w:r>
          </w:p>
        </w:tc>
        <w:tc>
          <w:tcPr>
            <w:tcW w:w="541" w:type="pct"/>
            <w:vAlign w:val="center"/>
          </w:tcPr>
          <w:p w14:paraId="33007384">
            <w:pPr>
              <w:pStyle w:val="162"/>
              <w:keepNext w:val="0"/>
              <w:keepLines w:val="0"/>
              <w:suppressLineNumbers w:val="0"/>
              <w:spacing w:before="0" w:beforeAutospacing="0" w:after="0" w:afterAutospacing="0" w:line="360" w:lineRule="auto"/>
              <w:ind w:left="0" w:right="0"/>
              <w:rPr>
                <w:rFonts w:hint="default" w:ascii="Times New Roman" w:hAnsi="Times New Roman" w:eastAsia="宋体" w:cs="Times New Roman"/>
                <w:snapToGrid w:val="0"/>
                <w:color w:val="auto"/>
                <w:kern w:val="21"/>
                <w:sz w:val="24"/>
                <w:szCs w:val="24"/>
                <w:highlight w:val="none"/>
                <w:lang w:val="en-US" w:eastAsia="zh-CN"/>
              </w:rPr>
            </w:pPr>
            <w:r>
              <w:rPr>
                <w:rFonts w:hint="default" w:ascii="Times New Roman" w:hAnsi="Times New Roman" w:cs="Times New Roman"/>
                <w:snapToGrid w:val="0"/>
                <w:color w:val="auto"/>
                <w:kern w:val="21"/>
                <w:sz w:val="24"/>
                <w:szCs w:val="24"/>
                <w:highlight w:val="none"/>
                <w:lang w:val="en-US" w:eastAsia="zh-CN"/>
              </w:rPr>
              <w:t>/</w:t>
            </w:r>
          </w:p>
        </w:tc>
        <w:tc>
          <w:tcPr>
            <w:tcW w:w="592" w:type="pct"/>
            <w:vAlign w:val="center"/>
          </w:tcPr>
          <w:p w14:paraId="26FA2E4E">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0.137</w:t>
            </w:r>
            <w:r>
              <w:rPr>
                <w:rFonts w:hint="default" w:ascii="Times New Roman" w:hAnsi="Times New Roman" w:cs="Times New Roman"/>
                <w:color w:val="auto"/>
                <w:sz w:val="24"/>
                <w:szCs w:val="24"/>
                <w:highlight w:val="none"/>
                <w:lang w:val="en-US" w:eastAsia="zh-CN"/>
              </w:rPr>
              <w:t>t/a</w:t>
            </w:r>
          </w:p>
        </w:tc>
        <w:tc>
          <w:tcPr>
            <w:tcW w:w="664" w:type="pct"/>
            <w:vAlign w:val="center"/>
          </w:tcPr>
          <w:p w14:paraId="495B48AF">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0.137</w:t>
            </w:r>
            <w:r>
              <w:rPr>
                <w:rFonts w:hint="default" w:ascii="Times New Roman" w:hAnsi="Times New Roman" w:cs="Times New Roman"/>
                <w:color w:val="auto"/>
                <w:sz w:val="24"/>
                <w:szCs w:val="24"/>
                <w:highlight w:val="none"/>
                <w:lang w:val="en-US" w:eastAsia="zh-CN"/>
              </w:rPr>
              <w:t>t/a</w:t>
            </w:r>
          </w:p>
        </w:tc>
      </w:tr>
      <w:tr w14:paraId="144217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7" w:type="pct"/>
            <w:vMerge w:val="restart"/>
            <w:vAlign w:val="center"/>
          </w:tcPr>
          <w:p w14:paraId="3E4DF121">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rPr>
            </w:pPr>
            <w:r>
              <w:rPr>
                <w:rFonts w:hint="default" w:ascii="Times New Roman" w:hAnsi="Times New Roman" w:cs="Times New Roman"/>
                <w:snapToGrid w:val="0"/>
                <w:color w:val="auto"/>
                <w:kern w:val="21"/>
                <w:sz w:val="24"/>
                <w:szCs w:val="24"/>
              </w:rPr>
              <w:t>废水</w:t>
            </w:r>
          </w:p>
        </w:tc>
        <w:tc>
          <w:tcPr>
            <w:tcW w:w="615" w:type="pct"/>
            <w:gridSpan w:val="2"/>
            <w:vAlign w:val="center"/>
          </w:tcPr>
          <w:p w14:paraId="31E0B095">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lang w:val="en-US" w:eastAsia="zh-CN"/>
              </w:rPr>
            </w:pPr>
            <w:r>
              <w:rPr>
                <w:rFonts w:hint="default" w:ascii="Times New Roman" w:hAnsi="Times New Roman" w:cs="Times New Roman"/>
                <w:snapToGrid w:val="0"/>
                <w:color w:val="auto"/>
                <w:kern w:val="21"/>
                <w:sz w:val="24"/>
                <w:szCs w:val="24"/>
              </w:rPr>
              <w:t>COD</w:t>
            </w:r>
            <w:r>
              <w:rPr>
                <w:rFonts w:hint="default" w:ascii="Times New Roman" w:hAnsi="Times New Roman" w:cs="Times New Roman"/>
                <w:snapToGrid w:val="0"/>
                <w:color w:val="auto"/>
                <w:kern w:val="21"/>
                <w:sz w:val="24"/>
                <w:szCs w:val="24"/>
                <w:vertAlign w:val="subscript"/>
                <w:lang w:val="en-US" w:eastAsia="zh-CN"/>
              </w:rPr>
              <w:t>Cr</w:t>
            </w:r>
          </w:p>
        </w:tc>
        <w:tc>
          <w:tcPr>
            <w:tcW w:w="464" w:type="pct"/>
            <w:vAlign w:val="center"/>
          </w:tcPr>
          <w:p w14:paraId="3D34D9DC">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cs="Times New Roman"/>
                <w:snapToGrid w:val="0"/>
                <w:color w:val="auto"/>
                <w:kern w:val="21"/>
                <w:sz w:val="24"/>
                <w:szCs w:val="24"/>
                <w:highlight w:val="none"/>
                <w:lang w:val="en-US" w:eastAsia="zh-CN"/>
              </w:rPr>
              <w:t>/</w:t>
            </w:r>
          </w:p>
        </w:tc>
        <w:tc>
          <w:tcPr>
            <w:tcW w:w="467" w:type="pct"/>
            <w:vAlign w:val="center"/>
          </w:tcPr>
          <w:p w14:paraId="66F3001C">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cs="Times New Roman"/>
                <w:snapToGrid w:val="0"/>
                <w:color w:val="auto"/>
                <w:kern w:val="21"/>
                <w:sz w:val="24"/>
                <w:szCs w:val="24"/>
                <w:highlight w:val="none"/>
                <w:lang w:val="en-US" w:eastAsia="zh-CN"/>
              </w:rPr>
              <w:t>/</w:t>
            </w:r>
          </w:p>
        </w:tc>
        <w:tc>
          <w:tcPr>
            <w:tcW w:w="592" w:type="pct"/>
            <w:vAlign w:val="center"/>
          </w:tcPr>
          <w:p w14:paraId="1D2DC446">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rPr>
            </w:pPr>
            <w:r>
              <w:rPr>
                <w:rFonts w:hint="default" w:ascii="Times New Roman" w:hAnsi="Times New Roman" w:cs="Times New Roman"/>
                <w:snapToGrid w:val="0"/>
                <w:color w:val="auto"/>
                <w:kern w:val="21"/>
                <w:sz w:val="24"/>
                <w:szCs w:val="24"/>
              </w:rPr>
              <w:t>0</w:t>
            </w:r>
          </w:p>
        </w:tc>
        <w:tc>
          <w:tcPr>
            <w:tcW w:w="615" w:type="pct"/>
            <w:vAlign w:val="center"/>
          </w:tcPr>
          <w:p w14:paraId="32B57D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4"/>
                <w:szCs w:val="24"/>
                <w:lang w:val="en-US" w:eastAsia="zh-CN"/>
              </w:rPr>
            </w:pPr>
            <w:r>
              <w:rPr>
                <w:rFonts w:hint="eastAsia" w:cs="Times New Roman"/>
                <w:snapToGrid w:val="0"/>
                <w:color w:val="auto"/>
                <w:kern w:val="21"/>
                <w:sz w:val="24"/>
                <w:szCs w:val="24"/>
                <w:highlight w:val="none"/>
                <w:lang w:val="en-US" w:eastAsia="zh-CN"/>
              </w:rPr>
              <w:t>0.218</w:t>
            </w:r>
            <w:r>
              <w:rPr>
                <w:rFonts w:hint="default" w:ascii="Times New Roman" w:hAnsi="Times New Roman" w:cs="Times New Roman"/>
                <w:snapToGrid w:val="0"/>
                <w:color w:val="auto"/>
                <w:kern w:val="21"/>
                <w:sz w:val="24"/>
                <w:szCs w:val="24"/>
                <w:highlight w:val="none"/>
                <w:lang w:val="en-US" w:eastAsia="zh-CN"/>
              </w:rPr>
              <w:t>t/a</w:t>
            </w:r>
          </w:p>
        </w:tc>
        <w:tc>
          <w:tcPr>
            <w:tcW w:w="541" w:type="pct"/>
            <w:vAlign w:val="center"/>
          </w:tcPr>
          <w:p w14:paraId="343E674D">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rPr>
            </w:pPr>
            <w:r>
              <w:rPr>
                <w:rFonts w:hint="default" w:ascii="Times New Roman" w:hAnsi="Times New Roman" w:cs="Times New Roman"/>
                <w:snapToGrid w:val="0"/>
                <w:color w:val="auto"/>
                <w:kern w:val="21"/>
                <w:sz w:val="24"/>
                <w:szCs w:val="24"/>
              </w:rPr>
              <w:t>/</w:t>
            </w:r>
          </w:p>
        </w:tc>
        <w:tc>
          <w:tcPr>
            <w:tcW w:w="592" w:type="pct"/>
            <w:vAlign w:val="center"/>
          </w:tcPr>
          <w:p w14:paraId="406568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4"/>
                <w:szCs w:val="24"/>
                <w:lang w:val="en-US" w:eastAsia="zh-CN"/>
              </w:rPr>
            </w:pPr>
            <w:r>
              <w:rPr>
                <w:rFonts w:hint="eastAsia" w:cs="Times New Roman"/>
                <w:snapToGrid w:val="0"/>
                <w:color w:val="auto"/>
                <w:kern w:val="21"/>
                <w:sz w:val="24"/>
                <w:szCs w:val="24"/>
                <w:highlight w:val="none"/>
                <w:lang w:val="en-US" w:eastAsia="zh-CN"/>
              </w:rPr>
              <w:t>0.218</w:t>
            </w:r>
            <w:r>
              <w:rPr>
                <w:rFonts w:hint="default" w:ascii="Times New Roman" w:hAnsi="Times New Roman" w:cs="Times New Roman"/>
                <w:snapToGrid w:val="0"/>
                <w:color w:val="auto"/>
                <w:kern w:val="21"/>
                <w:sz w:val="24"/>
                <w:szCs w:val="24"/>
                <w:highlight w:val="none"/>
                <w:lang w:val="en-US" w:eastAsia="zh-CN"/>
              </w:rPr>
              <w:t>t/a</w:t>
            </w:r>
          </w:p>
        </w:tc>
        <w:tc>
          <w:tcPr>
            <w:tcW w:w="664" w:type="pct"/>
            <w:vAlign w:val="center"/>
          </w:tcPr>
          <w:p w14:paraId="4B49A5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highlight w:val="none"/>
                <w:lang w:val="en-US" w:eastAsia="zh-CN"/>
              </w:rPr>
              <w:t>+</w:t>
            </w:r>
            <w:r>
              <w:rPr>
                <w:rFonts w:hint="eastAsia" w:cs="Times New Roman"/>
                <w:snapToGrid w:val="0"/>
                <w:color w:val="auto"/>
                <w:kern w:val="21"/>
                <w:sz w:val="24"/>
                <w:szCs w:val="24"/>
                <w:highlight w:val="none"/>
                <w:lang w:val="en-US" w:eastAsia="zh-CN"/>
              </w:rPr>
              <w:t>0.218</w:t>
            </w:r>
            <w:r>
              <w:rPr>
                <w:rFonts w:hint="default" w:ascii="Times New Roman" w:hAnsi="Times New Roman" w:cs="Times New Roman"/>
                <w:snapToGrid w:val="0"/>
                <w:color w:val="auto"/>
                <w:kern w:val="21"/>
                <w:sz w:val="24"/>
                <w:szCs w:val="24"/>
                <w:highlight w:val="none"/>
                <w:lang w:val="en-US" w:eastAsia="zh-CN"/>
              </w:rPr>
              <w:t>t/a</w:t>
            </w:r>
          </w:p>
        </w:tc>
      </w:tr>
      <w:tr w14:paraId="4FA4F6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47" w:type="pct"/>
            <w:vMerge w:val="continue"/>
            <w:vAlign w:val="center"/>
          </w:tcPr>
          <w:p w14:paraId="3F83C7BB">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rPr>
            </w:pPr>
          </w:p>
        </w:tc>
        <w:tc>
          <w:tcPr>
            <w:tcW w:w="615" w:type="pct"/>
            <w:gridSpan w:val="2"/>
            <w:shd w:val="clear" w:color="auto" w:fill="auto"/>
            <w:vAlign w:val="center"/>
          </w:tcPr>
          <w:p w14:paraId="5CBB88D1">
            <w:pPr>
              <w:pStyle w:val="162"/>
              <w:keepNext w:val="0"/>
              <w:keepLines w:val="0"/>
              <w:suppressLineNumbers w:val="0"/>
              <w:spacing w:before="0" w:beforeAutospacing="0" w:after="0" w:afterAutospacing="0" w:line="360" w:lineRule="auto"/>
              <w:ind w:left="0" w:right="0"/>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cs="Times New Roman"/>
                <w:snapToGrid w:val="0"/>
                <w:color w:val="auto"/>
                <w:kern w:val="21"/>
                <w:sz w:val="24"/>
                <w:szCs w:val="24"/>
                <w:lang w:val="en-US" w:eastAsia="zh-CN"/>
              </w:rPr>
              <w:t>BOD</w:t>
            </w:r>
            <w:r>
              <w:rPr>
                <w:rFonts w:hint="default" w:ascii="Times New Roman" w:hAnsi="Times New Roman" w:cs="Times New Roman"/>
                <w:snapToGrid w:val="0"/>
                <w:color w:val="auto"/>
                <w:kern w:val="21"/>
                <w:sz w:val="24"/>
                <w:szCs w:val="24"/>
                <w:vertAlign w:val="subscript"/>
                <w:lang w:val="en-US" w:eastAsia="zh-CN"/>
              </w:rPr>
              <w:t>5</w:t>
            </w:r>
          </w:p>
        </w:tc>
        <w:tc>
          <w:tcPr>
            <w:tcW w:w="464" w:type="pct"/>
            <w:shd w:val="clear" w:color="auto" w:fill="auto"/>
            <w:vAlign w:val="center"/>
          </w:tcPr>
          <w:p w14:paraId="67FBEDA3">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cs="Times New Roman"/>
                <w:snapToGrid w:val="0"/>
                <w:color w:val="auto"/>
                <w:kern w:val="21"/>
                <w:sz w:val="24"/>
                <w:szCs w:val="24"/>
                <w:highlight w:val="none"/>
                <w:lang w:val="en-US" w:eastAsia="zh-CN"/>
              </w:rPr>
              <w:t>/</w:t>
            </w:r>
          </w:p>
        </w:tc>
        <w:tc>
          <w:tcPr>
            <w:tcW w:w="467" w:type="pct"/>
            <w:vAlign w:val="center"/>
          </w:tcPr>
          <w:p w14:paraId="1E0925B1">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cs="Times New Roman"/>
                <w:snapToGrid w:val="0"/>
                <w:color w:val="auto"/>
                <w:kern w:val="21"/>
                <w:sz w:val="24"/>
                <w:szCs w:val="24"/>
                <w:highlight w:val="none"/>
                <w:lang w:val="en-US" w:eastAsia="zh-CN"/>
              </w:rPr>
              <w:t>/</w:t>
            </w:r>
          </w:p>
        </w:tc>
        <w:tc>
          <w:tcPr>
            <w:tcW w:w="592" w:type="pct"/>
            <w:vAlign w:val="center"/>
          </w:tcPr>
          <w:p w14:paraId="55D25326">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rPr>
            </w:pPr>
            <w:r>
              <w:rPr>
                <w:rFonts w:hint="default" w:ascii="Times New Roman" w:hAnsi="Times New Roman" w:cs="Times New Roman"/>
                <w:snapToGrid w:val="0"/>
                <w:color w:val="auto"/>
                <w:kern w:val="21"/>
                <w:sz w:val="24"/>
                <w:szCs w:val="24"/>
              </w:rPr>
              <w:t>0</w:t>
            </w:r>
          </w:p>
        </w:tc>
        <w:tc>
          <w:tcPr>
            <w:tcW w:w="615" w:type="pct"/>
            <w:vAlign w:val="center"/>
          </w:tcPr>
          <w:p w14:paraId="183674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highlight w:val="none"/>
                <w:lang w:val="en-US" w:eastAsia="zh-CN"/>
              </w:rPr>
              <w:t>0.0642</w:t>
            </w:r>
            <w:r>
              <w:rPr>
                <w:rFonts w:hint="default" w:ascii="Times New Roman" w:hAnsi="Times New Roman" w:cs="Times New Roman"/>
                <w:snapToGrid w:val="0"/>
                <w:color w:val="auto"/>
                <w:kern w:val="21"/>
                <w:sz w:val="24"/>
                <w:szCs w:val="24"/>
                <w:highlight w:val="none"/>
                <w:lang w:val="en-US" w:eastAsia="zh-CN"/>
              </w:rPr>
              <w:t>t/a</w:t>
            </w:r>
          </w:p>
        </w:tc>
        <w:tc>
          <w:tcPr>
            <w:tcW w:w="541" w:type="pct"/>
            <w:vAlign w:val="center"/>
          </w:tcPr>
          <w:p w14:paraId="4B607C61">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rPr>
            </w:pPr>
            <w:r>
              <w:rPr>
                <w:rFonts w:hint="default" w:ascii="Times New Roman" w:hAnsi="Times New Roman" w:cs="Times New Roman"/>
                <w:snapToGrid w:val="0"/>
                <w:color w:val="auto"/>
                <w:kern w:val="21"/>
                <w:sz w:val="24"/>
                <w:szCs w:val="24"/>
              </w:rPr>
              <w:t>/</w:t>
            </w:r>
          </w:p>
        </w:tc>
        <w:tc>
          <w:tcPr>
            <w:tcW w:w="592" w:type="pct"/>
            <w:vAlign w:val="center"/>
          </w:tcPr>
          <w:p w14:paraId="64F2EB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highlight w:val="none"/>
                <w:lang w:val="en-US" w:eastAsia="zh-CN"/>
              </w:rPr>
              <w:t>0.0642</w:t>
            </w:r>
            <w:r>
              <w:rPr>
                <w:rFonts w:hint="default" w:ascii="Times New Roman" w:hAnsi="Times New Roman" w:cs="Times New Roman"/>
                <w:snapToGrid w:val="0"/>
                <w:color w:val="auto"/>
                <w:kern w:val="21"/>
                <w:sz w:val="24"/>
                <w:szCs w:val="24"/>
                <w:highlight w:val="none"/>
                <w:lang w:val="en-US" w:eastAsia="zh-CN"/>
              </w:rPr>
              <w:t>t/a</w:t>
            </w:r>
          </w:p>
        </w:tc>
        <w:tc>
          <w:tcPr>
            <w:tcW w:w="664" w:type="pct"/>
            <w:vAlign w:val="center"/>
          </w:tcPr>
          <w:p w14:paraId="61F54F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0.0642</w:t>
            </w:r>
            <w:r>
              <w:rPr>
                <w:rFonts w:hint="default" w:ascii="Times New Roman" w:hAnsi="Times New Roman" w:cs="Times New Roman"/>
                <w:snapToGrid w:val="0"/>
                <w:color w:val="auto"/>
                <w:kern w:val="21"/>
                <w:sz w:val="24"/>
                <w:szCs w:val="24"/>
                <w:highlight w:val="none"/>
                <w:lang w:val="en-US" w:eastAsia="zh-CN"/>
              </w:rPr>
              <w:t>t/a</w:t>
            </w:r>
          </w:p>
        </w:tc>
      </w:tr>
      <w:tr w14:paraId="30ABDB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47" w:type="pct"/>
            <w:vMerge w:val="continue"/>
            <w:vAlign w:val="center"/>
          </w:tcPr>
          <w:p w14:paraId="3F04EA80">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rPr>
            </w:pPr>
          </w:p>
        </w:tc>
        <w:tc>
          <w:tcPr>
            <w:tcW w:w="615" w:type="pct"/>
            <w:gridSpan w:val="2"/>
            <w:shd w:val="clear" w:color="auto" w:fill="auto"/>
            <w:vAlign w:val="center"/>
          </w:tcPr>
          <w:p w14:paraId="2962ED07">
            <w:pPr>
              <w:pStyle w:val="162"/>
              <w:keepNext w:val="0"/>
              <w:keepLines w:val="0"/>
              <w:suppressLineNumbers w:val="0"/>
              <w:spacing w:before="0" w:beforeAutospacing="0" w:after="0" w:afterAutospacing="0" w:line="360" w:lineRule="auto"/>
              <w:ind w:left="0" w:right="0"/>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cs="Times New Roman"/>
                <w:snapToGrid w:val="0"/>
                <w:color w:val="auto"/>
                <w:kern w:val="21"/>
                <w:sz w:val="24"/>
                <w:szCs w:val="24"/>
              </w:rPr>
              <w:t>SS</w:t>
            </w:r>
          </w:p>
        </w:tc>
        <w:tc>
          <w:tcPr>
            <w:tcW w:w="464" w:type="pct"/>
            <w:shd w:val="clear" w:color="auto" w:fill="auto"/>
            <w:vAlign w:val="center"/>
          </w:tcPr>
          <w:p w14:paraId="3B4F7C5A">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cs="Times New Roman"/>
                <w:snapToGrid w:val="0"/>
                <w:color w:val="auto"/>
                <w:kern w:val="21"/>
                <w:sz w:val="24"/>
                <w:szCs w:val="24"/>
                <w:highlight w:val="none"/>
                <w:lang w:val="en-US" w:eastAsia="zh-CN"/>
              </w:rPr>
              <w:t>/</w:t>
            </w:r>
          </w:p>
        </w:tc>
        <w:tc>
          <w:tcPr>
            <w:tcW w:w="467" w:type="pct"/>
            <w:vAlign w:val="center"/>
          </w:tcPr>
          <w:p w14:paraId="0A3631C8">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cs="Times New Roman"/>
                <w:snapToGrid w:val="0"/>
                <w:color w:val="auto"/>
                <w:kern w:val="21"/>
                <w:sz w:val="24"/>
                <w:szCs w:val="24"/>
                <w:highlight w:val="none"/>
                <w:lang w:val="en-US" w:eastAsia="zh-CN"/>
              </w:rPr>
              <w:t>/</w:t>
            </w:r>
          </w:p>
        </w:tc>
        <w:tc>
          <w:tcPr>
            <w:tcW w:w="592" w:type="pct"/>
            <w:vAlign w:val="center"/>
          </w:tcPr>
          <w:p w14:paraId="3910B802">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rPr>
            </w:pPr>
            <w:r>
              <w:rPr>
                <w:rFonts w:hint="default" w:ascii="Times New Roman" w:hAnsi="Times New Roman" w:cs="Times New Roman"/>
                <w:snapToGrid w:val="0"/>
                <w:color w:val="auto"/>
                <w:kern w:val="21"/>
                <w:sz w:val="24"/>
                <w:szCs w:val="24"/>
              </w:rPr>
              <w:t>0</w:t>
            </w:r>
          </w:p>
        </w:tc>
        <w:tc>
          <w:tcPr>
            <w:tcW w:w="615" w:type="pct"/>
            <w:vAlign w:val="center"/>
          </w:tcPr>
          <w:p w14:paraId="7205C1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highlight w:val="none"/>
                <w:lang w:val="en-US" w:eastAsia="zh-CN"/>
              </w:rPr>
              <w:t>0.0962</w:t>
            </w:r>
            <w:r>
              <w:rPr>
                <w:rFonts w:hint="default" w:ascii="Times New Roman" w:hAnsi="Times New Roman" w:cs="Times New Roman"/>
                <w:snapToGrid w:val="0"/>
                <w:color w:val="auto"/>
                <w:kern w:val="21"/>
                <w:sz w:val="24"/>
                <w:szCs w:val="24"/>
                <w:highlight w:val="none"/>
                <w:lang w:val="en-US" w:eastAsia="zh-CN"/>
              </w:rPr>
              <w:t>t/a</w:t>
            </w:r>
          </w:p>
        </w:tc>
        <w:tc>
          <w:tcPr>
            <w:tcW w:w="541" w:type="pct"/>
            <w:vAlign w:val="center"/>
          </w:tcPr>
          <w:p w14:paraId="4C3FE0A9">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rPr>
            </w:pPr>
            <w:r>
              <w:rPr>
                <w:rFonts w:hint="default" w:ascii="Times New Roman" w:hAnsi="Times New Roman" w:cs="Times New Roman"/>
                <w:snapToGrid w:val="0"/>
                <w:color w:val="auto"/>
                <w:kern w:val="21"/>
                <w:sz w:val="24"/>
                <w:szCs w:val="24"/>
              </w:rPr>
              <w:t>/</w:t>
            </w:r>
          </w:p>
        </w:tc>
        <w:tc>
          <w:tcPr>
            <w:tcW w:w="592" w:type="pct"/>
            <w:vAlign w:val="center"/>
          </w:tcPr>
          <w:p w14:paraId="5068D1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highlight w:val="none"/>
                <w:lang w:val="en-US" w:eastAsia="zh-CN"/>
              </w:rPr>
              <w:t>0.0962</w:t>
            </w:r>
            <w:r>
              <w:rPr>
                <w:rFonts w:hint="default" w:ascii="Times New Roman" w:hAnsi="Times New Roman" w:cs="Times New Roman"/>
                <w:snapToGrid w:val="0"/>
                <w:color w:val="auto"/>
                <w:kern w:val="21"/>
                <w:sz w:val="24"/>
                <w:szCs w:val="24"/>
                <w:highlight w:val="none"/>
                <w:lang w:val="en-US" w:eastAsia="zh-CN"/>
              </w:rPr>
              <w:t>t/a</w:t>
            </w:r>
          </w:p>
        </w:tc>
        <w:tc>
          <w:tcPr>
            <w:tcW w:w="664" w:type="pct"/>
            <w:vAlign w:val="center"/>
          </w:tcPr>
          <w:p w14:paraId="693687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0.0962</w:t>
            </w:r>
            <w:r>
              <w:rPr>
                <w:rFonts w:hint="default" w:ascii="Times New Roman" w:hAnsi="Times New Roman" w:cs="Times New Roman"/>
                <w:snapToGrid w:val="0"/>
                <w:color w:val="auto"/>
                <w:kern w:val="21"/>
                <w:sz w:val="24"/>
                <w:szCs w:val="24"/>
                <w:highlight w:val="none"/>
                <w:lang w:val="en-US" w:eastAsia="zh-CN"/>
              </w:rPr>
              <w:t>t/a</w:t>
            </w:r>
          </w:p>
        </w:tc>
      </w:tr>
      <w:tr w14:paraId="3F0B46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47" w:type="pct"/>
            <w:vMerge w:val="continue"/>
            <w:vAlign w:val="center"/>
          </w:tcPr>
          <w:p w14:paraId="7322C946">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highlight w:val="none"/>
              </w:rPr>
            </w:pPr>
          </w:p>
        </w:tc>
        <w:tc>
          <w:tcPr>
            <w:tcW w:w="615" w:type="pct"/>
            <w:gridSpan w:val="2"/>
            <w:vAlign w:val="center"/>
          </w:tcPr>
          <w:p w14:paraId="43BD73BE">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highlight w:val="none"/>
                <w:lang w:val="en-US" w:eastAsia="zh-CN"/>
              </w:rPr>
            </w:pPr>
            <w:r>
              <w:rPr>
                <w:rFonts w:hint="default" w:ascii="Times New Roman" w:hAnsi="Times New Roman" w:cs="Times New Roman"/>
                <w:snapToGrid w:val="0"/>
                <w:color w:val="auto"/>
                <w:kern w:val="21"/>
                <w:sz w:val="24"/>
                <w:szCs w:val="24"/>
                <w:highlight w:val="none"/>
                <w:lang w:val="en-US" w:eastAsia="zh-CN"/>
              </w:rPr>
              <w:t>NH</w:t>
            </w:r>
            <w:r>
              <w:rPr>
                <w:rFonts w:hint="default" w:ascii="Times New Roman" w:hAnsi="Times New Roman" w:cs="Times New Roman"/>
                <w:snapToGrid w:val="0"/>
                <w:color w:val="auto"/>
                <w:kern w:val="21"/>
                <w:sz w:val="24"/>
                <w:szCs w:val="24"/>
                <w:highlight w:val="none"/>
                <w:vertAlign w:val="subscript"/>
                <w:lang w:val="en-US" w:eastAsia="zh-CN"/>
              </w:rPr>
              <w:t>3</w:t>
            </w:r>
            <w:r>
              <w:rPr>
                <w:rFonts w:hint="default" w:ascii="Times New Roman" w:hAnsi="Times New Roman" w:cs="Times New Roman"/>
                <w:snapToGrid w:val="0"/>
                <w:color w:val="auto"/>
                <w:kern w:val="21"/>
                <w:sz w:val="24"/>
                <w:szCs w:val="24"/>
                <w:highlight w:val="none"/>
                <w:lang w:val="en-US" w:eastAsia="zh-CN"/>
              </w:rPr>
              <w:t>-N</w:t>
            </w:r>
          </w:p>
        </w:tc>
        <w:tc>
          <w:tcPr>
            <w:tcW w:w="464" w:type="pct"/>
            <w:vAlign w:val="center"/>
          </w:tcPr>
          <w:p w14:paraId="2948EE46">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cs="Times New Roman"/>
                <w:snapToGrid w:val="0"/>
                <w:color w:val="auto"/>
                <w:kern w:val="21"/>
                <w:sz w:val="24"/>
                <w:szCs w:val="24"/>
                <w:highlight w:val="none"/>
                <w:lang w:val="en-US" w:eastAsia="zh-CN"/>
              </w:rPr>
            </w:pPr>
            <w:r>
              <w:rPr>
                <w:rFonts w:hint="default" w:ascii="Times New Roman" w:hAnsi="Times New Roman" w:cs="Times New Roman"/>
                <w:snapToGrid w:val="0"/>
                <w:color w:val="auto"/>
                <w:kern w:val="21"/>
                <w:sz w:val="24"/>
                <w:szCs w:val="24"/>
                <w:highlight w:val="none"/>
                <w:lang w:val="en-US" w:eastAsia="zh-CN"/>
              </w:rPr>
              <w:t>/</w:t>
            </w:r>
          </w:p>
        </w:tc>
        <w:tc>
          <w:tcPr>
            <w:tcW w:w="467" w:type="pct"/>
            <w:vAlign w:val="center"/>
          </w:tcPr>
          <w:p w14:paraId="62B90FD6">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cs="Times New Roman"/>
                <w:snapToGrid w:val="0"/>
                <w:color w:val="auto"/>
                <w:kern w:val="21"/>
                <w:sz w:val="24"/>
                <w:szCs w:val="24"/>
                <w:highlight w:val="none"/>
                <w:lang w:val="en-US" w:eastAsia="zh-CN"/>
              </w:rPr>
            </w:pPr>
            <w:r>
              <w:rPr>
                <w:rFonts w:hint="default" w:ascii="Times New Roman" w:hAnsi="Times New Roman" w:cs="Times New Roman"/>
                <w:snapToGrid w:val="0"/>
                <w:color w:val="auto"/>
                <w:kern w:val="21"/>
                <w:sz w:val="24"/>
                <w:szCs w:val="24"/>
                <w:highlight w:val="none"/>
                <w:lang w:val="en-US" w:eastAsia="zh-CN"/>
              </w:rPr>
              <w:t>/</w:t>
            </w:r>
          </w:p>
        </w:tc>
        <w:tc>
          <w:tcPr>
            <w:tcW w:w="592" w:type="pct"/>
            <w:vAlign w:val="center"/>
          </w:tcPr>
          <w:p w14:paraId="472097FB">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rPr>
              <w:t>0</w:t>
            </w:r>
          </w:p>
        </w:tc>
        <w:tc>
          <w:tcPr>
            <w:tcW w:w="615" w:type="pct"/>
            <w:vAlign w:val="center"/>
          </w:tcPr>
          <w:p w14:paraId="130A5C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0.0215</w:t>
            </w:r>
            <w:r>
              <w:rPr>
                <w:rFonts w:hint="default" w:ascii="Times New Roman" w:hAnsi="Times New Roman" w:cs="Times New Roman"/>
                <w:snapToGrid w:val="0"/>
                <w:color w:val="auto"/>
                <w:kern w:val="21"/>
                <w:sz w:val="24"/>
                <w:szCs w:val="24"/>
                <w:highlight w:val="none"/>
                <w:lang w:val="en-US" w:eastAsia="zh-CN"/>
              </w:rPr>
              <w:t>t/a</w:t>
            </w:r>
          </w:p>
        </w:tc>
        <w:tc>
          <w:tcPr>
            <w:tcW w:w="541" w:type="pct"/>
            <w:vAlign w:val="center"/>
          </w:tcPr>
          <w:p w14:paraId="0C8BBAD1">
            <w:pPr>
              <w:pStyle w:val="162"/>
              <w:keepNext w:val="0"/>
              <w:keepLines w:val="0"/>
              <w:suppressLineNumbers w:val="0"/>
              <w:spacing w:before="0" w:beforeAutospacing="0" w:after="0" w:afterAutospacing="0" w:line="360" w:lineRule="auto"/>
              <w:ind w:left="0" w:right="0"/>
              <w:rPr>
                <w:rFonts w:hint="default" w:ascii="Times New Roman" w:hAnsi="Times New Roman" w:eastAsia="宋体" w:cs="Times New Roman"/>
                <w:snapToGrid w:val="0"/>
                <w:color w:val="auto"/>
                <w:kern w:val="21"/>
                <w:sz w:val="24"/>
                <w:szCs w:val="24"/>
                <w:highlight w:val="none"/>
                <w:lang w:val="en-US" w:eastAsia="zh-CN"/>
              </w:rPr>
            </w:pPr>
            <w:r>
              <w:rPr>
                <w:rFonts w:hint="default" w:ascii="Times New Roman" w:hAnsi="Times New Roman" w:cs="Times New Roman"/>
                <w:snapToGrid w:val="0"/>
                <w:color w:val="auto"/>
                <w:kern w:val="21"/>
                <w:sz w:val="24"/>
                <w:szCs w:val="24"/>
                <w:highlight w:val="none"/>
                <w:lang w:val="en-US" w:eastAsia="zh-CN"/>
              </w:rPr>
              <w:t>/</w:t>
            </w:r>
          </w:p>
        </w:tc>
        <w:tc>
          <w:tcPr>
            <w:tcW w:w="592" w:type="pct"/>
            <w:vAlign w:val="center"/>
          </w:tcPr>
          <w:p w14:paraId="51772E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0.0215</w:t>
            </w:r>
            <w:r>
              <w:rPr>
                <w:rFonts w:hint="default" w:ascii="Times New Roman" w:hAnsi="Times New Roman" w:cs="Times New Roman"/>
                <w:snapToGrid w:val="0"/>
                <w:color w:val="auto"/>
                <w:kern w:val="21"/>
                <w:sz w:val="24"/>
                <w:szCs w:val="24"/>
                <w:highlight w:val="none"/>
                <w:lang w:val="en-US" w:eastAsia="zh-CN"/>
              </w:rPr>
              <w:t>t/a</w:t>
            </w:r>
          </w:p>
        </w:tc>
        <w:tc>
          <w:tcPr>
            <w:tcW w:w="664" w:type="pct"/>
            <w:vAlign w:val="center"/>
          </w:tcPr>
          <w:p w14:paraId="6F32BC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0.0215</w:t>
            </w:r>
            <w:r>
              <w:rPr>
                <w:rFonts w:hint="default" w:ascii="Times New Roman" w:hAnsi="Times New Roman" w:cs="Times New Roman"/>
                <w:snapToGrid w:val="0"/>
                <w:color w:val="auto"/>
                <w:kern w:val="21"/>
                <w:sz w:val="24"/>
                <w:szCs w:val="24"/>
                <w:highlight w:val="none"/>
                <w:lang w:val="en-US" w:eastAsia="zh-CN"/>
              </w:rPr>
              <w:t>t/a</w:t>
            </w:r>
          </w:p>
        </w:tc>
      </w:tr>
      <w:tr w14:paraId="2FF1A7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47" w:type="pct"/>
            <w:vMerge w:val="continue"/>
            <w:vAlign w:val="center"/>
          </w:tcPr>
          <w:p w14:paraId="4B14AA82">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highlight w:val="none"/>
              </w:rPr>
            </w:pPr>
          </w:p>
        </w:tc>
        <w:tc>
          <w:tcPr>
            <w:tcW w:w="615" w:type="pct"/>
            <w:gridSpan w:val="2"/>
            <w:vAlign w:val="center"/>
          </w:tcPr>
          <w:p w14:paraId="1B3066E3">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highlight w:val="none"/>
                <w:lang w:val="en-US" w:eastAsia="zh-CN"/>
              </w:rPr>
            </w:pPr>
            <w:r>
              <w:rPr>
                <w:rFonts w:hint="default" w:ascii="Times New Roman" w:hAnsi="Times New Roman" w:cs="Times New Roman"/>
                <w:snapToGrid w:val="0"/>
                <w:color w:val="auto"/>
                <w:kern w:val="21"/>
                <w:sz w:val="24"/>
                <w:szCs w:val="24"/>
                <w:highlight w:val="none"/>
                <w:lang w:val="en-US" w:eastAsia="zh-CN"/>
              </w:rPr>
              <w:t>TN</w:t>
            </w:r>
          </w:p>
        </w:tc>
        <w:tc>
          <w:tcPr>
            <w:tcW w:w="464" w:type="pct"/>
            <w:vAlign w:val="center"/>
          </w:tcPr>
          <w:p w14:paraId="709D200A">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cs="Times New Roman"/>
                <w:snapToGrid w:val="0"/>
                <w:color w:val="auto"/>
                <w:kern w:val="21"/>
                <w:sz w:val="24"/>
                <w:szCs w:val="24"/>
                <w:highlight w:val="none"/>
                <w:lang w:val="en-US" w:eastAsia="zh-CN"/>
              </w:rPr>
            </w:pPr>
            <w:r>
              <w:rPr>
                <w:rFonts w:hint="default" w:ascii="Times New Roman" w:hAnsi="Times New Roman" w:cs="Times New Roman"/>
                <w:snapToGrid w:val="0"/>
                <w:color w:val="auto"/>
                <w:kern w:val="21"/>
                <w:sz w:val="24"/>
                <w:szCs w:val="24"/>
                <w:highlight w:val="none"/>
                <w:lang w:val="en-US" w:eastAsia="zh-CN"/>
              </w:rPr>
              <w:t>/</w:t>
            </w:r>
          </w:p>
        </w:tc>
        <w:tc>
          <w:tcPr>
            <w:tcW w:w="467" w:type="pct"/>
            <w:vAlign w:val="center"/>
          </w:tcPr>
          <w:p w14:paraId="147405A7">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cs="Times New Roman"/>
                <w:snapToGrid w:val="0"/>
                <w:color w:val="auto"/>
                <w:kern w:val="21"/>
                <w:sz w:val="24"/>
                <w:szCs w:val="24"/>
                <w:highlight w:val="none"/>
                <w:lang w:val="en-US" w:eastAsia="zh-CN"/>
              </w:rPr>
            </w:pPr>
            <w:r>
              <w:rPr>
                <w:rFonts w:hint="default" w:ascii="Times New Roman" w:hAnsi="Times New Roman" w:cs="Times New Roman"/>
                <w:snapToGrid w:val="0"/>
                <w:color w:val="auto"/>
                <w:kern w:val="21"/>
                <w:sz w:val="24"/>
                <w:szCs w:val="24"/>
                <w:highlight w:val="none"/>
                <w:lang w:val="en-US" w:eastAsia="zh-CN"/>
              </w:rPr>
              <w:t>/</w:t>
            </w:r>
          </w:p>
        </w:tc>
        <w:tc>
          <w:tcPr>
            <w:tcW w:w="592" w:type="pct"/>
            <w:vAlign w:val="center"/>
          </w:tcPr>
          <w:p w14:paraId="670B91C6">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rPr>
              <w:t>0</w:t>
            </w:r>
          </w:p>
        </w:tc>
        <w:tc>
          <w:tcPr>
            <w:tcW w:w="615" w:type="pct"/>
            <w:vAlign w:val="center"/>
          </w:tcPr>
          <w:p w14:paraId="2EEC76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0.022</w:t>
            </w:r>
            <w:r>
              <w:rPr>
                <w:rFonts w:hint="default" w:ascii="Times New Roman" w:hAnsi="Times New Roman" w:cs="Times New Roman"/>
                <w:snapToGrid w:val="0"/>
                <w:color w:val="auto"/>
                <w:kern w:val="21"/>
                <w:sz w:val="24"/>
                <w:szCs w:val="24"/>
                <w:highlight w:val="none"/>
                <w:lang w:val="en-US" w:eastAsia="zh-CN"/>
              </w:rPr>
              <w:t>t/a</w:t>
            </w:r>
          </w:p>
        </w:tc>
        <w:tc>
          <w:tcPr>
            <w:tcW w:w="541" w:type="pct"/>
            <w:vAlign w:val="center"/>
          </w:tcPr>
          <w:p w14:paraId="33344269">
            <w:pPr>
              <w:pStyle w:val="162"/>
              <w:keepNext w:val="0"/>
              <w:keepLines w:val="0"/>
              <w:suppressLineNumbers w:val="0"/>
              <w:spacing w:before="0" w:beforeAutospacing="0" w:after="0" w:afterAutospacing="0" w:line="360" w:lineRule="auto"/>
              <w:ind w:left="0" w:right="0"/>
              <w:rPr>
                <w:rFonts w:hint="default" w:ascii="Times New Roman" w:hAnsi="Times New Roman" w:eastAsia="宋体" w:cs="Times New Roman"/>
                <w:snapToGrid w:val="0"/>
                <w:color w:val="auto"/>
                <w:kern w:val="21"/>
                <w:sz w:val="24"/>
                <w:szCs w:val="24"/>
                <w:highlight w:val="none"/>
                <w:lang w:val="en-US" w:eastAsia="zh-CN"/>
              </w:rPr>
            </w:pPr>
            <w:r>
              <w:rPr>
                <w:rFonts w:hint="default" w:ascii="Times New Roman" w:hAnsi="Times New Roman" w:cs="Times New Roman"/>
                <w:snapToGrid w:val="0"/>
                <w:color w:val="auto"/>
                <w:kern w:val="21"/>
                <w:sz w:val="24"/>
                <w:szCs w:val="24"/>
                <w:highlight w:val="none"/>
                <w:lang w:val="en-US" w:eastAsia="zh-CN"/>
              </w:rPr>
              <w:t>/</w:t>
            </w:r>
          </w:p>
        </w:tc>
        <w:tc>
          <w:tcPr>
            <w:tcW w:w="592" w:type="pct"/>
            <w:vAlign w:val="center"/>
          </w:tcPr>
          <w:p w14:paraId="1CB97F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0.022</w:t>
            </w:r>
            <w:r>
              <w:rPr>
                <w:rFonts w:hint="default" w:ascii="Times New Roman" w:hAnsi="Times New Roman" w:cs="Times New Roman"/>
                <w:snapToGrid w:val="0"/>
                <w:color w:val="auto"/>
                <w:kern w:val="21"/>
                <w:sz w:val="24"/>
                <w:szCs w:val="24"/>
                <w:highlight w:val="none"/>
                <w:lang w:val="en-US" w:eastAsia="zh-CN"/>
              </w:rPr>
              <w:t>t/a</w:t>
            </w:r>
          </w:p>
        </w:tc>
        <w:tc>
          <w:tcPr>
            <w:tcW w:w="664" w:type="pct"/>
            <w:vAlign w:val="center"/>
          </w:tcPr>
          <w:p w14:paraId="06DDC1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0.022</w:t>
            </w:r>
            <w:r>
              <w:rPr>
                <w:rFonts w:hint="default" w:ascii="Times New Roman" w:hAnsi="Times New Roman" w:cs="Times New Roman"/>
                <w:snapToGrid w:val="0"/>
                <w:color w:val="auto"/>
                <w:kern w:val="21"/>
                <w:sz w:val="24"/>
                <w:szCs w:val="24"/>
                <w:highlight w:val="none"/>
                <w:lang w:val="en-US" w:eastAsia="zh-CN"/>
              </w:rPr>
              <w:t>t/a</w:t>
            </w:r>
          </w:p>
        </w:tc>
      </w:tr>
      <w:tr w14:paraId="2C3883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47" w:type="pct"/>
            <w:vMerge w:val="continue"/>
            <w:vAlign w:val="center"/>
          </w:tcPr>
          <w:p w14:paraId="6F1E7A4F">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highlight w:val="none"/>
              </w:rPr>
            </w:pPr>
          </w:p>
        </w:tc>
        <w:tc>
          <w:tcPr>
            <w:tcW w:w="615" w:type="pct"/>
            <w:gridSpan w:val="2"/>
            <w:vAlign w:val="center"/>
          </w:tcPr>
          <w:p w14:paraId="25C42A02">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highlight w:val="none"/>
                <w:lang w:val="en-US" w:eastAsia="zh-CN"/>
              </w:rPr>
            </w:pPr>
            <w:r>
              <w:rPr>
                <w:rFonts w:hint="default" w:ascii="Times New Roman" w:hAnsi="Times New Roman" w:cs="Times New Roman"/>
                <w:snapToGrid w:val="0"/>
                <w:color w:val="auto"/>
                <w:kern w:val="21"/>
                <w:sz w:val="24"/>
                <w:szCs w:val="24"/>
                <w:highlight w:val="none"/>
                <w:lang w:val="en-US" w:eastAsia="zh-CN"/>
              </w:rPr>
              <w:t>TP</w:t>
            </w:r>
          </w:p>
        </w:tc>
        <w:tc>
          <w:tcPr>
            <w:tcW w:w="464" w:type="pct"/>
            <w:vAlign w:val="center"/>
          </w:tcPr>
          <w:p w14:paraId="154BCE59">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cs="Times New Roman"/>
                <w:snapToGrid w:val="0"/>
                <w:color w:val="auto"/>
                <w:kern w:val="21"/>
                <w:sz w:val="24"/>
                <w:szCs w:val="24"/>
                <w:highlight w:val="none"/>
                <w:lang w:val="en-US" w:eastAsia="zh-CN"/>
              </w:rPr>
            </w:pPr>
            <w:r>
              <w:rPr>
                <w:rFonts w:hint="default" w:ascii="Times New Roman" w:hAnsi="Times New Roman" w:cs="Times New Roman"/>
                <w:snapToGrid w:val="0"/>
                <w:color w:val="auto"/>
                <w:kern w:val="21"/>
                <w:sz w:val="24"/>
                <w:szCs w:val="24"/>
                <w:highlight w:val="none"/>
                <w:lang w:val="en-US" w:eastAsia="zh-CN"/>
              </w:rPr>
              <w:t>/</w:t>
            </w:r>
          </w:p>
        </w:tc>
        <w:tc>
          <w:tcPr>
            <w:tcW w:w="467" w:type="pct"/>
            <w:vAlign w:val="center"/>
          </w:tcPr>
          <w:p w14:paraId="16673D45">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cs="Times New Roman"/>
                <w:snapToGrid w:val="0"/>
                <w:color w:val="auto"/>
                <w:kern w:val="21"/>
                <w:sz w:val="24"/>
                <w:szCs w:val="24"/>
                <w:highlight w:val="none"/>
                <w:lang w:val="en-US" w:eastAsia="zh-CN"/>
              </w:rPr>
            </w:pPr>
            <w:r>
              <w:rPr>
                <w:rFonts w:hint="default" w:ascii="Times New Roman" w:hAnsi="Times New Roman" w:cs="Times New Roman"/>
                <w:snapToGrid w:val="0"/>
                <w:color w:val="auto"/>
                <w:kern w:val="21"/>
                <w:sz w:val="24"/>
                <w:szCs w:val="24"/>
                <w:highlight w:val="none"/>
                <w:lang w:val="en-US" w:eastAsia="zh-CN"/>
              </w:rPr>
              <w:t>/</w:t>
            </w:r>
          </w:p>
        </w:tc>
        <w:tc>
          <w:tcPr>
            <w:tcW w:w="592" w:type="pct"/>
            <w:vAlign w:val="center"/>
          </w:tcPr>
          <w:p w14:paraId="1142B905">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rPr>
              <w:t>0</w:t>
            </w:r>
          </w:p>
        </w:tc>
        <w:tc>
          <w:tcPr>
            <w:tcW w:w="615" w:type="pct"/>
            <w:vAlign w:val="center"/>
          </w:tcPr>
          <w:p w14:paraId="38BECC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0.002</w:t>
            </w:r>
            <w:r>
              <w:rPr>
                <w:rFonts w:hint="default" w:ascii="Times New Roman" w:hAnsi="Times New Roman" w:cs="Times New Roman"/>
                <w:snapToGrid w:val="0"/>
                <w:color w:val="auto"/>
                <w:kern w:val="21"/>
                <w:sz w:val="24"/>
                <w:szCs w:val="24"/>
                <w:highlight w:val="none"/>
                <w:lang w:val="en-US" w:eastAsia="zh-CN"/>
              </w:rPr>
              <w:t>t/a</w:t>
            </w:r>
          </w:p>
        </w:tc>
        <w:tc>
          <w:tcPr>
            <w:tcW w:w="541" w:type="pct"/>
            <w:vAlign w:val="center"/>
          </w:tcPr>
          <w:p w14:paraId="03148C21">
            <w:pPr>
              <w:pStyle w:val="162"/>
              <w:keepNext w:val="0"/>
              <w:keepLines w:val="0"/>
              <w:suppressLineNumbers w:val="0"/>
              <w:spacing w:before="0" w:beforeAutospacing="0" w:after="0" w:afterAutospacing="0" w:line="360" w:lineRule="auto"/>
              <w:ind w:left="0" w:right="0"/>
              <w:rPr>
                <w:rFonts w:hint="default" w:ascii="Times New Roman" w:hAnsi="Times New Roman" w:eastAsia="宋体" w:cs="Times New Roman"/>
                <w:snapToGrid w:val="0"/>
                <w:color w:val="auto"/>
                <w:kern w:val="21"/>
                <w:sz w:val="24"/>
                <w:szCs w:val="24"/>
                <w:highlight w:val="none"/>
                <w:lang w:val="en-US" w:eastAsia="zh-CN"/>
              </w:rPr>
            </w:pPr>
            <w:r>
              <w:rPr>
                <w:rFonts w:hint="default" w:ascii="Times New Roman" w:hAnsi="Times New Roman" w:cs="Times New Roman"/>
                <w:snapToGrid w:val="0"/>
                <w:color w:val="auto"/>
                <w:kern w:val="21"/>
                <w:sz w:val="24"/>
                <w:szCs w:val="24"/>
                <w:highlight w:val="none"/>
                <w:lang w:val="en-US" w:eastAsia="zh-CN"/>
              </w:rPr>
              <w:t>/</w:t>
            </w:r>
          </w:p>
        </w:tc>
        <w:tc>
          <w:tcPr>
            <w:tcW w:w="592" w:type="pct"/>
            <w:vAlign w:val="center"/>
          </w:tcPr>
          <w:p w14:paraId="33CE80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0.002</w:t>
            </w:r>
            <w:r>
              <w:rPr>
                <w:rFonts w:hint="default" w:ascii="Times New Roman" w:hAnsi="Times New Roman" w:cs="Times New Roman"/>
                <w:snapToGrid w:val="0"/>
                <w:color w:val="auto"/>
                <w:kern w:val="21"/>
                <w:sz w:val="24"/>
                <w:szCs w:val="24"/>
                <w:highlight w:val="none"/>
                <w:lang w:val="en-US" w:eastAsia="zh-CN"/>
              </w:rPr>
              <w:t>t/a</w:t>
            </w:r>
          </w:p>
        </w:tc>
        <w:tc>
          <w:tcPr>
            <w:tcW w:w="664" w:type="pct"/>
            <w:vAlign w:val="center"/>
          </w:tcPr>
          <w:p w14:paraId="075C7F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0.002</w:t>
            </w:r>
            <w:r>
              <w:rPr>
                <w:rFonts w:hint="default" w:ascii="Times New Roman" w:hAnsi="Times New Roman" w:cs="Times New Roman"/>
                <w:snapToGrid w:val="0"/>
                <w:color w:val="auto"/>
                <w:kern w:val="21"/>
                <w:sz w:val="24"/>
                <w:szCs w:val="24"/>
                <w:highlight w:val="none"/>
                <w:lang w:val="en-US" w:eastAsia="zh-CN"/>
              </w:rPr>
              <w:t>t/a</w:t>
            </w:r>
          </w:p>
        </w:tc>
      </w:tr>
      <w:tr w14:paraId="60CD88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7" w:type="pct"/>
            <w:vMerge w:val="restart"/>
            <w:vAlign w:val="center"/>
          </w:tcPr>
          <w:p w14:paraId="284E19BC">
            <w:pPr>
              <w:pStyle w:val="110"/>
              <w:keepNext w:val="0"/>
              <w:keepLines w:val="0"/>
              <w:suppressLineNumbers w:val="0"/>
              <w:spacing w:before="0" w:beforeAutospacing="0" w:after="0" w:afterAutospacing="0" w:line="360" w:lineRule="auto"/>
              <w:ind w:left="0" w:right="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一般工业固废</w:t>
            </w:r>
          </w:p>
        </w:tc>
        <w:tc>
          <w:tcPr>
            <w:tcW w:w="615" w:type="pct"/>
            <w:gridSpan w:val="2"/>
            <w:shd w:val="clear" w:color="auto" w:fill="auto"/>
            <w:vAlign w:val="center"/>
          </w:tcPr>
          <w:p w14:paraId="7D4DE324">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cs="Times New Roman"/>
                <w:color w:val="auto"/>
                <w:kern w:val="0"/>
                <w:sz w:val="24"/>
                <w:szCs w:val="24"/>
                <w:lang w:val="en-US" w:eastAsia="zh-CN"/>
              </w:rPr>
              <w:t>废包装</w:t>
            </w:r>
          </w:p>
        </w:tc>
        <w:tc>
          <w:tcPr>
            <w:tcW w:w="464" w:type="pct"/>
            <w:vAlign w:val="center"/>
          </w:tcPr>
          <w:p w14:paraId="130D3C31">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lang w:val="en-US" w:eastAsia="zh-CN"/>
              </w:rPr>
              <w:t>/</w:t>
            </w:r>
          </w:p>
        </w:tc>
        <w:tc>
          <w:tcPr>
            <w:tcW w:w="467" w:type="pct"/>
            <w:vAlign w:val="center"/>
          </w:tcPr>
          <w:p w14:paraId="7DC299E4">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lang w:val="en-US" w:eastAsia="zh-CN"/>
              </w:rPr>
              <w:t>/</w:t>
            </w:r>
          </w:p>
        </w:tc>
        <w:tc>
          <w:tcPr>
            <w:tcW w:w="592" w:type="pct"/>
            <w:vAlign w:val="center"/>
          </w:tcPr>
          <w:p w14:paraId="36341065">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lang w:val="en-US" w:eastAsia="zh-CN"/>
              </w:rPr>
              <w:t>0</w:t>
            </w:r>
          </w:p>
        </w:tc>
        <w:tc>
          <w:tcPr>
            <w:tcW w:w="615" w:type="pct"/>
            <w:shd w:val="clear" w:color="auto" w:fill="auto"/>
            <w:vAlign w:val="center"/>
          </w:tcPr>
          <w:p w14:paraId="37C5888C">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eastAsia="宋体" w:cs="Times New Roman"/>
                <w:color w:val="auto"/>
                <w:kern w:val="0"/>
                <w:sz w:val="24"/>
                <w:szCs w:val="24"/>
                <w:highlight w:val="none"/>
                <w:lang w:val="en-US" w:eastAsia="zh-CN" w:bidi="ar-SA"/>
              </w:rPr>
            </w:pPr>
            <w:r>
              <w:rPr>
                <w:rFonts w:hint="eastAsia" w:cs="Times New Roman"/>
                <w:color w:val="auto"/>
                <w:kern w:val="0"/>
                <w:sz w:val="24"/>
                <w:szCs w:val="24"/>
                <w:lang w:val="en-US" w:eastAsia="zh-CN"/>
              </w:rPr>
              <w:t>2.7</w:t>
            </w:r>
            <w:r>
              <w:rPr>
                <w:rFonts w:hint="default" w:ascii="Times New Roman" w:hAnsi="Times New Roman" w:cs="Times New Roman"/>
                <w:snapToGrid w:val="0"/>
                <w:color w:val="auto"/>
                <w:kern w:val="21"/>
                <w:sz w:val="24"/>
                <w:szCs w:val="24"/>
                <w:highlight w:val="none"/>
                <w:lang w:val="en-US" w:eastAsia="zh-CN"/>
              </w:rPr>
              <w:t>t/a</w:t>
            </w:r>
          </w:p>
        </w:tc>
        <w:tc>
          <w:tcPr>
            <w:tcW w:w="541" w:type="pct"/>
            <w:vAlign w:val="center"/>
          </w:tcPr>
          <w:p w14:paraId="236681F0">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lang w:val="en-US" w:eastAsia="zh-CN"/>
              </w:rPr>
              <w:t>/</w:t>
            </w:r>
          </w:p>
        </w:tc>
        <w:tc>
          <w:tcPr>
            <w:tcW w:w="592" w:type="pct"/>
            <w:vAlign w:val="center"/>
          </w:tcPr>
          <w:p w14:paraId="039A4C97">
            <w:pPr>
              <w:pStyle w:val="110"/>
              <w:keepNext w:val="0"/>
              <w:keepLines w:val="0"/>
              <w:suppressLineNumbers w:val="0"/>
              <w:spacing w:before="0" w:beforeAutospacing="0" w:after="0" w:afterAutospacing="0" w:line="276" w:lineRule="auto"/>
              <w:ind w:left="0" w:right="0"/>
              <w:rPr>
                <w:rFonts w:hint="default" w:ascii="Times New Roman" w:hAnsi="Times New Roman" w:cs="Times New Roman"/>
                <w:snapToGrid w:val="0"/>
                <w:color w:val="auto"/>
                <w:kern w:val="21"/>
                <w:sz w:val="24"/>
                <w:szCs w:val="24"/>
                <w:highlight w:val="none"/>
              </w:rPr>
            </w:pPr>
            <w:r>
              <w:rPr>
                <w:rFonts w:hint="eastAsia" w:cs="Times New Roman"/>
                <w:color w:val="auto"/>
                <w:kern w:val="0"/>
                <w:sz w:val="24"/>
                <w:szCs w:val="24"/>
                <w:lang w:val="en-US" w:eastAsia="zh-CN"/>
              </w:rPr>
              <w:t>2.7</w:t>
            </w:r>
            <w:r>
              <w:rPr>
                <w:rFonts w:hint="default" w:ascii="Times New Roman" w:hAnsi="Times New Roman" w:cs="Times New Roman"/>
                <w:snapToGrid w:val="0"/>
                <w:color w:val="auto"/>
                <w:kern w:val="21"/>
                <w:sz w:val="24"/>
                <w:szCs w:val="24"/>
                <w:highlight w:val="none"/>
                <w:lang w:val="en-US" w:eastAsia="zh-CN"/>
              </w:rPr>
              <w:t>t/a</w:t>
            </w:r>
          </w:p>
        </w:tc>
        <w:tc>
          <w:tcPr>
            <w:tcW w:w="664" w:type="pct"/>
            <w:vAlign w:val="center"/>
          </w:tcPr>
          <w:p w14:paraId="5426C0AA">
            <w:pPr>
              <w:pStyle w:val="110"/>
              <w:keepNext w:val="0"/>
              <w:keepLines w:val="0"/>
              <w:suppressLineNumbers w:val="0"/>
              <w:spacing w:before="0" w:beforeAutospacing="0" w:after="0" w:afterAutospacing="0" w:line="276" w:lineRule="auto"/>
              <w:ind w:left="0" w:right="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color w:val="auto"/>
                <w:kern w:val="0"/>
                <w:sz w:val="24"/>
                <w:szCs w:val="24"/>
                <w:highlight w:val="none"/>
                <w:lang w:val="en-US" w:eastAsia="zh-CN"/>
              </w:rPr>
              <w:t>+</w:t>
            </w:r>
            <w:r>
              <w:rPr>
                <w:rFonts w:hint="eastAsia" w:cs="Times New Roman"/>
                <w:color w:val="auto"/>
                <w:kern w:val="0"/>
                <w:sz w:val="24"/>
                <w:szCs w:val="24"/>
                <w:lang w:val="en-US" w:eastAsia="zh-CN"/>
              </w:rPr>
              <w:t>2.7</w:t>
            </w:r>
            <w:r>
              <w:rPr>
                <w:rFonts w:hint="default" w:ascii="Times New Roman" w:hAnsi="Times New Roman" w:cs="Times New Roman"/>
                <w:snapToGrid w:val="0"/>
                <w:color w:val="auto"/>
                <w:kern w:val="21"/>
                <w:sz w:val="24"/>
                <w:szCs w:val="24"/>
                <w:highlight w:val="none"/>
                <w:lang w:val="en-US" w:eastAsia="zh-CN"/>
              </w:rPr>
              <w:t>t/a</w:t>
            </w:r>
          </w:p>
        </w:tc>
      </w:tr>
      <w:tr w14:paraId="46B586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447" w:type="pct"/>
            <w:vMerge w:val="continue"/>
            <w:vAlign w:val="center"/>
          </w:tcPr>
          <w:p w14:paraId="2D5E269D">
            <w:pPr>
              <w:pStyle w:val="110"/>
              <w:keepNext w:val="0"/>
              <w:keepLines w:val="0"/>
              <w:suppressLineNumbers w:val="0"/>
              <w:spacing w:before="0" w:beforeAutospacing="0" w:after="0" w:afterAutospacing="0" w:line="360" w:lineRule="auto"/>
              <w:ind w:left="0" w:right="0"/>
              <w:rPr>
                <w:rFonts w:hint="default" w:ascii="Times New Roman" w:hAnsi="Times New Roman" w:cs="Times New Roman"/>
                <w:color w:val="auto"/>
                <w:sz w:val="24"/>
                <w:szCs w:val="24"/>
                <w:highlight w:val="none"/>
              </w:rPr>
            </w:pPr>
          </w:p>
        </w:tc>
        <w:tc>
          <w:tcPr>
            <w:tcW w:w="615" w:type="pct"/>
            <w:gridSpan w:val="2"/>
            <w:shd w:val="clear" w:color="auto" w:fill="auto"/>
            <w:vAlign w:val="center"/>
          </w:tcPr>
          <w:p w14:paraId="42B74B71">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lang w:val="en-US" w:eastAsia="zh-CN"/>
              </w:rPr>
              <w:t>废塑料边角料</w:t>
            </w:r>
            <w:r>
              <w:rPr>
                <w:rFonts w:hint="default" w:ascii="Times New Roman" w:hAnsi="Times New Roman"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不合格塑料半成品</w:t>
            </w:r>
          </w:p>
        </w:tc>
        <w:tc>
          <w:tcPr>
            <w:tcW w:w="464" w:type="pct"/>
            <w:vAlign w:val="center"/>
          </w:tcPr>
          <w:p w14:paraId="13CA655E">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lang w:val="en-US" w:eastAsia="zh-CN"/>
              </w:rPr>
              <w:t>/</w:t>
            </w:r>
          </w:p>
        </w:tc>
        <w:tc>
          <w:tcPr>
            <w:tcW w:w="467" w:type="pct"/>
            <w:vAlign w:val="center"/>
          </w:tcPr>
          <w:p w14:paraId="23A303DA">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lang w:val="en-US" w:eastAsia="zh-CN"/>
              </w:rPr>
              <w:t>/</w:t>
            </w:r>
          </w:p>
        </w:tc>
        <w:tc>
          <w:tcPr>
            <w:tcW w:w="592" w:type="pct"/>
            <w:vAlign w:val="center"/>
          </w:tcPr>
          <w:p w14:paraId="37B6B8D3">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lang w:val="en-US" w:eastAsia="zh-CN"/>
              </w:rPr>
              <w:t>0</w:t>
            </w:r>
          </w:p>
        </w:tc>
        <w:tc>
          <w:tcPr>
            <w:tcW w:w="615" w:type="pct"/>
            <w:shd w:val="clear" w:color="auto" w:fill="auto"/>
            <w:vAlign w:val="center"/>
          </w:tcPr>
          <w:p w14:paraId="378EAA3C">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eastAsia="宋体" w:cs="Times New Roman"/>
                <w:color w:val="auto"/>
                <w:kern w:val="0"/>
                <w:sz w:val="24"/>
                <w:szCs w:val="24"/>
                <w:highlight w:val="none"/>
                <w:lang w:val="en-US" w:eastAsia="zh-CN" w:bidi="ar-SA"/>
              </w:rPr>
            </w:pPr>
            <w:r>
              <w:rPr>
                <w:rFonts w:hint="eastAsia" w:cs="Times New Roman"/>
                <w:color w:val="auto"/>
                <w:kern w:val="0"/>
                <w:sz w:val="24"/>
                <w:szCs w:val="24"/>
                <w:lang w:val="en-US" w:eastAsia="zh-CN"/>
              </w:rPr>
              <w:t>41.13</w:t>
            </w:r>
            <w:r>
              <w:rPr>
                <w:rFonts w:hint="default" w:ascii="Times New Roman" w:hAnsi="Times New Roman" w:cs="Times New Roman"/>
                <w:snapToGrid w:val="0"/>
                <w:color w:val="auto"/>
                <w:kern w:val="21"/>
                <w:sz w:val="24"/>
                <w:szCs w:val="24"/>
                <w:highlight w:val="none"/>
                <w:lang w:val="en-US" w:eastAsia="zh-CN"/>
              </w:rPr>
              <w:t>t/a</w:t>
            </w:r>
          </w:p>
        </w:tc>
        <w:tc>
          <w:tcPr>
            <w:tcW w:w="541" w:type="pct"/>
            <w:vAlign w:val="center"/>
          </w:tcPr>
          <w:p w14:paraId="27CE5CE0">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lang w:val="en-US" w:eastAsia="zh-CN"/>
              </w:rPr>
              <w:t>/</w:t>
            </w:r>
          </w:p>
        </w:tc>
        <w:tc>
          <w:tcPr>
            <w:tcW w:w="592" w:type="pct"/>
            <w:vAlign w:val="center"/>
          </w:tcPr>
          <w:p w14:paraId="4C882372">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cs="Times New Roman"/>
                <w:snapToGrid w:val="0"/>
                <w:color w:val="auto"/>
                <w:kern w:val="21"/>
                <w:sz w:val="24"/>
                <w:szCs w:val="24"/>
                <w:highlight w:val="none"/>
              </w:rPr>
            </w:pPr>
            <w:r>
              <w:rPr>
                <w:rFonts w:hint="eastAsia" w:cs="Times New Roman"/>
                <w:color w:val="auto"/>
                <w:kern w:val="0"/>
                <w:sz w:val="24"/>
                <w:szCs w:val="24"/>
                <w:lang w:val="en-US" w:eastAsia="zh-CN"/>
              </w:rPr>
              <w:t>41.13</w:t>
            </w:r>
            <w:r>
              <w:rPr>
                <w:rFonts w:hint="default" w:ascii="Times New Roman" w:hAnsi="Times New Roman" w:cs="Times New Roman"/>
                <w:snapToGrid w:val="0"/>
                <w:color w:val="auto"/>
                <w:kern w:val="21"/>
                <w:sz w:val="24"/>
                <w:szCs w:val="24"/>
                <w:highlight w:val="none"/>
                <w:lang w:val="en-US" w:eastAsia="zh-CN"/>
              </w:rPr>
              <w:t>t/a</w:t>
            </w:r>
          </w:p>
        </w:tc>
        <w:tc>
          <w:tcPr>
            <w:tcW w:w="664" w:type="pct"/>
            <w:vAlign w:val="center"/>
          </w:tcPr>
          <w:p w14:paraId="4378D7F7">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color w:val="auto"/>
                <w:kern w:val="0"/>
                <w:sz w:val="24"/>
                <w:szCs w:val="24"/>
                <w:lang w:val="en-US" w:eastAsia="zh-CN"/>
              </w:rPr>
              <w:t>+</w:t>
            </w:r>
            <w:r>
              <w:rPr>
                <w:rFonts w:hint="eastAsia" w:cs="Times New Roman"/>
                <w:color w:val="auto"/>
                <w:kern w:val="0"/>
                <w:sz w:val="24"/>
                <w:szCs w:val="24"/>
                <w:lang w:val="en-US" w:eastAsia="zh-CN"/>
              </w:rPr>
              <w:t>41.13</w:t>
            </w:r>
            <w:r>
              <w:rPr>
                <w:rFonts w:hint="default" w:ascii="Times New Roman" w:hAnsi="Times New Roman" w:cs="Times New Roman"/>
                <w:snapToGrid w:val="0"/>
                <w:color w:val="auto"/>
                <w:kern w:val="21"/>
                <w:sz w:val="24"/>
                <w:szCs w:val="24"/>
                <w:highlight w:val="none"/>
                <w:lang w:val="en-US" w:eastAsia="zh-CN"/>
              </w:rPr>
              <w:t>t/a</w:t>
            </w:r>
          </w:p>
        </w:tc>
      </w:tr>
      <w:tr w14:paraId="1BDAB4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447" w:type="pct"/>
            <w:vMerge w:val="continue"/>
            <w:vAlign w:val="center"/>
          </w:tcPr>
          <w:p w14:paraId="710344D7">
            <w:pPr>
              <w:pStyle w:val="110"/>
              <w:keepNext w:val="0"/>
              <w:keepLines w:val="0"/>
              <w:suppressLineNumbers w:val="0"/>
              <w:spacing w:before="0" w:beforeAutospacing="0" w:after="0" w:afterAutospacing="0" w:line="360" w:lineRule="auto"/>
              <w:ind w:left="0" w:right="0"/>
              <w:rPr>
                <w:rFonts w:hint="default" w:ascii="Times New Roman" w:hAnsi="Times New Roman" w:cs="Times New Roman"/>
                <w:color w:val="auto"/>
                <w:sz w:val="24"/>
                <w:szCs w:val="24"/>
                <w:highlight w:val="none"/>
              </w:rPr>
            </w:pPr>
          </w:p>
        </w:tc>
        <w:tc>
          <w:tcPr>
            <w:tcW w:w="615" w:type="pct"/>
            <w:gridSpan w:val="2"/>
            <w:shd w:val="clear" w:color="auto" w:fill="auto"/>
            <w:vAlign w:val="center"/>
          </w:tcPr>
          <w:p w14:paraId="68AE39A1">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cs="Times New Roman"/>
                <w:color w:val="auto"/>
                <w:kern w:val="0"/>
                <w:sz w:val="24"/>
                <w:szCs w:val="24"/>
                <w:lang w:val="en-US" w:eastAsia="zh-CN"/>
              </w:rPr>
              <w:t>废包材</w:t>
            </w:r>
          </w:p>
        </w:tc>
        <w:tc>
          <w:tcPr>
            <w:tcW w:w="464" w:type="pct"/>
            <w:vAlign w:val="center"/>
          </w:tcPr>
          <w:p w14:paraId="233DBAC3">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lang w:val="en-US" w:eastAsia="zh-CN"/>
              </w:rPr>
              <w:t>/</w:t>
            </w:r>
          </w:p>
        </w:tc>
        <w:tc>
          <w:tcPr>
            <w:tcW w:w="467" w:type="pct"/>
            <w:vAlign w:val="center"/>
          </w:tcPr>
          <w:p w14:paraId="0B07C46C">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lang w:val="en-US" w:eastAsia="zh-CN"/>
              </w:rPr>
              <w:t>/</w:t>
            </w:r>
          </w:p>
        </w:tc>
        <w:tc>
          <w:tcPr>
            <w:tcW w:w="592" w:type="pct"/>
            <w:vAlign w:val="center"/>
          </w:tcPr>
          <w:p w14:paraId="44D3C83F">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lang w:val="en-US" w:eastAsia="zh-CN"/>
              </w:rPr>
              <w:t>0</w:t>
            </w:r>
          </w:p>
        </w:tc>
        <w:tc>
          <w:tcPr>
            <w:tcW w:w="615" w:type="pct"/>
            <w:shd w:val="clear" w:color="auto" w:fill="auto"/>
            <w:vAlign w:val="center"/>
          </w:tcPr>
          <w:p w14:paraId="13E9850D">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eastAsia="宋体" w:cs="Times New Roman"/>
                <w:color w:val="auto"/>
                <w:kern w:val="0"/>
                <w:sz w:val="24"/>
                <w:szCs w:val="24"/>
                <w:highlight w:val="none"/>
                <w:lang w:val="en-US" w:eastAsia="zh-CN" w:bidi="ar-SA"/>
              </w:rPr>
            </w:pPr>
            <w:r>
              <w:rPr>
                <w:rFonts w:hint="eastAsia" w:cs="Times New Roman"/>
                <w:color w:val="auto"/>
                <w:kern w:val="0"/>
                <w:sz w:val="24"/>
                <w:szCs w:val="24"/>
                <w:lang w:val="en-US" w:eastAsia="zh-CN"/>
              </w:rPr>
              <w:t>1.5</w:t>
            </w:r>
            <w:r>
              <w:rPr>
                <w:rFonts w:hint="default" w:ascii="Times New Roman" w:hAnsi="Times New Roman" w:cs="Times New Roman"/>
                <w:snapToGrid w:val="0"/>
                <w:color w:val="auto"/>
                <w:kern w:val="21"/>
                <w:sz w:val="24"/>
                <w:szCs w:val="24"/>
                <w:highlight w:val="none"/>
                <w:lang w:val="en-US" w:eastAsia="zh-CN"/>
              </w:rPr>
              <w:t>t/a</w:t>
            </w:r>
          </w:p>
        </w:tc>
        <w:tc>
          <w:tcPr>
            <w:tcW w:w="541" w:type="pct"/>
            <w:vAlign w:val="center"/>
          </w:tcPr>
          <w:p w14:paraId="2AC6EA3F">
            <w:pPr>
              <w:pStyle w:val="162"/>
              <w:keepNext w:val="0"/>
              <w:keepLines w:val="0"/>
              <w:suppressLineNumbers w:val="0"/>
              <w:spacing w:before="0" w:beforeAutospacing="0" w:after="0" w:afterAutospacing="0" w:line="360" w:lineRule="auto"/>
              <w:ind w:left="0" w:right="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lang w:val="en-US" w:eastAsia="zh-CN"/>
              </w:rPr>
              <w:t>/</w:t>
            </w:r>
          </w:p>
        </w:tc>
        <w:tc>
          <w:tcPr>
            <w:tcW w:w="592" w:type="pct"/>
            <w:vAlign w:val="center"/>
          </w:tcPr>
          <w:p w14:paraId="2A7852D5">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cs="Times New Roman"/>
                <w:snapToGrid w:val="0"/>
                <w:color w:val="auto"/>
                <w:kern w:val="21"/>
                <w:sz w:val="24"/>
                <w:szCs w:val="24"/>
                <w:highlight w:val="none"/>
              </w:rPr>
            </w:pPr>
            <w:r>
              <w:rPr>
                <w:rFonts w:hint="eastAsia" w:cs="Times New Roman"/>
                <w:color w:val="auto"/>
                <w:kern w:val="0"/>
                <w:sz w:val="24"/>
                <w:szCs w:val="24"/>
                <w:lang w:val="en-US" w:eastAsia="zh-CN"/>
              </w:rPr>
              <w:t>1.5</w:t>
            </w:r>
            <w:r>
              <w:rPr>
                <w:rFonts w:hint="default" w:ascii="Times New Roman" w:hAnsi="Times New Roman" w:cs="Times New Roman"/>
                <w:snapToGrid w:val="0"/>
                <w:color w:val="auto"/>
                <w:kern w:val="21"/>
                <w:sz w:val="24"/>
                <w:szCs w:val="24"/>
                <w:highlight w:val="none"/>
                <w:lang w:val="en-US" w:eastAsia="zh-CN"/>
              </w:rPr>
              <w:t>t/a</w:t>
            </w:r>
          </w:p>
        </w:tc>
        <w:tc>
          <w:tcPr>
            <w:tcW w:w="664" w:type="pct"/>
            <w:vAlign w:val="center"/>
          </w:tcPr>
          <w:p w14:paraId="03F6D25A">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color w:val="auto"/>
                <w:kern w:val="0"/>
                <w:sz w:val="24"/>
                <w:szCs w:val="24"/>
                <w:lang w:val="en-US" w:eastAsia="zh-CN"/>
              </w:rPr>
              <w:t>+</w:t>
            </w:r>
            <w:r>
              <w:rPr>
                <w:rFonts w:hint="eastAsia" w:cs="Times New Roman"/>
                <w:color w:val="auto"/>
                <w:kern w:val="0"/>
                <w:sz w:val="24"/>
                <w:szCs w:val="24"/>
                <w:lang w:val="en-US" w:eastAsia="zh-CN"/>
              </w:rPr>
              <w:t>1.5</w:t>
            </w:r>
            <w:r>
              <w:rPr>
                <w:rFonts w:hint="default" w:ascii="Times New Roman" w:hAnsi="Times New Roman" w:cs="Times New Roman"/>
                <w:snapToGrid w:val="0"/>
                <w:color w:val="auto"/>
                <w:kern w:val="21"/>
                <w:sz w:val="24"/>
                <w:szCs w:val="24"/>
                <w:highlight w:val="none"/>
                <w:lang w:val="en-US" w:eastAsia="zh-CN"/>
              </w:rPr>
              <w:t>t/a</w:t>
            </w:r>
          </w:p>
        </w:tc>
      </w:tr>
      <w:tr w14:paraId="64776A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447" w:type="pct"/>
            <w:vMerge w:val="continue"/>
            <w:vAlign w:val="center"/>
          </w:tcPr>
          <w:p w14:paraId="1365171B">
            <w:pPr>
              <w:pStyle w:val="110"/>
              <w:keepNext w:val="0"/>
              <w:keepLines w:val="0"/>
              <w:suppressLineNumbers w:val="0"/>
              <w:spacing w:before="0" w:beforeAutospacing="0" w:after="0" w:afterAutospacing="0" w:line="360" w:lineRule="auto"/>
              <w:ind w:left="0" w:right="0"/>
              <w:rPr>
                <w:rFonts w:hint="default" w:ascii="Times New Roman" w:hAnsi="Times New Roman" w:cs="Times New Roman"/>
                <w:color w:val="auto"/>
                <w:sz w:val="24"/>
                <w:szCs w:val="24"/>
                <w:highlight w:val="none"/>
              </w:rPr>
            </w:pPr>
          </w:p>
        </w:tc>
        <w:tc>
          <w:tcPr>
            <w:tcW w:w="615" w:type="pct"/>
            <w:gridSpan w:val="2"/>
            <w:shd w:val="clear" w:color="auto" w:fill="auto"/>
            <w:vAlign w:val="center"/>
          </w:tcPr>
          <w:p w14:paraId="7920963A">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lang w:val="en-US" w:eastAsia="zh-CN"/>
              </w:rPr>
              <w:t>布袋除尘器收集粉尘</w:t>
            </w:r>
          </w:p>
        </w:tc>
        <w:tc>
          <w:tcPr>
            <w:tcW w:w="464" w:type="pct"/>
            <w:vAlign w:val="center"/>
          </w:tcPr>
          <w:p w14:paraId="1080D524">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cs="Times New Roman"/>
                <w:snapToGrid w:val="0"/>
                <w:color w:val="auto"/>
                <w:kern w:val="21"/>
                <w:sz w:val="24"/>
                <w:szCs w:val="24"/>
                <w:highlight w:val="none"/>
                <w:lang w:val="en-US" w:eastAsia="zh-CN"/>
              </w:rPr>
            </w:pPr>
            <w:r>
              <w:rPr>
                <w:rFonts w:hint="default" w:ascii="Times New Roman" w:hAnsi="Times New Roman" w:cs="Times New Roman"/>
                <w:snapToGrid w:val="0"/>
                <w:color w:val="auto"/>
                <w:kern w:val="21"/>
                <w:sz w:val="24"/>
                <w:szCs w:val="24"/>
                <w:highlight w:val="none"/>
                <w:lang w:val="en-US" w:eastAsia="zh-CN"/>
              </w:rPr>
              <w:t>/</w:t>
            </w:r>
          </w:p>
        </w:tc>
        <w:tc>
          <w:tcPr>
            <w:tcW w:w="467" w:type="pct"/>
            <w:vAlign w:val="center"/>
          </w:tcPr>
          <w:p w14:paraId="4D8F5F20">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cs="Times New Roman"/>
                <w:snapToGrid w:val="0"/>
                <w:color w:val="auto"/>
                <w:kern w:val="21"/>
                <w:sz w:val="24"/>
                <w:szCs w:val="24"/>
                <w:highlight w:val="none"/>
                <w:lang w:val="en-US" w:eastAsia="zh-CN"/>
              </w:rPr>
            </w:pPr>
            <w:r>
              <w:rPr>
                <w:rFonts w:hint="default" w:ascii="Times New Roman" w:hAnsi="Times New Roman" w:cs="Times New Roman"/>
                <w:snapToGrid w:val="0"/>
                <w:color w:val="auto"/>
                <w:kern w:val="21"/>
                <w:sz w:val="24"/>
                <w:szCs w:val="24"/>
                <w:highlight w:val="none"/>
                <w:lang w:val="en-US" w:eastAsia="zh-CN"/>
              </w:rPr>
              <w:t>/</w:t>
            </w:r>
          </w:p>
        </w:tc>
        <w:tc>
          <w:tcPr>
            <w:tcW w:w="592" w:type="pct"/>
            <w:vAlign w:val="center"/>
          </w:tcPr>
          <w:p w14:paraId="70F9B677">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cs="Times New Roman"/>
                <w:snapToGrid w:val="0"/>
                <w:color w:val="auto"/>
                <w:kern w:val="21"/>
                <w:sz w:val="24"/>
                <w:szCs w:val="24"/>
                <w:highlight w:val="none"/>
                <w:lang w:val="en-US" w:eastAsia="zh-CN"/>
              </w:rPr>
            </w:pPr>
            <w:r>
              <w:rPr>
                <w:rFonts w:hint="default" w:ascii="Times New Roman" w:hAnsi="Times New Roman" w:cs="Times New Roman"/>
                <w:snapToGrid w:val="0"/>
                <w:color w:val="auto"/>
                <w:kern w:val="21"/>
                <w:sz w:val="24"/>
                <w:szCs w:val="24"/>
                <w:highlight w:val="none"/>
                <w:lang w:val="en-US" w:eastAsia="zh-CN"/>
              </w:rPr>
              <w:t>0</w:t>
            </w:r>
          </w:p>
        </w:tc>
        <w:tc>
          <w:tcPr>
            <w:tcW w:w="615" w:type="pct"/>
            <w:shd w:val="clear" w:color="auto" w:fill="auto"/>
            <w:vAlign w:val="center"/>
          </w:tcPr>
          <w:p w14:paraId="3F99C457">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cs="Times New Roman"/>
                <w:color w:val="auto"/>
                <w:kern w:val="0"/>
                <w:sz w:val="24"/>
                <w:szCs w:val="24"/>
                <w:highlight w:val="none"/>
                <w:lang w:val="en-US" w:eastAsia="zh-CN"/>
              </w:rPr>
            </w:pPr>
            <w:r>
              <w:rPr>
                <w:rFonts w:hint="eastAsia" w:cs="Times New Roman"/>
                <w:color w:val="auto"/>
                <w:kern w:val="0"/>
                <w:sz w:val="24"/>
                <w:szCs w:val="24"/>
                <w:lang w:val="en-US" w:eastAsia="zh-CN"/>
              </w:rPr>
              <w:t>14.87</w:t>
            </w:r>
            <w:r>
              <w:rPr>
                <w:rFonts w:hint="default" w:ascii="Times New Roman" w:hAnsi="Times New Roman" w:cs="Times New Roman"/>
                <w:snapToGrid w:val="0"/>
                <w:color w:val="auto"/>
                <w:kern w:val="21"/>
                <w:sz w:val="24"/>
                <w:szCs w:val="24"/>
                <w:highlight w:val="none"/>
                <w:lang w:val="en-US" w:eastAsia="zh-CN"/>
              </w:rPr>
              <w:t>t/a</w:t>
            </w:r>
          </w:p>
        </w:tc>
        <w:tc>
          <w:tcPr>
            <w:tcW w:w="541" w:type="pct"/>
            <w:vAlign w:val="center"/>
          </w:tcPr>
          <w:p w14:paraId="68B72EC2">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cs="Times New Roman"/>
                <w:snapToGrid w:val="0"/>
                <w:color w:val="auto"/>
                <w:kern w:val="21"/>
                <w:sz w:val="24"/>
                <w:szCs w:val="24"/>
                <w:highlight w:val="none"/>
                <w:lang w:val="en-US" w:eastAsia="zh-CN"/>
              </w:rPr>
            </w:pPr>
            <w:r>
              <w:rPr>
                <w:rFonts w:hint="eastAsia" w:cs="Times New Roman"/>
                <w:snapToGrid w:val="0"/>
                <w:color w:val="auto"/>
                <w:kern w:val="21"/>
                <w:sz w:val="24"/>
                <w:szCs w:val="24"/>
                <w:highlight w:val="none"/>
                <w:lang w:val="en-US" w:eastAsia="zh-CN"/>
              </w:rPr>
              <w:t>/</w:t>
            </w:r>
          </w:p>
        </w:tc>
        <w:tc>
          <w:tcPr>
            <w:tcW w:w="592" w:type="pct"/>
            <w:vAlign w:val="center"/>
          </w:tcPr>
          <w:p w14:paraId="6EF529D5">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cs="Times New Roman"/>
                <w:color w:val="auto"/>
                <w:kern w:val="0"/>
                <w:sz w:val="24"/>
                <w:szCs w:val="24"/>
                <w:highlight w:val="none"/>
                <w:lang w:val="en-US" w:eastAsia="zh-CN"/>
              </w:rPr>
            </w:pPr>
            <w:r>
              <w:rPr>
                <w:rFonts w:hint="eastAsia" w:cs="Times New Roman"/>
                <w:color w:val="auto"/>
                <w:kern w:val="0"/>
                <w:sz w:val="24"/>
                <w:szCs w:val="24"/>
                <w:lang w:val="en-US" w:eastAsia="zh-CN"/>
              </w:rPr>
              <w:t>14.87</w:t>
            </w:r>
            <w:r>
              <w:rPr>
                <w:rFonts w:hint="default" w:ascii="Times New Roman" w:hAnsi="Times New Roman" w:cs="Times New Roman"/>
                <w:snapToGrid w:val="0"/>
                <w:color w:val="auto"/>
                <w:kern w:val="21"/>
                <w:sz w:val="24"/>
                <w:szCs w:val="24"/>
                <w:highlight w:val="none"/>
                <w:lang w:val="en-US" w:eastAsia="zh-CN"/>
              </w:rPr>
              <w:t>t/a</w:t>
            </w:r>
          </w:p>
        </w:tc>
        <w:tc>
          <w:tcPr>
            <w:tcW w:w="664" w:type="pct"/>
            <w:vAlign w:val="center"/>
          </w:tcPr>
          <w:p w14:paraId="63ECDFDC">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lang w:val="en-US" w:eastAsia="zh-CN"/>
              </w:rPr>
              <w:t>+</w:t>
            </w:r>
            <w:r>
              <w:rPr>
                <w:rFonts w:hint="eastAsia" w:cs="Times New Roman"/>
                <w:color w:val="auto"/>
                <w:kern w:val="0"/>
                <w:sz w:val="24"/>
                <w:szCs w:val="24"/>
                <w:lang w:val="en-US" w:eastAsia="zh-CN"/>
              </w:rPr>
              <w:t>14.87</w:t>
            </w:r>
            <w:r>
              <w:rPr>
                <w:rFonts w:hint="default" w:ascii="Times New Roman" w:hAnsi="Times New Roman" w:cs="Times New Roman"/>
                <w:snapToGrid w:val="0"/>
                <w:color w:val="auto"/>
                <w:kern w:val="21"/>
                <w:sz w:val="24"/>
                <w:szCs w:val="24"/>
                <w:highlight w:val="none"/>
                <w:lang w:val="en-US" w:eastAsia="zh-CN"/>
              </w:rPr>
              <w:t>t/a</w:t>
            </w:r>
          </w:p>
        </w:tc>
      </w:tr>
      <w:tr w14:paraId="29316E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447" w:type="pct"/>
            <w:vMerge w:val="restart"/>
            <w:vAlign w:val="center"/>
          </w:tcPr>
          <w:p w14:paraId="60C79B8B">
            <w:pPr>
              <w:pStyle w:val="110"/>
              <w:keepNext w:val="0"/>
              <w:keepLines w:val="0"/>
              <w:suppressLineNumbers w:val="0"/>
              <w:spacing w:before="0" w:beforeAutospacing="0" w:after="0" w:afterAutospacing="0" w:line="360" w:lineRule="auto"/>
              <w:ind w:left="0" w:right="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危险废物</w:t>
            </w:r>
          </w:p>
        </w:tc>
        <w:tc>
          <w:tcPr>
            <w:tcW w:w="615" w:type="pct"/>
            <w:gridSpan w:val="2"/>
            <w:shd w:val="clear" w:color="auto" w:fill="auto"/>
            <w:vAlign w:val="center"/>
          </w:tcPr>
          <w:p w14:paraId="47C7A3EB">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cs="Times New Roman"/>
                <w:color w:val="auto"/>
                <w:kern w:val="0"/>
                <w:sz w:val="24"/>
                <w:szCs w:val="24"/>
                <w:lang w:val="en-US" w:eastAsia="zh-CN"/>
              </w:rPr>
              <w:t>废活性炭</w:t>
            </w:r>
          </w:p>
        </w:tc>
        <w:tc>
          <w:tcPr>
            <w:tcW w:w="464" w:type="pct"/>
            <w:shd w:val="clear" w:color="auto" w:fill="auto"/>
            <w:vAlign w:val="center"/>
          </w:tcPr>
          <w:p w14:paraId="05B0F4D9">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snapToGrid w:val="0"/>
                <w:color w:val="auto"/>
                <w:kern w:val="21"/>
                <w:sz w:val="24"/>
                <w:szCs w:val="24"/>
                <w:highlight w:val="none"/>
                <w:lang w:val="en-US" w:eastAsia="zh-CN"/>
              </w:rPr>
              <w:t>/</w:t>
            </w:r>
          </w:p>
        </w:tc>
        <w:tc>
          <w:tcPr>
            <w:tcW w:w="467" w:type="pct"/>
            <w:shd w:val="clear" w:color="auto" w:fill="auto"/>
            <w:vAlign w:val="center"/>
          </w:tcPr>
          <w:p w14:paraId="12865F57">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snapToGrid w:val="0"/>
                <w:color w:val="auto"/>
                <w:kern w:val="21"/>
                <w:sz w:val="24"/>
                <w:szCs w:val="24"/>
                <w:highlight w:val="none"/>
                <w:lang w:val="en-US" w:eastAsia="zh-CN"/>
              </w:rPr>
              <w:t>/</w:t>
            </w:r>
          </w:p>
        </w:tc>
        <w:tc>
          <w:tcPr>
            <w:tcW w:w="592" w:type="pct"/>
            <w:shd w:val="clear" w:color="auto" w:fill="auto"/>
            <w:vAlign w:val="center"/>
          </w:tcPr>
          <w:p w14:paraId="1767FD3A">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snapToGrid w:val="0"/>
                <w:color w:val="auto"/>
                <w:kern w:val="21"/>
                <w:sz w:val="24"/>
                <w:szCs w:val="24"/>
                <w:highlight w:val="none"/>
                <w:lang w:val="en-US" w:eastAsia="zh-CN"/>
              </w:rPr>
              <w:t>0</w:t>
            </w:r>
          </w:p>
        </w:tc>
        <w:tc>
          <w:tcPr>
            <w:tcW w:w="615" w:type="pct"/>
            <w:shd w:val="clear" w:color="auto" w:fill="auto"/>
            <w:vAlign w:val="center"/>
          </w:tcPr>
          <w:p w14:paraId="2E865579">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eastAsia="宋体" w:cs="Times New Roman"/>
                <w:snapToGrid w:val="0"/>
                <w:color w:val="auto"/>
                <w:kern w:val="21"/>
                <w:sz w:val="24"/>
                <w:szCs w:val="24"/>
                <w:highlight w:val="none"/>
                <w:lang w:val="en-US" w:eastAsia="zh-CN" w:bidi="ar-SA"/>
              </w:rPr>
            </w:pPr>
            <w:r>
              <w:rPr>
                <w:rFonts w:hint="eastAsia" w:cs="Times New Roman"/>
                <w:color w:val="auto"/>
                <w:kern w:val="0"/>
                <w:sz w:val="24"/>
                <w:szCs w:val="24"/>
                <w:lang w:val="en-US" w:eastAsia="zh-CN"/>
              </w:rPr>
              <w:t>11.198</w:t>
            </w:r>
            <w:r>
              <w:rPr>
                <w:rFonts w:hint="default" w:ascii="Times New Roman" w:hAnsi="Times New Roman" w:cs="Times New Roman"/>
                <w:snapToGrid w:val="0"/>
                <w:color w:val="auto"/>
                <w:kern w:val="21"/>
                <w:sz w:val="24"/>
                <w:szCs w:val="24"/>
                <w:highlight w:val="none"/>
                <w:lang w:val="en-US" w:eastAsia="zh-CN"/>
              </w:rPr>
              <w:t>t/a</w:t>
            </w:r>
          </w:p>
        </w:tc>
        <w:tc>
          <w:tcPr>
            <w:tcW w:w="541" w:type="pct"/>
            <w:shd w:val="clear" w:color="auto" w:fill="auto"/>
            <w:vAlign w:val="center"/>
          </w:tcPr>
          <w:p w14:paraId="67C05587">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snapToGrid w:val="0"/>
                <w:color w:val="auto"/>
                <w:kern w:val="21"/>
                <w:sz w:val="24"/>
                <w:szCs w:val="24"/>
                <w:highlight w:val="none"/>
                <w:lang w:val="en-US" w:eastAsia="zh-CN"/>
              </w:rPr>
              <w:t>/</w:t>
            </w:r>
          </w:p>
        </w:tc>
        <w:tc>
          <w:tcPr>
            <w:tcW w:w="592" w:type="pct"/>
            <w:shd w:val="clear" w:color="auto" w:fill="auto"/>
            <w:vAlign w:val="center"/>
          </w:tcPr>
          <w:p w14:paraId="78302D49">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eastAsia="宋体" w:cs="Times New Roman"/>
                <w:snapToGrid w:val="0"/>
                <w:color w:val="auto"/>
                <w:kern w:val="21"/>
                <w:sz w:val="24"/>
                <w:szCs w:val="24"/>
                <w:highlight w:val="none"/>
                <w:lang w:val="en-US" w:eastAsia="zh-CN" w:bidi="ar-SA"/>
              </w:rPr>
            </w:pPr>
            <w:r>
              <w:rPr>
                <w:rFonts w:hint="eastAsia" w:cs="Times New Roman"/>
                <w:color w:val="auto"/>
                <w:kern w:val="0"/>
                <w:sz w:val="24"/>
                <w:szCs w:val="24"/>
                <w:lang w:val="en-US" w:eastAsia="zh-CN"/>
              </w:rPr>
              <w:t>11.198</w:t>
            </w:r>
            <w:r>
              <w:rPr>
                <w:rFonts w:hint="default" w:ascii="Times New Roman" w:hAnsi="Times New Roman" w:cs="Times New Roman"/>
                <w:snapToGrid w:val="0"/>
                <w:color w:val="auto"/>
                <w:kern w:val="21"/>
                <w:sz w:val="24"/>
                <w:szCs w:val="24"/>
                <w:highlight w:val="none"/>
                <w:lang w:val="en-US" w:eastAsia="zh-CN"/>
              </w:rPr>
              <w:t>t/a</w:t>
            </w:r>
          </w:p>
        </w:tc>
        <w:tc>
          <w:tcPr>
            <w:tcW w:w="664" w:type="pct"/>
            <w:shd w:val="clear" w:color="auto" w:fill="auto"/>
            <w:vAlign w:val="center"/>
          </w:tcPr>
          <w:p w14:paraId="18F2FC4D">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color w:val="auto"/>
                <w:kern w:val="0"/>
                <w:sz w:val="24"/>
                <w:szCs w:val="24"/>
                <w:lang w:val="en-US" w:eastAsia="zh-CN"/>
              </w:rPr>
              <w:t>+</w:t>
            </w:r>
            <w:r>
              <w:rPr>
                <w:rFonts w:hint="eastAsia" w:cs="Times New Roman"/>
                <w:color w:val="auto"/>
                <w:kern w:val="0"/>
                <w:sz w:val="24"/>
                <w:szCs w:val="24"/>
                <w:lang w:val="en-US" w:eastAsia="zh-CN"/>
              </w:rPr>
              <w:t>11.198</w:t>
            </w:r>
            <w:r>
              <w:rPr>
                <w:rFonts w:hint="default" w:ascii="Times New Roman" w:hAnsi="Times New Roman" w:cs="Times New Roman"/>
                <w:snapToGrid w:val="0"/>
                <w:color w:val="auto"/>
                <w:kern w:val="21"/>
                <w:sz w:val="24"/>
                <w:szCs w:val="24"/>
                <w:highlight w:val="none"/>
                <w:lang w:val="en-US" w:eastAsia="zh-CN"/>
              </w:rPr>
              <w:t>t/a</w:t>
            </w:r>
          </w:p>
        </w:tc>
      </w:tr>
      <w:tr w14:paraId="3B1139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447" w:type="pct"/>
            <w:vMerge w:val="continue"/>
            <w:vAlign w:val="center"/>
          </w:tcPr>
          <w:p w14:paraId="51B816FF">
            <w:pPr>
              <w:pStyle w:val="110"/>
              <w:keepNext w:val="0"/>
              <w:keepLines w:val="0"/>
              <w:suppressLineNumbers w:val="0"/>
              <w:spacing w:before="0" w:beforeAutospacing="0" w:after="0" w:afterAutospacing="0" w:line="360" w:lineRule="auto"/>
              <w:ind w:left="0" w:right="0"/>
              <w:rPr>
                <w:rFonts w:hint="default" w:ascii="Times New Roman" w:hAnsi="Times New Roman" w:cs="Times New Roman"/>
                <w:color w:val="auto"/>
                <w:sz w:val="24"/>
                <w:szCs w:val="24"/>
                <w:highlight w:val="none"/>
              </w:rPr>
            </w:pPr>
          </w:p>
        </w:tc>
        <w:tc>
          <w:tcPr>
            <w:tcW w:w="615" w:type="pct"/>
            <w:gridSpan w:val="2"/>
            <w:shd w:val="clear" w:color="auto" w:fill="auto"/>
            <w:vAlign w:val="center"/>
          </w:tcPr>
          <w:p w14:paraId="132C6E03">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cs="Times New Roman"/>
                <w:color w:val="auto"/>
                <w:kern w:val="0"/>
                <w:sz w:val="24"/>
                <w:szCs w:val="24"/>
                <w:lang w:val="en-US" w:eastAsia="zh-CN"/>
              </w:rPr>
              <w:t>废油</w:t>
            </w:r>
          </w:p>
        </w:tc>
        <w:tc>
          <w:tcPr>
            <w:tcW w:w="464" w:type="pct"/>
            <w:shd w:val="clear" w:color="auto" w:fill="auto"/>
            <w:vAlign w:val="center"/>
          </w:tcPr>
          <w:p w14:paraId="2F2EE185">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snapToGrid w:val="0"/>
                <w:color w:val="auto"/>
                <w:kern w:val="21"/>
                <w:sz w:val="24"/>
                <w:szCs w:val="24"/>
                <w:highlight w:val="none"/>
                <w:lang w:val="en-US" w:eastAsia="zh-CN"/>
              </w:rPr>
              <w:t>/</w:t>
            </w:r>
          </w:p>
        </w:tc>
        <w:tc>
          <w:tcPr>
            <w:tcW w:w="467" w:type="pct"/>
            <w:shd w:val="clear" w:color="auto" w:fill="auto"/>
            <w:vAlign w:val="center"/>
          </w:tcPr>
          <w:p w14:paraId="7FFC9688">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snapToGrid w:val="0"/>
                <w:color w:val="auto"/>
                <w:kern w:val="21"/>
                <w:sz w:val="24"/>
                <w:szCs w:val="24"/>
                <w:highlight w:val="none"/>
                <w:lang w:val="en-US" w:eastAsia="zh-CN"/>
              </w:rPr>
              <w:t>/</w:t>
            </w:r>
          </w:p>
        </w:tc>
        <w:tc>
          <w:tcPr>
            <w:tcW w:w="592" w:type="pct"/>
            <w:shd w:val="clear" w:color="auto" w:fill="auto"/>
            <w:vAlign w:val="center"/>
          </w:tcPr>
          <w:p w14:paraId="304F2C14">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snapToGrid w:val="0"/>
                <w:color w:val="auto"/>
                <w:kern w:val="21"/>
                <w:sz w:val="24"/>
                <w:szCs w:val="24"/>
                <w:highlight w:val="none"/>
                <w:lang w:val="en-US" w:eastAsia="zh-CN"/>
              </w:rPr>
              <w:t>0</w:t>
            </w:r>
          </w:p>
        </w:tc>
        <w:tc>
          <w:tcPr>
            <w:tcW w:w="615" w:type="pct"/>
            <w:shd w:val="clear" w:color="auto" w:fill="auto"/>
            <w:vAlign w:val="center"/>
          </w:tcPr>
          <w:p w14:paraId="76CE4B6D">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cs="Times New Roman"/>
                <w:color w:val="auto"/>
                <w:kern w:val="0"/>
                <w:sz w:val="24"/>
                <w:szCs w:val="24"/>
                <w:lang w:val="en-US" w:eastAsia="zh-CN"/>
              </w:rPr>
              <w:t>1.0</w:t>
            </w:r>
            <w:r>
              <w:rPr>
                <w:rFonts w:hint="default" w:ascii="Times New Roman" w:hAnsi="Times New Roman" w:cs="Times New Roman"/>
                <w:snapToGrid w:val="0"/>
                <w:color w:val="auto"/>
                <w:kern w:val="21"/>
                <w:sz w:val="24"/>
                <w:szCs w:val="24"/>
                <w:highlight w:val="none"/>
                <w:lang w:val="en-US" w:eastAsia="zh-CN"/>
              </w:rPr>
              <w:t>t/a</w:t>
            </w:r>
          </w:p>
        </w:tc>
        <w:tc>
          <w:tcPr>
            <w:tcW w:w="541" w:type="pct"/>
            <w:shd w:val="clear" w:color="auto" w:fill="auto"/>
            <w:vAlign w:val="center"/>
          </w:tcPr>
          <w:p w14:paraId="3794E2AD">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snapToGrid w:val="0"/>
                <w:color w:val="auto"/>
                <w:kern w:val="21"/>
                <w:sz w:val="24"/>
                <w:szCs w:val="24"/>
                <w:highlight w:val="none"/>
                <w:lang w:val="en-US" w:eastAsia="zh-CN"/>
              </w:rPr>
              <w:t>/</w:t>
            </w:r>
          </w:p>
        </w:tc>
        <w:tc>
          <w:tcPr>
            <w:tcW w:w="592" w:type="pct"/>
            <w:shd w:val="clear" w:color="auto" w:fill="auto"/>
            <w:vAlign w:val="center"/>
          </w:tcPr>
          <w:p w14:paraId="102DE3AC">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cs="Times New Roman"/>
                <w:color w:val="auto"/>
                <w:kern w:val="0"/>
                <w:sz w:val="24"/>
                <w:szCs w:val="24"/>
                <w:lang w:val="en-US" w:eastAsia="zh-CN"/>
              </w:rPr>
              <w:t>1.0</w:t>
            </w:r>
            <w:r>
              <w:rPr>
                <w:rFonts w:hint="default" w:ascii="Times New Roman" w:hAnsi="Times New Roman" w:cs="Times New Roman"/>
                <w:snapToGrid w:val="0"/>
                <w:color w:val="auto"/>
                <w:kern w:val="21"/>
                <w:sz w:val="24"/>
                <w:szCs w:val="24"/>
                <w:highlight w:val="none"/>
                <w:lang w:val="en-US" w:eastAsia="zh-CN"/>
              </w:rPr>
              <w:t>t/a</w:t>
            </w:r>
          </w:p>
        </w:tc>
        <w:tc>
          <w:tcPr>
            <w:tcW w:w="664" w:type="pct"/>
            <w:shd w:val="clear" w:color="auto" w:fill="auto"/>
            <w:vAlign w:val="center"/>
          </w:tcPr>
          <w:p w14:paraId="075E8B88">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cs="Times New Roman"/>
                <w:color w:val="auto"/>
                <w:kern w:val="0"/>
                <w:sz w:val="24"/>
                <w:szCs w:val="24"/>
                <w:lang w:val="en-US" w:eastAsia="zh-CN"/>
              </w:rPr>
              <w:t>+1.0</w:t>
            </w:r>
            <w:r>
              <w:rPr>
                <w:rFonts w:hint="default" w:ascii="Times New Roman" w:hAnsi="Times New Roman" w:cs="Times New Roman"/>
                <w:snapToGrid w:val="0"/>
                <w:color w:val="auto"/>
                <w:kern w:val="21"/>
                <w:sz w:val="24"/>
                <w:szCs w:val="24"/>
                <w:highlight w:val="none"/>
                <w:lang w:val="en-US" w:eastAsia="zh-CN"/>
              </w:rPr>
              <w:t>t/a</w:t>
            </w:r>
          </w:p>
        </w:tc>
      </w:tr>
      <w:tr w14:paraId="56BF5E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447" w:type="pct"/>
            <w:vMerge w:val="continue"/>
            <w:vAlign w:val="center"/>
          </w:tcPr>
          <w:p w14:paraId="56B07913">
            <w:pPr>
              <w:pStyle w:val="110"/>
              <w:keepNext w:val="0"/>
              <w:keepLines w:val="0"/>
              <w:suppressLineNumbers w:val="0"/>
              <w:spacing w:before="0" w:beforeAutospacing="0" w:after="0" w:afterAutospacing="0" w:line="360" w:lineRule="auto"/>
              <w:ind w:left="0" w:right="0"/>
              <w:rPr>
                <w:rFonts w:hint="default" w:ascii="Times New Roman" w:hAnsi="Times New Roman" w:cs="Times New Roman"/>
                <w:color w:val="auto"/>
                <w:sz w:val="24"/>
                <w:szCs w:val="24"/>
                <w:highlight w:val="none"/>
              </w:rPr>
            </w:pPr>
          </w:p>
        </w:tc>
        <w:tc>
          <w:tcPr>
            <w:tcW w:w="615" w:type="pct"/>
            <w:gridSpan w:val="2"/>
            <w:shd w:val="clear" w:color="auto" w:fill="auto"/>
            <w:vAlign w:val="center"/>
          </w:tcPr>
          <w:p w14:paraId="7865B1C0">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cs="Times New Roman"/>
                <w:color w:val="auto"/>
                <w:kern w:val="0"/>
                <w:sz w:val="24"/>
                <w:szCs w:val="24"/>
                <w:lang w:val="en-US" w:eastAsia="zh-CN"/>
              </w:rPr>
              <w:t>废油桶</w:t>
            </w:r>
          </w:p>
        </w:tc>
        <w:tc>
          <w:tcPr>
            <w:tcW w:w="464" w:type="pct"/>
            <w:shd w:val="clear" w:color="auto" w:fill="auto"/>
            <w:vAlign w:val="center"/>
          </w:tcPr>
          <w:p w14:paraId="175F693C">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snapToGrid w:val="0"/>
                <w:color w:val="auto"/>
                <w:kern w:val="21"/>
                <w:sz w:val="24"/>
                <w:szCs w:val="24"/>
                <w:highlight w:val="none"/>
                <w:lang w:val="en-US" w:eastAsia="zh-CN"/>
              </w:rPr>
              <w:t>/</w:t>
            </w:r>
          </w:p>
        </w:tc>
        <w:tc>
          <w:tcPr>
            <w:tcW w:w="467" w:type="pct"/>
            <w:shd w:val="clear" w:color="auto" w:fill="auto"/>
            <w:vAlign w:val="center"/>
          </w:tcPr>
          <w:p w14:paraId="308733DE">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snapToGrid w:val="0"/>
                <w:color w:val="auto"/>
                <w:kern w:val="21"/>
                <w:sz w:val="24"/>
                <w:szCs w:val="24"/>
                <w:highlight w:val="none"/>
                <w:lang w:val="en-US" w:eastAsia="zh-CN"/>
              </w:rPr>
              <w:t>/</w:t>
            </w:r>
          </w:p>
        </w:tc>
        <w:tc>
          <w:tcPr>
            <w:tcW w:w="592" w:type="pct"/>
            <w:shd w:val="clear" w:color="auto" w:fill="auto"/>
            <w:vAlign w:val="center"/>
          </w:tcPr>
          <w:p w14:paraId="40E19F70">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snapToGrid w:val="0"/>
                <w:color w:val="auto"/>
                <w:kern w:val="21"/>
                <w:sz w:val="24"/>
                <w:szCs w:val="24"/>
                <w:highlight w:val="none"/>
                <w:lang w:val="en-US" w:eastAsia="zh-CN"/>
              </w:rPr>
              <w:t>0</w:t>
            </w:r>
          </w:p>
        </w:tc>
        <w:tc>
          <w:tcPr>
            <w:tcW w:w="615" w:type="pct"/>
            <w:shd w:val="clear" w:color="auto" w:fill="auto"/>
            <w:vAlign w:val="center"/>
          </w:tcPr>
          <w:p w14:paraId="2E46232A">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color w:val="auto"/>
                <w:kern w:val="0"/>
                <w:sz w:val="24"/>
                <w:szCs w:val="24"/>
                <w:lang w:val="en-US" w:eastAsia="zh-CN"/>
              </w:rPr>
              <w:t>0.1</w:t>
            </w:r>
            <w:r>
              <w:rPr>
                <w:rFonts w:hint="default" w:ascii="Times New Roman" w:hAnsi="Times New Roman" w:cs="Times New Roman"/>
                <w:snapToGrid w:val="0"/>
                <w:color w:val="auto"/>
                <w:kern w:val="21"/>
                <w:sz w:val="24"/>
                <w:szCs w:val="24"/>
                <w:highlight w:val="none"/>
                <w:lang w:val="en-US" w:eastAsia="zh-CN"/>
              </w:rPr>
              <w:t>t/a</w:t>
            </w:r>
          </w:p>
        </w:tc>
        <w:tc>
          <w:tcPr>
            <w:tcW w:w="541" w:type="pct"/>
            <w:shd w:val="clear" w:color="auto" w:fill="auto"/>
            <w:vAlign w:val="center"/>
          </w:tcPr>
          <w:p w14:paraId="055C85F0">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snapToGrid w:val="0"/>
                <w:color w:val="auto"/>
                <w:kern w:val="21"/>
                <w:sz w:val="24"/>
                <w:szCs w:val="24"/>
                <w:highlight w:val="none"/>
                <w:lang w:val="en-US" w:eastAsia="zh-CN"/>
              </w:rPr>
              <w:t>/</w:t>
            </w:r>
          </w:p>
        </w:tc>
        <w:tc>
          <w:tcPr>
            <w:tcW w:w="592" w:type="pct"/>
            <w:shd w:val="clear" w:color="auto" w:fill="auto"/>
            <w:vAlign w:val="center"/>
          </w:tcPr>
          <w:p w14:paraId="183D7552">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color w:val="auto"/>
                <w:kern w:val="0"/>
                <w:sz w:val="24"/>
                <w:szCs w:val="24"/>
                <w:lang w:val="en-US" w:eastAsia="zh-CN"/>
              </w:rPr>
              <w:t>0.1</w:t>
            </w:r>
            <w:r>
              <w:rPr>
                <w:rFonts w:hint="default" w:ascii="Times New Roman" w:hAnsi="Times New Roman" w:cs="Times New Roman"/>
                <w:snapToGrid w:val="0"/>
                <w:color w:val="auto"/>
                <w:kern w:val="21"/>
                <w:sz w:val="24"/>
                <w:szCs w:val="24"/>
                <w:highlight w:val="none"/>
                <w:lang w:val="en-US" w:eastAsia="zh-CN"/>
              </w:rPr>
              <w:t>t/a</w:t>
            </w:r>
          </w:p>
        </w:tc>
        <w:tc>
          <w:tcPr>
            <w:tcW w:w="664" w:type="pct"/>
            <w:shd w:val="clear" w:color="auto" w:fill="auto"/>
            <w:vAlign w:val="center"/>
          </w:tcPr>
          <w:p w14:paraId="0BFE1654">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color w:val="auto"/>
                <w:kern w:val="0"/>
                <w:sz w:val="24"/>
                <w:szCs w:val="24"/>
                <w:lang w:val="en-US" w:eastAsia="zh-CN"/>
              </w:rPr>
              <w:t>+0.1</w:t>
            </w:r>
            <w:r>
              <w:rPr>
                <w:rFonts w:hint="default" w:ascii="Times New Roman" w:hAnsi="Times New Roman" w:cs="Times New Roman"/>
                <w:snapToGrid w:val="0"/>
                <w:color w:val="auto"/>
                <w:kern w:val="21"/>
                <w:sz w:val="24"/>
                <w:szCs w:val="24"/>
                <w:highlight w:val="none"/>
                <w:lang w:val="en-US" w:eastAsia="zh-CN"/>
              </w:rPr>
              <w:t>t/a</w:t>
            </w:r>
          </w:p>
        </w:tc>
      </w:tr>
      <w:tr w14:paraId="2CC404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447" w:type="pct"/>
            <w:vMerge w:val="continue"/>
            <w:vAlign w:val="center"/>
          </w:tcPr>
          <w:p w14:paraId="2DDCFD91">
            <w:pPr>
              <w:pStyle w:val="110"/>
              <w:keepNext w:val="0"/>
              <w:keepLines w:val="0"/>
              <w:suppressLineNumbers w:val="0"/>
              <w:spacing w:before="0" w:beforeAutospacing="0" w:after="0" w:afterAutospacing="0" w:line="360" w:lineRule="auto"/>
              <w:ind w:left="0" w:right="0"/>
              <w:rPr>
                <w:rFonts w:hint="default" w:ascii="Times New Roman" w:hAnsi="Times New Roman" w:cs="Times New Roman"/>
                <w:color w:val="auto"/>
                <w:sz w:val="24"/>
                <w:szCs w:val="24"/>
                <w:highlight w:val="none"/>
              </w:rPr>
            </w:pPr>
          </w:p>
        </w:tc>
        <w:tc>
          <w:tcPr>
            <w:tcW w:w="615" w:type="pct"/>
            <w:gridSpan w:val="2"/>
            <w:shd w:val="clear" w:color="auto" w:fill="auto"/>
            <w:vAlign w:val="center"/>
          </w:tcPr>
          <w:p w14:paraId="6E758B95">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cs="Times New Roman"/>
                <w:color w:val="auto"/>
                <w:kern w:val="0"/>
                <w:sz w:val="24"/>
                <w:szCs w:val="24"/>
                <w:lang w:val="en-US" w:eastAsia="zh-CN"/>
              </w:rPr>
              <w:t>废弃劳保用品</w:t>
            </w:r>
          </w:p>
        </w:tc>
        <w:tc>
          <w:tcPr>
            <w:tcW w:w="464" w:type="pct"/>
            <w:shd w:val="clear" w:color="auto" w:fill="auto"/>
            <w:vAlign w:val="center"/>
          </w:tcPr>
          <w:p w14:paraId="2F707FD8">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snapToGrid w:val="0"/>
                <w:color w:val="auto"/>
                <w:kern w:val="21"/>
                <w:sz w:val="24"/>
                <w:szCs w:val="24"/>
                <w:highlight w:val="none"/>
                <w:lang w:val="en-US" w:eastAsia="zh-CN"/>
              </w:rPr>
              <w:t>/</w:t>
            </w:r>
          </w:p>
        </w:tc>
        <w:tc>
          <w:tcPr>
            <w:tcW w:w="467" w:type="pct"/>
            <w:shd w:val="clear" w:color="auto" w:fill="auto"/>
            <w:vAlign w:val="center"/>
          </w:tcPr>
          <w:p w14:paraId="4AAB027D">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snapToGrid w:val="0"/>
                <w:color w:val="auto"/>
                <w:kern w:val="21"/>
                <w:sz w:val="24"/>
                <w:szCs w:val="24"/>
                <w:highlight w:val="none"/>
                <w:lang w:val="en-US" w:eastAsia="zh-CN"/>
              </w:rPr>
              <w:t>/</w:t>
            </w:r>
          </w:p>
        </w:tc>
        <w:tc>
          <w:tcPr>
            <w:tcW w:w="592" w:type="pct"/>
            <w:shd w:val="clear" w:color="auto" w:fill="auto"/>
            <w:vAlign w:val="center"/>
          </w:tcPr>
          <w:p w14:paraId="34AADE5F">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snapToGrid w:val="0"/>
                <w:color w:val="auto"/>
                <w:kern w:val="21"/>
                <w:sz w:val="24"/>
                <w:szCs w:val="24"/>
                <w:highlight w:val="none"/>
                <w:lang w:val="en-US" w:eastAsia="zh-CN"/>
              </w:rPr>
              <w:t>0</w:t>
            </w:r>
          </w:p>
        </w:tc>
        <w:tc>
          <w:tcPr>
            <w:tcW w:w="615" w:type="pct"/>
            <w:shd w:val="clear" w:color="auto" w:fill="auto"/>
            <w:vAlign w:val="center"/>
          </w:tcPr>
          <w:p w14:paraId="235895EF">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color w:val="auto"/>
                <w:kern w:val="0"/>
                <w:sz w:val="24"/>
                <w:szCs w:val="24"/>
                <w:lang w:val="en-US" w:eastAsia="zh-CN"/>
              </w:rPr>
              <w:t>0.01</w:t>
            </w:r>
            <w:r>
              <w:rPr>
                <w:rFonts w:hint="default" w:ascii="Times New Roman" w:hAnsi="Times New Roman" w:cs="Times New Roman"/>
                <w:snapToGrid w:val="0"/>
                <w:color w:val="auto"/>
                <w:kern w:val="21"/>
                <w:sz w:val="24"/>
                <w:szCs w:val="24"/>
                <w:highlight w:val="none"/>
                <w:lang w:val="en-US" w:eastAsia="zh-CN"/>
              </w:rPr>
              <w:t>t/a</w:t>
            </w:r>
          </w:p>
        </w:tc>
        <w:tc>
          <w:tcPr>
            <w:tcW w:w="541" w:type="pct"/>
            <w:shd w:val="clear" w:color="auto" w:fill="auto"/>
            <w:vAlign w:val="center"/>
          </w:tcPr>
          <w:p w14:paraId="17B629D7">
            <w:pPr>
              <w:pStyle w:val="162"/>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snapToGrid w:val="0"/>
                <w:color w:val="auto"/>
                <w:kern w:val="21"/>
                <w:sz w:val="24"/>
                <w:szCs w:val="24"/>
                <w:highlight w:val="none"/>
                <w:lang w:val="en-US" w:eastAsia="zh-CN"/>
              </w:rPr>
              <w:t>/</w:t>
            </w:r>
          </w:p>
        </w:tc>
        <w:tc>
          <w:tcPr>
            <w:tcW w:w="592" w:type="pct"/>
            <w:shd w:val="clear" w:color="auto" w:fill="auto"/>
            <w:vAlign w:val="center"/>
          </w:tcPr>
          <w:p w14:paraId="7D73253E">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color w:val="auto"/>
                <w:kern w:val="0"/>
                <w:sz w:val="24"/>
                <w:szCs w:val="24"/>
                <w:lang w:val="en-US" w:eastAsia="zh-CN"/>
              </w:rPr>
              <w:t>0.01</w:t>
            </w:r>
            <w:r>
              <w:rPr>
                <w:rFonts w:hint="default" w:ascii="Times New Roman" w:hAnsi="Times New Roman" w:cs="Times New Roman"/>
                <w:snapToGrid w:val="0"/>
                <w:color w:val="auto"/>
                <w:kern w:val="21"/>
                <w:sz w:val="24"/>
                <w:szCs w:val="24"/>
                <w:highlight w:val="none"/>
                <w:lang w:val="en-US" w:eastAsia="zh-CN"/>
              </w:rPr>
              <w:t>t/a</w:t>
            </w:r>
          </w:p>
        </w:tc>
        <w:tc>
          <w:tcPr>
            <w:tcW w:w="664" w:type="pct"/>
            <w:shd w:val="clear" w:color="auto" w:fill="auto"/>
            <w:vAlign w:val="center"/>
          </w:tcPr>
          <w:p w14:paraId="02CEFD7B">
            <w:pPr>
              <w:pStyle w:val="110"/>
              <w:keepNext w:val="0"/>
              <w:keepLines w:val="0"/>
              <w:suppressLineNumbers w:val="0"/>
              <w:spacing w:before="0" w:beforeAutospacing="0" w:after="0" w:afterAutospacing="0" w:line="276" w:lineRule="auto"/>
              <w:ind w:left="0" w:leftChars="0" w:right="0" w:rightChars="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color w:val="auto"/>
                <w:kern w:val="0"/>
                <w:sz w:val="24"/>
                <w:szCs w:val="24"/>
                <w:lang w:val="en-US" w:eastAsia="zh-CN"/>
              </w:rPr>
              <w:t>+0.01</w:t>
            </w:r>
            <w:r>
              <w:rPr>
                <w:rFonts w:hint="default" w:ascii="Times New Roman" w:hAnsi="Times New Roman" w:cs="Times New Roman"/>
                <w:snapToGrid w:val="0"/>
                <w:color w:val="auto"/>
                <w:kern w:val="21"/>
                <w:sz w:val="24"/>
                <w:szCs w:val="24"/>
                <w:highlight w:val="none"/>
                <w:lang w:val="en-US" w:eastAsia="zh-CN"/>
              </w:rPr>
              <w:t>t/a</w:t>
            </w:r>
          </w:p>
        </w:tc>
      </w:tr>
    </w:tbl>
    <w:p w14:paraId="5E05D675">
      <w:pPr>
        <w:pStyle w:val="162"/>
        <w:spacing w:beforeLines="80" w:after="24"/>
        <w:jc w:val="left"/>
        <w:rPr>
          <w:rFonts w:ascii="宋体" w:hAnsi="宋体"/>
          <w:snapToGrid w:val="0"/>
          <w:color w:val="auto"/>
          <w:spacing w:val="-6"/>
          <w:kern w:val="21"/>
        </w:rPr>
      </w:pPr>
      <w:r>
        <w:rPr>
          <w:rFonts w:ascii="宋体" w:hAnsi="宋体"/>
          <w:snapToGrid w:val="0"/>
          <w:color w:val="auto"/>
          <w:kern w:val="21"/>
        </w:rPr>
        <w:t>注：</w:t>
      </w:r>
      <w:r>
        <w:rPr>
          <w:rFonts w:ascii="宋体" w:hAnsi="宋体"/>
          <w:snapToGrid w:val="0"/>
          <w:color w:val="auto"/>
          <w:spacing w:val="-16"/>
          <w:kern w:val="21"/>
        </w:rPr>
        <w:fldChar w:fldCharType="begin"/>
      </w:r>
      <w:r>
        <w:rPr>
          <w:rFonts w:ascii="宋体" w:hAnsi="宋体"/>
          <w:snapToGrid w:val="0"/>
          <w:color w:val="auto"/>
          <w:spacing w:val="-16"/>
          <w:kern w:val="21"/>
        </w:rPr>
        <w:instrText xml:space="preserve"> = 6 \* GB3 \* MERGEFORMAT </w:instrText>
      </w:r>
      <w:r>
        <w:rPr>
          <w:rFonts w:ascii="宋体" w:hAnsi="宋体"/>
          <w:snapToGrid w:val="0"/>
          <w:color w:val="auto"/>
          <w:spacing w:val="-16"/>
          <w:kern w:val="21"/>
        </w:rPr>
        <w:fldChar w:fldCharType="separate"/>
      </w:r>
      <w:r>
        <w:rPr>
          <w:rFonts w:ascii="宋体" w:hAnsi="宋体"/>
          <w:color w:val="auto"/>
        </w:rPr>
        <w:t>⑥</w:t>
      </w:r>
      <w:r>
        <w:rPr>
          <w:rFonts w:ascii="宋体" w:hAnsi="宋体"/>
          <w:snapToGrid w:val="0"/>
          <w:color w:val="auto"/>
          <w:spacing w:val="-16"/>
          <w:kern w:val="21"/>
        </w:rPr>
        <w:fldChar w:fldCharType="end"/>
      </w:r>
      <w:r>
        <w:rPr>
          <w:rFonts w:ascii="宋体" w:hAnsi="宋体"/>
          <w:snapToGrid w:val="0"/>
          <w:color w:val="auto"/>
          <w:spacing w:val="-16"/>
          <w:kern w:val="21"/>
        </w:rPr>
        <w:t>=</w:t>
      </w:r>
      <w:r>
        <w:rPr>
          <w:rFonts w:ascii="宋体" w:hAnsi="宋体"/>
          <w:snapToGrid w:val="0"/>
          <w:color w:val="auto"/>
          <w:spacing w:val="-6"/>
          <w:kern w:val="21"/>
        </w:rPr>
        <w:fldChar w:fldCharType="begin"/>
      </w:r>
      <w:r>
        <w:rPr>
          <w:rFonts w:ascii="宋体" w:hAnsi="宋体"/>
          <w:snapToGrid w:val="0"/>
          <w:color w:val="auto"/>
          <w:spacing w:val="-6"/>
          <w:kern w:val="21"/>
        </w:rPr>
        <w:instrText xml:space="preserve"> = 1 \* GB3 \* MERGEFORMAT </w:instrText>
      </w:r>
      <w:r>
        <w:rPr>
          <w:rFonts w:ascii="宋体" w:hAnsi="宋体"/>
          <w:snapToGrid w:val="0"/>
          <w:color w:val="auto"/>
          <w:spacing w:val="-6"/>
          <w:kern w:val="21"/>
        </w:rPr>
        <w:fldChar w:fldCharType="separate"/>
      </w:r>
      <w:r>
        <w:rPr>
          <w:rFonts w:ascii="宋体" w:hAnsi="宋体"/>
          <w:color w:val="auto"/>
        </w:rPr>
        <w:t>①</w:t>
      </w:r>
      <w:r>
        <w:rPr>
          <w:rFonts w:ascii="宋体" w:hAnsi="宋体"/>
          <w:snapToGrid w:val="0"/>
          <w:color w:val="auto"/>
          <w:spacing w:val="-6"/>
          <w:kern w:val="21"/>
        </w:rPr>
        <w:fldChar w:fldCharType="end"/>
      </w:r>
      <w:r>
        <w:rPr>
          <w:rFonts w:ascii="宋体" w:hAnsi="宋体"/>
          <w:snapToGrid w:val="0"/>
          <w:color w:val="auto"/>
          <w:spacing w:val="-6"/>
          <w:kern w:val="21"/>
        </w:rPr>
        <w:t>+</w:t>
      </w:r>
      <w:r>
        <w:rPr>
          <w:rFonts w:ascii="宋体" w:hAnsi="宋体"/>
          <w:snapToGrid w:val="0"/>
          <w:color w:val="auto"/>
          <w:spacing w:val="-6"/>
          <w:kern w:val="21"/>
        </w:rPr>
        <w:fldChar w:fldCharType="begin"/>
      </w:r>
      <w:r>
        <w:rPr>
          <w:rFonts w:ascii="宋体" w:hAnsi="宋体"/>
          <w:snapToGrid w:val="0"/>
          <w:color w:val="auto"/>
          <w:spacing w:val="-6"/>
          <w:kern w:val="21"/>
        </w:rPr>
        <w:instrText xml:space="preserve"> = 3 \* GB3 \* MERGEFORMAT </w:instrText>
      </w:r>
      <w:r>
        <w:rPr>
          <w:rFonts w:ascii="宋体" w:hAnsi="宋体"/>
          <w:snapToGrid w:val="0"/>
          <w:color w:val="auto"/>
          <w:spacing w:val="-6"/>
          <w:kern w:val="21"/>
        </w:rPr>
        <w:fldChar w:fldCharType="separate"/>
      </w:r>
      <w:r>
        <w:rPr>
          <w:rFonts w:ascii="宋体" w:hAnsi="宋体"/>
          <w:color w:val="auto"/>
        </w:rPr>
        <w:t>③</w:t>
      </w:r>
      <w:r>
        <w:rPr>
          <w:rFonts w:ascii="宋体" w:hAnsi="宋体"/>
          <w:snapToGrid w:val="0"/>
          <w:color w:val="auto"/>
          <w:spacing w:val="-6"/>
          <w:kern w:val="21"/>
        </w:rPr>
        <w:fldChar w:fldCharType="end"/>
      </w:r>
      <w:r>
        <w:rPr>
          <w:rFonts w:ascii="宋体" w:hAnsi="宋体"/>
          <w:snapToGrid w:val="0"/>
          <w:color w:val="auto"/>
          <w:spacing w:val="-6"/>
          <w:kern w:val="21"/>
        </w:rPr>
        <w:t>+</w:t>
      </w:r>
      <w:r>
        <w:rPr>
          <w:rFonts w:ascii="宋体" w:hAnsi="宋体"/>
          <w:snapToGrid w:val="0"/>
          <w:color w:val="auto"/>
          <w:spacing w:val="-6"/>
          <w:kern w:val="21"/>
        </w:rPr>
        <w:fldChar w:fldCharType="begin"/>
      </w:r>
      <w:r>
        <w:rPr>
          <w:rFonts w:ascii="宋体" w:hAnsi="宋体"/>
          <w:snapToGrid w:val="0"/>
          <w:color w:val="auto"/>
          <w:spacing w:val="-6"/>
          <w:kern w:val="21"/>
        </w:rPr>
        <w:instrText xml:space="preserve"> = 4 \* GB3 \* MERGEFORMAT </w:instrText>
      </w:r>
      <w:r>
        <w:rPr>
          <w:rFonts w:ascii="宋体" w:hAnsi="宋体"/>
          <w:snapToGrid w:val="0"/>
          <w:color w:val="auto"/>
          <w:spacing w:val="-6"/>
          <w:kern w:val="21"/>
        </w:rPr>
        <w:fldChar w:fldCharType="separate"/>
      </w:r>
      <w:r>
        <w:rPr>
          <w:rFonts w:ascii="宋体" w:hAnsi="宋体"/>
          <w:color w:val="auto"/>
        </w:rPr>
        <w:t>④</w:t>
      </w:r>
      <w:r>
        <w:rPr>
          <w:rFonts w:ascii="宋体" w:hAnsi="宋体"/>
          <w:snapToGrid w:val="0"/>
          <w:color w:val="auto"/>
          <w:spacing w:val="-6"/>
          <w:kern w:val="21"/>
        </w:rPr>
        <w:fldChar w:fldCharType="end"/>
      </w:r>
      <w:r>
        <w:rPr>
          <w:rFonts w:ascii="宋体" w:hAnsi="宋体"/>
          <w:snapToGrid w:val="0"/>
          <w:color w:val="auto"/>
          <w:spacing w:val="-6"/>
          <w:kern w:val="21"/>
        </w:rPr>
        <w:t>-</w:t>
      </w:r>
      <w:r>
        <w:rPr>
          <w:rFonts w:ascii="宋体" w:hAnsi="宋体"/>
          <w:snapToGrid w:val="0"/>
          <w:color w:val="auto"/>
          <w:spacing w:val="-16"/>
          <w:kern w:val="21"/>
        </w:rPr>
        <w:fldChar w:fldCharType="begin"/>
      </w:r>
      <w:r>
        <w:rPr>
          <w:rFonts w:ascii="宋体" w:hAnsi="宋体"/>
          <w:snapToGrid w:val="0"/>
          <w:color w:val="auto"/>
          <w:spacing w:val="-16"/>
          <w:kern w:val="21"/>
        </w:rPr>
        <w:instrText xml:space="preserve"> = 5 \* GB3 \* MERGEFORMAT </w:instrText>
      </w:r>
      <w:r>
        <w:rPr>
          <w:rFonts w:ascii="宋体" w:hAnsi="宋体"/>
          <w:snapToGrid w:val="0"/>
          <w:color w:val="auto"/>
          <w:spacing w:val="-16"/>
          <w:kern w:val="21"/>
        </w:rPr>
        <w:fldChar w:fldCharType="separate"/>
      </w:r>
      <w:r>
        <w:rPr>
          <w:rFonts w:ascii="宋体" w:hAnsi="宋体"/>
          <w:color w:val="auto"/>
        </w:rPr>
        <w:t>⑤</w:t>
      </w:r>
      <w:r>
        <w:rPr>
          <w:rFonts w:ascii="宋体" w:hAnsi="宋体"/>
          <w:snapToGrid w:val="0"/>
          <w:color w:val="auto"/>
          <w:spacing w:val="-16"/>
          <w:kern w:val="21"/>
        </w:rPr>
        <w:fldChar w:fldCharType="end"/>
      </w:r>
      <w:r>
        <w:rPr>
          <w:rFonts w:ascii="宋体" w:hAnsi="宋体"/>
          <w:snapToGrid w:val="0"/>
          <w:color w:val="auto"/>
          <w:spacing w:val="-16"/>
          <w:kern w:val="21"/>
        </w:rPr>
        <w:t>；</w:t>
      </w:r>
      <w:r>
        <w:rPr>
          <w:rFonts w:ascii="宋体" w:hAnsi="宋体"/>
          <w:snapToGrid w:val="0"/>
          <w:color w:val="auto"/>
          <w:spacing w:val="-6"/>
          <w:kern w:val="21"/>
        </w:rPr>
        <w:fldChar w:fldCharType="begin"/>
      </w:r>
      <w:r>
        <w:rPr>
          <w:rFonts w:ascii="宋体" w:hAnsi="宋体"/>
          <w:snapToGrid w:val="0"/>
          <w:color w:val="auto"/>
          <w:spacing w:val="-6"/>
          <w:kern w:val="21"/>
        </w:rPr>
        <w:instrText xml:space="preserve"> = 7 \* GB3 \* MERGEFORMAT </w:instrText>
      </w:r>
      <w:r>
        <w:rPr>
          <w:rFonts w:ascii="宋体" w:hAnsi="宋体"/>
          <w:snapToGrid w:val="0"/>
          <w:color w:val="auto"/>
          <w:spacing w:val="-6"/>
          <w:kern w:val="21"/>
        </w:rPr>
        <w:fldChar w:fldCharType="separate"/>
      </w:r>
      <w:r>
        <w:rPr>
          <w:rFonts w:ascii="宋体" w:hAnsi="宋体"/>
          <w:color w:val="auto"/>
        </w:rPr>
        <w:t>⑦</w:t>
      </w:r>
      <w:r>
        <w:rPr>
          <w:rFonts w:ascii="宋体" w:hAnsi="宋体"/>
          <w:snapToGrid w:val="0"/>
          <w:color w:val="auto"/>
          <w:spacing w:val="-6"/>
          <w:kern w:val="21"/>
        </w:rPr>
        <w:fldChar w:fldCharType="end"/>
      </w:r>
      <w:r>
        <w:rPr>
          <w:rFonts w:ascii="宋体" w:hAnsi="宋体"/>
          <w:snapToGrid w:val="0"/>
          <w:color w:val="auto"/>
          <w:spacing w:val="-6"/>
          <w:kern w:val="21"/>
        </w:rPr>
        <w:t>=</w:t>
      </w:r>
      <w:r>
        <w:rPr>
          <w:rFonts w:ascii="宋体" w:hAnsi="宋体"/>
          <w:snapToGrid w:val="0"/>
          <w:color w:val="auto"/>
          <w:spacing w:val="-16"/>
          <w:kern w:val="21"/>
        </w:rPr>
        <w:fldChar w:fldCharType="begin"/>
      </w:r>
      <w:r>
        <w:rPr>
          <w:rFonts w:ascii="宋体" w:hAnsi="宋体"/>
          <w:snapToGrid w:val="0"/>
          <w:color w:val="auto"/>
          <w:spacing w:val="-16"/>
          <w:kern w:val="21"/>
        </w:rPr>
        <w:instrText xml:space="preserve"> = 6 \* GB3 \* MERGEFORMAT </w:instrText>
      </w:r>
      <w:r>
        <w:rPr>
          <w:rFonts w:ascii="宋体" w:hAnsi="宋体"/>
          <w:snapToGrid w:val="0"/>
          <w:color w:val="auto"/>
          <w:spacing w:val="-16"/>
          <w:kern w:val="21"/>
        </w:rPr>
        <w:fldChar w:fldCharType="separate"/>
      </w:r>
      <w:r>
        <w:rPr>
          <w:rFonts w:ascii="宋体" w:hAnsi="宋体"/>
          <w:color w:val="auto"/>
        </w:rPr>
        <w:t>⑥</w:t>
      </w:r>
      <w:r>
        <w:rPr>
          <w:rFonts w:ascii="宋体" w:hAnsi="宋体"/>
          <w:snapToGrid w:val="0"/>
          <w:color w:val="auto"/>
          <w:spacing w:val="-16"/>
          <w:kern w:val="21"/>
        </w:rPr>
        <w:fldChar w:fldCharType="end"/>
      </w:r>
      <w:r>
        <w:rPr>
          <w:rFonts w:ascii="宋体" w:hAnsi="宋体"/>
          <w:snapToGrid w:val="0"/>
          <w:color w:val="auto"/>
          <w:spacing w:val="-16"/>
          <w:kern w:val="21"/>
        </w:rPr>
        <w:t>-</w:t>
      </w:r>
      <w:r>
        <w:rPr>
          <w:rFonts w:ascii="宋体" w:hAnsi="宋体"/>
          <w:snapToGrid w:val="0"/>
          <w:color w:val="auto"/>
          <w:spacing w:val="-6"/>
          <w:kern w:val="21"/>
        </w:rPr>
        <w:fldChar w:fldCharType="begin"/>
      </w:r>
      <w:r>
        <w:rPr>
          <w:rFonts w:ascii="宋体" w:hAnsi="宋体"/>
          <w:snapToGrid w:val="0"/>
          <w:color w:val="auto"/>
          <w:spacing w:val="-6"/>
          <w:kern w:val="21"/>
        </w:rPr>
        <w:instrText xml:space="preserve"> = 1 \* GB3 \* MERGEFORMAT </w:instrText>
      </w:r>
      <w:r>
        <w:rPr>
          <w:rFonts w:ascii="宋体" w:hAnsi="宋体"/>
          <w:snapToGrid w:val="0"/>
          <w:color w:val="auto"/>
          <w:spacing w:val="-6"/>
          <w:kern w:val="21"/>
        </w:rPr>
        <w:fldChar w:fldCharType="separate"/>
      </w:r>
      <w:r>
        <w:rPr>
          <w:rFonts w:ascii="宋体" w:hAnsi="宋体"/>
          <w:color w:val="auto"/>
        </w:rPr>
        <w:t>①</w:t>
      </w:r>
      <w:r>
        <w:rPr>
          <w:rFonts w:ascii="宋体" w:hAnsi="宋体"/>
          <w:snapToGrid w:val="0"/>
          <w:color w:val="auto"/>
          <w:spacing w:val="-6"/>
          <w:kern w:val="21"/>
        </w:rPr>
        <w:fldChar w:fldCharType="end"/>
      </w:r>
    </w:p>
    <w:p w14:paraId="1B2F3AC5">
      <w:pPr>
        <w:bidi w:val="0"/>
        <w:rPr>
          <w:color w:val="auto"/>
        </w:rPr>
      </w:pPr>
    </w:p>
    <w:sectPr>
      <w:pgSz w:w="16838" w:h="11906" w:orient="landscape"/>
      <w:pgMar w:top="1508" w:right="1440" w:bottom="1797" w:left="14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Times New Roman”“">
    <w:altName w:val="宋体"/>
    <w:panose1 w:val="00000000000000000000"/>
    <w:charset w:val="86"/>
    <w:family w:val="roma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7F" w:usb3="00000000" w:csb0="203F01FF" w:csb1="DFFF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Noto Sans CJK JP Regular">
    <w:altName w:val="微软雅黑"/>
    <w:panose1 w:val="00000000000000000000"/>
    <w:charset w:val="00"/>
    <w:family w:val="swiss"/>
    <w:pitch w:val="default"/>
    <w:sig w:usb0="00000000" w:usb1="00000000" w:usb2="00000000" w:usb3="00000000" w:csb0="00040001" w:csb1="00000000"/>
  </w:font>
  <w:font w:name="微软雅黑">
    <w:panose1 w:val="020B0503020204020204"/>
    <w:charset w:val="86"/>
    <w:family w:val="swiss"/>
    <w:pitch w:val="default"/>
    <w:sig w:usb0="80000287" w:usb1="280F3C52" w:usb2="00000016" w:usb3="00000000" w:csb0="0004001F" w:csb1="00000000"/>
  </w:font>
  <w:font w:name="PMingLiU">
    <w:panose1 w:val="02020500000000000000"/>
    <w:charset w:val="88"/>
    <w:family w:val="auto"/>
    <w:pitch w:val="default"/>
    <w:sig w:usb0="A00002FF" w:usb1="28CFFCFA" w:usb2="00000016" w:usb3="00000000" w:csb0="00100001" w:csb1="00000000"/>
  </w:font>
  <w:font w:name="Wingdings 2">
    <w:altName w:val="Wingdings"/>
    <w:panose1 w:val="05020102010507070707"/>
    <w:charset w:val="02"/>
    <w:family w:val="roman"/>
    <w:pitch w:val="default"/>
    <w:sig w:usb0="00000000" w:usb1="00000000" w:usb2="00000000" w:usb3="00000000" w:csb0="80000000" w:csb1="00000000"/>
  </w:font>
  <w:font w:name="Times New Roman Regular">
    <w:altName w:val="Times New Roman"/>
    <w:panose1 w:val="02020503050405090304"/>
    <w:charset w:val="00"/>
    <w:family w:val="auto"/>
    <w:pitch w:val="default"/>
    <w:sig w:usb0="00000000" w:usb1="00000000" w:usb2="00000001" w:usb3="00000000" w:csb0="400001BF" w:csb1="DFF70000"/>
  </w:font>
  <w:font w:name="CIDFont+F2">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Cambria Math">
    <w:panose1 w:val="02040503050406030204"/>
    <w:charset w:val="00"/>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B7775">
    <w:pPr>
      <w:pStyle w:val="21"/>
      <w:framePr w:wrap="around" w:vAnchor="text" w:hAnchor="margin" w:xAlign="center" w:y="1"/>
      <w:rPr>
        <w:rStyle w:val="42"/>
      </w:rPr>
    </w:pPr>
    <w:r>
      <w:fldChar w:fldCharType="begin"/>
    </w:r>
    <w:r>
      <w:rPr>
        <w:rStyle w:val="42"/>
      </w:rPr>
      <w:instrText xml:space="preserve">PAGE  </w:instrText>
    </w:r>
    <w:r>
      <w:fldChar w:fldCharType="end"/>
    </w:r>
  </w:p>
  <w:p w14:paraId="15152BED">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BF8B6">
    <w:pPr>
      <w:pStyle w:val="21"/>
      <w:framePr w:wrap="around" w:vAnchor="text" w:hAnchor="margin" w:xAlign="center" w:y="1"/>
      <w:rPr>
        <w:rStyle w:val="42"/>
      </w:rPr>
    </w:pPr>
    <w:r>
      <w:fldChar w:fldCharType="begin"/>
    </w:r>
    <w:r>
      <w:rPr>
        <w:rStyle w:val="42"/>
      </w:rPr>
      <w:instrText xml:space="preserve">PAGE  </w:instrText>
    </w:r>
    <w:r>
      <w:fldChar w:fldCharType="separate"/>
    </w:r>
    <w:r>
      <w:rPr>
        <w:rStyle w:val="42"/>
      </w:rPr>
      <w:t>29</w:t>
    </w:r>
    <w:r>
      <w:fldChar w:fldCharType="end"/>
    </w:r>
  </w:p>
  <w:p w14:paraId="66BB65DF">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3CCD5">
    <w:pPr>
      <w:pStyle w:val="21"/>
      <w:framePr w:wrap="around" w:vAnchor="text" w:hAnchor="margin" w:xAlign="center" w:y="1"/>
      <w:rPr>
        <w:rStyle w:val="42"/>
      </w:rPr>
    </w:pPr>
    <w:r>
      <w:fldChar w:fldCharType="begin"/>
    </w:r>
    <w:r>
      <w:rPr>
        <w:rStyle w:val="42"/>
      </w:rPr>
      <w:instrText xml:space="preserve">PAGE  </w:instrText>
    </w:r>
    <w:r>
      <w:fldChar w:fldCharType="separate"/>
    </w:r>
    <w:r>
      <w:rPr>
        <w:rStyle w:val="42"/>
      </w:rPr>
      <w:t>104</w:t>
    </w:r>
    <w:r>
      <w:fldChar w:fldCharType="end"/>
    </w:r>
  </w:p>
  <w:p w14:paraId="5423661B">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75BDD">
    <w:pPr>
      <w:pStyle w:val="2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4E415">
    <w:pPr>
      <w:pStyle w:val="2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862CA9"/>
    <w:multiLevelType w:val="multilevel"/>
    <w:tmpl w:val="41862CA9"/>
    <w:lvl w:ilvl="0" w:tentative="0">
      <w:start w:val="1"/>
      <w:numFmt w:val="decimal"/>
      <w:suff w:val="space"/>
      <w:lvlText w:val="%1"/>
      <w:lvlJc w:val="left"/>
      <w:pPr>
        <w:ind w:left="0" w:firstLine="0"/>
      </w:pPr>
      <w:rPr>
        <w:rFonts w:hint="eastAsia"/>
        <w:sz w:val="30"/>
        <w:szCs w:val="30"/>
      </w:rPr>
    </w:lvl>
    <w:lvl w:ilvl="1" w:tentative="0">
      <w:start w:val="1"/>
      <w:numFmt w:val="decimal"/>
      <w:pStyle w:val="54"/>
      <w:suff w:val="space"/>
      <w:lvlText w:val="%1.%2"/>
      <w:lvlJc w:val="left"/>
      <w:pPr>
        <w:ind w:left="1560" w:firstLine="0"/>
      </w:pPr>
      <w:rPr>
        <w:rFonts w:hint="default" w:ascii="Arial" w:hAnsi="Arial"/>
      </w:rPr>
    </w:lvl>
    <w:lvl w:ilvl="2" w:tentative="0">
      <w:start w:val="1"/>
      <w:numFmt w:val="decimal"/>
      <w:suff w:val="space"/>
      <w:lvlText w:val="%1.%2.%3"/>
      <w:lvlJc w:val="left"/>
      <w:pPr>
        <w:ind w:left="994" w:hanging="426"/>
      </w:pPr>
      <w:rPr>
        <w:rFonts w:hint="default" w:ascii="Arial" w:hAnsi="Arial"/>
      </w:rPr>
    </w:lvl>
    <w:lvl w:ilvl="3" w:tentative="0">
      <w:start w:val="1"/>
      <w:numFmt w:val="decimal"/>
      <w:suff w:val="nothing"/>
      <w:lvlText w:val="%1.%2.%3.%4"/>
      <w:lvlJc w:val="left"/>
      <w:pPr>
        <w:ind w:left="851" w:hanging="851"/>
      </w:pPr>
      <w:rPr>
        <w:rFonts w:hint="eastAsia" w:ascii="Arial" w:hAnsi="Arial"/>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0B2"/>
    <w:rsid w:val="0000014A"/>
    <w:rsid w:val="000001A2"/>
    <w:rsid w:val="000006FA"/>
    <w:rsid w:val="00000C8C"/>
    <w:rsid w:val="0000123C"/>
    <w:rsid w:val="0000155B"/>
    <w:rsid w:val="0000178D"/>
    <w:rsid w:val="00002642"/>
    <w:rsid w:val="00002819"/>
    <w:rsid w:val="00002A2C"/>
    <w:rsid w:val="00002FD9"/>
    <w:rsid w:val="000036E2"/>
    <w:rsid w:val="00003B93"/>
    <w:rsid w:val="00003C73"/>
    <w:rsid w:val="00004006"/>
    <w:rsid w:val="000040C9"/>
    <w:rsid w:val="0000422E"/>
    <w:rsid w:val="0000432C"/>
    <w:rsid w:val="00004358"/>
    <w:rsid w:val="000048F6"/>
    <w:rsid w:val="00005108"/>
    <w:rsid w:val="000052E4"/>
    <w:rsid w:val="00005969"/>
    <w:rsid w:val="00005A49"/>
    <w:rsid w:val="00005AEB"/>
    <w:rsid w:val="00005B40"/>
    <w:rsid w:val="00005D16"/>
    <w:rsid w:val="00005D34"/>
    <w:rsid w:val="000064DC"/>
    <w:rsid w:val="0000663E"/>
    <w:rsid w:val="0000668A"/>
    <w:rsid w:val="0000671C"/>
    <w:rsid w:val="000069BD"/>
    <w:rsid w:val="00006E32"/>
    <w:rsid w:val="00007486"/>
    <w:rsid w:val="000074DD"/>
    <w:rsid w:val="0000772B"/>
    <w:rsid w:val="00007B68"/>
    <w:rsid w:val="00010091"/>
    <w:rsid w:val="000103BF"/>
    <w:rsid w:val="000104DF"/>
    <w:rsid w:val="00010849"/>
    <w:rsid w:val="00010B22"/>
    <w:rsid w:val="00010CEC"/>
    <w:rsid w:val="000125FE"/>
    <w:rsid w:val="0001284C"/>
    <w:rsid w:val="000128F1"/>
    <w:rsid w:val="00012C02"/>
    <w:rsid w:val="0001325C"/>
    <w:rsid w:val="000132F3"/>
    <w:rsid w:val="000133FD"/>
    <w:rsid w:val="00013965"/>
    <w:rsid w:val="000140B6"/>
    <w:rsid w:val="0001437E"/>
    <w:rsid w:val="00014CAA"/>
    <w:rsid w:val="00014DE5"/>
    <w:rsid w:val="000155A6"/>
    <w:rsid w:val="000156CF"/>
    <w:rsid w:val="00015D3A"/>
    <w:rsid w:val="0001635E"/>
    <w:rsid w:val="0001654B"/>
    <w:rsid w:val="0001671D"/>
    <w:rsid w:val="00016ABE"/>
    <w:rsid w:val="0001715C"/>
    <w:rsid w:val="000176F7"/>
    <w:rsid w:val="00017897"/>
    <w:rsid w:val="000179E8"/>
    <w:rsid w:val="00017AE1"/>
    <w:rsid w:val="00017D3E"/>
    <w:rsid w:val="00017FE2"/>
    <w:rsid w:val="0002029C"/>
    <w:rsid w:val="0002049C"/>
    <w:rsid w:val="0002059A"/>
    <w:rsid w:val="000206FF"/>
    <w:rsid w:val="00020765"/>
    <w:rsid w:val="0002086E"/>
    <w:rsid w:val="00020C39"/>
    <w:rsid w:val="00021337"/>
    <w:rsid w:val="0002160A"/>
    <w:rsid w:val="000219D0"/>
    <w:rsid w:val="00021B32"/>
    <w:rsid w:val="00021EAC"/>
    <w:rsid w:val="000221F3"/>
    <w:rsid w:val="000222B3"/>
    <w:rsid w:val="0002249D"/>
    <w:rsid w:val="00022C07"/>
    <w:rsid w:val="0002426E"/>
    <w:rsid w:val="000246DE"/>
    <w:rsid w:val="00024B24"/>
    <w:rsid w:val="00024B74"/>
    <w:rsid w:val="00024BC6"/>
    <w:rsid w:val="00024C59"/>
    <w:rsid w:val="000251D7"/>
    <w:rsid w:val="00026135"/>
    <w:rsid w:val="00026391"/>
    <w:rsid w:val="0002663C"/>
    <w:rsid w:val="000272CE"/>
    <w:rsid w:val="00027924"/>
    <w:rsid w:val="00027A38"/>
    <w:rsid w:val="00027AE3"/>
    <w:rsid w:val="00027BB7"/>
    <w:rsid w:val="00030274"/>
    <w:rsid w:val="00030639"/>
    <w:rsid w:val="000307D9"/>
    <w:rsid w:val="0003091E"/>
    <w:rsid w:val="00030B9D"/>
    <w:rsid w:val="00031109"/>
    <w:rsid w:val="00031894"/>
    <w:rsid w:val="00031DBA"/>
    <w:rsid w:val="0003206F"/>
    <w:rsid w:val="000320E9"/>
    <w:rsid w:val="0003254C"/>
    <w:rsid w:val="00032837"/>
    <w:rsid w:val="0003294F"/>
    <w:rsid w:val="00032CC4"/>
    <w:rsid w:val="000339AA"/>
    <w:rsid w:val="000340A3"/>
    <w:rsid w:val="000345D9"/>
    <w:rsid w:val="00034607"/>
    <w:rsid w:val="00034B87"/>
    <w:rsid w:val="00034C8C"/>
    <w:rsid w:val="00034DE7"/>
    <w:rsid w:val="0003556C"/>
    <w:rsid w:val="000357DC"/>
    <w:rsid w:val="00036243"/>
    <w:rsid w:val="00036388"/>
    <w:rsid w:val="00036D32"/>
    <w:rsid w:val="00036E02"/>
    <w:rsid w:val="00036F56"/>
    <w:rsid w:val="00037079"/>
    <w:rsid w:val="00037F2F"/>
    <w:rsid w:val="00040093"/>
    <w:rsid w:val="00040B8B"/>
    <w:rsid w:val="00040D9D"/>
    <w:rsid w:val="00041749"/>
    <w:rsid w:val="00042137"/>
    <w:rsid w:val="000422FE"/>
    <w:rsid w:val="00042568"/>
    <w:rsid w:val="00042770"/>
    <w:rsid w:val="00042921"/>
    <w:rsid w:val="00042C9E"/>
    <w:rsid w:val="000436DA"/>
    <w:rsid w:val="00043834"/>
    <w:rsid w:val="00043C03"/>
    <w:rsid w:val="00044114"/>
    <w:rsid w:val="000444D0"/>
    <w:rsid w:val="00044915"/>
    <w:rsid w:val="00044ED9"/>
    <w:rsid w:val="00044FA3"/>
    <w:rsid w:val="00045933"/>
    <w:rsid w:val="00045B6C"/>
    <w:rsid w:val="00045DBB"/>
    <w:rsid w:val="000462B1"/>
    <w:rsid w:val="000476A5"/>
    <w:rsid w:val="000477E5"/>
    <w:rsid w:val="000502C1"/>
    <w:rsid w:val="000505C7"/>
    <w:rsid w:val="000506EE"/>
    <w:rsid w:val="000507C4"/>
    <w:rsid w:val="000509CF"/>
    <w:rsid w:val="00051348"/>
    <w:rsid w:val="00051447"/>
    <w:rsid w:val="000514E0"/>
    <w:rsid w:val="000519D2"/>
    <w:rsid w:val="00051B6C"/>
    <w:rsid w:val="00051C64"/>
    <w:rsid w:val="00051CBA"/>
    <w:rsid w:val="00051E84"/>
    <w:rsid w:val="00051F5F"/>
    <w:rsid w:val="00051F62"/>
    <w:rsid w:val="00052263"/>
    <w:rsid w:val="00052DD1"/>
    <w:rsid w:val="0005339A"/>
    <w:rsid w:val="000533B6"/>
    <w:rsid w:val="0005349C"/>
    <w:rsid w:val="000537B2"/>
    <w:rsid w:val="00053E01"/>
    <w:rsid w:val="000544FF"/>
    <w:rsid w:val="0005482A"/>
    <w:rsid w:val="00054CCF"/>
    <w:rsid w:val="00054D14"/>
    <w:rsid w:val="00055093"/>
    <w:rsid w:val="00055126"/>
    <w:rsid w:val="00055431"/>
    <w:rsid w:val="00055951"/>
    <w:rsid w:val="00055DDB"/>
    <w:rsid w:val="00055DEF"/>
    <w:rsid w:val="00055F86"/>
    <w:rsid w:val="000563BE"/>
    <w:rsid w:val="00056404"/>
    <w:rsid w:val="0005649A"/>
    <w:rsid w:val="00056510"/>
    <w:rsid w:val="00056576"/>
    <w:rsid w:val="000565B5"/>
    <w:rsid w:val="000565BA"/>
    <w:rsid w:val="00056C5B"/>
    <w:rsid w:val="000570EC"/>
    <w:rsid w:val="00057133"/>
    <w:rsid w:val="0006006B"/>
    <w:rsid w:val="000600F0"/>
    <w:rsid w:val="0006041B"/>
    <w:rsid w:val="00060454"/>
    <w:rsid w:val="0006062F"/>
    <w:rsid w:val="00060B39"/>
    <w:rsid w:val="00060B62"/>
    <w:rsid w:val="00060CA2"/>
    <w:rsid w:val="0006119D"/>
    <w:rsid w:val="00061221"/>
    <w:rsid w:val="00061352"/>
    <w:rsid w:val="00061354"/>
    <w:rsid w:val="00061A5E"/>
    <w:rsid w:val="00061A83"/>
    <w:rsid w:val="00061B5E"/>
    <w:rsid w:val="000620F5"/>
    <w:rsid w:val="00062143"/>
    <w:rsid w:val="0006247C"/>
    <w:rsid w:val="00062572"/>
    <w:rsid w:val="00062742"/>
    <w:rsid w:val="00062CCC"/>
    <w:rsid w:val="00062DE6"/>
    <w:rsid w:val="00062EA9"/>
    <w:rsid w:val="00062EDE"/>
    <w:rsid w:val="00062F52"/>
    <w:rsid w:val="00063020"/>
    <w:rsid w:val="00063099"/>
    <w:rsid w:val="0006412C"/>
    <w:rsid w:val="00064408"/>
    <w:rsid w:val="000646BC"/>
    <w:rsid w:val="00064846"/>
    <w:rsid w:val="00064ED2"/>
    <w:rsid w:val="000651F2"/>
    <w:rsid w:val="000655EF"/>
    <w:rsid w:val="00066579"/>
    <w:rsid w:val="00066E6A"/>
    <w:rsid w:val="00066FE1"/>
    <w:rsid w:val="0006735D"/>
    <w:rsid w:val="000676D1"/>
    <w:rsid w:val="00067A3D"/>
    <w:rsid w:val="000702A0"/>
    <w:rsid w:val="000702F9"/>
    <w:rsid w:val="00070549"/>
    <w:rsid w:val="00070799"/>
    <w:rsid w:val="000707EE"/>
    <w:rsid w:val="00070B20"/>
    <w:rsid w:val="00070D86"/>
    <w:rsid w:val="00070EBC"/>
    <w:rsid w:val="00071623"/>
    <w:rsid w:val="000716DD"/>
    <w:rsid w:val="00071B1A"/>
    <w:rsid w:val="00071BD6"/>
    <w:rsid w:val="00071D75"/>
    <w:rsid w:val="00071FB5"/>
    <w:rsid w:val="00072F13"/>
    <w:rsid w:val="00073449"/>
    <w:rsid w:val="00073515"/>
    <w:rsid w:val="00073FB4"/>
    <w:rsid w:val="0007492E"/>
    <w:rsid w:val="00074984"/>
    <w:rsid w:val="00074B89"/>
    <w:rsid w:val="00074FC3"/>
    <w:rsid w:val="000757A1"/>
    <w:rsid w:val="00075920"/>
    <w:rsid w:val="00075ADF"/>
    <w:rsid w:val="00075BAF"/>
    <w:rsid w:val="000761B1"/>
    <w:rsid w:val="00076210"/>
    <w:rsid w:val="00076638"/>
    <w:rsid w:val="000766E3"/>
    <w:rsid w:val="00076899"/>
    <w:rsid w:val="00076C1C"/>
    <w:rsid w:val="00076E77"/>
    <w:rsid w:val="0007706B"/>
    <w:rsid w:val="00077431"/>
    <w:rsid w:val="0007746F"/>
    <w:rsid w:val="00077E8F"/>
    <w:rsid w:val="0008006B"/>
    <w:rsid w:val="000802F9"/>
    <w:rsid w:val="0008041A"/>
    <w:rsid w:val="0008055B"/>
    <w:rsid w:val="000808A3"/>
    <w:rsid w:val="00080B0D"/>
    <w:rsid w:val="00080B8F"/>
    <w:rsid w:val="00080CE4"/>
    <w:rsid w:val="00080EC9"/>
    <w:rsid w:val="00081313"/>
    <w:rsid w:val="0008143F"/>
    <w:rsid w:val="00081495"/>
    <w:rsid w:val="00081B25"/>
    <w:rsid w:val="00081C18"/>
    <w:rsid w:val="000822DD"/>
    <w:rsid w:val="0008233E"/>
    <w:rsid w:val="00082508"/>
    <w:rsid w:val="00082C04"/>
    <w:rsid w:val="00082C68"/>
    <w:rsid w:val="00084201"/>
    <w:rsid w:val="00084B5C"/>
    <w:rsid w:val="00084DED"/>
    <w:rsid w:val="00084E37"/>
    <w:rsid w:val="000852BA"/>
    <w:rsid w:val="00085382"/>
    <w:rsid w:val="000853AF"/>
    <w:rsid w:val="00085458"/>
    <w:rsid w:val="00085598"/>
    <w:rsid w:val="00085D37"/>
    <w:rsid w:val="000869FB"/>
    <w:rsid w:val="00086AAC"/>
    <w:rsid w:val="00086B98"/>
    <w:rsid w:val="00086DDE"/>
    <w:rsid w:val="00087096"/>
    <w:rsid w:val="000870CA"/>
    <w:rsid w:val="00087216"/>
    <w:rsid w:val="00087E1C"/>
    <w:rsid w:val="00090016"/>
    <w:rsid w:val="00090A6D"/>
    <w:rsid w:val="00090A8B"/>
    <w:rsid w:val="00090AB8"/>
    <w:rsid w:val="000910C3"/>
    <w:rsid w:val="000916CF"/>
    <w:rsid w:val="00091A79"/>
    <w:rsid w:val="00091CA8"/>
    <w:rsid w:val="00091CA9"/>
    <w:rsid w:val="00092398"/>
    <w:rsid w:val="00092664"/>
    <w:rsid w:val="000928BF"/>
    <w:rsid w:val="000932EB"/>
    <w:rsid w:val="00093C81"/>
    <w:rsid w:val="0009402F"/>
    <w:rsid w:val="000947EA"/>
    <w:rsid w:val="00094BBD"/>
    <w:rsid w:val="00094BC7"/>
    <w:rsid w:val="00094E32"/>
    <w:rsid w:val="00094F26"/>
    <w:rsid w:val="00095372"/>
    <w:rsid w:val="000956BC"/>
    <w:rsid w:val="00095712"/>
    <w:rsid w:val="00095C6E"/>
    <w:rsid w:val="00096672"/>
    <w:rsid w:val="000969AE"/>
    <w:rsid w:val="000970A7"/>
    <w:rsid w:val="0009799B"/>
    <w:rsid w:val="00097ED6"/>
    <w:rsid w:val="000A0339"/>
    <w:rsid w:val="000A092E"/>
    <w:rsid w:val="000A09E2"/>
    <w:rsid w:val="000A0D54"/>
    <w:rsid w:val="000A0E0C"/>
    <w:rsid w:val="000A0FE0"/>
    <w:rsid w:val="000A10AD"/>
    <w:rsid w:val="000A122F"/>
    <w:rsid w:val="000A1519"/>
    <w:rsid w:val="000A1B6A"/>
    <w:rsid w:val="000A209C"/>
    <w:rsid w:val="000A20F3"/>
    <w:rsid w:val="000A22AB"/>
    <w:rsid w:val="000A26D6"/>
    <w:rsid w:val="000A29BD"/>
    <w:rsid w:val="000A2D48"/>
    <w:rsid w:val="000A333E"/>
    <w:rsid w:val="000A390B"/>
    <w:rsid w:val="000A3B01"/>
    <w:rsid w:val="000A3BC6"/>
    <w:rsid w:val="000A4049"/>
    <w:rsid w:val="000A42A8"/>
    <w:rsid w:val="000A431F"/>
    <w:rsid w:val="000A4424"/>
    <w:rsid w:val="000A47F7"/>
    <w:rsid w:val="000A4AD4"/>
    <w:rsid w:val="000A4BF9"/>
    <w:rsid w:val="000A4DE3"/>
    <w:rsid w:val="000A50CD"/>
    <w:rsid w:val="000A5650"/>
    <w:rsid w:val="000A5A80"/>
    <w:rsid w:val="000A60AD"/>
    <w:rsid w:val="000A6A83"/>
    <w:rsid w:val="000A6EED"/>
    <w:rsid w:val="000A77A3"/>
    <w:rsid w:val="000A7AFA"/>
    <w:rsid w:val="000A7BA7"/>
    <w:rsid w:val="000B0121"/>
    <w:rsid w:val="000B14FD"/>
    <w:rsid w:val="000B18FA"/>
    <w:rsid w:val="000B19D2"/>
    <w:rsid w:val="000B1C91"/>
    <w:rsid w:val="000B1E3E"/>
    <w:rsid w:val="000B2EEE"/>
    <w:rsid w:val="000B359F"/>
    <w:rsid w:val="000B37F6"/>
    <w:rsid w:val="000B3B72"/>
    <w:rsid w:val="000B3CD9"/>
    <w:rsid w:val="000B3D9C"/>
    <w:rsid w:val="000B3DE8"/>
    <w:rsid w:val="000B3F73"/>
    <w:rsid w:val="000B40B6"/>
    <w:rsid w:val="000B41AC"/>
    <w:rsid w:val="000B41B5"/>
    <w:rsid w:val="000B4534"/>
    <w:rsid w:val="000B480D"/>
    <w:rsid w:val="000B4FBB"/>
    <w:rsid w:val="000B55F7"/>
    <w:rsid w:val="000B59C2"/>
    <w:rsid w:val="000B5A09"/>
    <w:rsid w:val="000B5B8C"/>
    <w:rsid w:val="000B608C"/>
    <w:rsid w:val="000B6664"/>
    <w:rsid w:val="000B7320"/>
    <w:rsid w:val="000B748B"/>
    <w:rsid w:val="000B767A"/>
    <w:rsid w:val="000B77E2"/>
    <w:rsid w:val="000B78D0"/>
    <w:rsid w:val="000B7D18"/>
    <w:rsid w:val="000B7D99"/>
    <w:rsid w:val="000B7EB5"/>
    <w:rsid w:val="000B7F09"/>
    <w:rsid w:val="000C0261"/>
    <w:rsid w:val="000C0495"/>
    <w:rsid w:val="000C061D"/>
    <w:rsid w:val="000C06AE"/>
    <w:rsid w:val="000C0807"/>
    <w:rsid w:val="000C0D4F"/>
    <w:rsid w:val="000C0FCC"/>
    <w:rsid w:val="000C11A7"/>
    <w:rsid w:val="000C1369"/>
    <w:rsid w:val="000C1438"/>
    <w:rsid w:val="000C15E3"/>
    <w:rsid w:val="000C16C1"/>
    <w:rsid w:val="000C197C"/>
    <w:rsid w:val="000C1C58"/>
    <w:rsid w:val="000C2BB8"/>
    <w:rsid w:val="000C30C1"/>
    <w:rsid w:val="000C3408"/>
    <w:rsid w:val="000C35D7"/>
    <w:rsid w:val="000C3982"/>
    <w:rsid w:val="000C3DD7"/>
    <w:rsid w:val="000C3EDD"/>
    <w:rsid w:val="000C4089"/>
    <w:rsid w:val="000C435B"/>
    <w:rsid w:val="000C4413"/>
    <w:rsid w:val="000C4524"/>
    <w:rsid w:val="000C4933"/>
    <w:rsid w:val="000C4D27"/>
    <w:rsid w:val="000C5044"/>
    <w:rsid w:val="000C51CD"/>
    <w:rsid w:val="000C5288"/>
    <w:rsid w:val="000C52B3"/>
    <w:rsid w:val="000C54D3"/>
    <w:rsid w:val="000C57CB"/>
    <w:rsid w:val="000C5830"/>
    <w:rsid w:val="000C5944"/>
    <w:rsid w:val="000C5A94"/>
    <w:rsid w:val="000C5E70"/>
    <w:rsid w:val="000C60A8"/>
    <w:rsid w:val="000C6145"/>
    <w:rsid w:val="000C61C2"/>
    <w:rsid w:val="000C63A6"/>
    <w:rsid w:val="000C651C"/>
    <w:rsid w:val="000C67E4"/>
    <w:rsid w:val="000C6C3A"/>
    <w:rsid w:val="000C7974"/>
    <w:rsid w:val="000C79C7"/>
    <w:rsid w:val="000C79D0"/>
    <w:rsid w:val="000C7B55"/>
    <w:rsid w:val="000D04F5"/>
    <w:rsid w:val="000D08D4"/>
    <w:rsid w:val="000D0AA5"/>
    <w:rsid w:val="000D0B03"/>
    <w:rsid w:val="000D0EA8"/>
    <w:rsid w:val="000D0F65"/>
    <w:rsid w:val="000D11C0"/>
    <w:rsid w:val="000D1264"/>
    <w:rsid w:val="000D1632"/>
    <w:rsid w:val="000D1A7A"/>
    <w:rsid w:val="000D1BE4"/>
    <w:rsid w:val="000D1CB4"/>
    <w:rsid w:val="000D1D8D"/>
    <w:rsid w:val="000D1FCD"/>
    <w:rsid w:val="000D220B"/>
    <w:rsid w:val="000D2465"/>
    <w:rsid w:val="000D2CC5"/>
    <w:rsid w:val="000D2D1A"/>
    <w:rsid w:val="000D3022"/>
    <w:rsid w:val="000D315C"/>
    <w:rsid w:val="000D3C37"/>
    <w:rsid w:val="000D422D"/>
    <w:rsid w:val="000D47D4"/>
    <w:rsid w:val="000D4FB0"/>
    <w:rsid w:val="000D5167"/>
    <w:rsid w:val="000D54F1"/>
    <w:rsid w:val="000D56B8"/>
    <w:rsid w:val="000D583F"/>
    <w:rsid w:val="000D5AD9"/>
    <w:rsid w:val="000D5CC7"/>
    <w:rsid w:val="000D6284"/>
    <w:rsid w:val="000D6352"/>
    <w:rsid w:val="000D6700"/>
    <w:rsid w:val="000D67FB"/>
    <w:rsid w:val="000D6CB6"/>
    <w:rsid w:val="000D7009"/>
    <w:rsid w:val="000D701F"/>
    <w:rsid w:val="000D7380"/>
    <w:rsid w:val="000D75AD"/>
    <w:rsid w:val="000D75C2"/>
    <w:rsid w:val="000D777E"/>
    <w:rsid w:val="000D7E8A"/>
    <w:rsid w:val="000E0128"/>
    <w:rsid w:val="000E04ED"/>
    <w:rsid w:val="000E0B11"/>
    <w:rsid w:val="000E0EB5"/>
    <w:rsid w:val="000E1492"/>
    <w:rsid w:val="000E1831"/>
    <w:rsid w:val="000E2122"/>
    <w:rsid w:val="000E23E7"/>
    <w:rsid w:val="000E24A8"/>
    <w:rsid w:val="000E3351"/>
    <w:rsid w:val="000E34EB"/>
    <w:rsid w:val="000E352C"/>
    <w:rsid w:val="000E359B"/>
    <w:rsid w:val="000E3732"/>
    <w:rsid w:val="000E3FD9"/>
    <w:rsid w:val="000E4103"/>
    <w:rsid w:val="000E4134"/>
    <w:rsid w:val="000E419F"/>
    <w:rsid w:val="000E4470"/>
    <w:rsid w:val="000E44DF"/>
    <w:rsid w:val="000E456B"/>
    <w:rsid w:val="000E4B32"/>
    <w:rsid w:val="000E4F61"/>
    <w:rsid w:val="000E530D"/>
    <w:rsid w:val="000E5472"/>
    <w:rsid w:val="000E5949"/>
    <w:rsid w:val="000E5F1E"/>
    <w:rsid w:val="000E62BE"/>
    <w:rsid w:val="000E63A8"/>
    <w:rsid w:val="000E65D2"/>
    <w:rsid w:val="000E6E08"/>
    <w:rsid w:val="000E7128"/>
    <w:rsid w:val="000E7346"/>
    <w:rsid w:val="000E79CB"/>
    <w:rsid w:val="000E7C5C"/>
    <w:rsid w:val="000F0055"/>
    <w:rsid w:val="000F0A32"/>
    <w:rsid w:val="000F0C68"/>
    <w:rsid w:val="000F142B"/>
    <w:rsid w:val="000F162F"/>
    <w:rsid w:val="000F1D17"/>
    <w:rsid w:val="000F2504"/>
    <w:rsid w:val="000F25A0"/>
    <w:rsid w:val="000F288B"/>
    <w:rsid w:val="000F2A14"/>
    <w:rsid w:val="000F2EB2"/>
    <w:rsid w:val="000F3083"/>
    <w:rsid w:val="000F3206"/>
    <w:rsid w:val="000F32ED"/>
    <w:rsid w:val="000F336F"/>
    <w:rsid w:val="000F396C"/>
    <w:rsid w:val="000F3B90"/>
    <w:rsid w:val="000F4155"/>
    <w:rsid w:val="000F4519"/>
    <w:rsid w:val="000F47AB"/>
    <w:rsid w:val="000F5068"/>
    <w:rsid w:val="000F5090"/>
    <w:rsid w:val="000F56E9"/>
    <w:rsid w:val="000F595A"/>
    <w:rsid w:val="000F5F49"/>
    <w:rsid w:val="000F6FD9"/>
    <w:rsid w:val="000F7949"/>
    <w:rsid w:val="000F7CD1"/>
    <w:rsid w:val="000F7CEB"/>
    <w:rsid w:val="001002BE"/>
    <w:rsid w:val="0010074C"/>
    <w:rsid w:val="001009C2"/>
    <w:rsid w:val="00100D92"/>
    <w:rsid w:val="0010116C"/>
    <w:rsid w:val="001012DC"/>
    <w:rsid w:val="00101543"/>
    <w:rsid w:val="00101915"/>
    <w:rsid w:val="00101FAB"/>
    <w:rsid w:val="00102BFC"/>
    <w:rsid w:val="00102E11"/>
    <w:rsid w:val="00102EE6"/>
    <w:rsid w:val="00102FE4"/>
    <w:rsid w:val="001031E9"/>
    <w:rsid w:val="00103505"/>
    <w:rsid w:val="0010375E"/>
    <w:rsid w:val="001041B2"/>
    <w:rsid w:val="001041CA"/>
    <w:rsid w:val="0010442D"/>
    <w:rsid w:val="00104D14"/>
    <w:rsid w:val="00105963"/>
    <w:rsid w:val="00105B7C"/>
    <w:rsid w:val="00105E23"/>
    <w:rsid w:val="00105E97"/>
    <w:rsid w:val="0010655E"/>
    <w:rsid w:val="001066C3"/>
    <w:rsid w:val="00106960"/>
    <w:rsid w:val="00106A04"/>
    <w:rsid w:val="00106A8B"/>
    <w:rsid w:val="00106C0C"/>
    <w:rsid w:val="00106D05"/>
    <w:rsid w:val="00107063"/>
    <w:rsid w:val="00107A7B"/>
    <w:rsid w:val="00107D36"/>
    <w:rsid w:val="00107EC0"/>
    <w:rsid w:val="00110726"/>
    <w:rsid w:val="00110978"/>
    <w:rsid w:val="00110D5C"/>
    <w:rsid w:val="001113FF"/>
    <w:rsid w:val="00111909"/>
    <w:rsid w:val="00111B56"/>
    <w:rsid w:val="00111B67"/>
    <w:rsid w:val="00111F84"/>
    <w:rsid w:val="0011205E"/>
    <w:rsid w:val="001124BA"/>
    <w:rsid w:val="00112623"/>
    <w:rsid w:val="001126D7"/>
    <w:rsid w:val="00112706"/>
    <w:rsid w:val="00112DE2"/>
    <w:rsid w:val="00112E3B"/>
    <w:rsid w:val="00112E6F"/>
    <w:rsid w:val="001134A8"/>
    <w:rsid w:val="001134ED"/>
    <w:rsid w:val="001135DE"/>
    <w:rsid w:val="00113729"/>
    <w:rsid w:val="00113926"/>
    <w:rsid w:val="00113C0F"/>
    <w:rsid w:val="00113DD7"/>
    <w:rsid w:val="001144BA"/>
    <w:rsid w:val="00114D82"/>
    <w:rsid w:val="00114E14"/>
    <w:rsid w:val="00115689"/>
    <w:rsid w:val="001157EE"/>
    <w:rsid w:val="00115A50"/>
    <w:rsid w:val="00115B9C"/>
    <w:rsid w:val="00115D70"/>
    <w:rsid w:val="00115E80"/>
    <w:rsid w:val="0011612D"/>
    <w:rsid w:val="0011658D"/>
    <w:rsid w:val="0011679A"/>
    <w:rsid w:val="0011699C"/>
    <w:rsid w:val="001169B2"/>
    <w:rsid w:val="00116D16"/>
    <w:rsid w:val="00116EE7"/>
    <w:rsid w:val="0011740D"/>
    <w:rsid w:val="00117C2E"/>
    <w:rsid w:val="00117E11"/>
    <w:rsid w:val="001206C6"/>
    <w:rsid w:val="00120A10"/>
    <w:rsid w:val="00120F55"/>
    <w:rsid w:val="00120F98"/>
    <w:rsid w:val="001210D2"/>
    <w:rsid w:val="00121236"/>
    <w:rsid w:val="001217B2"/>
    <w:rsid w:val="00121E30"/>
    <w:rsid w:val="001224C1"/>
    <w:rsid w:val="00122701"/>
    <w:rsid w:val="0012351D"/>
    <w:rsid w:val="00123601"/>
    <w:rsid w:val="00123CD4"/>
    <w:rsid w:val="001243EE"/>
    <w:rsid w:val="001244EB"/>
    <w:rsid w:val="00124509"/>
    <w:rsid w:val="0012468D"/>
    <w:rsid w:val="001246CE"/>
    <w:rsid w:val="00124D49"/>
    <w:rsid w:val="00124F20"/>
    <w:rsid w:val="001250E6"/>
    <w:rsid w:val="001253C0"/>
    <w:rsid w:val="001257CB"/>
    <w:rsid w:val="00125DE4"/>
    <w:rsid w:val="001265B7"/>
    <w:rsid w:val="0012661F"/>
    <w:rsid w:val="00126AD0"/>
    <w:rsid w:val="00126CF7"/>
    <w:rsid w:val="0012790F"/>
    <w:rsid w:val="00127964"/>
    <w:rsid w:val="00127A88"/>
    <w:rsid w:val="0013013A"/>
    <w:rsid w:val="00130177"/>
    <w:rsid w:val="00130AF5"/>
    <w:rsid w:val="00131380"/>
    <w:rsid w:val="00131409"/>
    <w:rsid w:val="0013143D"/>
    <w:rsid w:val="001315C5"/>
    <w:rsid w:val="001318BD"/>
    <w:rsid w:val="00131A8F"/>
    <w:rsid w:val="00131DEF"/>
    <w:rsid w:val="00131E6E"/>
    <w:rsid w:val="001322F0"/>
    <w:rsid w:val="00132A43"/>
    <w:rsid w:val="00132B84"/>
    <w:rsid w:val="001331AF"/>
    <w:rsid w:val="001336BD"/>
    <w:rsid w:val="00133C80"/>
    <w:rsid w:val="0013403D"/>
    <w:rsid w:val="001342EF"/>
    <w:rsid w:val="001346F4"/>
    <w:rsid w:val="00134B66"/>
    <w:rsid w:val="00134C17"/>
    <w:rsid w:val="00135233"/>
    <w:rsid w:val="0013572A"/>
    <w:rsid w:val="00135860"/>
    <w:rsid w:val="00135AA2"/>
    <w:rsid w:val="00135D4B"/>
    <w:rsid w:val="00136455"/>
    <w:rsid w:val="00136B83"/>
    <w:rsid w:val="00137128"/>
    <w:rsid w:val="001371CE"/>
    <w:rsid w:val="001378FF"/>
    <w:rsid w:val="00140477"/>
    <w:rsid w:val="001406B8"/>
    <w:rsid w:val="001406C8"/>
    <w:rsid w:val="00140839"/>
    <w:rsid w:val="00140B59"/>
    <w:rsid w:val="00140B7C"/>
    <w:rsid w:val="001414AB"/>
    <w:rsid w:val="00141AA4"/>
    <w:rsid w:val="00142018"/>
    <w:rsid w:val="00142363"/>
    <w:rsid w:val="00142629"/>
    <w:rsid w:val="00142882"/>
    <w:rsid w:val="001428DD"/>
    <w:rsid w:val="00142998"/>
    <w:rsid w:val="0014309C"/>
    <w:rsid w:val="00143623"/>
    <w:rsid w:val="00143D7F"/>
    <w:rsid w:val="001440EE"/>
    <w:rsid w:val="0014416A"/>
    <w:rsid w:val="00144697"/>
    <w:rsid w:val="00144752"/>
    <w:rsid w:val="0014480E"/>
    <w:rsid w:val="00144A62"/>
    <w:rsid w:val="00145043"/>
    <w:rsid w:val="001456D8"/>
    <w:rsid w:val="00145CBB"/>
    <w:rsid w:val="00145E12"/>
    <w:rsid w:val="00145F0D"/>
    <w:rsid w:val="0014624C"/>
    <w:rsid w:val="001462F0"/>
    <w:rsid w:val="001463D4"/>
    <w:rsid w:val="001469E0"/>
    <w:rsid w:val="00146A76"/>
    <w:rsid w:val="00146AC3"/>
    <w:rsid w:val="00147021"/>
    <w:rsid w:val="001470F1"/>
    <w:rsid w:val="001473FA"/>
    <w:rsid w:val="00147FFB"/>
    <w:rsid w:val="001509B9"/>
    <w:rsid w:val="00150B5C"/>
    <w:rsid w:val="00150E22"/>
    <w:rsid w:val="00150FD6"/>
    <w:rsid w:val="0015107D"/>
    <w:rsid w:val="001511A3"/>
    <w:rsid w:val="001515FF"/>
    <w:rsid w:val="00151651"/>
    <w:rsid w:val="0015189C"/>
    <w:rsid w:val="00151C9C"/>
    <w:rsid w:val="00151D6B"/>
    <w:rsid w:val="00151FAC"/>
    <w:rsid w:val="001520E3"/>
    <w:rsid w:val="00152C73"/>
    <w:rsid w:val="001532B3"/>
    <w:rsid w:val="0015383B"/>
    <w:rsid w:val="00153B04"/>
    <w:rsid w:val="00153EAA"/>
    <w:rsid w:val="00153F08"/>
    <w:rsid w:val="00154BF2"/>
    <w:rsid w:val="00155296"/>
    <w:rsid w:val="00155A47"/>
    <w:rsid w:val="00155ADD"/>
    <w:rsid w:val="00155B3C"/>
    <w:rsid w:val="00155DE6"/>
    <w:rsid w:val="00155EAE"/>
    <w:rsid w:val="00156164"/>
    <w:rsid w:val="001563BF"/>
    <w:rsid w:val="00156701"/>
    <w:rsid w:val="0015680C"/>
    <w:rsid w:val="0015683B"/>
    <w:rsid w:val="00156931"/>
    <w:rsid w:val="00156D49"/>
    <w:rsid w:val="00157197"/>
    <w:rsid w:val="0015736A"/>
    <w:rsid w:val="0015766E"/>
    <w:rsid w:val="001604E7"/>
    <w:rsid w:val="001605D9"/>
    <w:rsid w:val="001606B8"/>
    <w:rsid w:val="00160767"/>
    <w:rsid w:val="00161428"/>
    <w:rsid w:val="00161625"/>
    <w:rsid w:val="001616C0"/>
    <w:rsid w:val="00161AB6"/>
    <w:rsid w:val="00162043"/>
    <w:rsid w:val="001620B1"/>
    <w:rsid w:val="001621C1"/>
    <w:rsid w:val="0016237F"/>
    <w:rsid w:val="00162556"/>
    <w:rsid w:val="00162648"/>
    <w:rsid w:val="00163328"/>
    <w:rsid w:val="0016334C"/>
    <w:rsid w:val="0016352F"/>
    <w:rsid w:val="001638DD"/>
    <w:rsid w:val="00163ADF"/>
    <w:rsid w:val="00163E48"/>
    <w:rsid w:val="0016409A"/>
    <w:rsid w:val="001644CE"/>
    <w:rsid w:val="001645A9"/>
    <w:rsid w:val="00164708"/>
    <w:rsid w:val="00164A54"/>
    <w:rsid w:val="00164A5C"/>
    <w:rsid w:val="001654DF"/>
    <w:rsid w:val="00165642"/>
    <w:rsid w:val="00165802"/>
    <w:rsid w:val="00165A74"/>
    <w:rsid w:val="00165B18"/>
    <w:rsid w:val="00165C10"/>
    <w:rsid w:val="00166848"/>
    <w:rsid w:val="00166863"/>
    <w:rsid w:val="00166A21"/>
    <w:rsid w:val="001671AD"/>
    <w:rsid w:val="00167427"/>
    <w:rsid w:val="00167524"/>
    <w:rsid w:val="001675BA"/>
    <w:rsid w:val="001676F3"/>
    <w:rsid w:val="00167796"/>
    <w:rsid w:val="00167AF2"/>
    <w:rsid w:val="001703BB"/>
    <w:rsid w:val="00170571"/>
    <w:rsid w:val="001706B3"/>
    <w:rsid w:val="00170724"/>
    <w:rsid w:val="00170BF2"/>
    <w:rsid w:val="0017116F"/>
    <w:rsid w:val="001711FD"/>
    <w:rsid w:val="0017191F"/>
    <w:rsid w:val="00171B61"/>
    <w:rsid w:val="00171CCF"/>
    <w:rsid w:val="00171F28"/>
    <w:rsid w:val="00172949"/>
    <w:rsid w:val="0017299D"/>
    <w:rsid w:val="00172A27"/>
    <w:rsid w:val="00172A44"/>
    <w:rsid w:val="00172B49"/>
    <w:rsid w:val="00172BAF"/>
    <w:rsid w:val="00172C6E"/>
    <w:rsid w:val="00172F04"/>
    <w:rsid w:val="00173176"/>
    <w:rsid w:val="001734F7"/>
    <w:rsid w:val="001739FD"/>
    <w:rsid w:val="00173EFB"/>
    <w:rsid w:val="0017457D"/>
    <w:rsid w:val="00174B7E"/>
    <w:rsid w:val="0017510A"/>
    <w:rsid w:val="001757FF"/>
    <w:rsid w:val="00175934"/>
    <w:rsid w:val="00175D42"/>
    <w:rsid w:val="00175F7F"/>
    <w:rsid w:val="00176646"/>
    <w:rsid w:val="00176A8F"/>
    <w:rsid w:val="00176CAF"/>
    <w:rsid w:val="00177037"/>
    <w:rsid w:val="001776AB"/>
    <w:rsid w:val="00177C48"/>
    <w:rsid w:val="00180002"/>
    <w:rsid w:val="00180278"/>
    <w:rsid w:val="00181947"/>
    <w:rsid w:val="00181BAB"/>
    <w:rsid w:val="00181BAC"/>
    <w:rsid w:val="001820C2"/>
    <w:rsid w:val="00182247"/>
    <w:rsid w:val="00182469"/>
    <w:rsid w:val="001827E8"/>
    <w:rsid w:val="00182D81"/>
    <w:rsid w:val="0018315C"/>
    <w:rsid w:val="00183210"/>
    <w:rsid w:val="00183294"/>
    <w:rsid w:val="00183478"/>
    <w:rsid w:val="0018360D"/>
    <w:rsid w:val="00183A09"/>
    <w:rsid w:val="00183AA5"/>
    <w:rsid w:val="00183CAF"/>
    <w:rsid w:val="00183FAB"/>
    <w:rsid w:val="0018483B"/>
    <w:rsid w:val="00184C0B"/>
    <w:rsid w:val="00184E40"/>
    <w:rsid w:val="00185433"/>
    <w:rsid w:val="0018564F"/>
    <w:rsid w:val="0018597F"/>
    <w:rsid w:val="0018618C"/>
    <w:rsid w:val="001866AE"/>
    <w:rsid w:val="0018682A"/>
    <w:rsid w:val="00186ACE"/>
    <w:rsid w:val="00186C72"/>
    <w:rsid w:val="0018747C"/>
    <w:rsid w:val="00187487"/>
    <w:rsid w:val="0018787E"/>
    <w:rsid w:val="0019026B"/>
    <w:rsid w:val="001904BA"/>
    <w:rsid w:val="00190AA1"/>
    <w:rsid w:val="00190AAD"/>
    <w:rsid w:val="001915DD"/>
    <w:rsid w:val="00191BAC"/>
    <w:rsid w:val="00191C46"/>
    <w:rsid w:val="00191D1F"/>
    <w:rsid w:val="00191F1D"/>
    <w:rsid w:val="0019219C"/>
    <w:rsid w:val="001925A3"/>
    <w:rsid w:val="001925ED"/>
    <w:rsid w:val="00192C74"/>
    <w:rsid w:val="001939D8"/>
    <w:rsid w:val="00193C96"/>
    <w:rsid w:val="00194B9D"/>
    <w:rsid w:val="00194D17"/>
    <w:rsid w:val="001952F6"/>
    <w:rsid w:val="001954DD"/>
    <w:rsid w:val="00195BE8"/>
    <w:rsid w:val="00195E96"/>
    <w:rsid w:val="0019630D"/>
    <w:rsid w:val="0019682F"/>
    <w:rsid w:val="00196980"/>
    <w:rsid w:val="00196AF8"/>
    <w:rsid w:val="001971A8"/>
    <w:rsid w:val="00197C9A"/>
    <w:rsid w:val="001A03CB"/>
    <w:rsid w:val="001A04D5"/>
    <w:rsid w:val="001A05DF"/>
    <w:rsid w:val="001A0AC3"/>
    <w:rsid w:val="001A1193"/>
    <w:rsid w:val="001A2149"/>
    <w:rsid w:val="001A2236"/>
    <w:rsid w:val="001A2598"/>
    <w:rsid w:val="001A268E"/>
    <w:rsid w:val="001A27D4"/>
    <w:rsid w:val="001A2E9D"/>
    <w:rsid w:val="001A3432"/>
    <w:rsid w:val="001A350A"/>
    <w:rsid w:val="001A3B34"/>
    <w:rsid w:val="001A3B3E"/>
    <w:rsid w:val="001A3F3C"/>
    <w:rsid w:val="001A40F9"/>
    <w:rsid w:val="001A4505"/>
    <w:rsid w:val="001A4870"/>
    <w:rsid w:val="001A4E6D"/>
    <w:rsid w:val="001A4FD8"/>
    <w:rsid w:val="001A50EB"/>
    <w:rsid w:val="001A51E2"/>
    <w:rsid w:val="001A51F9"/>
    <w:rsid w:val="001A54D8"/>
    <w:rsid w:val="001A5607"/>
    <w:rsid w:val="001A5A20"/>
    <w:rsid w:val="001A5CAB"/>
    <w:rsid w:val="001A5FF9"/>
    <w:rsid w:val="001A633E"/>
    <w:rsid w:val="001A6483"/>
    <w:rsid w:val="001A7078"/>
    <w:rsid w:val="001A715B"/>
    <w:rsid w:val="001A71C2"/>
    <w:rsid w:val="001A71F9"/>
    <w:rsid w:val="001A74EB"/>
    <w:rsid w:val="001A7676"/>
    <w:rsid w:val="001A7786"/>
    <w:rsid w:val="001A787F"/>
    <w:rsid w:val="001A7951"/>
    <w:rsid w:val="001A7CE2"/>
    <w:rsid w:val="001B008C"/>
    <w:rsid w:val="001B024F"/>
    <w:rsid w:val="001B02C8"/>
    <w:rsid w:val="001B07A7"/>
    <w:rsid w:val="001B0A0B"/>
    <w:rsid w:val="001B0A58"/>
    <w:rsid w:val="001B1016"/>
    <w:rsid w:val="001B1515"/>
    <w:rsid w:val="001B1CB9"/>
    <w:rsid w:val="001B1D92"/>
    <w:rsid w:val="001B1DCB"/>
    <w:rsid w:val="001B1E00"/>
    <w:rsid w:val="001B1FF1"/>
    <w:rsid w:val="001B226E"/>
    <w:rsid w:val="001B22AD"/>
    <w:rsid w:val="001B26EF"/>
    <w:rsid w:val="001B2C7E"/>
    <w:rsid w:val="001B3B48"/>
    <w:rsid w:val="001B3E0A"/>
    <w:rsid w:val="001B4108"/>
    <w:rsid w:val="001B42EE"/>
    <w:rsid w:val="001B4366"/>
    <w:rsid w:val="001B4ABD"/>
    <w:rsid w:val="001B4E3B"/>
    <w:rsid w:val="001B5086"/>
    <w:rsid w:val="001B5183"/>
    <w:rsid w:val="001B5621"/>
    <w:rsid w:val="001B5CE3"/>
    <w:rsid w:val="001B6379"/>
    <w:rsid w:val="001B637B"/>
    <w:rsid w:val="001B637E"/>
    <w:rsid w:val="001B63A8"/>
    <w:rsid w:val="001B6E6C"/>
    <w:rsid w:val="001B713F"/>
    <w:rsid w:val="001B71DD"/>
    <w:rsid w:val="001B7211"/>
    <w:rsid w:val="001B73A4"/>
    <w:rsid w:val="001B743B"/>
    <w:rsid w:val="001B77BD"/>
    <w:rsid w:val="001B7CF0"/>
    <w:rsid w:val="001B7D57"/>
    <w:rsid w:val="001B7D5B"/>
    <w:rsid w:val="001B7DD1"/>
    <w:rsid w:val="001B7FE0"/>
    <w:rsid w:val="001C086C"/>
    <w:rsid w:val="001C09DC"/>
    <w:rsid w:val="001C0A67"/>
    <w:rsid w:val="001C0B23"/>
    <w:rsid w:val="001C0F9A"/>
    <w:rsid w:val="001C105A"/>
    <w:rsid w:val="001C10CF"/>
    <w:rsid w:val="001C10DD"/>
    <w:rsid w:val="001C11E7"/>
    <w:rsid w:val="001C1321"/>
    <w:rsid w:val="001C1841"/>
    <w:rsid w:val="001C1B55"/>
    <w:rsid w:val="001C1D6B"/>
    <w:rsid w:val="001C1DEC"/>
    <w:rsid w:val="001C2136"/>
    <w:rsid w:val="001C2183"/>
    <w:rsid w:val="001C2249"/>
    <w:rsid w:val="001C25DE"/>
    <w:rsid w:val="001C26FA"/>
    <w:rsid w:val="001C2850"/>
    <w:rsid w:val="001C2A7C"/>
    <w:rsid w:val="001C2BFF"/>
    <w:rsid w:val="001C2CCC"/>
    <w:rsid w:val="001C2D59"/>
    <w:rsid w:val="001C2D8E"/>
    <w:rsid w:val="001C2DD8"/>
    <w:rsid w:val="001C2FFB"/>
    <w:rsid w:val="001C3014"/>
    <w:rsid w:val="001C3060"/>
    <w:rsid w:val="001C3100"/>
    <w:rsid w:val="001C3B76"/>
    <w:rsid w:val="001C41BF"/>
    <w:rsid w:val="001C424C"/>
    <w:rsid w:val="001C4643"/>
    <w:rsid w:val="001C4D7D"/>
    <w:rsid w:val="001C55FB"/>
    <w:rsid w:val="001C5767"/>
    <w:rsid w:val="001C57AF"/>
    <w:rsid w:val="001C5989"/>
    <w:rsid w:val="001C5BDC"/>
    <w:rsid w:val="001C5C42"/>
    <w:rsid w:val="001C6CA0"/>
    <w:rsid w:val="001C6E8B"/>
    <w:rsid w:val="001C775D"/>
    <w:rsid w:val="001C7858"/>
    <w:rsid w:val="001D046F"/>
    <w:rsid w:val="001D0C37"/>
    <w:rsid w:val="001D0F2C"/>
    <w:rsid w:val="001D1269"/>
    <w:rsid w:val="001D1553"/>
    <w:rsid w:val="001D1BBE"/>
    <w:rsid w:val="001D24B0"/>
    <w:rsid w:val="001D268F"/>
    <w:rsid w:val="001D2A0F"/>
    <w:rsid w:val="001D2E6C"/>
    <w:rsid w:val="001D3F1A"/>
    <w:rsid w:val="001D43FE"/>
    <w:rsid w:val="001D45D6"/>
    <w:rsid w:val="001D4719"/>
    <w:rsid w:val="001D496D"/>
    <w:rsid w:val="001D4CE6"/>
    <w:rsid w:val="001D5051"/>
    <w:rsid w:val="001D5189"/>
    <w:rsid w:val="001D5207"/>
    <w:rsid w:val="001D5641"/>
    <w:rsid w:val="001D5651"/>
    <w:rsid w:val="001D58E9"/>
    <w:rsid w:val="001D5990"/>
    <w:rsid w:val="001D5A9F"/>
    <w:rsid w:val="001D5ED2"/>
    <w:rsid w:val="001D5EFF"/>
    <w:rsid w:val="001D608E"/>
    <w:rsid w:val="001D6291"/>
    <w:rsid w:val="001D6668"/>
    <w:rsid w:val="001D6BE8"/>
    <w:rsid w:val="001D6EFF"/>
    <w:rsid w:val="001D70C1"/>
    <w:rsid w:val="001D75D9"/>
    <w:rsid w:val="001D7843"/>
    <w:rsid w:val="001D7A3A"/>
    <w:rsid w:val="001D7CAE"/>
    <w:rsid w:val="001E02BB"/>
    <w:rsid w:val="001E048C"/>
    <w:rsid w:val="001E0515"/>
    <w:rsid w:val="001E0947"/>
    <w:rsid w:val="001E0F00"/>
    <w:rsid w:val="001E13D1"/>
    <w:rsid w:val="001E14E1"/>
    <w:rsid w:val="001E1AB9"/>
    <w:rsid w:val="001E1BF4"/>
    <w:rsid w:val="001E20DC"/>
    <w:rsid w:val="001E2623"/>
    <w:rsid w:val="001E2BF7"/>
    <w:rsid w:val="001E403D"/>
    <w:rsid w:val="001E42BA"/>
    <w:rsid w:val="001E4334"/>
    <w:rsid w:val="001E4710"/>
    <w:rsid w:val="001E49E5"/>
    <w:rsid w:val="001E5081"/>
    <w:rsid w:val="001E5613"/>
    <w:rsid w:val="001E59A2"/>
    <w:rsid w:val="001E5EC6"/>
    <w:rsid w:val="001E60AF"/>
    <w:rsid w:val="001E64E5"/>
    <w:rsid w:val="001E6721"/>
    <w:rsid w:val="001E6761"/>
    <w:rsid w:val="001E68E0"/>
    <w:rsid w:val="001E6C35"/>
    <w:rsid w:val="001E72DF"/>
    <w:rsid w:val="001E7367"/>
    <w:rsid w:val="001E7524"/>
    <w:rsid w:val="001E7758"/>
    <w:rsid w:val="001E781B"/>
    <w:rsid w:val="001E7CF2"/>
    <w:rsid w:val="001F02B1"/>
    <w:rsid w:val="001F0331"/>
    <w:rsid w:val="001F0409"/>
    <w:rsid w:val="001F0647"/>
    <w:rsid w:val="001F1AF9"/>
    <w:rsid w:val="001F22EE"/>
    <w:rsid w:val="001F274F"/>
    <w:rsid w:val="001F2899"/>
    <w:rsid w:val="001F2968"/>
    <w:rsid w:val="001F2C62"/>
    <w:rsid w:val="001F2D8A"/>
    <w:rsid w:val="001F3234"/>
    <w:rsid w:val="001F3290"/>
    <w:rsid w:val="001F36EB"/>
    <w:rsid w:val="001F3B73"/>
    <w:rsid w:val="001F3D07"/>
    <w:rsid w:val="001F3DA2"/>
    <w:rsid w:val="001F4054"/>
    <w:rsid w:val="001F4170"/>
    <w:rsid w:val="001F43C0"/>
    <w:rsid w:val="001F4466"/>
    <w:rsid w:val="001F4C68"/>
    <w:rsid w:val="001F5B41"/>
    <w:rsid w:val="001F5BB8"/>
    <w:rsid w:val="001F5D0B"/>
    <w:rsid w:val="001F5F90"/>
    <w:rsid w:val="001F60CA"/>
    <w:rsid w:val="001F6BD2"/>
    <w:rsid w:val="001F6E5D"/>
    <w:rsid w:val="001F7020"/>
    <w:rsid w:val="001F71B3"/>
    <w:rsid w:val="001F770B"/>
    <w:rsid w:val="001F78FF"/>
    <w:rsid w:val="001F7F7F"/>
    <w:rsid w:val="002001A5"/>
    <w:rsid w:val="00200A49"/>
    <w:rsid w:val="00200C31"/>
    <w:rsid w:val="00200CC9"/>
    <w:rsid w:val="0020123F"/>
    <w:rsid w:val="002013FE"/>
    <w:rsid w:val="002014C3"/>
    <w:rsid w:val="00201A77"/>
    <w:rsid w:val="00201C07"/>
    <w:rsid w:val="00201DE2"/>
    <w:rsid w:val="00201E1A"/>
    <w:rsid w:val="002020CB"/>
    <w:rsid w:val="002022E6"/>
    <w:rsid w:val="00202573"/>
    <w:rsid w:val="00202613"/>
    <w:rsid w:val="0020263F"/>
    <w:rsid w:val="002030D9"/>
    <w:rsid w:val="002030E9"/>
    <w:rsid w:val="00203162"/>
    <w:rsid w:val="00203674"/>
    <w:rsid w:val="002037E7"/>
    <w:rsid w:val="0020381C"/>
    <w:rsid w:val="0020398E"/>
    <w:rsid w:val="00203B1E"/>
    <w:rsid w:val="002045A8"/>
    <w:rsid w:val="0020529F"/>
    <w:rsid w:val="0020565D"/>
    <w:rsid w:val="00205B41"/>
    <w:rsid w:val="00205DB7"/>
    <w:rsid w:val="00206264"/>
    <w:rsid w:val="00206444"/>
    <w:rsid w:val="0020659B"/>
    <w:rsid w:val="00206628"/>
    <w:rsid w:val="00206EF4"/>
    <w:rsid w:val="00207161"/>
    <w:rsid w:val="00207496"/>
    <w:rsid w:val="00207766"/>
    <w:rsid w:val="00207D7A"/>
    <w:rsid w:val="00207E37"/>
    <w:rsid w:val="00210200"/>
    <w:rsid w:val="00210644"/>
    <w:rsid w:val="00210CF1"/>
    <w:rsid w:val="0021113C"/>
    <w:rsid w:val="00211698"/>
    <w:rsid w:val="002117EE"/>
    <w:rsid w:val="00211B8F"/>
    <w:rsid w:val="00211E87"/>
    <w:rsid w:val="00211F1F"/>
    <w:rsid w:val="0021236C"/>
    <w:rsid w:val="00212835"/>
    <w:rsid w:val="0021294C"/>
    <w:rsid w:val="00212996"/>
    <w:rsid w:val="00213341"/>
    <w:rsid w:val="00213390"/>
    <w:rsid w:val="002134A9"/>
    <w:rsid w:val="0021366B"/>
    <w:rsid w:val="002136BB"/>
    <w:rsid w:val="002137D2"/>
    <w:rsid w:val="00213808"/>
    <w:rsid w:val="00213906"/>
    <w:rsid w:val="00213E16"/>
    <w:rsid w:val="00214447"/>
    <w:rsid w:val="00214D08"/>
    <w:rsid w:val="00214D30"/>
    <w:rsid w:val="00214E85"/>
    <w:rsid w:val="002152A9"/>
    <w:rsid w:val="002152D0"/>
    <w:rsid w:val="00215341"/>
    <w:rsid w:val="00215750"/>
    <w:rsid w:val="002157CE"/>
    <w:rsid w:val="00215886"/>
    <w:rsid w:val="0021595D"/>
    <w:rsid w:val="00215A61"/>
    <w:rsid w:val="00215DB2"/>
    <w:rsid w:val="002162B4"/>
    <w:rsid w:val="00216328"/>
    <w:rsid w:val="00216594"/>
    <w:rsid w:val="0021666C"/>
    <w:rsid w:val="00216CAA"/>
    <w:rsid w:val="00217056"/>
    <w:rsid w:val="00217578"/>
    <w:rsid w:val="00217AD5"/>
    <w:rsid w:val="00217B7C"/>
    <w:rsid w:val="00220087"/>
    <w:rsid w:val="00220386"/>
    <w:rsid w:val="002203B6"/>
    <w:rsid w:val="002204B4"/>
    <w:rsid w:val="002204D1"/>
    <w:rsid w:val="00220505"/>
    <w:rsid w:val="002209C0"/>
    <w:rsid w:val="002210D6"/>
    <w:rsid w:val="00221A26"/>
    <w:rsid w:val="00222662"/>
    <w:rsid w:val="00222CB5"/>
    <w:rsid w:val="00222D4B"/>
    <w:rsid w:val="00222E2A"/>
    <w:rsid w:val="002235E8"/>
    <w:rsid w:val="00223CB6"/>
    <w:rsid w:val="0022419D"/>
    <w:rsid w:val="002245CF"/>
    <w:rsid w:val="002245DE"/>
    <w:rsid w:val="00224A2E"/>
    <w:rsid w:val="00224FFB"/>
    <w:rsid w:val="00225043"/>
    <w:rsid w:val="00225093"/>
    <w:rsid w:val="00225331"/>
    <w:rsid w:val="0022579F"/>
    <w:rsid w:val="0022590E"/>
    <w:rsid w:val="00225C2B"/>
    <w:rsid w:val="00225EDE"/>
    <w:rsid w:val="00225F98"/>
    <w:rsid w:val="00225FB7"/>
    <w:rsid w:val="00225FF5"/>
    <w:rsid w:val="00226070"/>
    <w:rsid w:val="0022655C"/>
    <w:rsid w:val="00226882"/>
    <w:rsid w:val="002271AA"/>
    <w:rsid w:val="00227284"/>
    <w:rsid w:val="00227733"/>
    <w:rsid w:val="0022779E"/>
    <w:rsid w:val="00227A13"/>
    <w:rsid w:val="00227B40"/>
    <w:rsid w:val="00227CF4"/>
    <w:rsid w:val="00227D18"/>
    <w:rsid w:val="00227F5F"/>
    <w:rsid w:val="002303FB"/>
    <w:rsid w:val="00230463"/>
    <w:rsid w:val="00230566"/>
    <w:rsid w:val="00230B3D"/>
    <w:rsid w:val="002311DF"/>
    <w:rsid w:val="00231655"/>
    <w:rsid w:val="00231D38"/>
    <w:rsid w:val="002320AA"/>
    <w:rsid w:val="00232191"/>
    <w:rsid w:val="00232B1A"/>
    <w:rsid w:val="00232BE3"/>
    <w:rsid w:val="00232D99"/>
    <w:rsid w:val="00232FA2"/>
    <w:rsid w:val="002331AB"/>
    <w:rsid w:val="00233518"/>
    <w:rsid w:val="002335B1"/>
    <w:rsid w:val="002336FD"/>
    <w:rsid w:val="002338B0"/>
    <w:rsid w:val="00233C81"/>
    <w:rsid w:val="002348C6"/>
    <w:rsid w:val="00234C9F"/>
    <w:rsid w:val="00235B13"/>
    <w:rsid w:val="00235C0D"/>
    <w:rsid w:val="00235D18"/>
    <w:rsid w:val="00235D50"/>
    <w:rsid w:val="00235F2C"/>
    <w:rsid w:val="0023620C"/>
    <w:rsid w:val="0023642C"/>
    <w:rsid w:val="002371A2"/>
    <w:rsid w:val="00237267"/>
    <w:rsid w:val="0023772C"/>
    <w:rsid w:val="0024012A"/>
    <w:rsid w:val="002406C8"/>
    <w:rsid w:val="002408AA"/>
    <w:rsid w:val="00240C23"/>
    <w:rsid w:val="00240F93"/>
    <w:rsid w:val="002411D4"/>
    <w:rsid w:val="0024144A"/>
    <w:rsid w:val="00241598"/>
    <w:rsid w:val="002415C2"/>
    <w:rsid w:val="002418C6"/>
    <w:rsid w:val="002426FF"/>
    <w:rsid w:val="002428BF"/>
    <w:rsid w:val="00242A62"/>
    <w:rsid w:val="00243C90"/>
    <w:rsid w:val="00244579"/>
    <w:rsid w:val="00244633"/>
    <w:rsid w:val="00244680"/>
    <w:rsid w:val="00244A68"/>
    <w:rsid w:val="00244C01"/>
    <w:rsid w:val="00244CE9"/>
    <w:rsid w:val="00244E12"/>
    <w:rsid w:val="00244E2C"/>
    <w:rsid w:val="002457CF"/>
    <w:rsid w:val="00245AA9"/>
    <w:rsid w:val="00245B13"/>
    <w:rsid w:val="002467DB"/>
    <w:rsid w:val="00246D1D"/>
    <w:rsid w:val="00246D2A"/>
    <w:rsid w:val="00247121"/>
    <w:rsid w:val="00247715"/>
    <w:rsid w:val="002478DA"/>
    <w:rsid w:val="0025042B"/>
    <w:rsid w:val="00250552"/>
    <w:rsid w:val="00250697"/>
    <w:rsid w:val="002507E7"/>
    <w:rsid w:val="0025080A"/>
    <w:rsid w:val="00250882"/>
    <w:rsid w:val="002509B7"/>
    <w:rsid w:val="00250DDD"/>
    <w:rsid w:val="002510AA"/>
    <w:rsid w:val="002513CB"/>
    <w:rsid w:val="00251443"/>
    <w:rsid w:val="002515C8"/>
    <w:rsid w:val="00251676"/>
    <w:rsid w:val="002519C8"/>
    <w:rsid w:val="00251E9D"/>
    <w:rsid w:val="0025254A"/>
    <w:rsid w:val="0025299F"/>
    <w:rsid w:val="00252CAE"/>
    <w:rsid w:val="00252D55"/>
    <w:rsid w:val="0025309B"/>
    <w:rsid w:val="002534D7"/>
    <w:rsid w:val="00253647"/>
    <w:rsid w:val="00253693"/>
    <w:rsid w:val="002538B8"/>
    <w:rsid w:val="00253A9C"/>
    <w:rsid w:val="00253CEC"/>
    <w:rsid w:val="002540A6"/>
    <w:rsid w:val="002548AD"/>
    <w:rsid w:val="00254BD0"/>
    <w:rsid w:val="00254BF8"/>
    <w:rsid w:val="00254D15"/>
    <w:rsid w:val="00254DED"/>
    <w:rsid w:val="00254F3B"/>
    <w:rsid w:val="0025507E"/>
    <w:rsid w:val="00255369"/>
    <w:rsid w:val="0025552A"/>
    <w:rsid w:val="00255DF9"/>
    <w:rsid w:val="00256651"/>
    <w:rsid w:val="00256BB6"/>
    <w:rsid w:val="002572D0"/>
    <w:rsid w:val="00257598"/>
    <w:rsid w:val="00257924"/>
    <w:rsid w:val="00257CA6"/>
    <w:rsid w:val="00257EDB"/>
    <w:rsid w:val="002600A8"/>
    <w:rsid w:val="002601A4"/>
    <w:rsid w:val="00260536"/>
    <w:rsid w:val="00260673"/>
    <w:rsid w:val="00260942"/>
    <w:rsid w:val="00260A02"/>
    <w:rsid w:val="002610D3"/>
    <w:rsid w:val="00261188"/>
    <w:rsid w:val="00261244"/>
    <w:rsid w:val="002612A2"/>
    <w:rsid w:val="0026144A"/>
    <w:rsid w:val="00261FE1"/>
    <w:rsid w:val="002620F9"/>
    <w:rsid w:val="0026210B"/>
    <w:rsid w:val="00262558"/>
    <w:rsid w:val="002626E9"/>
    <w:rsid w:val="002631BF"/>
    <w:rsid w:val="00263369"/>
    <w:rsid w:val="00263527"/>
    <w:rsid w:val="002639AE"/>
    <w:rsid w:val="00263BEF"/>
    <w:rsid w:val="0026402A"/>
    <w:rsid w:val="00264229"/>
    <w:rsid w:val="0026433E"/>
    <w:rsid w:val="00264ADA"/>
    <w:rsid w:val="002654E3"/>
    <w:rsid w:val="00265637"/>
    <w:rsid w:val="00265793"/>
    <w:rsid w:val="002660AD"/>
    <w:rsid w:val="00266BBD"/>
    <w:rsid w:val="00266F0A"/>
    <w:rsid w:val="00267225"/>
    <w:rsid w:val="0026722C"/>
    <w:rsid w:val="00267454"/>
    <w:rsid w:val="002675CD"/>
    <w:rsid w:val="00267626"/>
    <w:rsid w:val="0026771B"/>
    <w:rsid w:val="00267A40"/>
    <w:rsid w:val="0027019B"/>
    <w:rsid w:val="0027056C"/>
    <w:rsid w:val="00270AF3"/>
    <w:rsid w:val="00270DBD"/>
    <w:rsid w:val="00271484"/>
    <w:rsid w:val="002717C5"/>
    <w:rsid w:val="00271A95"/>
    <w:rsid w:val="00271BAC"/>
    <w:rsid w:val="002720E2"/>
    <w:rsid w:val="00272A4E"/>
    <w:rsid w:val="0027321D"/>
    <w:rsid w:val="00273679"/>
    <w:rsid w:val="002737B7"/>
    <w:rsid w:val="00274030"/>
    <w:rsid w:val="002747F8"/>
    <w:rsid w:val="00274B45"/>
    <w:rsid w:val="00275875"/>
    <w:rsid w:val="00275D7B"/>
    <w:rsid w:val="00275E26"/>
    <w:rsid w:val="002763BB"/>
    <w:rsid w:val="00276504"/>
    <w:rsid w:val="002765A7"/>
    <w:rsid w:val="0027670E"/>
    <w:rsid w:val="00276B3E"/>
    <w:rsid w:val="00276B45"/>
    <w:rsid w:val="00276EC3"/>
    <w:rsid w:val="00277106"/>
    <w:rsid w:val="002771FC"/>
    <w:rsid w:val="002772A6"/>
    <w:rsid w:val="00277586"/>
    <w:rsid w:val="00277813"/>
    <w:rsid w:val="00277F33"/>
    <w:rsid w:val="0028013D"/>
    <w:rsid w:val="00280609"/>
    <w:rsid w:val="00280630"/>
    <w:rsid w:val="0028093C"/>
    <w:rsid w:val="00280995"/>
    <w:rsid w:val="00280C57"/>
    <w:rsid w:val="00280C92"/>
    <w:rsid w:val="00280E36"/>
    <w:rsid w:val="002817A8"/>
    <w:rsid w:val="00281C78"/>
    <w:rsid w:val="00282472"/>
    <w:rsid w:val="0028339B"/>
    <w:rsid w:val="0028341D"/>
    <w:rsid w:val="0028351A"/>
    <w:rsid w:val="002836F5"/>
    <w:rsid w:val="00283EF9"/>
    <w:rsid w:val="002840DE"/>
    <w:rsid w:val="00284132"/>
    <w:rsid w:val="002841E7"/>
    <w:rsid w:val="00284D84"/>
    <w:rsid w:val="00284EF4"/>
    <w:rsid w:val="002850AB"/>
    <w:rsid w:val="00285359"/>
    <w:rsid w:val="0028618F"/>
    <w:rsid w:val="002864FF"/>
    <w:rsid w:val="00286576"/>
    <w:rsid w:val="002868AF"/>
    <w:rsid w:val="00287172"/>
    <w:rsid w:val="00287274"/>
    <w:rsid w:val="002872AA"/>
    <w:rsid w:val="002873A5"/>
    <w:rsid w:val="002875FC"/>
    <w:rsid w:val="002877E1"/>
    <w:rsid w:val="00287B0C"/>
    <w:rsid w:val="00287B35"/>
    <w:rsid w:val="00287C2F"/>
    <w:rsid w:val="00290292"/>
    <w:rsid w:val="00290575"/>
    <w:rsid w:val="0029062F"/>
    <w:rsid w:val="002908B4"/>
    <w:rsid w:val="00290CB2"/>
    <w:rsid w:val="00290E88"/>
    <w:rsid w:val="00291386"/>
    <w:rsid w:val="0029150E"/>
    <w:rsid w:val="0029197C"/>
    <w:rsid w:val="00291BBD"/>
    <w:rsid w:val="00291DEF"/>
    <w:rsid w:val="0029236D"/>
    <w:rsid w:val="00292FCC"/>
    <w:rsid w:val="0029320C"/>
    <w:rsid w:val="00293654"/>
    <w:rsid w:val="002939E3"/>
    <w:rsid w:val="00293B2F"/>
    <w:rsid w:val="00293CF4"/>
    <w:rsid w:val="00293DB9"/>
    <w:rsid w:val="00293FCA"/>
    <w:rsid w:val="002942AC"/>
    <w:rsid w:val="002942D0"/>
    <w:rsid w:val="00294B20"/>
    <w:rsid w:val="002953C7"/>
    <w:rsid w:val="00295480"/>
    <w:rsid w:val="002962BE"/>
    <w:rsid w:val="002962DD"/>
    <w:rsid w:val="00296695"/>
    <w:rsid w:val="00296957"/>
    <w:rsid w:val="00296A4F"/>
    <w:rsid w:val="00296D8C"/>
    <w:rsid w:val="0029756F"/>
    <w:rsid w:val="002976C1"/>
    <w:rsid w:val="00297A8D"/>
    <w:rsid w:val="00297CD9"/>
    <w:rsid w:val="002A003A"/>
    <w:rsid w:val="002A02CD"/>
    <w:rsid w:val="002A069F"/>
    <w:rsid w:val="002A08D0"/>
    <w:rsid w:val="002A0F96"/>
    <w:rsid w:val="002A12CE"/>
    <w:rsid w:val="002A1765"/>
    <w:rsid w:val="002A1F31"/>
    <w:rsid w:val="002A2140"/>
    <w:rsid w:val="002A265F"/>
    <w:rsid w:val="002A27B7"/>
    <w:rsid w:val="002A289A"/>
    <w:rsid w:val="002A2FA8"/>
    <w:rsid w:val="002A354B"/>
    <w:rsid w:val="002A37D5"/>
    <w:rsid w:val="002A3802"/>
    <w:rsid w:val="002A3BF7"/>
    <w:rsid w:val="002A4118"/>
    <w:rsid w:val="002A4241"/>
    <w:rsid w:val="002A431F"/>
    <w:rsid w:val="002A43FA"/>
    <w:rsid w:val="002A449D"/>
    <w:rsid w:val="002A44A7"/>
    <w:rsid w:val="002A463C"/>
    <w:rsid w:val="002A4924"/>
    <w:rsid w:val="002A4A10"/>
    <w:rsid w:val="002A4EB0"/>
    <w:rsid w:val="002A556E"/>
    <w:rsid w:val="002A5840"/>
    <w:rsid w:val="002A5893"/>
    <w:rsid w:val="002A5D41"/>
    <w:rsid w:val="002A60AF"/>
    <w:rsid w:val="002A6672"/>
    <w:rsid w:val="002A67EF"/>
    <w:rsid w:val="002A6DBB"/>
    <w:rsid w:val="002A6E5A"/>
    <w:rsid w:val="002A7AD1"/>
    <w:rsid w:val="002A7CDA"/>
    <w:rsid w:val="002A7D60"/>
    <w:rsid w:val="002B0254"/>
    <w:rsid w:val="002B0372"/>
    <w:rsid w:val="002B090A"/>
    <w:rsid w:val="002B0C14"/>
    <w:rsid w:val="002B1294"/>
    <w:rsid w:val="002B1537"/>
    <w:rsid w:val="002B1740"/>
    <w:rsid w:val="002B17B4"/>
    <w:rsid w:val="002B1BFF"/>
    <w:rsid w:val="002B21DF"/>
    <w:rsid w:val="002B2202"/>
    <w:rsid w:val="002B237D"/>
    <w:rsid w:val="002B273F"/>
    <w:rsid w:val="002B296C"/>
    <w:rsid w:val="002B2E81"/>
    <w:rsid w:val="002B31FF"/>
    <w:rsid w:val="002B35F8"/>
    <w:rsid w:val="002B37DF"/>
    <w:rsid w:val="002B3C76"/>
    <w:rsid w:val="002B3CBA"/>
    <w:rsid w:val="002B42C6"/>
    <w:rsid w:val="002B4350"/>
    <w:rsid w:val="002B4F13"/>
    <w:rsid w:val="002B51D0"/>
    <w:rsid w:val="002B5365"/>
    <w:rsid w:val="002B5D78"/>
    <w:rsid w:val="002B60CA"/>
    <w:rsid w:val="002B6591"/>
    <w:rsid w:val="002B66D3"/>
    <w:rsid w:val="002B66DD"/>
    <w:rsid w:val="002B6E39"/>
    <w:rsid w:val="002B779D"/>
    <w:rsid w:val="002B7AD6"/>
    <w:rsid w:val="002B7C4C"/>
    <w:rsid w:val="002C03A3"/>
    <w:rsid w:val="002C0B92"/>
    <w:rsid w:val="002C0CD2"/>
    <w:rsid w:val="002C0E50"/>
    <w:rsid w:val="002C0E9C"/>
    <w:rsid w:val="002C16DF"/>
    <w:rsid w:val="002C1AAA"/>
    <w:rsid w:val="002C1BE4"/>
    <w:rsid w:val="002C29B1"/>
    <w:rsid w:val="002C2AC4"/>
    <w:rsid w:val="002C31D4"/>
    <w:rsid w:val="002C3268"/>
    <w:rsid w:val="002C32FE"/>
    <w:rsid w:val="002C3449"/>
    <w:rsid w:val="002C3536"/>
    <w:rsid w:val="002C3836"/>
    <w:rsid w:val="002C3AAA"/>
    <w:rsid w:val="002C3ED1"/>
    <w:rsid w:val="002C4133"/>
    <w:rsid w:val="002C424B"/>
    <w:rsid w:val="002C4660"/>
    <w:rsid w:val="002C4DF2"/>
    <w:rsid w:val="002C50D0"/>
    <w:rsid w:val="002C5208"/>
    <w:rsid w:val="002C58C2"/>
    <w:rsid w:val="002C59CC"/>
    <w:rsid w:val="002C5C7E"/>
    <w:rsid w:val="002C5F29"/>
    <w:rsid w:val="002C5FAF"/>
    <w:rsid w:val="002C613A"/>
    <w:rsid w:val="002C6711"/>
    <w:rsid w:val="002C6B2E"/>
    <w:rsid w:val="002C6CA9"/>
    <w:rsid w:val="002C6CB6"/>
    <w:rsid w:val="002C7272"/>
    <w:rsid w:val="002C75FE"/>
    <w:rsid w:val="002C7CB4"/>
    <w:rsid w:val="002D04BE"/>
    <w:rsid w:val="002D06E8"/>
    <w:rsid w:val="002D09CC"/>
    <w:rsid w:val="002D0D58"/>
    <w:rsid w:val="002D0E51"/>
    <w:rsid w:val="002D1232"/>
    <w:rsid w:val="002D1303"/>
    <w:rsid w:val="002D17A8"/>
    <w:rsid w:val="002D1B70"/>
    <w:rsid w:val="002D1CAA"/>
    <w:rsid w:val="002D1E41"/>
    <w:rsid w:val="002D1EE0"/>
    <w:rsid w:val="002D2062"/>
    <w:rsid w:val="002D220A"/>
    <w:rsid w:val="002D25E0"/>
    <w:rsid w:val="002D2F1E"/>
    <w:rsid w:val="002D3C3A"/>
    <w:rsid w:val="002D4645"/>
    <w:rsid w:val="002D4903"/>
    <w:rsid w:val="002D506B"/>
    <w:rsid w:val="002D5196"/>
    <w:rsid w:val="002D528E"/>
    <w:rsid w:val="002D52D8"/>
    <w:rsid w:val="002D5382"/>
    <w:rsid w:val="002D567B"/>
    <w:rsid w:val="002D57BA"/>
    <w:rsid w:val="002D5B96"/>
    <w:rsid w:val="002D5DE0"/>
    <w:rsid w:val="002D607D"/>
    <w:rsid w:val="002D6C75"/>
    <w:rsid w:val="002D6FA8"/>
    <w:rsid w:val="002D76E9"/>
    <w:rsid w:val="002D7992"/>
    <w:rsid w:val="002E09DB"/>
    <w:rsid w:val="002E0D46"/>
    <w:rsid w:val="002E0FEC"/>
    <w:rsid w:val="002E13DC"/>
    <w:rsid w:val="002E1C86"/>
    <w:rsid w:val="002E2079"/>
    <w:rsid w:val="002E2361"/>
    <w:rsid w:val="002E2B03"/>
    <w:rsid w:val="002E3020"/>
    <w:rsid w:val="002E413A"/>
    <w:rsid w:val="002E46C3"/>
    <w:rsid w:val="002E4C98"/>
    <w:rsid w:val="002E4CE4"/>
    <w:rsid w:val="002E515C"/>
    <w:rsid w:val="002E56EF"/>
    <w:rsid w:val="002E57B8"/>
    <w:rsid w:val="002E6058"/>
    <w:rsid w:val="002E6534"/>
    <w:rsid w:val="002E6689"/>
    <w:rsid w:val="002E6C02"/>
    <w:rsid w:val="002E6D2B"/>
    <w:rsid w:val="002E6E3E"/>
    <w:rsid w:val="002E6FBE"/>
    <w:rsid w:val="002E6FE9"/>
    <w:rsid w:val="002E7073"/>
    <w:rsid w:val="002E72AA"/>
    <w:rsid w:val="002E7602"/>
    <w:rsid w:val="002E770D"/>
    <w:rsid w:val="002E7712"/>
    <w:rsid w:val="002E7F7D"/>
    <w:rsid w:val="002F0367"/>
    <w:rsid w:val="002F0474"/>
    <w:rsid w:val="002F0877"/>
    <w:rsid w:val="002F0BC3"/>
    <w:rsid w:val="002F1AFA"/>
    <w:rsid w:val="002F1BAE"/>
    <w:rsid w:val="002F211D"/>
    <w:rsid w:val="002F23C4"/>
    <w:rsid w:val="002F2782"/>
    <w:rsid w:val="002F2A38"/>
    <w:rsid w:val="002F2BAC"/>
    <w:rsid w:val="002F2C4F"/>
    <w:rsid w:val="002F2FD9"/>
    <w:rsid w:val="002F3031"/>
    <w:rsid w:val="002F3410"/>
    <w:rsid w:val="002F377C"/>
    <w:rsid w:val="002F380F"/>
    <w:rsid w:val="002F3B7E"/>
    <w:rsid w:val="002F424E"/>
    <w:rsid w:val="002F43B4"/>
    <w:rsid w:val="002F443F"/>
    <w:rsid w:val="002F4496"/>
    <w:rsid w:val="002F4604"/>
    <w:rsid w:val="002F4720"/>
    <w:rsid w:val="002F48AE"/>
    <w:rsid w:val="002F4C30"/>
    <w:rsid w:val="002F4E42"/>
    <w:rsid w:val="002F557E"/>
    <w:rsid w:val="002F5FAD"/>
    <w:rsid w:val="002F5FC4"/>
    <w:rsid w:val="002F60B5"/>
    <w:rsid w:val="002F612A"/>
    <w:rsid w:val="002F62B8"/>
    <w:rsid w:val="002F6597"/>
    <w:rsid w:val="002F6D08"/>
    <w:rsid w:val="002F6EFA"/>
    <w:rsid w:val="002F710E"/>
    <w:rsid w:val="002F7F61"/>
    <w:rsid w:val="00300301"/>
    <w:rsid w:val="00300645"/>
    <w:rsid w:val="003007D7"/>
    <w:rsid w:val="00300878"/>
    <w:rsid w:val="00300AFD"/>
    <w:rsid w:val="0030174E"/>
    <w:rsid w:val="00301851"/>
    <w:rsid w:val="00301895"/>
    <w:rsid w:val="00301DB7"/>
    <w:rsid w:val="00301E2A"/>
    <w:rsid w:val="00302021"/>
    <w:rsid w:val="00302327"/>
    <w:rsid w:val="003024D2"/>
    <w:rsid w:val="00302841"/>
    <w:rsid w:val="00302914"/>
    <w:rsid w:val="00302A74"/>
    <w:rsid w:val="00302B18"/>
    <w:rsid w:val="00302E5A"/>
    <w:rsid w:val="00302F04"/>
    <w:rsid w:val="00302F59"/>
    <w:rsid w:val="003036E7"/>
    <w:rsid w:val="003038CE"/>
    <w:rsid w:val="00303A8E"/>
    <w:rsid w:val="00303B89"/>
    <w:rsid w:val="00303D12"/>
    <w:rsid w:val="0030438F"/>
    <w:rsid w:val="00304695"/>
    <w:rsid w:val="003046CF"/>
    <w:rsid w:val="003047EB"/>
    <w:rsid w:val="00304835"/>
    <w:rsid w:val="00304DCB"/>
    <w:rsid w:val="00304EA3"/>
    <w:rsid w:val="003050D0"/>
    <w:rsid w:val="00305181"/>
    <w:rsid w:val="00305206"/>
    <w:rsid w:val="0030560F"/>
    <w:rsid w:val="003056E1"/>
    <w:rsid w:val="00305853"/>
    <w:rsid w:val="003058CC"/>
    <w:rsid w:val="00305AC8"/>
    <w:rsid w:val="00305C81"/>
    <w:rsid w:val="00306264"/>
    <w:rsid w:val="003065E0"/>
    <w:rsid w:val="00306B18"/>
    <w:rsid w:val="00306EF5"/>
    <w:rsid w:val="00307548"/>
    <w:rsid w:val="003075E8"/>
    <w:rsid w:val="003104B1"/>
    <w:rsid w:val="00310828"/>
    <w:rsid w:val="00310999"/>
    <w:rsid w:val="00310AB5"/>
    <w:rsid w:val="00310B50"/>
    <w:rsid w:val="00310BA7"/>
    <w:rsid w:val="00311926"/>
    <w:rsid w:val="00311AFD"/>
    <w:rsid w:val="00312206"/>
    <w:rsid w:val="00312298"/>
    <w:rsid w:val="00312394"/>
    <w:rsid w:val="00312873"/>
    <w:rsid w:val="00313220"/>
    <w:rsid w:val="003132AE"/>
    <w:rsid w:val="00314110"/>
    <w:rsid w:val="00314247"/>
    <w:rsid w:val="0031424A"/>
    <w:rsid w:val="00314352"/>
    <w:rsid w:val="003145BE"/>
    <w:rsid w:val="00314713"/>
    <w:rsid w:val="00314B61"/>
    <w:rsid w:val="00315830"/>
    <w:rsid w:val="00315FFD"/>
    <w:rsid w:val="00316433"/>
    <w:rsid w:val="0031655B"/>
    <w:rsid w:val="00316587"/>
    <w:rsid w:val="003166CB"/>
    <w:rsid w:val="00316D9E"/>
    <w:rsid w:val="00316F7E"/>
    <w:rsid w:val="00317335"/>
    <w:rsid w:val="00317A25"/>
    <w:rsid w:val="00317ABB"/>
    <w:rsid w:val="00317B63"/>
    <w:rsid w:val="00317C0E"/>
    <w:rsid w:val="00317CC6"/>
    <w:rsid w:val="003204DA"/>
    <w:rsid w:val="00320565"/>
    <w:rsid w:val="003209CA"/>
    <w:rsid w:val="00320A9F"/>
    <w:rsid w:val="00320EE2"/>
    <w:rsid w:val="00321071"/>
    <w:rsid w:val="00321113"/>
    <w:rsid w:val="0032117D"/>
    <w:rsid w:val="00321370"/>
    <w:rsid w:val="003219FD"/>
    <w:rsid w:val="00321ABC"/>
    <w:rsid w:val="00321D13"/>
    <w:rsid w:val="00321E28"/>
    <w:rsid w:val="00321F43"/>
    <w:rsid w:val="00321FA9"/>
    <w:rsid w:val="00322218"/>
    <w:rsid w:val="0032222C"/>
    <w:rsid w:val="0032263F"/>
    <w:rsid w:val="00322C5B"/>
    <w:rsid w:val="00323364"/>
    <w:rsid w:val="00323A9E"/>
    <w:rsid w:val="003241EF"/>
    <w:rsid w:val="003243DA"/>
    <w:rsid w:val="0032462C"/>
    <w:rsid w:val="00324AF7"/>
    <w:rsid w:val="00324FD5"/>
    <w:rsid w:val="0032547D"/>
    <w:rsid w:val="003256A8"/>
    <w:rsid w:val="00325748"/>
    <w:rsid w:val="003261E8"/>
    <w:rsid w:val="003263A0"/>
    <w:rsid w:val="00326409"/>
    <w:rsid w:val="003265BD"/>
    <w:rsid w:val="00326C3F"/>
    <w:rsid w:val="00326D2A"/>
    <w:rsid w:val="00326EA4"/>
    <w:rsid w:val="0032716B"/>
    <w:rsid w:val="0032726D"/>
    <w:rsid w:val="00327BD8"/>
    <w:rsid w:val="00327EED"/>
    <w:rsid w:val="00330615"/>
    <w:rsid w:val="003308AA"/>
    <w:rsid w:val="003309A7"/>
    <w:rsid w:val="00330AD6"/>
    <w:rsid w:val="00330BB2"/>
    <w:rsid w:val="00330ECF"/>
    <w:rsid w:val="00331924"/>
    <w:rsid w:val="00331F1F"/>
    <w:rsid w:val="0033215C"/>
    <w:rsid w:val="003324A6"/>
    <w:rsid w:val="003326A3"/>
    <w:rsid w:val="0033291D"/>
    <w:rsid w:val="00332A31"/>
    <w:rsid w:val="00332DE2"/>
    <w:rsid w:val="00332E64"/>
    <w:rsid w:val="003330A5"/>
    <w:rsid w:val="00333306"/>
    <w:rsid w:val="00333BEB"/>
    <w:rsid w:val="00333E87"/>
    <w:rsid w:val="0033450A"/>
    <w:rsid w:val="0033530C"/>
    <w:rsid w:val="0033550A"/>
    <w:rsid w:val="0033589C"/>
    <w:rsid w:val="00335FD0"/>
    <w:rsid w:val="0033618A"/>
    <w:rsid w:val="003363E3"/>
    <w:rsid w:val="00336766"/>
    <w:rsid w:val="003367D0"/>
    <w:rsid w:val="00337229"/>
    <w:rsid w:val="003373A4"/>
    <w:rsid w:val="00337599"/>
    <w:rsid w:val="00337930"/>
    <w:rsid w:val="00337E4D"/>
    <w:rsid w:val="00340164"/>
    <w:rsid w:val="00340A17"/>
    <w:rsid w:val="00340DFB"/>
    <w:rsid w:val="00340F3F"/>
    <w:rsid w:val="003410A5"/>
    <w:rsid w:val="00341315"/>
    <w:rsid w:val="00342348"/>
    <w:rsid w:val="00342AED"/>
    <w:rsid w:val="00342D25"/>
    <w:rsid w:val="00342D56"/>
    <w:rsid w:val="00342E3D"/>
    <w:rsid w:val="003434B6"/>
    <w:rsid w:val="003435B3"/>
    <w:rsid w:val="0034383D"/>
    <w:rsid w:val="00343E06"/>
    <w:rsid w:val="0034419B"/>
    <w:rsid w:val="003449B2"/>
    <w:rsid w:val="00344A7E"/>
    <w:rsid w:val="00344EB9"/>
    <w:rsid w:val="003451DB"/>
    <w:rsid w:val="0034552E"/>
    <w:rsid w:val="003457C2"/>
    <w:rsid w:val="00345F6B"/>
    <w:rsid w:val="0034618C"/>
    <w:rsid w:val="003461FB"/>
    <w:rsid w:val="0034630D"/>
    <w:rsid w:val="0034641A"/>
    <w:rsid w:val="00346A43"/>
    <w:rsid w:val="00346A79"/>
    <w:rsid w:val="00347431"/>
    <w:rsid w:val="00347450"/>
    <w:rsid w:val="00347889"/>
    <w:rsid w:val="003479D2"/>
    <w:rsid w:val="00347C55"/>
    <w:rsid w:val="00347D6F"/>
    <w:rsid w:val="00347E14"/>
    <w:rsid w:val="003500EB"/>
    <w:rsid w:val="00350160"/>
    <w:rsid w:val="003506BD"/>
    <w:rsid w:val="003506F6"/>
    <w:rsid w:val="003508F9"/>
    <w:rsid w:val="00350911"/>
    <w:rsid w:val="00350C51"/>
    <w:rsid w:val="00351000"/>
    <w:rsid w:val="00351138"/>
    <w:rsid w:val="003512BA"/>
    <w:rsid w:val="003513FC"/>
    <w:rsid w:val="00351428"/>
    <w:rsid w:val="003519A0"/>
    <w:rsid w:val="003524F8"/>
    <w:rsid w:val="003529D6"/>
    <w:rsid w:val="00352DBD"/>
    <w:rsid w:val="00352E91"/>
    <w:rsid w:val="00352EE3"/>
    <w:rsid w:val="0035300F"/>
    <w:rsid w:val="00353147"/>
    <w:rsid w:val="0035404C"/>
    <w:rsid w:val="00354671"/>
    <w:rsid w:val="00354C8D"/>
    <w:rsid w:val="00354D50"/>
    <w:rsid w:val="00354F75"/>
    <w:rsid w:val="003551DA"/>
    <w:rsid w:val="00355274"/>
    <w:rsid w:val="00355291"/>
    <w:rsid w:val="003555F2"/>
    <w:rsid w:val="00355760"/>
    <w:rsid w:val="003559CF"/>
    <w:rsid w:val="00355BE4"/>
    <w:rsid w:val="00355C7E"/>
    <w:rsid w:val="00356502"/>
    <w:rsid w:val="00356749"/>
    <w:rsid w:val="00356AE0"/>
    <w:rsid w:val="00356D43"/>
    <w:rsid w:val="00356FE5"/>
    <w:rsid w:val="0035790E"/>
    <w:rsid w:val="003579E0"/>
    <w:rsid w:val="00357E5F"/>
    <w:rsid w:val="0036048B"/>
    <w:rsid w:val="003606EF"/>
    <w:rsid w:val="0036070F"/>
    <w:rsid w:val="00360973"/>
    <w:rsid w:val="0036098F"/>
    <w:rsid w:val="00360A34"/>
    <w:rsid w:val="00360BB1"/>
    <w:rsid w:val="00361156"/>
    <w:rsid w:val="00361158"/>
    <w:rsid w:val="00361237"/>
    <w:rsid w:val="0036126E"/>
    <w:rsid w:val="00361C0A"/>
    <w:rsid w:val="00361EFD"/>
    <w:rsid w:val="0036205B"/>
    <w:rsid w:val="0036211A"/>
    <w:rsid w:val="00362176"/>
    <w:rsid w:val="00362D16"/>
    <w:rsid w:val="00362EF0"/>
    <w:rsid w:val="0036306C"/>
    <w:rsid w:val="00363124"/>
    <w:rsid w:val="0036323E"/>
    <w:rsid w:val="00363525"/>
    <w:rsid w:val="003637CF"/>
    <w:rsid w:val="003637DA"/>
    <w:rsid w:val="003639D7"/>
    <w:rsid w:val="00363A7C"/>
    <w:rsid w:val="00363DD7"/>
    <w:rsid w:val="00363E24"/>
    <w:rsid w:val="00363FE0"/>
    <w:rsid w:val="00363FF9"/>
    <w:rsid w:val="00364268"/>
    <w:rsid w:val="0036467C"/>
    <w:rsid w:val="003646D0"/>
    <w:rsid w:val="00364B82"/>
    <w:rsid w:val="00364DD3"/>
    <w:rsid w:val="00364F85"/>
    <w:rsid w:val="0036551D"/>
    <w:rsid w:val="003655A0"/>
    <w:rsid w:val="00365AD1"/>
    <w:rsid w:val="00365B7B"/>
    <w:rsid w:val="00365BB5"/>
    <w:rsid w:val="00365CBF"/>
    <w:rsid w:val="00365DEC"/>
    <w:rsid w:val="0036603E"/>
    <w:rsid w:val="003666E9"/>
    <w:rsid w:val="003669AF"/>
    <w:rsid w:val="00366C23"/>
    <w:rsid w:val="0036796F"/>
    <w:rsid w:val="00367B83"/>
    <w:rsid w:val="00370FFE"/>
    <w:rsid w:val="0037141B"/>
    <w:rsid w:val="00371656"/>
    <w:rsid w:val="00371B6B"/>
    <w:rsid w:val="00371B8A"/>
    <w:rsid w:val="00371FA2"/>
    <w:rsid w:val="003726CD"/>
    <w:rsid w:val="00372CC6"/>
    <w:rsid w:val="00372F1C"/>
    <w:rsid w:val="003731BE"/>
    <w:rsid w:val="003735C6"/>
    <w:rsid w:val="003737D9"/>
    <w:rsid w:val="00373A67"/>
    <w:rsid w:val="00373E88"/>
    <w:rsid w:val="00373EE3"/>
    <w:rsid w:val="0037458F"/>
    <w:rsid w:val="00374642"/>
    <w:rsid w:val="0037486D"/>
    <w:rsid w:val="00374A61"/>
    <w:rsid w:val="0037542C"/>
    <w:rsid w:val="0037546B"/>
    <w:rsid w:val="00375721"/>
    <w:rsid w:val="003757B4"/>
    <w:rsid w:val="0037582C"/>
    <w:rsid w:val="003759F5"/>
    <w:rsid w:val="00375E07"/>
    <w:rsid w:val="00376151"/>
    <w:rsid w:val="0037635F"/>
    <w:rsid w:val="003765AD"/>
    <w:rsid w:val="00376736"/>
    <w:rsid w:val="00376B0D"/>
    <w:rsid w:val="00376D46"/>
    <w:rsid w:val="00376EBE"/>
    <w:rsid w:val="003774E1"/>
    <w:rsid w:val="003776B4"/>
    <w:rsid w:val="00377A33"/>
    <w:rsid w:val="00380381"/>
    <w:rsid w:val="00380586"/>
    <w:rsid w:val="00380D09"/>
    <w:rsid w:val="00380ECC"/>
    <w:rsid w:val="0038131A"/>
    <w:rsid w:val="00381332"/>
    <w:rsid w:val="0038155F"/>
    <w:rsid w:val="00381A65"/>
    <w:rsid w:val="00381A89"/>
    <w:rsid w:val="003821E0"/>
    <w:rsid w:val="00382656"/>
    <w:rsid w:val="00382FE1"/>
    <w:rsid w:val="00383311"/>
    <w:rsid w:val="00383CD7"/>
    <w:rsid w:val="00384AD0"/>
    <w:rsid w:val="00384DA4"/>
    <w:rsid w:val="00384DA7"/>
    <w:rsid w:val="00385167"/>
    <w:rsid w:val="003856AC"/>
    <w:rsid w:val="00385F0A"/>
    <w:rsid w:val="00386199"/>
    <w:rsid w:val="00386604"/>
    <w:rsid w:val="0038689E"/>
    <w:rsid w:val="003868A5"/>
    <w:rsid w:val="00386E92"/>
    <w:rsid w:val="00387166"/>
    <w:rsid w:val="00387214"/>
    <w:rsid w:val="003876D0"/>
    <w:rsid w:val="003877AD"/>
    <w:rsid w:val="003879FC"/>
    <w:rsid w:val="00387A56"/>
    <w:rsid w:val="00387D75"/>
    <w:rsid w:val="003900EF"/>
    <w:rsid w:val="003902BA"/>
    <w:rsid w:val="003902DE"/>
    <w:rsid w:val="00390376"/>
    <w:rsid w:val="003909A1"/>
    <w:rsid w:val="00390A81"/>
    <w:rsid w:val="00390BF9"/>
    <w:rsid w:val="0039101B"/>
    <w:rsid w:val="0039184D"/>
    <w:rsid w:val="003918D1"/>
    <w:rsid w:val="00391BF5"/>
    <w:rsid w:val="00391DCE"/>
    <w:rsid w:val="00391E16"/>
    <w:rsid w:val="00391F0A"/>
    <w:rsid w:val="00392372"/>
    <w:rsid w:val="00392A7E"/>
    <w:rsid w:val="00392D20"/>
    <w:rsid w:val="00393344"/>
    <w:rsid w:val="0039393B"/>
    <w:rsid w:val="00393C9A"/>
    <w:rsid w:val="0039438B"/>
    <w:rsid w:val="003944E1"/>
    <w:rsid w:val="00394A50"/>
    <w:rsid w:val="00394E0D"/>
    <w:rsid w:val="0039550A"/>
    <w:rsid w:val="00395B10"/>
    <w:rsid w:val="00395F04"/>
    <w:rsid w:val="003960DF"/>
    <w:rsid w:val="0039636A"/>
    <w:rsid w:val="003965FE"/>
    <w:rsid w:val="0039699C"/>
    <w:rsid w:val="00396C63"/>
    <w:rsid w:val="00396DAD"/>
    <w:rsid w:val="00397510"/>
    <w:rsid w:val="00397685"/>
    <w:rsid w:val="003976D6"/>
    <w:rsid w:val="0039776D"/>
    <w:rsid w:val="00397C4D"/>
    <w:rsid w:val="00397DB9"/>
    <w:rsid w:val="00397E75"/>
    <w:rsid w:val="003A00D6"/>
    <w:rsid w:val="003A024C"/>
    <w:rsid w:val="003A030C"/>
    <w:rsid w:val="003A032C"/>
    <w:rsid w:val="003A050A"/>
    <w:rsid w:val="003A0F20"/>
    <w:rsid w:val="003A0F9D"/>
    <w:rsid w:val="003A168C"/>
    <w:rsid w:val="003A188A"/>
    <w:rsid w:val="003A196C"/>
    <w:rsid w:val="003A19BE"/>
    <w:rsid w:val="003A1AF7"/>
    <w:rsid w:val="003A1FDF"/>
    <w:rsid w:val="003A25B9"/>
    <w:rsid w:val="003A2656"/>
    <w:rsid w:val="003A29EC"/>
    <w:rsid w:val="003A2AC0"/>
    <w:rsid w:val="003A2AF7"/>
    <w:rsid w:val="003A2FB1"/>
    <w:rsid w:val="003A305D"/>
    <w:rsid w:val="003A3674"/>
    <w:rsid w:val="003A383A"/>
    <w:rsid w:val="003A38FE"/>
    <w:rsid w:val="003A3BA0"/>
    <w:rsid w:val="003A3E6E"/>
    <w:rsid w:val="003A3F36"/>
    <w:rsid w:val="003A40A0"/>
    <w:rsid w:val="003A453C"/>
    <w:rsid w:val="003A47A1"/>
    <w:rsid w:val="003A483B"/>
    <w:rsid w:val="003A4C5D"/>
    <w:rsid w:val="003A5074"/>
    <w:rsid w:val="003A560B"/>
    <w:rsid w:val="003A5B9A"/>
    <w:rsid w:val="003A5E0C"/>
    <w:rsid w:val="003A62B1"/>
    <w:rsid w:val="003A6473"/>
    <w:rsid w:val="003A64D2"/>
    <w:rsid w:val="003A6547"/>
    <w:rsid w:val="003A68ED"/>
    <w:rsid w:val="003A6B16"/>
    <w:rsid w:val="003A7073"/>
    <w:rsid w:val="003A7905"/>
    <w:rsid w:val="003A7DE7"/>
    <w:rsid w:val="003B00D6"/>
    <w:rsid w:val="003B05A6"/>
    <w:rsid w:val="003B05C8"/>
    <w:rsid w:val="003B0625"/>
    <w:rsid w:val="003B0945"/>
    <w:rsid w:val="003B0E35"/>
    <w:rsid w:val="003B0E6F"/>
    <w:rsid w:val="003B1866"/>
    <w:rsid w:val="003B19D1"/>
    <w:rsid w:val="003B1C31"/>
    <w:rsid w:val="003B1FA2"/>
    <w:rsid w:val="003B21C0"/>
    <w:rsid w:val="003B27D7"/>
    <w:rsid w:val="003B2815"/>
    <w:rsid w:val="003B28BC"/>
    <w:rsid w:val="003B2A5F"/>
    <w:rsid w:val="003B2EA6"/>
    <w:rsid w:val="003B313E"/>
    <w:rsid w:val="003B3489"/>
    <w:rsid w:val="003B374B"/>
    <w:rsid w:val="003B42F5"/>
    <w:rsid w:val="003B438E"/>
    <w:rsid w:val="003B4478"/>
    <w:rsid w:val="003B4C69"/>
    <w:rsid w:val="003B52F7"/>
    <w:rsid w:val="003B5F45"/>
    <w:rsid w:val="003B6097"/>
    <w:rsid w:val="003B63AC"/>
    <w:rsid w:val="003B6828"/>
    <w:rsid w:val="003B6955"/>
    <w:rsid w:val="003B72DC"/>
    <w:rsid w:val="003B7421"/>
    <w:rsid w:val="003B7736"/>
    <w:rsid w:val="003B7BA4"/>
    <w:rsid w:val="003C0442"/>
    <w:rsid w:val="003C0BFD"/>
    <w:rsid w:val="003C105C"/>
    <w:rsid w:val="003C1248"/>
    <w:rsid w:val="003C14B6"/>
    <w:rsid w:val="003C18DD"/>
    <w:rsid w:val="003C1A73"/>
    <w:rsid w:val="003C22F9"/>
    <w:rsid w:val="003C26D0"/>
    <w:rsid w:val="003C28C3"/>
    <w:rsid w:val="003C2B72"/>
    <w:rsid w:val="003C2C73"/>
    <w:rsid w:val="003C2CE4"/>
    <w:rsid w:val="003C2D32"/>
    <w:rsid w:val="003C2FC8"/>
    <w:rsid w:val="003C356F"/>
    <w:rsid w:val="003C3C0D"/>
    <w:rsid w:val="003C3F7F"/>
    <w:rsid w:val="003C49D0"/>
    <w:rsid w:val="003C4CDE"/>
    <w:rsid w:val="003C4FC8"/>
    <w:rsid w:val="003C555E"/>
    <w:rsid w:val="003C5B2A"/>
    <w:rsid w:val="003C5CA7"/>
    <w:rsid w:val="003C5EA5"/>
    <w:rsid w:val="003C6051"/>
    <w:rsid w:val="003C614A"/>
    <w:rsid w:val="003C6153"/>
    <w:rsid w:val="003C644E"/>
    <w:rsid w:val="003C645C"/>
    <w:rsid w:val="003C697A"/>
    <w:rsid w:val="003C795B"/>
    <w:rsid w:val="003C7B42"/>
    <w:rsid w:val="003C7E3E"/>
    <w:rsid w:val="003C7E7F"/>
    <w:rsid w:val="003C7F7B"/>
    <w:rsid w:val="003D050E"/>
    <w:rsid w:val="003D05A2"/>
    <w:rsid w:val="003D0604"/>
    <w:rsid w:val="003D0C15"/>
    <w:rsid w:val="003D0D68"/>
    <w:rsid w:val="003D1558"/>
    <w:rsid w:val="003D1B3A"/>
    <w:rsid w:val="003D1DCF"/>
    <w:rsid w:val="003D1E6A"/>
    <w:rsid w:val="003D1EF0"/>
    <w:rsid w:val="003D2125"/>
    <w:rsid w:val="003D24B0"/>
    <w:rsid w:val="003D24E1"/>
    <w:rsid w:val="003D2DC2"/>
    <w:rsid w:val="003D308E"/>
    <w:rsid w:val="003D31C7"/>
    <w:rsid w:val="003D40A8"/>
    <w:rsid w:val="003D423A"/>
    <w:rsid w:val="003D4832"/>
    <w:rsid w:val="003D4864"/>
    <w:rsid w:val="003D4A99"/>
    <w:rsid w:val="003D513A"/>
    <w:rsid w:val="003D5176"/>
    <w:rsid w:val="003D51FC"/>
    <w:rsid w:val="003D56A6"/>
    <w:rsid w:val="003D56C2"/>
    <w:rsid w:val="003D65EF"/>
    <w:rsid w:val="003D676B"/>
    <w:rsid w:val="003D6FE7"/>
    <w:rsid w:val="003D70A5"/>
    <w:rsid w:val="003D72D4"/>
    <w:rsid w:val="003D7356"/>
    <w:rsid w:val="003D73A3"/>
    <w:rsid w:val="003D74CB"/>
    <w:rsid w:val="003D77E1"/>
    <w:rsid w:val="003D7B0E"/>
    <w:rsid w:val="003D7F85"/>
    <w:rsid w:val="003E02B3"/>
    <w:rsid w:val="003E0695"/>
    <w:rsid w:val="003E0CB4"/>
    <w:rsid w:val="003E129D"/>
    <w:rsid w:val="003E15D2"/>
    <w:rsid w:val="003E1604"/>
    <w:rsid w:val="003E16AB"/>
    <w:rsid w:val="003E1A15"/>
    <w:rsid w:val="003E1B1D"/>
    <w:rsid w:val="003E1C30"/>
    <w:rsid w:val="003E1CCD"/>
    <w:rsid w:val="003E2399"/>
    <w:rsid w:val="003E2522"/>
    <w:rsid w:val="003E2F6B"/>
    <w:rsid w:val="003E3CB9"/>
    <w:rsid w:val="003E3FC9"/>
    <w:rsid w:val="003E4792"/>
    <w:rsid w:val="003E4E6D"/>
    <w:rsid w:val="003E4F12"/>
    <w:rsid w:val="003E525A"/>
    <w:rsid w:val="003E53B6"/>
    <w:rsid w:val="003E546F"/>
    <w:rsid w:val="003E55D2"/>
    <w:rsid w:val="003E5967"/>
    <w:rsid w:val="003E5C29"/>
    <w:rsid w:val="003E6894"/>
    <w:rsid w:val="003E6A32"/>
    <w:rsid w:val="003E7290"/>
    <w:rsid w:val="003E77B5"/>
    <w:rsid w:val="003E7F5B"/>
    <w:rsid w:val="003F00C1"/>
    <w:rsid w:val="003F029A"/>
    <w:rsid w:val="003F0993"/>
    <w:rsid w:val="003F0A71"/>
    <w:rsid w:val="003F12A8"/>
    <w:rsid w:val="003F12DA"/>
    <w:rsid w:val="003F131F"/>
    <w:rsid w:val="003F13AB"/>
    <w:rsid w:val="003F1C3A"/>
    <w:rsid w:val="003F1FE6"/>
    <w:rsid w:val="003F20F6"/>
    <w:rsid w:val="003F21F1"/>
    <w:rsid w:val="003F230C"/>
    <w:rsid w:val="003F25A2"/>
    <w:rsid w:val="003F2804"/>
    <w:rsid w:val="003F298A"/>
    <w:rsid w:val="003F31AC"/>
    <w:rsid w:val="003F3771"/>
    <w:rsid w:val="003F37C5"/>
    <w:rsid w:val="003F3A7D"/>
    <w:rsid w:val="003F3AD5"/>
    <w:rsid w:val="003F3B37"/>
    <w:rsid w:val="003F3DAD"/>
    <w:rsid w:val="003F4A86"/>
    <w:rsid w:val="003F4B01"/>
    <w:rsid w:val="003F4D2C"/>
    <w:rsid w:val="003F5C7C"/>
    <w:rsid w:val="003F5D68"/>
    <w:rsid w:val="003F686B"/>
    <w:rsid w:val="003F6B83"/>
    <w:rsid w:val="003F6C4D"/>
    <w:rsid w:val="003F6CB2"/>
    <w:rsid w:val="003F75E6"/>
    <w:rsid w:val="003F7713"/>
    <w:rsid w:val="003F7BDF"/>
    <w:rsid w:val="00400019"/>
    <w:rsid w:val="004002DD"/>
    <w:rsid w:val="004008C1"/>
    <w:rsid w:val="00400A5B"/>
    <w:rsid w:val="00400E1C"/>
    <w:rsid w:val="00401232"/>
    <w:rsid w:val="00401259"/>
    <w:rsid w:val="00401399"/>
    <w:rsid w:val="004016C9"/>
    <w:rsid w:val="00401B79"/>
    <w:rsid w:val="00401E21"/>
    <w:rsid w:val="00401E55"/>
    <w:rsid w:val="00402037"/>
    <w:rsid w:val="004023F6"/>
    <w:rsid w:val="00402616"/>
    <w:rsid w:val="00402776"/>
    <w:rsid w:val="00402AC4"/>
    <w:rsid w:val="004030E9"/>
    <w:rsid w:val="004036F9"/>
    <w:rsid w:val="00403897"/>
    <w:rsid w:val="00403E78"/>
    <w:rsid w:val="00403F0E"/>
    <w:rsid w:val="00404B4D"/>
    <w:rsid w:val="00404BCD"/>
    <w:rsid w:val="00404CAB"/>
    <w:rsid w:val="00404D67"/>
    <w:rsid w:val="0040505D"/>
    <w:rsid w:val="00405152"/>
    <w:rsid w:val="00405507"/>
    <w:rsid w:val="004055A9"/>
    <w:rsid w:val="00406495"/>
    <w:rsid w:val="00406ADF"/>
    <w:rsid w:val="00406CC9"/>
    <w:rsid w:val="00406DEC"/>
    <w:rsid w:val="00406F13"/>
    <w:rsid w:val="00407058"/>
    <w:rsid w:val="004072C8"/>
    <w:rsid w:val="004073F9"/>
    <w:rsid w:val="004074A6"/>
    <w:rsid w:val="004078D0"/>
    <w:rsid w:val="00407B03"/>
    <w:rsid w:val="00407EB7"/>
    <w:rsid w:val="00407FCB"/>
    <w:rsid w:val="00407FDF"/>
    <w:rsid w:val="004100B3"/>
    <w:rsid w:val="00410328"/>
    <w:rsid w:val="0041047A"/>
    <w:rsid w:val="00410D8B"/>
    <w:rsid w:val="00410DB2"/>
    <w:rsid w:val="00410F88"/>
    <w:rsid w:val="00411014"/>
    <w:rsid w:val="004111D8"/>
    <w:rsid w:val="004117DB"/>
    <w:rsid w:val="004117DE"/>
    <w:rsid w:val="00411BDA"/>
    <w:rsid w:val="00411D87"/>
    <w:rsid w:val="00411EEA"/>
    <w:rsid w:val="0041216B"/>
    <w:rsid w:val="004126B9"/>
    <w:rsid w:val="00413F50"/>
    <w:rsid w:val="004148BF"/>
    <w:rsid w:val="00415333"/>
    <w:rsid w:val="0041626E"/>
    <w:rsid w:val="004163A6"/>
    <w:rsid w:val="00416446"/>
    <w:rsid w:val="004166BF"/>
    <w:rsid w:val="00416AC6"/>
    <w:rsid w:val="00416F1A"/>
    <w:rsid w:val="004176B0"/>
    <w:rsid w:val="004179E9"/>
    <w:rsid w:val="00417DF7"/>
    <w:rsid w:val="00420082"/>
    <w:rsid w:val="0042043F"/>
    <w:rsid w:val="0042092A"/>
    <w:rsid w:val="00421213"/>
    <w:rsid w:val="004215A9"/>
    <w:rsid w:val="00421955"/>
    <w:rsid w:val="00421E36"/>
    <w:rsid w:val="004223E7"/>
    <w:rsid w:val="00422A9B"/>
    <w:rsid w:val="00422D12"/>
    <w:rsid w:val="00423126"/>
    <w:rsid w:val="0042316E"/>
    <w:rsid w:val="004237FB"/>
    <w:rsid w:val="0042429F"/>
    <w:rsid w:val="004242FF"/>
    <w:rsid w:val="004244C8"/>
    <w:rsid w:val="004246C7"/>
    <w:rsid w:val="00424ABF"/>
    <w:rsid w:val="00424B50"/>
    <w:rsid w:val="00424EBC"/>
    <w:rsid w:val="00425764"/>
    <w:rsid w:val="00425A76"/>
    <w:rsid w:val="00426009"/>
    <w:rsid w:val="004263AC"/>
    <w:rsid w:val="004264FB"/>
    <w:rsid w:val="00426694"/>
    <w:rsid w:val="00426902"/>
    <w:rsid w:val="00426CF8"/>
    <w:rsid w:val="00426DB4"/>
    <w:rsid w:val="00427037"/>
    <w:rsid w:val="004270AE"/>
    <w:rsid w:val="004274B6"/>
    <w:rsid w:val="00427C6A"/>
    <w:rsid w:val="00427DBD"/>
    <w:rsid w:val="004301A9"/>
    <w:rsid w:val="00430626"/>
    <w:rsid w:val="004306D6"/>
    <w:rsid w:val="0043076F"/>
    <w:rsid w:val="00430963"/>
    <w:rsid w:val="00431037"/>
    <w:rsid w:val="00431788"/>
    <w:rsid w:val="004319D0"/>
    <w:rsid w:val="00432500"/>
    <w:rsid w:val="0043252E"/>
    <w:rsid w:val="0043254C"/>
    <w:rsid w:val="00432ECF"/>
    <w:rsid w:val="0043309E"/>
    <w:rsid w:val="004336D7"/>
    <w:rsid w:val="00433949"/>
    <w:rsid w:val="00433ABB"/>
    <w:rsid w:val="00434153"/>
    <w:rsid w:val="004348D2"/>
    <w:rsid w:val="00434DD0"/>
    <w:rsid w:val="00435732"/>
    <w:rsid w:val="00436577"/>
    <w:rsid w:val="00436C3C"/>
    <w:rsid w:val="004372BC"/>
    <w:rsid w:val="00437591"/>
    <w:rsid w:val="004375CC"/>
    <w:rsid w:val="004376E5"/>
    <w:rsid w:val="00437D76"/>
    <w:rsid w:val="0044053D"/>
    <w:rsid w:val="00440AD2"/>
    <w:rsid w:val="00440D81"/>
    <w:rsid w:val="00441078"/>
    <w:rsid w:val="00441357"/>
    <w:rsid w:val="00441545"/>
    <w:rsid w:val="0044158E"/>
    <w:rsid w:val="00441E9D"/>
    <w:rsid w:val="00442DB7"/>
    <w:rsid w:val="00442E34"/>
    <w:rsid w:val="00443036"/>
    <w:rsid w:val="004436BC"/>
    <w:rsid w:val="0044382B"/>
    <w:rsid w:val="004438F5"/>
    <w:rsid w:val="00443AEB"/>
    <w:rsid w:val="00443BC5"/>
    <w:rsid w:val="004448E3"/>
    <w:rsid w:val="00444E57"/>
    <w:rsid w:val="004451C8"/>
    <w:rsid w:val="004454A1"/>
    <w:rsid w:val="00445729"/>
    <w:rsid w:val="00445858"/>
    <w:rsid w:val="00445980"/>
    <w:rsid w:val="00445A17"/>
    <w:rsid w:val="00445AF6"/>
    <w:rsid w:val="00445BE4"/>
    <w:rsid w:val="00445C10"/>
    <w:rsid w:val="00445CD8"/>
    <w:rsid w:val="004466DE"/>
    <w:rsid w:val="0044681B"/>
    <w:rsid w:val="004468CF"/>
    <w:rsid w:val="00446B96"/>
    <w:rsid w:val="00446C65"/>
    <w:rsid w:val="00446DF5"/>
    <w:rsid w:val="00447456"/>
    <w:rsid w:val="00447749"/>
    <w:rsid w:val="004479A7"/>
    <w:rsid w:val="00447A19"/>
    <w:rsid w:val="004502B4"/>
    <w:rsid w:val="004509A1"/>
    <w:rsid w:val="00450E72"/>
    <w:rsid w:val="00450F1F"/>
    <w:rsid w:val="0045102F"/>
    <w:rsid w:val="004515F7"/>
    <w:rsid w:val="0045164B"/>
    <w:rsid w:val="00451D28"/>
    <w:rsid w:val="00452D49"/>
    <w:rsid w:val="00452DC1"/>
    <w:rsid w:val="0045377E"/>
    <w:rsid w:val="004538DC"/>
    <w:rsid w:val="00453925"/>
    <w:rsid w:val="00453B88"/>
    <w:rsid w:val="00453BE4"/>
    <w:rsid w:val="00453D05"/>
    <w:rsid w:val="004544EA"/>
    <w:rsid w:val="004549AA"/>
    <w:rsid w:val="00454F4D"/>
    <w:rsid w:val="004560C4"/>
    <w:rsid w:val="0045641D"/>
    <w:rsid w:val="00456C24"/>
    <w:rsid w:val="00456F6D"/>
    <w:rsid w:val="00457298"/>
    <w:rsid w:val="00457C90"/>
    <w:rsid w:val="00457ECC"/>
    <w:rsid w:val="00461308"/>
    <w:rsid w:val="00461334"/>
    <w:rsid w:val="00461DA8"/>
    <w:rsid w:val="004623AC"/>
    <w:rsid w:val="0046252B"/>
    <w:rsid w:val="00462A3E"/>
    <w:rsid w:val="00462D00"/>
    <w:rsid w:val="00462ECE"/>
    <w:rsid w:val="00462F3B"/>
    <w:rsid w:val="00462FE7"/>
    <w:rsid w:val="00463091"/>
    <w:rsid w:val="004630FB"/>
    <w:rsid w:val="00463137"/>
    <w:rsid w:val="0046346E"/>
    <w:rsid w:val="00463D09"/>
    <w:rsid w:val="00463DE3"/>
    <w:rsid w:val="00464016"/>
    <w:rsid w:val="00464299"/>
    <w:rsid w:val="00464397"/>
    <w:rsid w:val="004643CC"/>
    <w:rsid w:val="00464491"/>
    <w:rsid w:val="00464A92"/>
    <w:rsid w:val="004650EE"/>
    <w:rsid w:val="00465C6E"/>
    <w:rsid w:val="00465F2A"/>
    <w:rsid w:val="0046635A"/>
    <w:rsid w:val="00466397"/>
    <w:rsid w:val="0046642F"/>
    <w:rsid w:val="00466609"/>
    <w:rsid w:val="0046676B"/>
    <w:rsid w:val="00466941"/>
    <w:rsid w:val="00467344"/>
    <w:rsid w:val="0046771B"/>
    <w:rsid w:val="0046791E"/>
    <w:rsid w:val="00467B18"/>
    <w:rsid w:val="00467B8D"/>
    <w:rsid w:val="00467D2A"/>
    <w:rsid w:val="004702D2"/>
    <w:rsid w:val="004706F0"/>
    <w:rsid w:val="004708B6"/>
    <w:rsid w:val="00471626"/>
    <w:rsid w:val="00471782"/>
    <w:rsid w:val="004718A5"/>
    <w:rsid w:val="004722BF"/>
    <w:rsid w:val="0047250D"/>
    <w:rsid w:val="00472D59"/>
    <w:rsid w:val="00472ED0"/>
    <w:rsid w:val="00473497"/>
    <w:rsid w:val="004738EE"/>
    <w:rsid w:val="00473DB2"/>
    <w:rsid w:val="00473F74"/>
    <w:rsid w:val="004743A6"/>
    <w:rsid w:val="004747F4"/>
    <w:rsid w:val="00474814"/>
    <w:rsid w:val="00474B1B"/>
    <w:rsid w:val="00474EB8"/>
    <w:rsid w:val="0047535A"/>
    <w:rsid w:val="00475866"/>
    <w:rsid w:val="00475AD4"/>
    <w:rsid w:val="0047622D"/>
    <w:rsid w:val="00476819"/>
    <w:rsid w:val="0047692A"/>
    <w:rsid w:val="00476DA8"/>
    <w:rsid w:val="00476EEF"/>
    <w:rsid w:val="004778C0"/>
    <w:rsid w:val="00480095"/>
    <w:rsid w:val="0048031D"/>
    <w:rsid w:val="00480979"/>
    <w:rsid w:val="00480C91"/>
    <w:rsid w:val="00480F2E"/>
    <w:rsid w:val="00480FD2"/>
    <w:rsid w:val="00481258"/>
    <w:rsid w:val="0048139D"/>
    <w:rsid w:val="00481419"/>
    <w:rsid w:val="004814CF"/>
    <w:rsid w:val="00481510"/>
    <w:rsid w:val="0048163B"/>
    <w:rsid w:val="004819C2"/>
    <w:rsid w:val="004819D3"/>
    <w:rsid w:val="004823EA"/>
    <w:rsid w:val="00483171"/>
    <w:rsid w:val="004831BB"/>
    <w:rsid w:val="004831EE"/>
    <w:rsid w:val="004836D0"/>
    <w:rsid w:val="00483753"/>
    <w:rsid w:val="00483826"/>
    <w:rsid w:val="00483B0D"/>
    <w:rsid w:val="00483D3F"/>
    <w:rsid w:val="00484137"/>
    <w:rsid w:val="00484806"/>
    <w:rsid w:val="00484F1A"/>
    <w:rsid w:val="00485096"/>
    <w:rsid w:val="00485455"/>
    <w:rsid w:val="00485C9F"/>
    <w:rsid w:val="00485E40"/>
    <w:rsid w:val="00485F27"/>
    <w:rsid w:val="00485FF5"/>
    <w:rsid w:val="004860B3"/>
    <w:rsid w:val="004862BD"/>
    <w:rsid w:val="00486C04"/>
    <w:rsid w:val="0048707B"/>
    <w:rsid w:val="004870BE"/>
    <w:rsid w:val="00487281"/>
    <w:rsid w:val="004873FF"/>
    <w:rsid w:val="004878AA"/>
    <w:rsid w:val="004879FA"/>
    <w:rsid w:val="00487F14"/>
    <w:rsid w:val="004901FF"/>
    <w:rsid w:val="0049028B"/>
    <w:rsid w:val="00490449"/>
    <w:rsid w:val="00490703"/>
    <w:rsid w:val="00490ADE"/>
    <w:rsid w:val="00490B31"/>
    <w:rsid w:val="00491381"/>
    <w:rsid w:val="004913F9"/>
    <w:rsid w:val="00491564"/>
    <w:rsid w:val="0049164C"/>
    <w:rsid w:val="0049179D"/>
    <w:rsid w:val="00491B3E"/>
    <w:rsid w:val="00492042"/>
    <w:rsid w:val="004921C2"/>
    <w:rsid w:val="004926D2"/>
    <w:rsid w:val="004926E9"/>
    <w:rsid w:val="00492950"/>
    <w:rsid w:val="00492F01"/>
    <w:rsid w:val="00493825"/>
    <w:rsid w:val="00493EB0"/>
    <w:rsid w:val="004941F7"/>
    <w:rsid w:val="00494A1F"/>
    <w:rsid w:val="00494D3D"/>
    <w:rsid w:val="00495469"/>
    <w:rsid w:val="004954FD"/>
    <w:rsid w:val="00495BD1"/>
    <w:rsid w:val="00495C02"/>
    <w:rsid w:val="00495E49"/>
    <w:rsid w:val="00495EAB"/>
    <w:rsid w:val="00495F66"/>
    <w:rsid w:val="00496755"/>
    <w:rsid w:val="0049684B"/>
    <w:rsid w:val="00496A00"/>
    <w:rsid w:val="00496A4D"/>
    <w:rsid w:val="00496B1B"/>
    <w:rsid w:val="00496CF9"/>
    <w:rsid w:val="00496E99"/>
    <w:rsid w:val="004973AA"/>
    <w:rsid w:val="004974EE"/>
    <w:rsid w:val="00497551"/>
    <w:rsid w:val="00497B15"/>
    <w:rsid w:val="004A059B"/>
    <w:rsid w:val="004A0BF2"/>
    <w:rsid w:val="004A1397"/>
    <w:rsid w:val="004A1AF8"/>
    <w:rsid w:val="004A1DE0"/>
    <w:rsid w:val="004A1EBA"/>
    <w:rsid w:val="004A21E1"/>
    <w:rsid w:val="004A2ACF"/>
    <w:rsid w:val="004A3006"/>
    <w:rsid w:val="004A36D5"/>
    <w:rsid w:val="004A382F"/>
    <w:rsid w:val="004A3885"/>
    <w:rsid w:val="004A3BF1"/>
    <w:rsid w:val="004A3C64"/>
    <w:rsid w:val="004A3ED5"/>
    <w:rsid w:val="004A405C"/>
    <w:rsid w:val="004A40CB"/>
    <w:rsid w:val="004A4201"/>
    <w:rsid w:val="004A4454"/>
    <w:rsid w:val="004A561E"/>
    <w:rsid w:val="004A5769"/>
    <w:rsid w:val="004A5E0B"/>
    <w:rsid w:val="004A6098"/>
    <w:rsid w:val="004A6165"/>
    <w:rsid w:val="004A6386"/>
    <w:rsid w:val="004A67D0"/>
    <w:rsid w:val="004A6B69"/>
    <w:rsid w:val="004A6FDC"/>
    <w:rsid w:val="004A7016"/>
    <w:rsid w:val="004A74A9"/>
    <w:rsid w:val="004B0472"/>
    <w:rsid w:val="004B052B"/>
    <w:rsid w:val="004B0B09"/>
    <w:rsid w:val="004B0D73"/>
    <w:rsid w:val="004B0EEA"/>
    <w:rsid w:val="004B0FA8"/>
    <w:rsid w:val="004B10BE"/>
    <w:rsid w:val="004B10ED"/>
    <w:rsid w:val="004B1F87"/>
    <w:rsid w:val="004B219F"/>
    <w:rsid w:val="004B286B"/>
    <w:rsid w:val="004B3346"/>
    <w:rsid w:val="004B3BA6"/>
    <w:rsid w:val="004B41D4"/>
    <w:rsid w:val="004B41DD"/>
    <w:rsid w:val="004B4256"/>
    <w:rsid w:val="004B466A"/>
    <w:rsid w:val="004B49F0"/>
    <w:rsid w:val="004B4A0F"/>
    <w:rsid w:val="004B4B16"/>
    <w:rsid w:val="004B4D72"/>
    <w:rsid w:val="004B50EA"/>
    <w:rsid w:val="004B5A08"/>
    <w:rsid w:val="004B5AD8"/>
    <w:rsid w:val="004B5AFC"/>
    <w:rsid w:val="004B5C97"/>
    <w:rsid w:val="004B5D46"/>
    <w:rsid w:val="004B5FCA"/>
    <w:rsid w:val="004B64C8"/>
    <w:rsid w:val="004B652F"/>
    <w:rsid w:val="004B6624"/>
    <w:rsid w:val="004B71BC"/>
    <w:rsid w:val="004B7641"/>
    <w:rsid w:val="004B7DCC"/>
    <w:rsid w:val="004C01F9"/>
    <w:rsid w:val="004C02C0"/>
    <w:rsid w:val="004C0538"/>
    <w:rsid w:val="004C0663"/>
    <w:rsid w:val="004C0B4E"/>
    <w:rsid w:val="004C0D13"/>
    <w:rsid w:val="004C132B"/>
    <w:rsid w:val="004C222A"/>
    <w:rsid w:val="004C222B"/>
    <w:rsid w:val="004C2B66"/>
    <w:rsid w:val="004C2BEB"/>
    <w:rsid w:val="004C33C6"/>
    <w:rsid w:val="004C33EF"/>
    <w:rsid w:val="004C350F"/>
    <w:rsid w:val="004C38AD"/>
    <w:rsid w:val="004C3BC1"/>
    <w:rsid w:val="004C3D5F"/>
    <w:rsid w:val="004C3F11"/>
    <w:rsid w:val="004C41EF"/>
    <w:rsid w:val="004C444A"/>
    <w:rsid w:val="004C4597"/>
    <w:rsid w:val="004C4888"/>
    <w:rsid w:val="004C48C2"/>
    <w:rsid w:val="004C4D49"/>
    <w:rsid w:val="004C4D89"/>
    <w:rsid w:val="004C4D96"/>
    <w:rsid w:val="004C4DC3"/>
    <w:rsid w:val="004C4EAF"/>
    <w:rsid w:val="004C520A"/>
    <w:rsid w:val="004C529D"/>
    <w:rsid w:val="004C5AD8"/>
    <w:rsid w:val="004C5F34"/>
    <w:rsid w:val="004C6035"/>
    <w:rsid w:val="004C6257"/>
    <w:rsid w:val="004C62EB"/>
    <w:rsid w:val="004C634B"/>
    <w:rsid w:val="004C67B9"/>
    <w:rsid w:val="004C68DC"/>
    <w:rsid w:val="004C6B45"/>
    <w:rsid w:val="004C6C3D"/>
    <w:rsid w:val="004C7235"/>
    <w:rsid w:val="004C7411"/>
    <w:rsid w:val="004C769C"/>
    <w:rsid w:val="004C7733"/>
    <w:rsid w:val="004C7939"/>
    <w:rsid w:val="004C7D4B"/>
    <w:rsid w:val="004C7DA3"/>
    <w:rsid w:val="004D018B"/>
    <w:rsid w:val="004D0853"/>
    <w:rsid w:val="004D0EB4"/>
    <w:rsid w:val="004D11BF"/>
    <w:rsid w:val="004D15AF"/>
    <w:rsid w:val="004D1DA5"/>
    <w:rsid w:val="004D228A"/>
    <w:rsid w:val="004D2761"/>
    <w:rsid w:val="004D28F1"/>
    <w:rsid w:val="004D2A34"/>
    <w:rsid w:val="004D321D"/>
    <w:rsid w:val="004D34C9"/>
    <w:rsid w:val="004D3C38"/>
    <w:rsid w:val="004D4293"/>
    <w:rsid w:val="004D4C72"/>
    <w:rsid w:val="004D4FB2"/>
    <w:rsid w:val="004D5003"/>
    <w:rsid w:val="004D51C0"/>
    <w:rsid w:val="004D5DE4"/>
    <w:rsid w:val="004D5F07"/>
    <w:rsid w:val="004D5F80"/>
    <w:rsid w:val="004D6069"/>
    <w:rsid w:val="004D649D"/>
    <w:rsid w:val="004D69E6"/>
    <w:rsid w:val="004D6D76"/>
    <w:rsid w:val="004D6E35"/>
    <w:rsid w:val="004D7312"/>
    <w:rsid w:val="004D7749"/>
    <w:rsid w:val="004D79A5"/>
    <w:rsid w:val="004E0142"/>
    <w:rsid w:val="004E0300"/>
    <w:rsid w:val="004E0B25"/>
    <w:rsid w:val="004E0DA7"/>
    <w:rsid w:val="004E1310"/>
    <w:rsid w:val="004E1501"/>
    <w:rsid w:val="004E1512"/>
    <w:rsid w:val="004E2094"/>
    <w:rsid w:val="004E2C4A"/>
    <w:rsid w:val="004E2C6A"/>
    <w:rsid w:val="004E2CBF"/>
    <w:rsid w:val="004E2EEA"/>
    <w:rsid w:val="004E2F03"/>
    <w:rsid w:val="004E2F9B"/>
    <w:rsid w:val="004E30B1"/>
    <w:rsid w:val="004E311D"/>
    <w:rsid w:val="004E33BB"/>
    <w:rsid w:val="004E3A82"/>
    <w:rsid w:val="004E3D98"/>
    <w:rsid w:val="004E461C"/>
    <w:rsid w:val="004E48E9"/>
    <w:rsid w:val="004E4E69"/>
    <w:rsid w:val="004E52E4"/>
    <w:rsid w:val="004E53D3"/>
    <w:rsid w:val="004E565D"/>
    <w:rsid w:val="004E56F1"/>
    <w:rsid w:val="004E5E81"/>
    <w:rsid w:val="004E5F09"/>
    <w:rsid w:val="004E65E0"/>
    <w:rsid w:val="004E694A"/>
    <w:rsid w:val="004E6EBE"/>
    <w:rsid w:val="004E71B5"/>
    <w:rsid w:val="004E7839"/>
    <w:rsid w:val="004E79E5"/>
    <w:rsid w:val="004E7A41"/>
    <w:rsid w:val="004E7DA6"/>
    <w:rsid w:val="004E7EE5"/>
    <w:rsid w:val="004E7EFB"/>
    <w:rsid w:val="004E7FD9"/>
    <w:rsid w:val="004F016E"/>
    <w:rsid w:val="004F06F7"/>
    <w:rsid w:val="004F0E7F"/>
    <w:rsid w:val="004F15AC"/>
    <w:rsid w:val="004F24A4"/>
    <w:rsid w:val="004F2550"/>
    <w:rsid w:val="004F28F5"/>
    <w:rsid w:val="004F2929"/>
    <w:rsid w:val="004F2D38"/>
    <w:rsid w:val="004F3126"/>
    <w:rsid w:val="004F320C"/>
    <w:rsid w:val="004F3229"/>
    <w:rsid w:val="004F3352"/>
    <w:rsid w:val="004F34AE"/>
    <w:rsid w:val="004F3619"/>
    <w:rsid w:val="004F3656"/>
    <w:rsid w:val="004F38EF"/>
    <w:rsid w:val="004F395C"/>
    <w:rsid w:val="004F3B3C"/>
    <w:rsid w:val="004F3CFD"/>
    <w:rsid w:val="004F4043"/>
    <w:rsid w:val="004F43E3"/>
    <w:rsid w:val="004F4641"/>
    <w:rsid w:val="004F4DE3"/>
    <w:rsid w:val="004F4F12"/>
    <w:rsid w:val="004F4F4B"/>
    <w:rsid w:val="004F5012"/>
    <w:rsid w:val="004F51DB"/>
    <w:rsid w:val="004F52DB"/>
    <w:rsid w:val="004F536B"/>
    <w:rsid w:val="004F571D"/>
    <w:rsid w:val="004F5D9F"/>
    <w:rsid w:val="004F5E58"/>
    <w:rsid w:val="004F655F"/>
    <w:rsid w:val="004F68E1"/>
    <w:rsid w:val="004F6940"/>
    <w:rsid w:val="004F6C10"/>
    <w:rsid w:val="004F6EE8"/>
    <w:rsid w:val="004F6EED"/>
    <w:rsid w:val="004F7386"/>
    <w:rsid w:val="004F7462"/>
    <w:rsid w:val="004F759A"/>
    <w:rsid w:val="004F7913"/>
    <w:rsid w:val="004F7B33"/>
    <w:rsid w:val="004F7C4F"/>
    <w:rsid w:val="004F7E92"/>
    <w:rsid w:val="00500138"/>
    <w:rsid w:val="00500B10"/>
    <w:rsid w:val="00500F55"/>
    <w:rsid w:val="00500FC4"/>
    <w:rsid w:val="005013B9"/>
    <w:rsid w:val="00501613"/>
    <w:rsid w:val="00501ACA"/>
    <w:rsid w:val="00501AEB"/>
    <w:rsid w:val="00501AFE"/>
    <w:rsid w:val="00501BBC"/>
    <w:rsid w:val="00501D84"/>
    <w:rsid w:val="00501E0F"/>
    <w:rsid w:val="00501FDC"/>
    <w:rsid w:val="00502061"/>
    <w:rsid w:val="00502234"/>
    <w:rsid w:val="0050245D"/>
    <w:rsid w:val="005024A3"/>
    <w:rsid w:val="005027A1"/>
    <w:rsid w:val="00502873"/>
    <w:rsid w:val="00502EC7"/>
    <w:rsid w:val="00503254"/>
    <w:rsid w:val="005033D2"/>
    <w:rsid w:val="0050469B"/>
    <w:rsid w:val="00504941"/>
    <w:rsid w:val="00504C60"/>
    <w:rsid w:val="0050501F"/>
    <w:rsid w:val="00505358"/>
    <w:rsid w:val="0050538E"/>
    <w:rsid w:val="005058B3"/>
    <w:rsid w:val="00505A1F"/>
    <w:rsid w:val="00505B0D"/>
    <w:rsid w:val="0050652C"/>
    <w:rsid w:val="0050661E"/>
    <w:rsid w:val="00506CBA"/>
    <w:rsid w:val="00506CC3"/>
    <w:rsid w:val="00506D16"/>
    <w:rsid w:val="005071DA"/>
    <w:rsid w:val="0050752B"/>
    <w:rsid w:val="005079EA"/>
    <w:rsid w:val="00507AC2"/>
    <w:rsid w:val="00507DEE"/>
    <w:rsid w:val="005102C1"/>
    <w:rsid w:val="0051063C"/>
    <w:rsid w:val="00510752"/>
    <w:rsid w:val="00510900"/>
    <w:rsid w:val="00510A93"/>
    <w:rsid w:val="00510AAE"/>
    <w:rsid w:val="00510C41"/>
    <w:rsid w:val="00510C6D"/>
    <w:rsid w:val="0051100A"/>
    <w:rsid w:val="00511123"/>
    <w:rsid w:val="005113A2"/>
    <w:rsid w:val="005116F6"/>
    <w:rsid w:val="005117F9"/>
    <w:rsid w:val="00511A29"/>
    <w:rsid w:val="00511A59"/>
    <w:rsid w:val="00511C00"/>
    <w:rsid w:val="00511E95"/>
    <w:rsid w:val="00512641"/>
    <w:rsid w:val="00512808"/>
    <w:rsid w:val="005129E3"/>
    <w:rsid w:val="005129F5"/>
    <w:rsid w:val="00513B91"/>
    <w:rsid w:val="005142EA"/>
    <w:rsid w:val="005144CA"/>
    <w:rsid w:val="00514C4E"/>
    <w:rsid w:val="00514F82"/>
    <w:rsid w:val="00515470"/>
    <w:rsid w:val="005156FE"/>
    <w:rsid w:val="00515836"/>
    <w:rsid w:val="0051599C"/>
    <w:rsid w:val="00515A38"/>
    <w:rsid w:val="00515B46"/>
    <w:rsid w:val="0051606A"/>
    <w:rsid w:val="005163A9"/>
    <w:rsid w:val="00516454"/>
    <w:rsid w:val="00516632"/>
    <w:rsid w:val="00516928"/>
    <w:rsid w:val="00516EEB"/>
    <w:rsid w:val="00516FFA"/>
    <w:rsid w:val="00517919"/>
    <w:rsid w:val="005179D9"/>
    <w:rsid w:val="00517A07"/>
    <w:rsid w:val="00517C0F"/>
    <w:rsid w:val="00517C54"/>
    <w:rsid w:val="0052017D"/>
    <w:rsid w:val="005204A0"/>
    <w:rsid w:val="005209BE"/>
    <w:rsid w:val="00520C0F"/>
    <w:rsid w:val="00520E6F"/>
    <w:rsid w:val="00520F40"/>
    <w:rsid w:val="0052160C"/>
    <w:rsid w:val="005217B6"/>
    <w:rsid w:val="00521C1F"/>
    <w:rsid w:val="00521EA2"/>
    <w:rsid w:val="00522025"/>
    <w:rsid w:val="00522F98"/>
    <w:rsid w:val="00523170"/>
    <w:rsid w:val="00523AF1"/>
    <w:rsid w:val="0052465B"/>
    <w:rsid w:val="005247E8"/>
    <w:rsid w:val="00524AE6"/>
    <w:rsid w:val="00524F54"/>
    <w:rsid w:val="00525893"/>
    <w:rsid w:val="00525A05"/>
    <w:rsid w:val="00525AF8"/>
    <w:rsid w:val="00525BC3"/>
    <w:rsid w:val="00525C5A"/>
    <w:rsid w:val="00525E89"/>
    <w:rsid w:val="00526100"/>
    <w:rsid w:val="005263E5"/>
    <w:rsid w:val="005264BF"/>
    <w:rsid w:val="005269B6"/>
    <w:rsid w:val="00526D09"/>
    <w:rsid w:val="00526EC6"/>
    <w:rsid w:val="00527125"/>
    <w:rsid w:val="0052721F"/>
    <w:rsid w:val="00527251"/>
    <w:rsid w:val="00527C29"/>
    <w:rsid w:val="00527FF1"/>
    <w:rsid w:val="005301B7"/>
    <w:rsid w:val="00530D61"/>
    <w:rsid w:val="00530E91"/>
    <w:rsid w:val="00530ECD"/>
    <w:rsid w:val="00531218"/>
    <w:rsid w:val="00531343"/>
    <w:rsid w:val="0053143D"/>
    <w:rsid w:val="00531461"/>
    <w:rsid w:val="00531A85"/>
    <w:rsid w:val="00531DD6"/>
    <w:rsid w:val="005320A9"/>
    <w:rsid w:val="0053234C"/>
    <w:rsid w:val="005325A6"/>
    <w:rsid w:val="0053262E"/>
    <w:rsid w:val="00532785"/>
    <w:rsid w:val="0053280B"/>
    <w:rsid w:val="00532B2B"/>
    <w:rsid w:val="00532F24"/>
    <w:rsid w:val="005330C3"/>
    <w:rsid w:val="005330D3"/>
    <w:rsid w:val="005330DF"/>
    <w:rsid w:val="00533197"/>
    <w:rsid w:val="0053354D"/>
    <w:rsid w:val="005336E6"/>
    <w:rsid w:val="00533A2A"/>
    <w:rsid w:val="00533D91"/>
    <w:rsid w:val="00533FAD"/>
    <w:rsid w:val="005343E2"/>
    <w:rsid w:val="005344A7"/>
    <w:rsid w:val="00534515"/>
    <w:rsid w:val="00534691"/>
    <w:rsid w:val="0053494A"/>
    <w:rsid w:val="00534AFA"/>
    <w:rsid w:val="00534F4B"/>
    <w:rsid w:val="00535555"/>
    <w:rsid w:val="005359A9"/>
    <w:rsid w:val="00535B4D"/>
    <w:rsid w:val="0053629A"/>
    <w:rsid w:val="005365E7"/>
    <w:rsid w:val="00536821"/>
    <w:rsid w:val="00537440"/>
    <w:rsid w:val="005374A2"/>
    <w:rsid w:val="00537593"/>
    <w:rsid w:val="0053770C"/>
    <w:rsid w:val="0053777B"/>
    <w:rsid w:val="005377B4"/>
    <w:rsid w:val="005377E2"/>
    <w:rsid w:val="00537CAC"/>
    <w:rsid w:val="00540088"/>
    <w:rsid w:val="00540367"/>
    <w:rsid w:val="0054041D"/>
    <w:rsid w:val="00540C2C"/>
    <w:rsid w:val="00541025"/>
    <w:rsid w:val="00541936"/>
    <w:rsid w:val="00541938"/>
    <w:rsid w:val="00541B99"/>
    <w:rsid w:val="00542297"/>
    <w:rsid w:val="0054239B"/>
    <w:rsid w:val="0054251F"/>
    <w:rsid w:val="005428F0"/>
    <w:rsid w:val="00542A00"/>
    <w:rsid w:val="00542E73"/>
    <w:rsid w:val="00542FD4"/>
    <w:rsid w:val="00543053"/>
    <w:rsid w:val="0054319E"/>
    <w:rsid w:val="005432CD"/>
    <w:rsid w:val="00543A3E"/>
    <w:rsid w:val="00543DD4"/>
    <w:rsid w:val="00543E56"/>
    <w:rsid w:val="00543FFA"/>
    <w:rsid w:val="005443DD"/>
    <w:rsid w:val="005443F2"/>
    <w:rsid w:val="00544410"/>
    <w:rsid w:val="0054451C"/>
    <w:rsid w:val="00544A01"/>
    <w:rsid w:val="00544B94"/>
    <w:rsid w:val="00544CD8"/>
    <w:rsid w:val="00544EA5"/>
    <w:rsid w:val="00545052"/>
    <w:rsid w:val="005455C8"/>
    <w:rsid w:val="00545861"/>
    <w:rsid w:val="00545F74"/>
    <w:rsid w:val="00545FB3"/>
    <w:rsid w:val="0054667A"/>
    <w:rsid w:val="0054698E"/>
    <w:rsid w:val="00546D93"/>
    <w:rsid w:val="00547196"/>
    <w:rsid w:val="005478AC"/>
    <w:rsid w:val="00547B80"/>
    <w:rsid w:val="00550026"/>
    <w:rsid w:val="00550737"/>
    <w:rsid w:val="00550923"/>
    <w:rsid w:val="00550E2D"/>
    <w:rsid w:val="00551496"/>
    <w:rsid w:val="005517C4"/>
    <w:rsid w:val="00551C6F"/>
    <w:rsid w:val="00551E6C"/>
    <w:rsid w:val="00551FF9"/>
    <w:rsid w:val="00552D86"/>
    <w:rsid w:val="0055313D"/>
    <w:rsid w:val="005531EC"/>
    <w:rsid w:val="005534E3"/>
    <w:rsid w:val="00553646"/>
    <w:rsid w:val="005539FB"/>
    <w:rsid w:val="00553E9B"/>
    <w:rsid w:val="005541B0"/>
    <w:rsid w:val="00554243"/>
    <w:rsid w:val="005549B3"/>
    <w:rsid w:val="00554AD7"/>
    <w:rsid w:val="00554D21"/>
    <w:rsid w:val="00554DEE"/>
    <w:rsid w:val="00554E59"/>
    <w:rsid w:val="0055501A"/>
    <w:rsid w:val="0055506A"/>
    <w:rsid w:val="005567C9"/>
    <w:rsid w:val="00556A7C"/>
    <w:rsid w:val="00556F09"/>
    <w:rsid w:val="00557205"/>
    <w:rsid w:val="005572C1"/>
    <w:rsid w:val="00557303"/>
    <w:rsid w:val="005576C5"/>
    <w:rsid w:val="005577AA"/>
    <w:rsid w:val="00557B62"/>
    <w:rsid w:val="00557C40"/>
    <w:rsid w:val="00560299"/>
    <w:rsid w:val="005602D1"/>
    <w:rsid w:val="00560BA9"/>
    <w:rsid w:val="00560BE8"/>
    <w:rsid w:val="00560D69"/>
    <w:rsid w:val="00560EEB"/>
    <w:rsid w:val="0056105F"/>
    <w:rsid w:val="0056109C"/>
    <w:rsid w:val="00561272"/>
    <w:rsid w:val="005612DC"/>
    <w:rsid w:val="005614C9"/>
    <w:rsid w:val="00561DBD"/>
    <w:rsid w:val="005620A1"/>
    <w:rsid w:val="0056259A"/>
    <w:rsid w:val="005627B9"/>
    <w:rsid w:val="00563326"/>
    <w:rsid w:val="005635F3"/>
    <w:rsid w:val="00564516"/>
    <w:rsid w:val="005649BD"/>
    <w:rsid w:val="00564A9F"/>
    <w:rsid w:val="00564B5B"/>
    <w:rsid w:val="00564EB3"/>
    <w:rsid w:val="00564ED3"/>
    <w:rsid w:val="00565326"/>
    <w:rsid w:val="00565EDF"/>
    <w:rsid w:val="00565F78"/>
    <w:rsid w:val="0056617C"/>
    <w:rsid w:val="00566521"/>
    <w:rsid w:val="00566770"/>
    <w:rsid w:val="005669B9"/>
    <w:rsid w:val="00566B78"/>
    <w:rsid w:val="00566D05"/>
    <w:rsid w:val="0056711F"/>
    <w:rsid w:val="005671A7"/>
    <w:rsid w:val="00567A1B"/>
    <w:rsid w:val="00570633"/>
    <w:rsid w:val="0057079A"/>
    <w:rsid w:val="00570A4E"/>
    <w:rsid w:val="00570D54"/>
    <w:rsid w:val="0057188E"/>
    <w:rsid w:val="00571998"/>
    <w:rsid w:val="00571DD9"/>
    <w:rsid w:val="0057255D"/>
    <w:rsid w:val="005728E5"/>
    <w:rsid w:val="00572B17"/>
    <w:rsid w:val="00573342"/>
    <w:rsid w:val="005733F2"/>
    <w:rsid w:val="005736FC"/>
    <w:rsid w:val="00573782"/>
    <w:rsid w:val="00573B8C"/>
    <w:rsid w:val="00573C26"/>
    <w:rsid w:val="00573DA6"/>
    <w:rsid w:val="00573DB2"/>
    <w:rsid w:val="00574075"/>
    <w:rsid w:val="005741E1"/>
    <w:rsid w:val="00574237"/>
    <w:rsid w:val="005742C9"/>
    <w:rsid w:val="00574834"/>
    <w:rsid w:val="00574A99"/>
    <w:rsid w:val="00574B20"/>
    <w:rsid w:val="00574CBF"/>
    <w:rsid w:val="00574EC2"/>
    <w:rsid w:val="00575009"/>
    <w:rsid w:val="00575426"/>
    <w:rsid w:val="0057587B"/>
    <w:rsid w:val="00575A3E"/>
    <w:rsid w:val="0057607D"/>
    <w:rsid w:val="005760D6"/>
    <w:rsid w:val="00576308"/>
    <w:rsid w:val="00576577"/>
    <w:rsid w:val="005767B2"/>
    <w:rsid w:val="00576A53"/>
    <w:rsid w:val="00576E76"/>
    <w:rsid w:val="00576F46"/>
    <w:rsid w:val="005770E3"/>
    <w:rsid w:val="00577201"/>
    <w:rsid w:val="0057744C"/>
    <w:rsid w:val="0057747F"/>
    <w:rsid w:val="005778CD"/>
    <w:rsid w:val="005800CC"/>
    <w:rsid w:val="00580196"/>
    <w:rsid w:val="005806BC"/>
    <w:rsid w:val="0058085D"/>
    <w:rsid w:val="005812CD"/>
    <w:rsid w:val="00581EBE"/>
    <w:rsid w:val="0058237E"/>
    <w:rsid w:val="0058251A"/>
    <w:rsid w:val="00582575"/>
    <w:rsid w:val="005825D9"/>
    <w:rsid w:val="00582831"/>
    <w:rsid w:val="0058291E"/>
    <w:rsid w:val="00582BAA"/>
    <w:rsid w:val="00582D42"/>
    <w:rsid w:val="00583BF6"/>
    <w:rsid w:val="00583F6F"/>
    <w:rsid w:val="00584162"/>
    <w:rsid w:val="00584255"/>
    <w:rsid w:val="00584503"/>
    <w:rsid w:val="0058450E"/>
    <w:rsid w:val="005845C2"/>
    <w:rsid w:val="005849B8"/>
    <w:rsid w:val="00584D34"/>
    <w:rsid w:val="00584FCE"/>
    <w:rsid w:val="00585200"/>
    <w:rsid w:val="00585379"/>
    <w:rsid w:val="00585507"/>
    <w:rsid w:val="005857AA"/>
    <w:rsid w:val="00585B25"/>
    <w:rsid w:val="00585C6A"/>
    <w:rsid w:val="00585C71"/>
    <w:rsid w:val="00585D41"/>
    <w:rsid w:val="00585EE1"/>
    <w:rsid w:val="005860AC"/>
    <w:rsid w:val="005863E6"/>
    <w:rsid w:val="0058658D"/>
    <w:rsid w:val="005869FF"/>
    <w:rsid w:val="00586E21"/>
    <w:rsid w:val="00586E25"/>
    <w:rsid w:val="00587F40"/>
    <w:rsid w:val="00590609"/>
    <w:rsid w:val="00590702"/>
    <w:rsid w:val="005908EE"/>
    <w:rsid w:val="00590A2C"/>
    <w:rsid w:val="00590A7F"/>
    <w:rsid w:val="00590DA1"/>
    <w:rsid w:val="0059109B"/>
    <w:rsid w:val="00591119"/>
    <w:rsid w:val="00591514"/>
    <w:rsid w:val="00591CC3"/>
    <w:rsid w:val="00591F6F"/>
    <w:rsid w:val="005924A6"/>
    <w:rsid w:val="0059276A"/>
    <w:rsid w:val="00593159"/>
    <w:rsid w:val="0059338A"/>
    <w:rsid w:val="00593F50"/>
    <w:rsid w:val="00594F34"/>
    <w:rsid w:val="005954E8"/>
    <w:rsid w:val="005955C5"/>
    <w:rsid w:val="005955DA"/>
    <w:rsid w:val="005957E8"/>
    <w:rsid w:val="0059585A"/>
    <w:rsid w:val="00595F60"/>
    <w:rsid w:val="00596312"/>
    <w:rsid w:val="0059632E"/>
    <w:rsid w:val="005964ED"/>
    <w:rsid w:val="00596996"/>
    <w:rsid w:val="00596A0A"/>
    <w:rsid w:val="00596C02"/>
    <w:rsid w:val="00597401"/>
    <w:rsid w:val="005977C0"/>
    <w:rsid w:val="005979D3"/>
    <w:rsid w:val="005979F8"/>
    <w:rsid w:val="005A0148"/>
    <w:rsid w:val="005A0901"/>
    <w:rsid w:val="005A1AD2"/>
    <w:rsid w:val="005A1C8B"/>
    <w:rsid w:val="005A1F85"/>
    <w:rsid w:val="005A2128"/>
    <w:rsid w:val="005A23D4"/>
    <w:rsid w:val="005A23E4"/>
    <w:rsid w:val="005A271A"/>
    <w:rsid w:val="005A317C"/>
    <w:rsid w:val="005A3565"/>
    <w:rsid w:val="005A36B8"/>
    <w:rsid w:val="005A395E"/>
    <w:rsid w:val="005A3F76"/>
    <w:rsid w:val="005A405C"/>
    <w:rsid w:val="005A4816"/>
    <w:rsid w:val="005A4DE0"/>
    <w:rsid w:val="005A4FEC"/>
    <w:rsid w:val="005A534E"/>
    <w:rsid w:val="005A553B"/>
    <w:rsid w:val="005A55FF"/>
    <w:rsid w:val="005A5985"/>
    <w:rsid w:val="005A5D61"/>
    <w:rsid w:val="005A5ECF"/>
    <w:rsid w:val="005A656B"/>
    <w:rsid w:val="005A676B"/>
    <w:rsid w:val="005A6E2F"/>
    <w:rsid w:val="005A71C0"/>
    <w:rsid w:val="005A76F2"/>
    <w:rsid w:val="005A7A27"/>
    <w:rsid w:val="005A7A31"/>
    <w:rsid w:val="005A7B69"/>
    <w:rsid w:val="005A7B9B"/>
    <w:rsid w:val="005A7E8C"/>
    <w:rsid w:val="005B0474"/>
    <w:rsid w:val="005B04B0"/>
    <w:rsid w:val="005B0898"/>
    <w:rsid w:val="005B0FC6"/>
    <w:rsid w:val="005B0FED"/>
    <w:rsid w:val="005B10CA"/>
    <w:rsid w:val="005B1790"/>
    <w:rsid w:val="005B1CD2"/>
    <w:rsid w:val="005B1DAE"/>
    <w:rsid w:val="005B234F"/>
    <w:rsid w:val="005B243A"/>
    <w:rsid w:val="005B25B0"/>
    <w:rsid w:val="005B2C31"/>
    <w:rsid w:val="005B2D85"/>
    <w:rsid w:val="005B31E8"/>
    <w:rsid w:val="005B3228"/>
    <w:rsid w:val="005B32C1"/>
    <w:rsid w:val="005B3439"/>
    <w:rsid w:val="005B3F44"/>
    <w:rsid w:val="005B44BE"/>
    <w:rsid w:val="005B480C"/>
    <w:rsid w:val="005B48F2"/>
    <w:rsid w:val="005B4BD9"/>
    <w:rsid w:val="005B4C05"/>
    <w:rsid w:val="005B513A"/>
    <w:rsid w:val="005B5C2D"/>
    <w:rsid w:val="005B5D12"/>
    <w:rsid w:val="005B6047"/>
    <w:rsid w:val="005B6101"/>
    <w:rsid w:val="005B6317"/>
    <w:rsid w:val="005B644B"/>
    <w:rsid w:val="005B6653"/>
    <w:rsid w:val="005B717C"/>
    <w:rsid w:val="005B723F"/>
    <w:rsid w:val="005B7302"/>
    <w:rsid w:val="005B7801"/>
    <w:rsid w:val="005B7A84"/>
    <w:rsid w:val="005B7D34"/>
    <w:rsid w:val="005C001A"/>
    <w:rsid w:val="005C06B4"/>
    <w:rsid w:val="005C0AA0"/>
    <w:rsid w:val="005C1047"/>
    <w:rsid w:val="005C1283"/>
    <w:rsid w:val="005C138F"/>
    <w:rsid w:val="005C1E6C"/>
    <w:rsid w:val="005C1F91"/>
    <w:rsid w:val="005C20CF"/>
    <w:rsid w:val="005C2135"/>
    <w:rsid w:val="005C2205"/>
    <w:rsid w:val="005C26DA"/>
    <w:rsid w:val="005C2C48"/>
    <w:rsid w:val="005C2EFE"/>
    <w:rsid w:val="005C3519"/>
    <w:rsid w:val="005C36EF"/>
    <w:rsid w:val="005C495D"/>
    <w:rsid w:val="005C4A06"/>
    <w:rsid w:val="005C4C28"/>
    <w:rsid w:val="005C4F64"/>
    <w:rsid w:val="005C4F7A"/>
    <w:rsid w:val="005C5552"/>
    <w:rsid w:val="005C5556"/>
    <w:rsid w:val="005C56A4"/>
    <w:rsid w:val="005C5837"/>
    <w:rsid w:val="005C5AE5"/>
    <w:rsid w:val="005C5B34"/>
    <w:rsid w:val="005C5C2A"/>
    <w:rsid w:val="005C5E32"/>
    <w:rsid w:val="005C5F05"/>
    <w:rsid w:val="005C63CD"/>
    <w:rsid w:val="005C65D4"/>
    <w:rsid w:val="005C66D2"/>
    <w:rsid w:val="005C6756"/>
    <w:rsid w:val="005C69AF"/>
    <w:rsid w:val="005C6BE9"/>
    <w:rsid w:val="005C6D64"/>
    <w:rsid w:val="005C6FB0"/>
    <w:rsid w:val="005C73EC"/>
    <w:rsid w:val="005C7518"/>
    <w:rsid w:val="005C782A"/>
    <w:rsid w:val="005C78FC"/>
    <w:rsid w:val="005C790F"/>
    <w:rsid w:val="005C7A7F"/>
    <w:rsid w:val="005C7BAD"/>
    <w:rsid w:val="005D0519"/>
    <w:rsid w:val="005D0535"/>
    <w:rsid w:val="005D071E"/>
    <w:rsid w:val="005D076B"/>
    <w:rsid w:val="005D0E01"/>
    <w:rsid w:val="005D0E07"/>
    <w:rsid w:val="005D163E"/>
    <w:rsid w:val="005D17A2"/>
    <w:rsid w:val="005D19D0"/>
    <w:rsid w:val="005D1CF4"/>
    <w:rsid w:val="005D1D8E"/>
    <w:rsid w:val="005D223F"/>
    <w:rsid w:val="005D3278"/>
    <w:rsid w:val="005D37F0"/>
    <w:rsid w:val="005D3AB9"/>
    <w:rsid w:val="005D3C14"/>
    <w:rsid w:val="005D3D68"/>
    <w:rsid w:val="005D3E52"/>
    <w:rsid w:val="005D41D7"/>
    <w:rsid w:val="005D441E"/>
    <w:rsid w:val="005D4B29"/>
    <w:rsid w:val="005D5000"/>
    <w:rsid w:val="005D51EF"/>
    <w:rsid w:val="005D53F7"/>
    <w:rsid w:val="005D5505"/>
    <w:rsid w:val="005D5596"/>
    <w:rsid w:val="005D5A63"/>
    <w:rsid w:val="005D6171"/>
    <w:rsid w:val="005D61AC"/>
    <w:rsid w:val="005D61EE"/>
    <w:rsid w:val="005D6CE8"/>
    <w:rsid w:val="005D7291"/>
    <w:rsid w:val="005D72EA"/>
    <w:rsid w:val="005D7420"/>
    <w:rsid w:val="005D7471"/>
    <w:rsid w:val="005D7A1E"/>
    <w:rsid w:val="005D7F1A"/>
    <w:rsid w:val="005E028A"/>
    <w:rsid w:val="005E072B"/>
    <w:rsid w:val="005E0CE1"/>
    <w:rsid w:val="005E0D40"/>
    <w:rsid w:val="005E117E"/>
    <w:rsid w:val="005E13CC"/>
    <w:rsid w:val="005E13E6"/>
    <w:rsid w:val="005E14C4"/>
    <w:rsid w:val="005E16EC"/>
    <w:rsid w:val="005E17BF"/>
    <w:rsid w:val="005E2284"/>
    <w:rsid w:val="005E23EA"/>
    <w:rsid w:val="005E3603"/>
    <w:rsid w:val="005E3A45"/>
    <w:rsid w:val="005E3E1D"/>
    <w:rsid w:val="005E4802"/>
    <w:rsid w:val="005E48B5"/>
    <w:rsid w:val="005E49C5"/>
    <w:rsid w:val="005E5340"/>
    <w:rsid w:val="005E53A9"/>
    <w:rsid w:val="005E5468"/>
    <w:rsid w:val="005E5F3F"/>
    <w:rsid w:val="005E6828"/>
    <w:rsid w:val="005E6B24"/>
    <w:rsid w:val="005E6E3C"/>
    <w:rsid w:val="005E7092"/>
    <w:rsid w:val="005E7445"/>
    <w:rsid w:val="005E757E"/>
    <w:rsid w:val="005E7725"/>
    <w:rsid w:val="005E7965"/>
    <w:rsid w:val="005E7D2F"/>
    <w:rsid w:val="005E7F30"/>
    <w:rsid w:val="005F0B6C"/>
    <w:rsid w:val="005F139B"/>
    <w:rsid w:val="005F19C0"/>
    <w:rsid w:val="005F1DB1"/>
    <w:rsid w:val="005F1DD7"/>
    <w:rsid w:val="005F1FBD"/>
    <w:rsid w:val="005F20F7"/>
    <w:rsid w:val="005F249D"/>
    <w:rsid w:val="005F2FC8"/>
    <w:rsid w:val="005F339E"/>
    <w:rsid w:val="005F373C"/>
    <w:rsid w:val="005F3C53"/>
    <w:rsid w:val="005F3CA7"/>
    <w:rsid w:val="005F4366"/>
    <w:rsid w:val="005F459F"/>
    <w:rsid w:val="005F50B6"/>
    <w:rsid w:val="005F56C9"/>
    <w:rsid w:val="005F5BE9"/>
    <w:rsid w:val="005F5D83"/>
    <w:rsid w:val="005F5DE9"/>
    <w:rsid w:val="005F5F20"/>
    <w:rsid w:val="005F63A0"/>
    <w:rsid w:val="005F6BC4"/>
    <w:rsid w:val="005F7143"/>
    <w:rsid w:val="005F7758"/>
    <w:rsid w:val="005F7C8A"/>
    <w:rsid w:val="005F7EAA"/>
    <w:rsid w:val="006007DB"/>
    <w:rsid w:val="006015B1"/>
    <w:rsid w:val="00601633"/>
    <w:rsid w:val="00601CCE"/>
    <w:rsid w:val="006020DB"/>
    <w:rsid w:val="006022C7"/>
    <w:rsid w:val="0060251D"/>
    <w:rsid w:val="00602946"/>
    <w:rsid w:val="00602BF3"/>
    <w:rsid w:val="006034AD"/>
    <w:rsid w:val="006035D9"/>
    <w:rsid w:val="006036E9"/>
    <w:rsid w:val="0060386D"/>
    <w:rsid w:val="00604538"/>
    <w:rsid w:val="00604A01"/>
    <w:rsid w:val="006052B8"/>
    <w:rsid w:val="006057E4"/>
    <w:rsid w:val="006059BC"/>
    <w:rsid w:val="0060614B"/>
    <w:rsid w:val="00606268"/>
    <w:rsid w:val="00606D84"/>
    <w:rsid w:val="00607325"/>
    <w:rsid w:val="006077CD"/>
    <w:rsid w:val="00607AD8"/>
    <w:rsid w:val="00607C99"/>
    <w:rsid w:val="00607EEA"/>
    <w:rsid w:val="0061000C"/>
    <w:rsid w:val="00610044"/>
    <w:rsid w:val="00610127"/>
    <w:rsid w:val="00610B20"/>
    <w:rsid w:val="00610D00"/>
    <w:rsid w:val="006111B6"/>
    <w:rsid w:val="00612012"/>
    <w:rsid w:val="0061226E"/>
    <w:rsid w:val="00612495"/>
    <w:rsid w:val="00612F30"/>
    <w:rsid w:val="0061390A"/>
    <w:rsid w:val="006139A3"/>
    <w:rsid w:val="00613E10"/>
    <w:rsid w:val="00613F63"/>
    <w:rsid w:val="0061407A"/>
    <w:rsid w:val="006145E8"/>
    <w:rsid w:val="00614B9A"/>
    <w:rsid w:val="00614F60"/>
    <w:rsid w:val="0061591C"/>
    <w:rsid w:val="006168F9"/>
    <w:rsid w:val="0061699A"/>
    <w:rsid w:val="00616D46"/>
    <w:rsid w:val="00616DEB"/>
    <w:rsid w:val="006173D9"/>
    <w:rsid w:val="00617853"/>
    <w:rsid w:val="006178F4"/>
    <w:rsid w:val="00617A6D"/>
    <w:rsid w:val="00617CB8"/>
    <w:rsid w:val="00617D7A"/>
    <w:rsid w:val="006202C9"/>
    <w:rsid w:val="0062039E"/>
    <w:rsid w:val="006204D8"/>
    <w:rsid w:val="006206F2"/>
    <w:rsid w:val="0062073E"/>
    <w:rsid w:val="00620C23"/>
    <w:rsid w:val="00620C47"/>
    <w:rsid w:val="00620D91"/>
    <w:rsid w:val="00620EB6"/>
    <w:rsid w:val="00620EEA"/>
    <w:rsid w:val="00621464"/>
    <w:rsid w:val="006217DB"/>
    <w:rsid w:val="00621BC2"/>
    <w:rsid w:val="00621F62"/>
    <w:rsid w:val="00622338"/>
    <w:rsid w:val="006224FE"/>
    <w:rsid w:val="006230AF"/>
    <w:rsid w:val="006234B2"/>
    <w:rsid w:val="0062350C"/>
    <w:rsid w:val="00623876"/>
    <w:rsid w:val="006238B5"/>
    <w:rsid w:val="00623B7A"/>
    <w:rsid w:val="00623EA5"/>
    <w:rsid w:val="00623FD7"/>
    <w:rsid w:val="00624140"/>
    <w:rsid w:val="006242F8"/>
    <w:rsid w:val="0062431B"/>
    <w:rsid w:val="00624326"/>
    <w:rsid w:val="006250C5"/>
    <w:rsid w:val="00625180"/>
    <w:rsid w:val="006254EC"/>
    <w:rsid w:val="006257EB"/>
    <w:rsid w:val="00625963"/>
    <w:rsid w:val="00625A2E"/>
    <w:rsid w:val="00625AF2"/>
    <w:rsid w:val="00625EF6"/>
    <w:rsid w:val="00625F29"/>
    <w:rsid w:val="00625FAF"/>
    <w:rsid w:val="006260BE"/>
    <w:rsid w:val="00626DBD"/>
    <w:rsid w:val="0062708C"/>
    <w:rsid w:val="00627C83"/>
    <w:rsid w:val="00627FF1"/>
    <w:rsid w:val="00630039"/>
    <w:rsid w:val="0063007A"/>
    <w:rsid w:val="006302B9"/>
    <w:rsid w:val="00630F7A"/>
    <w:rsid w:val="00631096"/>
    <w:rsid w:val="00631AEC"/>
    <w:rsid w:val="00631C02"/>
    <w:rsid w:val="00632348"/>
    <w:rsid w:val="0063262B"/>
    <w:rsid w:val="00632906"/>
    <w:rsid w:val="00632AE5"/>
    <w:rsid w:val="00632B27"/>
    <w:rsid w:val="00632BA0"/>
    <w:rsid w:val="006333F4"/>
    <w:rsid w:val="00633541"/>
    <w:rsid w:val="006339D6"/>
    <w:rsid w:val="00633A94"/>
    <w:rsid w:val="00633DBD"/>
    <w:rsid w:val="0063478C"/>
    <w:rsid w:val="0063482A"/>
    <w:rsid w:val="00634A92"/>
    <w:rsid w:val="00634F23"/>
    <w:rsid w:val="00635287"/>
    <w:rsid w:val="006355DF"/>
    <w:rsid w:val="0063574B"/>
    <w:rsid w:val="00635A93"/>
    <w:rsid w:val="00635B5C"/>
    <w:rsid w:val="00635CBE"/>
    <w:rsid w:val="00635DD2"/>
    <w:rsid w:val="00635EC8"/>
    <w:rsid w:val="00635F1F"/>
    <w:rsid w:val="006362A7"/>
    <w:rsid w:val="00636762"/>
    <w:rsid w:val="00636A0C"/>
    <w:rsid w:val="00636AD9"/>
    <w:rsid w:val="006372E9"/>
    <w:rsid w:val="00637E89"/>
    <w:rsid w:val="00640424"/>
    <w:rsid w:val="006406D9"/>
    <w:rsid w:val="00640917"/>
    <w:rsid w:val="00640939"/>
    <w:rsid w:val="00640EBC"/>
    <w:rsid w:val="006414F5"/>
    <w:rsid w:val="0064150F"/>
    <w:rsid w:val="006416C9"/>
    <w:rsid w:val="00641778"/>
    <w:rsid w:val="006417FF"/>
    <w:rsid w:val="006418F6"/>
    <w:rsid w:val="00641AD1"/>
    <w:rsid w:val="00641E4F"/>
    <w:rsid w:val="006423D0"/>
    <w:rsid w:val="0064303D"/>
    <w:rsid w:val="00643350"/>
    <w:rsid w:val="0064345C"/>
    <w:rsid w:val="006437BD"/>
    <w:rsid w:val="00643FCA"/>
    <w:rsid w:val="0064458A"/>
    <w:rsid w:val="00644F32"/>
    <w:rsid w:val="006459B9"/>
    <w:rsid w:val="00645ECE"/>
    <w:rsid w:val="00646017"/>
    <w:rsid w:val="00646412"/>
    <w:rsid w:val="006464C2"/>
    <w:rsid w:val="00646705"/>
    <w:rsid w:val="0064673B"/>
    <w:rsid w:val="00646883"/>
    <w:rsid w:val="00646959"/>
    <w:rsid w:val="00646BE3"/>
    <w:rsid w:val="00646C31"/>
    <w:rsid w:val="00646F10"/>
    <w:rsid w:val="00646F6B"/>
    <w:rsid w:val="0064723D"/>
    <w:rsid w:val="006476B7"/>
    <w:rsid w:val="006477FD"/>
    <w:rsid w:val="00647A88"/>
    <w:rsid w:val="006501EF"/>
    <w:rsid w:val="00650658"/>
    <w:rsid w:val="006506A3"/>
    <w:rsid w:val="006507BB"/>
    <w:rsid w:val="00650C37"/>
    <w:rsid w:val="00651FD5"/>
    <w:rsid w:val="00652125"/>
    <w:rsid w:val="006523B9"/>
    <w:rsid w:val="006524E3"/>
    <w:rsid w:val="00652524"/>
    <w:rsid w:val="00652A42"/>
    <w:rsid w:val="00652CCC"/>
    <w:rsid w:val="00652ED0"/>
    <w:rsid w:val="006533EF"/>
    <w:rsid w:val="0065358C"/>
    <w:rsid w:val="006535E3"/>
    <w:rsid w:val="00653A3D"/>
    <w:rsid w:val="00653B2A"/>
    <w:rsid w:val="006542FC"/>
    <w:rsid w:val="0065437F"/>
    <w:rsid w:val="006547DB"/>
    <w:rsid w:val="00654E05"/>
    <w:rsid w:val="00655196"/>
    <w:rsid w:val="0065564F"/>
    <w:rsid w:val="00655B1B"/>
    <w:rsid w:val="00655D4F"/>
    <w:rsid w:val="00655D65"/>
    <w:rsid w:val="00655DF6"/>
    <w:rsid w:val="00655F07"/>
    <w:rsid w:val="006564B5"/>
    <w:rsid w:val="00656536"/>
    <w:rsid w:val="00656586"/>
    <w:rsid w:val="00656886"/>
    <w:rsid w:val="00656ABC"/>
    <w:rsid w:val="00656E42"/>
    <w:rsid w:val="00656FEE"/>
    <w:rsid w:val="0065718F"/>
    <w:rsid w:val="006572E5"/>
    <w:rsid w:val="006572E9"/>
    <w:rsid w:val="00657469"/>
    <w:rsid w:val="0065750C"/>
    <w:rsid w:val="00657726"/>
    <w:rsid w:val="006578B5"/>
    <w:rsid w:val="00657B44"/>
    <w:rsid w:val="00657FD9"/>
    <w:rsid w:val="0066044A"/>
    <w:rsid w:val="00660998"/>
    <w:rsid w:val="00660AE4"/>
    <w:rsid w:val="006615B9"/>
    <w:rsid w:val="00661813"/>
    <w:rsid w:val="0066227C"/>
    <w:rsid w:val="0066229B"/>
    <w:rsid w:val="00662686"/>
    <w:rsid w:val="00662931"/>
    <w:rsid w:val="00662B70"/>
    <w:rsid w:val="00662FE7"/>
    <w:rsid w:val="00663347"/>
    <w:rsid w:val="006634D6"/>
    <w:rsid w:val="00663720"/>
    <w:rsid w:val="006638B2"/>
    <w:rsid w:val="00663B63"/>
    <w:rsid w:val="00664095"/>
    <w:rsid w:val="0066421C"/>
    <w:rsid w:val="0066422F"/>
    <w:rsid w:val="006642BE"/>
    <w:rsid w:val="00664BCA"/>
    <w:rsid w:val="006653DA"/>
    <w:rsid w:val="006653FA"/>
    <w:rsid w:val="00665C3C"/>
    <w:rsid w:val="00665E6D"/>
    <w:rsid w:val="0066606F"/>
    <w:rsid w:val="006664E8"/>
    <w:rsid w:val="00666FA5"/>
    <w:rsid w:val="0066766A"/>
    <w:rsid w:val="006679E4"/>
    <w:rsid w:val="00667B83"/>
    <w:rsid w:val="00667D1B"/>
    <w:rsid w:val="00667E7C"/>
    <w:rsid w:val="00667E9B"/>
    <w:rsid w:val="006707F0"/>
    <w:rsid w:val="00670884"/>
    <w:rsid w:val="00670ABA"/>
    <w:rsid w:val="00670BDE"/>
    <w:rsid w:val="00670C07"/>
    <w:rsid w:val="00671488"/>
    <w:rsid w:val="00671969"/>
    <w:rsid w:val="00671A78"/>
    <w:rsid w:val="00671A80"/>
    <w:rsid w:val="00671A95"/>
    <w:rsid w:val="00671AD0"/>
    <w:rsid w:val="00671E45"/>
    <w:rsid w:val="00672B60"/>
    <w:rsid w:val="00673153"/>
    <w:rsid w:val="006733AA"/>
    <w:rsid w:val="00673698"/>
    <w:rsid w:val="006736C1"/>
    <w:rsid w:val="00673ADA"/>
    <w:rsid w:val="00673D37"/>
    <w:rsid w:val="00674045"/>
    <w:rsid w:val="0067408F"/>
    <w:rsid w:val="006748EA"/>
    <w:rsid w:val="00674D97"/>
    <w:rsid w:val="00675564"/>
    <w:rsid w:val="006757F7"/>
    <w:rsid w:val="00675838"/>
    <w:rsid w:val="00675A8B"/>
    <w:rsid w:val="00675B6E"/>
    <w:rsid w:val="006760FB"/>
    <w:rsid w:val="00676134"/>
    <w:rsid w:val="006763C9"/>
    <w:rsid w:val="0067689B"/>
    <w:rsid w:val="00676DCE"/>
    <w:rsid w:val="006776C8"/>
    <w:rsid w:val="00677732"/>
    <w:rsid w:val="006777FF"/>
    <w:rsid w:val="00677BA6"/>
    <w:rsid w:val="00677C43"/>
    <w:rsid w:val="0068006D"/>
    <w:rsid w:val="00680142"/>
    <w:rsid w:val="0068031F"/>
    <w:rsid w:val="00680696"/>
    <w:rsid w:val="0068076E"/>
    <w:rsid w:val="00680F83"/>
    <w:rsid w:val="00681E82"/>
    <w:rsid w:val="00681EE8"/>
    <w:rsid w:val="00681F1C"/>
    <w:rsid w:val="00681F8F"/>
    <w:rsid w:val="00682C19"/>
    <w:rsid w:val="00682FCC"/>
    <w:rsid w:val="0068313A"/>
    <w:rsid w:val="00683290"/>
    <w:rsid w:val="0068368E"/>
    <w:rsid w:val="0068392D"/>
    <w:rsid w:val="006839EE"/>
    <w:rsid w:val="00684068"/>
    <w:rsid w:val="006842F4"/>
    <w:rsid w:val="00684643"/>
    <w:rsid w:val="00684A9B"/>
    <w:rsid w:val="006851D7"/>
    <w:rsid w:val="006852E5"/>
    <w:rsid w:val="0068602C"/>
    <w:rsid w:val="00686145"/>
    <w:rsid w:val="0068621A"/>
    <w:rsid w:val="006864CD"/>
    <w:rsid w:val="00686595"/>
    <w:rsid w:val="00686E4F"/>
    <w:rsid w:val="00686F56"/>
    <w:rsid w:val="00687671"/>
    <w:rsid w:val="0068785D"/>
    <w:rsid w:val="00687AC0"/>
    <w:rsid w:val="00690531"/>
    <w:rsid w:val="00690577"/>
    <w:rsid w:val="0069069E"/>
    <w:rsid w:val="006906B4"/>
    <w:rsid w:val="0069093D"/>
    <w:rsid w:val="00690AC4"/>
    <w:rsid w:val="00690BCA"/>
    <w:rsid w:val="00691506"/>
    <w:rsid w:val="006916BD"/>
    <w:rsid w:val="00691B1A"/>
    <w:rsid w:val="00691B9E"/>
    <w:rsid w:val="00691ED5"/>
    <w:rsid w:val="00692073"/>
    <w:rsid w:val="0069207B"/>
    <w:rsid w:val="00692BA8"/>
    <w:rsid w:val="00692E34"/>
    <w:rsid w:val="006930A9"/>
    <w:rsid w:val="006931E6"/>
    <w:rsid w:val="0069354E"/>
    <w:rsid w:val="0069370A"/>
    <w:rsid w:val="006939A9"/>
    <w:rsid w:val="00693A15"/>
    <w:rsid w:val="00693D44"/>
    <w:rsid w:val="00693EFB"/>
    <w:rsid w:val="00693FE3"/>
    <w:rsid w:val="00694053"/>
    <w:rsid w:val="00694393"/>
    <w:rsid w:val="00694F92"/>
    <w:rsid w:val="00695077"/>
    <w:rsid w:val="00695161"/>
    <w:rsid w:val="0069527C"/>
    <w:rsid w:val="00695753"/>
    <w:rsid w:val="0069576F"/>
    <w:rsid w:val="00695917"/>
    <w:rsid w:val="00695BA8"/>
    <w:rsid w:val="0069619F"/>
    <w:rsid w:val="00696546"/>
    <w:rsid w:val="00696E72"/>
    <w:rsid w:val="006971EF"/>
    <w:rsid w:val="0069737F"/>
    <w:rsid w:val="006978AC"/>
    <w:rsid w:val="006978D6"/>
    <w:rsid w:val="00697DED"/>
    <w:rsid w:val="006A040B"/>
    <w:rsid w:val="006A091B"/>
    <w:rsid w:val="006A0A87"/>
    <w:rsid w:val="006A0B22"/>
    <w:rsid w:val="006A0B30"/>
    <w:rsid w:val="006A0E4F"/>
    <w:rsid w:val="006A0EE3"/>
    <w:rsid w:val="006A13F3"/>
    <w:rsid w:val="006A1790"/>
    <w:rsid w:val="006A189C"/>
    <w:rsid w:val="006A1AB9"/>
    <w:rsid w:val="006A1AC1"/>
    <w:rsid w:val="006A1C16"/>
    <w:rsid w:val="006A1DFB"/>
    <w:rsid w:val="006A21BF"/>
    <w:rsid w:val="006A2345"/>
    <w:rsid w:val="006A257F"/>
    <w:rsid w:val="006A2779"/>
    <w:rsid w:val="006A2822"/>
    <w:rsid w:val="006A2C38"/>
    <w:rsid w:val="006A3209"/>
    <w:rsid w:val="006A335A"/>
    <w:rsid w:val="006A343D"/>
    <w:rsid w:val="006A3938"/>
    <w:rsid w:val="006A3B45"/>
    <w:rsid w:val="006A408E"/>
    <w:rsid w:val="006A425E"/>
    <w:rsid w:val="006A433B"/>
    <w:rsid w:val="006A457E"/>
    <w:rsid w:val="006A47FF"/>
    <w:rsid w:val="006A49E9"/>
    <w:rsid w:val="006A5C6D"/>
    <w:rsid w:val="006A5E65"/>
    <w:rsid w:val="006A5E7B"/>
    <w:rsid w:val="006A5F94"/>
    <w:rsid w:val="006A607B"/>
    <w:rsid w:val="006A626E"/>
    <w:rsid w:val="006A6280"/>
    <w:rsid w:val="006A6A55"/>
    <w:rsid w:val="006A6ED1"/>
    <w:rsid w:val="006A6F61"/>
    <w:rsid w:val="006A6FB5"/>
    <w:rsid w:val="006A7024"/>
    <w:rsid w:val="006A70B3"/>
    <w:rsid w:val="006A7113"/>
    <w:rsid w:val="006A7C24"/>
    <w:rsid w:val="006A7DE1"/>
    <w:rsid w:val="006B042C"/>
    <w:rsid w:val="006B0857"/>
    <w:rsid w:val="006B0A80"/>
    <w:rsid w:val="006B0C69"/>
    <w:rsid w:val="006B0C73"/>
    <w:rsid w:val="006B0CAC"/>
    <w:rsid w:val="006B109B"/>
    <w:rsid w:val="006B133E"/>
    <w:rsid w:val="006B141B"/>
    <w:rsid w:val="006B15A4"/>
    <w:rsid w:val="006B18E9"/>
    <w:rsid w:val="006B19EF"/>
    <w:rsid w:val="006B2332"/>
    <w:rsid w:val="006B2E36"/>
    <w:rsid w:val="006B2F4B"/>
    <w:rsid w:val="006B31A3"/>
    <w:rsid w:val="006B330D"/>
    <w:rsid w:val="006B357D"/>
    <w:rsid w:val="006B3A87"/>
    <w:rsid w:val="006B3DEC"/>
    <w:rsid w:val="006B49E8"/>
    <w:rsid w:val="006B4A0E"/>
    <w:rsid w:val="006B4B14"/>
    <w:rsid w:val="006B4B1B"/>
    <w:rsid w:val="006B4B62"/>
    <w:rsid w:val="006B4C86"/>
    <w:rsid w:val="006B4CC5"/>
    <w:rsid w:val="006B512B"/>
    <w:rsid w:val="006B571D"/>
    <w:rsid w:val="006B5BF7"/>
    <w:rsid w:val="006B5CE5"/>
    <w:rsid w:val="006B5DB9"/>
    <w:rsid w:val="006B6276"/>
    <w:rsid w:val="006B6703"/>
    <w:rsid w:val="006B679B"/>
    <w:rsid w:val="006B67AA"/>
    <w:rsid w:val="006B72B0"/>
    <w:rsid w:val="006B73DA"/>
    <w:rsid w:val="006C02AA"/>
    <w:rsid w:val="006C0607"/>
    <w:rsid w:val="006C0997"/>
    <w:rsid w:val="006C0A0D"/>
    <w:rsid w:val="006C153A"/>
    <w:rsid w:val="006C185E"/>
    <w:rsid w:val="006C1C0D"/>
    <w:rsid w:val="006C1C51"/>
    <w:rsid w:val="006C1E36"/>
    <w:rsid w:val="006C2815"/>
    <w:rsid w:val="006C2C77"/>
    <w:rsid w:val="006C2FED"/>
    <w:rsid w:val="006C3128"/>
    <w:rsid w:val="006C325A"/>
    <w:rsid w:val="006C36EE"/>
    <w:rsid w:val="006C3720"/>
    <w:rsid w:val="006C37AD"/>
    <w:rsid w:val="006C3C8A"/>
    <w:rsid w:val="006C3CE6"/>
    <w:rsid w:val="006C4BE3"/>
    <w:rsid w:val="006C4CB2"/>
    <w:rsid w:val="006C4D56"/>
    <w:rsid w:val="006C4F33"/>
    <w:rsid w:val="006C56F8"/>
    <w:rsid w:val="006C60A4"/>
    <w:rsid w:val="006C60AB"/>
    <w:rsid w:val="006C62F5"/>
    <w:rsid w:val="006C6415"/>
    <w:rsid w:val="006C6587"/>
    <w:rsid w:val="006C6D12"/>
    <w:rsid w:val="006C6E8D"/>
    <w:rsid w:val="006C71C7"/>
    <w:rsid w:val="006C7B7D"/>
    <w:rsid w:val="006D0139"/>
    <w:rsid w:val="006D021E"/>
    <w:rsid w:val="006D02A0"/>
    <w:rsid w:val="006D085A"/>
    <w:rsid w:val="006D0930"/>
    <w:rsid w:val="006D0D90"/>
    <w:rsid w:val="006D1060"/>
    <w:rsid w:val="006D1731"/>
    <w:rsid w:val="006D1940"/>
    <w:rsid w:val="006D1A7C"/>
    <w:rsid w:val="006D1B1B"/>
    <w:rsid w:val="006D1EFF"/>
    <w:rsid w:val="006D2823"/>
    <w:rsid w:val="006D3120"/>
    <w:rsid w:val="006D345F"/>
    <w:rsid w:val="006D3CDA"/>
    <w:rsid w:val="006D4D35"/>
    <w:rsid w:val="006D5686"/>
    <w:rsid w:val="006D5795"/>
    <w:rsid w:val="006D57C1"/>
    <w:rsid w:val="006D5C64"/>
    <w:rsid w:val="006D5CAB"/>
    <w:rsid w:val="006D5E05"/>
    <w:rsid w:val="006D5E32"/>
    <w:rsid w:val="006D6288"/>
    <w:rsid w:val="006D649E"/>
    <w:rsid w:val="006D68E2"/>
    <w:rsid w:val="006D6B54"/>
    <w:rsid w:val="006D6B72"/>
    <w:rsid w:val="006D732C"/>
    <w:rsid w:val="006D73B2"/>
    <w:rsid w:val="006D7B5B"/>
    <w:rsid w:val="006E00F8"/>
    <w:rsid w:val="006E01DE"/>
    <w:rsid w:val="006E01E2"/>
    <w:rsid w:val="006E0412"/>
    <w:rsid w:val="006E0780"/>
    <w:rsid w:val="006E0AB7"/>
    <w:rsid w:val="006E0D37"/>
    <w:rsid w:val="006E0D75"/>
    <w:rsid w:val="006E10C1"/>
    <w:rsid w:val="006E1233"/>
    <w:rsid w:val="006E198E"/>
    <w:rsid w:val="006E1F6C"/>
    <w:rsid w:val="006E1FB6"/>
    <w:rsid w:val="006E2B08"/>
    <w:rsid w:val="006E2C40"/>
    <w:rsid w:val="006E2C82"/>
    <w:rsid w:val="006E302D"/>
    <w:rsid w:val="006E3A70"/>
    <w:rsid w:val="006E3B24"/>
    <w:rsid w:val="006E3DF1"/>
    <w:rsid w:val="006E42AB"/>
    <w:rsid w:val="006E4730"/>
    <w:rsid w:val="006E4B6C"/>
    <w:rsid w:val="006E4E42"/>
    <w:rsid w:val="006E4FE4"/>
    <w:rsid w:val="006E5237"/>
    <w:rsid w:val="006E5850"/>
    <w:rsid w:val="006E5880"/>
    <w:rsid w:val="006E68A8"/>
    <w:rsid w:val="006E6EFB"/>
    <w:rsid w:val="006E76DF"/>
    <w:rsid w:val="006E7948"/>
    <w:rsid w:val="006E794D"/>
    <w:rsid w:val="006F0603"/>
    <w:rsid w:val="006F07AE"/>
    <w:rsid w:val="006F1154"/>
    <w:rsid w:val="006F1689"/>
    <w:rsid w:val="006F1F50"/>
    <w:rsid w:val="006F2344"/>
    <w:rsid w:val="006F252F"/>
    <w:rsid w:val="006F2DE9"/>
    <w:rsid w:val="006F30D8"/>
    <w:rsid w:val="006F366C"/>
    <w:rsid w:val="006F37B8"/>
    <w:rsid w:val="006F3B92"/>
    <w:rsid w:val="006F3F4A"/>
    <w:rsid w:val="006F440C"/>
    <w:rsid w:val="006F5607"/>
    <w:rsid w:val="006F58E5"/>
    <w:rsid w:val="006F5989"/>
    <w:rsid w:val="006F68CB"/>
    <w:rsid w:val="006F6B38"/>
    <w:rsid w:val="006F6CF4"/>
    <w:rsid w:val="006F6D41"/>
    <w:rsid w:val="006F6FAE"/>
    <w:rsid w:val="006F7149"/>
    <w:rsid w:val="006F764F"/>
    <w:rsid w:val="006F7B20"/>
    <w:rsid w:val="006F7C82"/>
    <w:rsid w:val="006F7EE6"/>
    <w:rsid w:val="007002D6"/>
    <w:rsid w:val="007006EE"/>
    <w:rsid w:val="00700BB6"/>
    <w:rsid w:val="00700CD7"/>
    <w:rsid w:val="0070137C"/>
    <w:rsid w:val="007016B8"/>
    <w:rsid w:val="0070193B"/>
    <w:rsid w:val="00701943"/>
    <w:rsid w:val="00701B66"/>
    <w:rsid w:val="0070318D"/>
    <w:rsid w:val="00703484"/>
    <w:rsid w:val="0070372C"/>
    <w:rsid w:val="007037A2"/>
    <w:rsid w:val="0070434F"/>
    <w:rsid w:val="007046CF"/>
    <w:rsid w:val="00704893"/>
    <w:rsid w:val="00704E12"/>
    <w:rsid w:val="00704EDC"/>
    <w:rsid w:val="00704F31"/>
    <w:rsid w:val="00705029"/>
    <w:rsid w:val="007050B2"/>
    <w:rsid w:val="007050DB"/>
    <w:rsid w:val="00705387"/>
    <w:rsid w:val="0070585C"/>
    <w:rsid w:val="00705DB7"/>
    <w:rsid w:val="00705EB4"/>
    <w:rsid w:val="0070605C"/>
    <w:rsid w:val="0070614F"/>
    <w:rsid w:val="00706B2A"/>
    <w:rsid w:val="00706B32"/>
    <w:rsid w:val="00707003"/>
    <w:rsid w:val="007070FD"/>
    <w:rsid w:val="00707446"/>
    <w:rsid w:val="007074BC"/>
    <w:rsid w:val="00707E2E"/>
    <w:rsid w:val="00710065"/>
    <w:rsid w:val="00710246"/>
    <w:rsid w:val="00710530"/>
    <w:rsid w:val="007105E7"/>
    <w:rsid w:val="0071067B"/>
    <w:rsid w:val="00710E3E"/>
    <w:rsid w:val="00710F07"/>
    <w:rsid w:val="00710FFA"/>
    <w:rsid w:val="00711324"/>
    <w:rsid w:val="0071150D"/>
    <w:rsid w:val="0071190C"/>
    <w:rsid w:val="00711A18"/>
    <w:rsid w:val="00711C2D"/>
    <w:rsid w:val="007121C4"/>
    <w:rsid w:val="00712413"/>
    <w:rsid w:val="00712479"/>
    <w:rsid w:val="00712588"/>
    <w:rsid w:val="00712DB6"/>
    <w:rsid w:val="00712E44"/>
    <w:rsid w:val="00712F94"/>
    <w:rsid w:val="00713154"/>
    <w:rsid w:val="00713595"/>
    <w:rsid w:val="007135CC"/>
    <w:rsid w:val="00713617"/>
    <w:rsid w:val="007138EE"/>
    <w:rsid w:val="00713ACF"/>
    <w:rsid w:val="00714C2C"/>
    <w:rsid w:val="007153B9"/>
    <w:rsid w:val="00715B62"/>
    <w:rsid w:val="00715DBE"/>
    <w:rsid w:val="00715FBD"/>
    <w:rsid w:val="0071620E"/>
    <w:rsid w:val="00716C7D"/>
    <w:rsid w:val="00716F3D"/>
    <w:rsid w:val="0071727C"/>
    <w:rsid w:val="00717559"/>
    <w:rsid w:val="00717CB6"/>
    <w:rsid w:val="007204F3"/>
    <w:rsid w:val="0072095C"/>
    <w:rsid w:val="00720CD2"/>
    <w:rsid w:val="00720EAF"/>
    <w:rsid w:val="00721189"/>
    <w:rsid w:val="0072126C"/>
    <w:rsid w:val="007212AA"/>
    <w:rsid w:val="00721574"/>
    <w:rsid w:val="0072164C"/>
    <w:rsid w:val="00721738"/>
    <w:rsid w:val="00721984"/>
    <w:rsid w:val="00721F03"/>
    <w:rsid w:val="00722024"/>
    <w:rsid w:val="007221EA"/>
    <w:rsid w:val="00722C41"/>
    <w:rsid w:val="0072321A"/>
    <w:rsid w:val="00723A0F"/>
    <w:rsid w:val="00724522"/>
    <w:rsid w:val="007248FE"/>
    <w:rsid w:val="00724A36"/>
    <w:rsid w:val="00724A78"/>
    <w:rsid w:val="007250CA"/>
    <w:rsid w:val="00725122"/>
    <w:rsid w:val="007252FD"/>
    <w:rsid w:val="007258F8"/>
    <w:rsid w:val="00725A22"/>
    <w:rsid w:val="00725AE6"/>
    <w:rsid w:val="00725C25"/>
    <w:rsid w:val="00726872"/>
    <w:rsid w:val="00726FDC"/>
    <w:rsid w:val="00727510"/>
    <w:rsid w:val="007275C3"/>
    <w:rsid w:val="0072766C"/>
    <w:rsid w:val="00727854"/>
    <w:rsid w:val="00727B27"/>
    <w:rsid w:val="00727BEE"/>
    <w:rsid w:val="00727D1C"/>
    <w:rsid w:val="00727EC9"/>
    <w:rsid w:val="00730535"/>
    <w:rsid w:val="00730790"/>
    <w:rsid w:val="007308B8"/>
    <w:rsid w:val="0073092E"/>
    <w:rsid w:val="00730A5A"/>
    <w:rsid w:val="00730B18"/>
    <w:rsid w:val="00730F6B"/>
    <w:rsid w:val="0073122C"/>
    <w:rsid w:val="0073168A"/>
    <w:rsid w:val="00731C6B"/>
    <w:rsid w:val="00731DCD"/>
    <w:rsid w:val="00731DD0"/>
    <w:rsid w:val="007325E5"/>
    <w:rsid w:val="00732B0E"/>
    <w:rsid w:val="00732C5A"/>
    <w:rsid w:val="00733281"/>
    <w:rsid w:val="00733784"/>
    <w:rsid w:val="00733C77"/>
    <w:rsid w:val="00734217"/>
    <w:rsid w:val="00734541"/>
    <w:rsid w:val="007345D6"/>
    <w:rsid w:val="00734BFC"/>
    <w:rsid w:val="00735178"/>
    <w:rsid w:val="0073576D"/>
    <w:rsid w:val="00735AD3"/>
    <w:rsid w:val="00735B05"/>
    <w:rsid w:val="00735B3B"/>
    <w:rsid w:val="00735CEB"/>
    <w:rsid w:val="00735CFF"/>
    <w:rsid w:val="00735E15"/>
    <w:rsid w:val="007362DE"/>
    <w:rsid w:val="00736870"/>
    <w:rsid w:val="007378E6"/>
    <w:rsid w:val="00737AAD"/>
    <w:rsid w:val="00737D82"/>
    <w:rsid w:val="007402E9"/>
    <w:rsid w:val="00740356"/>
    <w:rsid w:val="007407A0"/>
    <w:rsid w:val="00740BA6"/>
    <w:rsid w:val="00740CE7"/>
    <w:rsid w:val="00741467"/>
    <w:rsid w:val="007416DD"/>
    <w:rsid w:val="00741869"/>
    <w:rsid w:val="00741938"/>
    <w:rsid w:val="00741944"/>
    <w:rsid w:val="007419BB"/>
    <w:rsid w:val="007419FD"/>
    <w:rsid w:val="00741DBD"/>
    <w:rsid w:val="00741DF2"/>
    <w:rsid w:val="00741E2B"/>
    <w:rsid w:val="007421CA"/>
    <w:rsid w:val="00742A27"/>
    <w:rsid w:val="00742BA6"/>
    <w:rsid w:val="00742E6F"/>
    <w:rsid w:val="00742F35"/>
    <w:rsid w:val="007430A3"/>
    <w:rsid w:val="00743924"/>
    <w:rsid w:val="00743D9E"/>
    <w:rsid w:val="00744096"/>
    <w:rsid w:val="00744451"/>
    <w:rsid w:val="00744852"/>
    <w:rsid w:val="00744A50"/>
    <w:rsid w:val="00744B10"/>
    <w:rsid w:val="00744D59"/>
    <w:rsid w:val="007451BE"/>
    <w:rsid w:val="00745C22"/>
    <w:rsid w:val="00746BAC"/>
    <w:rsid w:val="00746DF5"/>
    <w:rsid w:val="00747A1F"/>
    <w:rsid w:val="007502EF"/>
    <w:rsid w:val="00750341"/>
    <w:rsid w:val="00750DE3"/>
    <w:rsid w:val="007513CA"/>
    <w:rsid w:val="007515EB"/>
    <w:rsid w:val="007519F8"/>
    <w:rsid w:val="00751D63"/>
    <w:rsid w:val="007525A1"/>
    <w:rsid w:val="007526DF"/>
    <w:rsid w:val="00752BAB"/>
    <w:rsid w:val="00752D52"/>
    <w:rsid w:val="00753060"/>
    <w:rsid w:val="007534AB"/>
    <w:rsid w:val="007534EC"/>
    <w:rsid w:val="007535AE"/>
    <w:rsid w:val="007536F1"/>
    <w:rsid w:val="007538F6"/>
    <w:rsid w:val="007539FE"/>
    <w:rsid w:val="00753EF6"/>
    <w:rsid w:val="00754BAC"/>
    <w:rsid w:val="00754D94"/>
    <w:rsid w:val="00754E43"/>
    <w:rsid w:val="00754EBB"/>
    <w:rsid w:val="00754F58"/>
    <w:rsid w:val="00755135"/>
    <w:rsid w:val="00755276"/>
    <w:rsid w:val="007554A2"/>
    <w:rsid w:val="007554F8"/>
    <w:rsid w:val="00755725"/>
    <w:rsid w:val="007559A8"/>
    <w:rsid w:val="00755A8F"/>
    <w:rsid w:val="00755DA0"/>
    <w:rsid w:val="007560DC"/>
    <w:rsid w:val="007565EC"/>
    <w:rsid w:val="00756A69"/>
    <w:rsid w:val="00756E3B"/>
    <w:rsid w:val="00757339"/>
    <w:rsid w:val="0075750E"/>
    <w:rsid w:val="00757824"/>
    <w:rsid w:val="00757B9E"/>
    <w:rsid w:val="007601C5"/>
    <w:rsid w:val="00760E75"/>
    <w:rsid w:val="00760FE3"/>
    <w:rsid w:val="00761409"/>
    <w:rsid w:val="00761E2F"/>
    <w:rsid w:val="0076220B"/>
    <w:rsid w:val="0076224D"/>
    <w:rsid w:val="007623E1"/>
    <w:rsid w:val="00762CC7"/>
    <w:rsid w:val="00762CC9"/>
    <w:rsid w:val="007631D9"/>
    <w:rsid w:val="0076339C"/>
    <w:rsid w:val="00763727"/>
    <w:rsid w:val="007637D7"/>
    <w:rsid w:val="00763D49"/>
    <w:rsid w:val="00763D5E"/>
    <w:rsid w:val="0076426F"/>
    <w:rsid w:val="00764793"/>
    <w:rsid w:val="00764C09"/>
    <w:rsid w:val="00764E0F"/>
    <w:rsid w:val="007654EC"/>
    <w:rsid w:val="00765DC7"/>
    <w:rsid w:val="00765EF8"/>
    <w:rsid w:val="00766CA8"/>
    <w:rsid w:val="00766D31"/>
    <w:rsid w:val="00766FBF"/>
    <w:rsid w:val="00767181"/>
    <w:rsid w:val="00767221"/>
    <w:rsid w:val="007673B1"/>
    <w:rsid w:val="00767629"/>
    <w:rsid w:val="007679E4"/>
    <w:rsid w:val="0077018B"/>
    <w:rsid w:val="00770367"/>
    <w:rsid w:val="007709B1"/>
    <w:rsid w:val="00770C46"/>
    <w:rsid w:val="00771035"/>
    <w:rsid w:val="007714E7"/>
    <w:rsid w:val="00771574"/>
    <w:rsid w:val="007715BB"/>
    <w:rsid w:val="00772793"/>
    <w:rsid w:val="007727BB"/>
    <w:rsid w:val="00772859"/>
    <w:rsid w:val="00773171"/>
    <w:rsid w:val="007738A6"/>
    <w:rsid w:val="00773D49"/>
    <w:rsid w:val="007745FD"/>
    <w:rsid w:val="007746B2"/>
    <w:rsid w:val="00774A0A"/>
    <w:rsid w:val="00774A75"/>
    <w:rsid w:val="00774DCA"/>
    <w:rsid w:val="00774ED6"/>
    <w:rsid w:val="00775316"/>
    <w:rsid w:val="00775A59"/>
    <w:rsid w:val="00775EE8"/>
    <w:rsid w:val="00776264"/>
    <w:rsid w:val="007763E7"/>
    <w:rsid w:val="0077688F"/>
    <w:rsid w:val="007768D0"/>
    <w:rsid w:val="00776B1B"/>
    <w:rsid w:val="00776B8F"/>
    <w:rsid w:val="00776CEE"/>
    <w:rsid w:val="0077776D"/>
    <w:rsid w:val="00777BDB"/>
    <w:rsid w:val="00777C8E"/>
    <w:rsid w:val="00780329"/>
    <w:rsid w:val="007810B8"/>
    <w:rsid w:val="00781242"/>
    <w:rsid w:val="00781288"/>
    <w:rsid w:val="00781391"/>
    <w:rsid w:val="00781B27"/>
    <w:rsid w:val="0078281A"/>
    <w:rsid w:val="00782DE3"/>
    <w:rsid w:val="007836B1"/>
    <w:rsid w:val="007836CB"/>
    <w:rsid w:val="00783EAC"/>
    <w:rsid w:val="00783F76"/>
    <w:rsid w:val="00783F9E"/>
    <w:rsid w:val="007840C5"/>
    <w:rsid w:val="007842A3"/>
    <w:rsid w:val="007843B9"/>
    <w:rsid w:val="007843E3"/>
    <w:rsid w:val="007846B2"/>
    <w:rsid w:val="00784732"/>
    <w:rsid w:val="00784768"/>
    <w:rsid w:val="00784E71"/>
    <w:rsid w:val="0078582F"/>
    <w:rsid w:val="00785A31"/>
    <w:rsid w:val="0078667C"/>
    <w:rsid w:val="00786705"/>
    <w:rsid w:val="00786D31"/>
    <w:rsid w:val="00786DD2"/>
    <w:rsid w:val="00786DFB"/>
    <w:rsid w:val="00787250"/>
    <w:rsid w:val="00787279"/>
    <w:rsid w:val="007872CB"/>
    <w:rsid w:val="00787990"/>
    <w:rsid w:val="0079005C"/>
    <w:rsid w:val="007900D1"/>
    <w:rsid w:val="007908D2"/>
    <w:rsid w:val="007909F7"/>
    <w:rsid w:val="00790AB9"/>
    <w:rsid w:val="00790B1B"/>
    <w:rsid w:val="00790E3A"/>
    <w:rsid w:val="00791243"/>
    <w:rsid w:val="00791893"/>
    <w:rsid w:val="00791A1F"/>
    <w:rsid w:val="00791B34"/>
    <w:rsid w:val="00791CD5"/>
    <w:rsid w:val="00791DA0"/>
    <w:rsid w:val="00792BD3"/>
    <w:rsid w:val="00793030"/>
    <w:rsid w:val="007935D2"/>
    <w:rsid w:val="007938B2"/>
    <w:rsid w:val="00793D62"/>
    <w:rsid w:val="0079421C"/>
    <w:rsid w:val="007946C9"/>
    <w:rsid w:val="00794A0F"/>
    <w:rsid w:val="00794B87"/>
    <w:rsid w:val="00794D42"/>
    <w:rsid w:val="007950D6"/>
    <w:rsid w:val="0079572A"/>
    <w:rsid w:val="00796387"/>
    <w:rsid w:val="00796556"/>
    <w:rsid w:val="00797765"/>
    <w:rsid w:val="00797C0A"/>
    <w:rsid w:val="00797CCE"/>
    <w:rsid w:val="00797E00"/>
    <w:rsid w:val="00797F51"/>
    <w:rsid w:val="007A0484"/>
    <w:rsid w:val="007A05A1"/>
    <w:rsid w:val="007A06E9"/>
    <w:rsid w:val="007A0A25"/>
    <w:rsid w:val="007A0E14"/>
    <w:rsid w:val="007A1592"/>
    <w:rsid w:val="007A1B6C"/>
    <w:rsid w:val="007A1DEB"/>
    <w:rsid w:val="007A227E"/>
    <w:rsid w:val="007A23DF"/>
    <w:rsid w:val="007A2693"/>
    <w:rsid w:val="007A2769"/>
    <w:rsid w:val="007A2960"/>
    <w:rsid w:val="007A2CA0"/>
    <w:rsid w:val="007A2E9B"/>
    <w:rsid w:val="007A31D7"/>
    <w:rsid w:val="007A34B3"/>
    <w:rsid w:val="007A3505"/>
    <w:rsid w:val="007A3517"/>
    <w:rsid w:val="007A367F"/>
    <w:rsid w:val="007A383D"/>
    <w:rsid w:val="007A3853"/>
    <w:rsid w:val="007A39A8"/>
    <w:rsid w:val="007A3AE5"/>
    <w:rsid w:val="007A3C96"/>
    <w:rsid w:val="007A41D8"/>
    <w:rsid w:val="007A445A"/>
    <w:rsid w:val="007A5050"/>
    <w:rsid w:val="007A5158"/>
    <w:rsid w:val="007A54F1"/>
    <w:rsid w:val="007A5760"/>
    <w:rsid w:val="007A5B1C"/>
    <w:rsid w:val="007A5EEB"/>
    <w:rsid w:val="007A65BC"/>
    <w:rsid w:val="007A662E"/>
    <w:rsid w:val="007A68B8"/>
    <w:rsid w:val="007A6AFD"/>
    <w:rsid w:val="007A7620"/>
    <w:rsid w:val="007A7784"/>
    <w:rsid w:val="007A7CF4"/>
    <w:rsid w:val="007B04E6"/>
    <w:rsid w:val="007B07C0"/>
    <w:rsid w:val="007B0A99"/>
    <w:rsid w:val="007B0AE9"/>
    <w:rsid w:val="007B0D3B"/>
    <w:rsid w:val="007B14DD"/>
    <w:rsid w:val="007B1805"/>
    <w:rsid w:val="007B1AC5"/>
    <w:rsid w:val="007B1B3D"/>
    <w:rsid w:val="007B1FA5"/>
    <w:rsid w:val="007B24E7"/>
    <w:rsid w:val="007B296F"/>
    <w:rsid w:val="007B3004"/>
    <w:rsid w:val="007B3727"/>
    <w:rsid w:val="007B39D4"/>
    <w:rsid w:val="007B3A0A"/>
    <w:rsid w:val="007B3BA9"/>
    <w:rsid w:val="007B3D28"/>
    <w:rsid w:val="007B40C5"/>
    <w:rsid w:val="007B471F"/>
    <w:rsid w:val="007B48FC"/>
    <w:rsid w:val="007B4C57"/>
    <w:rsid w:val="007B5169"/>
    <w:rsid w:val="007B51B4"/>
    <w:rsid w:val="007B5400"/>
    <w:rsid w:val="007B5642"/>
    <w:rsid w:val="007B57F7"/>
    <w:rsid w:val="007B5C15"/>
    <w:rsid w:val="007B5CCE"/>
    <w:rsid w:val="007B5CDF"/>
    <w:rsid w:val="007B5FB1"/>
    <w:rsid w:val="007B628A"/>
    <w:rsid w:val="007B7822"/>
    <w:rsid w:val="007C0174"/>
    <w:rsid w:val="007C0353"/>
    <w:rsid w:val="007C0564"/>
    <w:rsid w:val="007C08AF"/>
    <w:rsid w:val="007C0980"/>
    <w:rsid w:val="007C0CCA"/>
    <w:rsid w:val="007C0F1F"/>
    <w:rsid w:val="007C14F3"/>
    <w:rsid w:val="007C1927"/>
    <w:rsid w:val="007C1E73"/>
    <w:rsid w:val="007C2090"/>
    <w:rsid w:val="007C20C8"/>
    <w:rsid w:val="007C21BD"/>
    <w:rsid w:val="007C254C"/>
    <w:rsid w:val="007C27D7"/>
    <w:rsid w:val="007C2883"/>
    <w:rsid w:val="007C2CF4"/>
    <w:rsid w:val="007C3292"/>
    <w:rsid w:val="007C32CA"/>
    <w:rsid w:val="007C33D5"/>
    <w:rsid w:val="007C3763"/>
    <w:rsid w:val="007C3783"/>
    <w:rsid w:val="007C387F"/>
    <w:rsid w:val="007C3AE5"/>
    <w:rsid w:val="007C3C4A"/>
    <w:rsid w:val="007C3E45"/>
    <w:rsid w:val="007C417A"/>
    <w:rsid w:val="007C4240"/>
    <w:rsid w:val="007C427C"/>
    <w:rsid w:val="007C48D0"/>
    <w:rsid w:val="007C49BA"/>
    <w:rsid w:val="007C5217"/>
    <w:rsid w:val="007C6078"/>
    <w:rsid w:val="007C6458"/>
    <w:rsid w:val="007C649E"/>
    <w:rsid w:val="007C66D5"/>
    <w:rsid w:val="007C6751"/>
    <w:rsid w:val="007C6BAC"/>
    <w:rsid w:val="007C6C41"/>
    <w:rsid w:val="007C6CE4"/>
    <w:rsid w:val="007C70FA"/>
    <w:rsid w:val="007C7163"/>
    <w:rsid w:val="007C717F"/>
    <w:rsid w:val="007C7198"/>
    <w:rsid w:val="007C734D"/>
    <w:rsid w:val="007C7489"/>
    <w:rsid w:val="007C7DB8"/>
    <w:rsid w:val="007C7F0C"/>
    <w:rsid w:val="007D0482"/>
    <w:rsid w:val="007D04DF"/>
    <w:rsid w:val="007D0CF4"/>
    <w:rsid w:val="007D0D7D"/>
    <w:rsid w:val="007D0F37"/>
    <w:rsid w:val="007D10F5"/>
    <w:rsid w:val="007D1600"/>
    <w:rsid w:val="007D1B67"/>
    <w:rsid w:val="007D1F0C"/>
    <w:rsid w:val="007D1FC3"/>
    <w:rsid w:val="007D2142"/>
    <w:rsid w:val="007D2312"/>
    <w:rsid w:val="007D2E61"/>
    <w:rsid w:val="007D2F1D"/>
    <w:rsid w:val="007D34FB"/>
    <w:rsid w:val="007D382A"/>
    <w:rsid w:val="007D41FC"/>
    <w:rsid w:val="007D4212"/>
    <w:rsid w:val="007D43E2"/>
    <w:rsid w:val="007D4466"/>
    <w:rsid w:val="007D44BF"/>
    <w:rsid w:val="007D482A"/>
    <w:rsid w:val="007D5295"/>
    <w:rsid w:val="007D54BD"/>
    <w:rsid w:val="007D560E"/>
    <w:rsid w:val="007D571E"/>
    <w:rsid w:val="007D5CAF"/>
    <w:rsid w:val="007D63F9"/>
    <w:rsid w:val="007D6449"/>
    <w:rsid w:val="007D6455"/>
    <w:rsid w:val="007D6759"/>
    <w:rsid w:val="007D6975"/>
    <w:rsid w:val="007D6A6E"/>
    <w:rsid w:val="007D6DE5"/>
    <w:rsid w:val="007D72E2"/>
    <w:rsid w:val="007D73A3"/>
    <w:rsid w:val="007D7437"/>
    <w:rsid w:val="007D7492"/>
    <w:rsid w:val="007D774B"/>
    <w:rsid w:val="007D7CB0"/>
    <w:rsid w:val="007E0D1F"/>
    <w:rsid w:val="007E114E"/>
    <w:rsid w:val="007E117D"/>
    <w:rsid w:val="007E11E0"/>
    <w:rsid w:val="007E1849"/>
    <w:rsid w:val="007E23B3"/>
    <w:rsid w:val="007E2458"/>
    <w:rsid w:val="007E2464"/>
    <w:rsid w:val="007E2B5C"/>
    <w:rsid w:val="007E30C1"/>
    <w:rsid w:val="007E32A9"/>
    <w:rsid w:val="007E34E0"/>
    <w:rsid w:val="007E3506"/>
    <w:rsid w:val="007E37E5"/>
    <w:rsid w:val="007E3D01"/>
    <w:rsid w:val="007E426F"/>
    <w:rsid w:val="007E444C"/>
    <w:rsid w:val="007E44E6"/>
    <w:rsid w:val="007E4862"/>
    <w:rsid w:val="007E4894"/>
    <w:rsid w:val="007E49B9"/>
    <w:rsid w:val="007E50ED"/>
    <w:rsid w:val="007E52D6"/>
    <w:rsid w:val="007E5428"/>
    <w:rsid w:val="007E58EA"/>
    <w:rsid w:val="007E5985"/>
    <w:rsid w:val="007E5B90"/>
    <w:rsid w:val="007E635F"/>
    <w:rsid w:val="007E64FD"/>
    <w:rsid w:val="007E6873"/>
    <w:rsid w:val="007E7160"/>
    <w:rsid w:val="007E74CB"/>
    <w:rsid w:val="007E7A23"/>
    <w:rsid w:val="007E7C82"/>
    <w:rsid w:val="007E7CD6"/>
    <w:rsid w:val="007E7DED"/>
    <w:rsid w:val="007F0004"/>
    <w:rsid w:val="007F0266"/>
    <w:rsid w:val="007F089F"/>
    <w:rsid w:val="007F09DA"/>
    <w:rsid w:val="007F0BB3"/>
    <w:rsid w:val="007F0C53"/>
    <w:rsid w:val="007F0D2D"/>
    <w:rsid w:val="007F0DF9"/>
    <w:rsid w:val="007F107D"/>
    <w:rsid w:val="007F142C"/>
    <w:rsid w:val="007F16A8"/>
    <w:rsid w:val="007F2067"/>
    <w:rsid w:val="007F245E"/>
    <w:rsid w:val="007F2464"/>
    <w:rsid w:val="007F2986"/>
    <w:rsid w:val="007F2B0C"/>
    <w:rsid w:val="007F3131"/>
    <w:rsid w:val="007F326C"/>
    <w:rsid w:val="007F32C0"/>
    <w:rsid w:val="007F341F"/>
    <w:rsid w:val="007F369C"/>
    <w:rsid w:val="007F39A8"/>
    <w:rsid w:val="007F3B1D"/>
    <w:rsid w:val="007F3CB7"/>
    <w:rsid w:val="007F3DBC"/>
    <w:rsid w:val="007F455D"/>
    <w:rsid w:val="007F4773"/>
    <w:rsid w:val="007F4A2A"/>
    <w:rsid w:val="007F4E8C"/>
    <w:rsid w:val="007F53CC"/>
    <w:rsid w:val="007F53D6"/>
    <w:rsid w:val="007F5AFD"/>
    <w:rsid w:val="007F684A"/>
    <w:rsid w:val="007F6DF3"/>
    <w:rsid w:val="007F6FCE"/>
    <w:rsid w:val="007F722B"/>
    <w:rsid w:val="007F7424"/>
    <w:rsid w:val="007F79ED"/>
    <w:rsid w:val="007F7D03"/>
    <w:rsid w:val="0080033E"/>
    <w:rsid w:val="008007CA"/>
    <w:rsid w:val="008008CB"/>
    <w:rsid w:val="008009B5"/>
    <w:rsid w:val="008016DE"/>
    <w:rsid w:val="00801C3A"/>
    <w:rsid w:val="00801E05"/>
    <w:rsid w:val="00802726"/>
    <w:rsid w:val="00802888"/>
    <w:rsid w:val="00802921"/>
    <w:rsid w:val="00803192"/>
    <w:rsid w:val="00803499"/>
    <w:rsid w:val="008037A6"/>
    <w:rsid w:val="008038A8"/>
    <w:rsid w:val="00803B23"/>
    <w:rsid w:val="00804043"/>
    <w:rsid w:val="008053EA"/>
    <w:rsid w:val="0080597B"/>
    <w:rsid w:val="00805A9C"/>
    <w:rsid w:val="0080651F"/>
    <w:rsid w:val="0080680D"/>
    <w:rsid w:val="00806C5F"/>
    <w:rsid w:val="00807567"/>
    <w:rsid w:val="00807772"/>
    <w:rsid w:val="008079E7"/>
    <w:rsid w:val="00807A4E"/>
    <w:rsid w:val="00807C17"/>
    <w:rsid w:val="00807E7C"/>
    <w:rsid w:val="00810049"/>
    <w:rsid w:val="00810092"/>
    <w:rsid w:val="008101E3"/>
    <w:rsid w:val="00810300"/>
    <w:rsid w:val="00810412"/>
    <w:rsid w:val="008104B7"/>
    <w:rsid w:val="008104E7"/>
    <w:rsid w:val="008107D5"/>
    <w:rsid w:val="00810CA9"/>
    <w:rsid w:val="00810D23"/>
    <w:rsid w:val="00810D63"/>
    <w:rsid w:val="00811388"/>
    <w:rsid w:val="00811848"/>
    <w:rsid w:val="00811AEF"/>
    <w:rsid w:val="00811EAA"/>
    <w:rsid w:val="00812076"/>
    <w:rsid w:val="0081262C"/>
    <w:rsid w:val="00812CC9"/>
    <w:rsid w:val="00812F20"/>
    <w:rsid w:val="0081321B"/>
    <w:rsid w:val="00813B5E"/>
    <w:rsid w:val="008145DF"/>
    <w:rsid w:val="008146B8"/>
    <w:rsid w:val="008148EC"/>
    <w:rsid w:val="00814D9C"/>
    <w:rsid w:val="00814EC4"/>
    <w:rsid w:val="008154C7"/>
    <w:rsid w:val="00815646"/>
    <w:rsid w:val="00815B67"/>
    <w:rsid w:val="00815D46"/>
    <w:rsid w:val="00816557"/>
    <w:rsid w:val="00816B7C"/>
    <w:rsid w:val="0081730A"/>
    <w:rsid w:val="008176C4"/>
    <w:rsid w:val="00817CF3"/>
    <w:rsid w:val="00817E7E"/>
    <w:rsid w:val="008200AD"/>
    <w:rsid w:val="0082012D"/>
    <w:rsid w:val="0082086E"/>
    <w:rsid w:val="00820962"/>
    <w:rsid w:val="008209FA"/>
    <w:rsid w:val="00820E63"/>
    <w:rsid w:val="00820EDC"/>
    <w:rsid w:val="00820FCC"/>
    <w:rsid w:val="00821297"/>
    <w:rsid w:val="008212AB"/>
    <w:rsid w:val="008215C8"/>
    <w:rsid w:val="0082161D"/>
    <w:rsid w:val="00821752"/>
    <w:rsid w:val="00822987"/>
    <w:rsid w:val="00822C3C"/>
    <w:rsid w:val="00823038"/>
    <w:rsid w:val="00823138"/>
    <w:rsid w:val="00823175"/>
    <w:rsid w:val="0082352F"/>
    <w:rsid w:val="008236A0"/>
    <w:rsid w:val="00823A5C"/>
    <w:rsid w:val="00823BC6"/>
    <w:rsid w:val="00823F96"/>
    <w:rsid w:val="00823FD6"/>
    <w:rsid w:val="008241CC"/>
    <w:rsid w:val="00824374"/>
    <w:rsid w:val="0082466A"/>
    <w:rsid w:val="00824919"/>
    <w:rsid w:val="0082568D"/>
    <w:rsid w:val="008256BA"/>
    <w:rsid w:val="00825C8E"/>
    <w:rsid w:val="00826659"/>
    <w:rsid w:val="00826B2D"/>
    <w:rsid w:val="00826B36"/>
    <w:rsid w:val="00826C56"/>
    <w:rsid w:val="00826C74"/>
    <w:rsid w:val="00826F6E"/>
    <w:rsid w:val="008279FF"/>
    <w:rsid w:val="00827CE1"/>
    <w:rsid w:val="008300B9"/>
    <w:rsid w:val="0083079D"/>
    <w:rsid w:val="0083083E"/>
    <w:rsid w:val="00831084"/>
    <w:rsid w:val="008318B2"/>
    <w:rsid w:val="00831D7A"/>
    <w:rsid w:val="00831E41"/>
    <w:rsid w:val="008323DD"/>
    <w:rsid w:val="00832A76"/>
    <w:rsid w:val="00833215"/>
    <w:rsid w:val="00833D61"/>
    <w:rsid w:val="008344BD"/>
    <w:rsid w:val="00835AEC"/>
    <w:rsid w:val="00835C6E"/>
    <w:rsid w:val="00836C6D"/>
    <w:rsid w:val="008374ED"/>
    <w:rsid w:val="008378AF"/>
    <w:rsid w:val="00837CC9"/>
    <w:rsid w:val="008400D0"/>
    <w:rsid w:val="0084020C"/>
    <w:rsid w:val="00840299"/>
    <w:rsid w:val="00840433"/>
    <w:rsid w:val="00840519"/>
    <w:rsid w:val="00840784"/>
    <w:rsid w:val="0084082D"/>
    <w:rsid w:val="0084097D"/>
    <w:rsid w:val="00841E5B"/>
    <w:rsid w:val="008421A2"/>
    <w:rsid w:val="00842460"/>
    <w:rsid w:val="00842C55"/>
    <w:rsid w:val="00842EEF"/>
    <w:rsid w:val="00843633"/>
    <w:rsid w:val="008436F1"/>
    <w:rsid w:val="0084373F"/>
    <w:rsid w:val="0084379A"/>
    <w:rsid w:val="0084385B"/>
    <w:rsid w:val="00843BB3"/>
    <w:rsid w:val="00844270"/>
    <w:rsid w:val="00844352"/>
    <w:rsid w:val="00844DE3"/>
    <w:rsid w:val="0084545B"/>
    <w:rsid w:val="008457BA"/>
    <w:rsid w:val="0084584F"/>
    <w:rsid w:val="00845C46"/>
    <w:rsid w:val="00845FB2"/>
    <w:rsid w:val="008466D5"/>
    <w:rsid w:val="00846F9C"/>
    <w:rsid w:val="008471E2"/>
    <w:rsid w:val="008471E3"/>
    <w:rsid w:val="00847985"/>
    <w:rsid w:val="00847BD6"/>
    <w:rsid w:val="00847ED2"/>
    <w:rsid w:val="00847FEB"/>
    <w:rsid w:val="00850291"/>
    <w:rsid w:val="00850350"/>
    <w:rsid w:val="00850497"/>
    <w:rsid w:val="00850972"/>
    <w:rsid w:val="00850B07"/>
    <w:rsid w:val="00850D30"/>
    <w:rsid w:val="00850DDF"/>
    <w:rsid w:val="00850F19"/>
    <w:rsid w:val="008515CD"/>
    <w:rsid w:val="00851681"/>
    <w:rsid w:val="008517E1"/>
    <w:rsid w:val="008517F9"/>
    <w:rsid w:val="0085188C"/>
    <w:rsid w:val="00851993"/>
    <w:rsid w:val="00851A29"/>
    <w:rsid w:val="00851C92"/>
    <w:rsid w:val="00852039"/>
    <w:rsid w:val="008527DF"/>
    <w:rsid w:val="008528AB"/>
    <w:rsid w:val="00852B0D"/>
    <w:rsid w:val="00852C4A"/>
    <w:rsid w:val="008531FF"/>
    <w:rsid w:val="0085331C"/>
    <w:rsid w:val="0085396E"/>
    <w:rsid w:val="00853EE5"/>
    <w:rsid w:val="008541F3"/>
    <w:rsid w:val="00854A2B"/>
    <w:rsid w:val="00854A55"/>
    <w:rsid w:val="00854A68"/>
    <w:rsid w:val="00854F6A"/>
    <w:rsid w:val="008554D8"/>
    <w:rsid w:val="008558D6"/>
    <w:rsid w:val="00855BDB"/>
    <w:rsid w:val="00855C65"/>
    <w:rsid w:val="00855C7B"/>
    <w:rsid w:val="00855D7D"/>
    <w:rsid w:val="00856273"/>
    <w:rsid w:val="0085657E"/>
    <w:rsid w:val="008565C6"/>
    <w:rsid w:val="008566AB"/>
    <w:rsid w:val="008567B4"/>
    <w:rsid w:val="00856B4D"/>
    <w:rsid w:val="00856BDF"/>
    <w:rsid w:val="00856EC8"/>
    <w:rsid w:val="0085790B"/>
    <w:rsid w:val="0085799A"/>
    <w:rsid w:val="00857A61"/>
    <w:rsid w:val="008601CB"/>
    <w:rsid w:val="0086040E"/>
    <w:rsid w:val="0086078C"/>
    <w:rsid w:val="008607D8"/>
    <w:rsid w:val="008608EB"/>
    <w:rsid w:val="0086099D"/>
    <w:rsid w:val="00860DFB"/>
    <w:rsid w:val="00861192"/>
    <w:rsid w:val="008613C1"/>
    <w:rsid w:val="008622DE"/>
    <w:rsid w:val="0086247C"/>
    <w:rsid w:val="0086289C"/>
    <w:rsid w:val="008629FE"/>
    <w:rsid w:val="00862DCE"/>
    <w:rsid w:val="0086335E"/>
    <w:rsid w:val="00863415"/>
    <w:rsid w:val="008636DB"/>
    <w:rsid w:val="008637A5"/>
    <w:rsid w:val="00863D8D"/>
    <w:rsid w:val="00863E22"/>
    <w:rsid w:val="008640CA"/>
    <w:rsid w:val="00864156"/>
    <w:rsid w:val="008644FA"/>
    <w:rsid w:val="00864A13"/>
    <w:rsid w:val="00864BD1"/>
    <w:rsid w:val="00865085"/>
    <w:rsid w:val="008650E5"/>
    <w:rsid w:val="008652BE"/>
    <w:rsid w:val="00865B8B"/>
    <w:rsid w:val="00865C82"/>
    <w:rsid w:val="00865EEA"/>
    <w:rsid w:val="00866235"/>
    <w:rsid w:val="0086645D"/>
    <w:rsid w:val="008668BD"/>
    <w:rsid w:val="00866944"/>
    <w:rsid w:val="00866968"/>
    <w:rsid w:val="00866B71"/>
    <w:rsid w:val="00867074"/>
    <w:rsid w:val="00867505"/>
    <w:rsid w:val="00867930"/>
    <w:rsid w:val="00870202"/>
    <w:rsid w:val="008702D5"/>
    <w:rsid w:val="008711DB"/>
    <w:rsid w:val="008717CE"/>
    <w:rsid w:val="0087199F"/>
    <w:rsid w:val="00871FD2"/>
    <w:rsid w:val="008727EF"/>
    <w:rsid w:val="008737F1"/>
    <w:rsid w:val="008738CC"/>
    <w:rsid w:val="00873D09"/>
    <w:rsid w:val="00873E9E"/>
    <w:rsid w:val="0087407C"/>
    <w:rsid w:val="008743C4"/>
    <w:rsid w:val="008747A5"/>
    <w:rsid w:val="00874B9C"/>
    <w:rsid w:val="00874D19"/>
    <w:rsid w:val="00875420"/>
    <w:rsid w:val="008758C7"/>
    <w:rsid w:val="00875AD0"/>
    <w:rsid w:val="00875B8A"/>
    <w:rsid w:val="00875F06"/>
    <w:rsid w:val="00876319"/>
    <w:rsid w:val="0087656E"/>
    <w:rsid w:val="008765D2"/>
    <w:rsid w:val="0087681D"/>
    <w:rsid w:val="00876D5F"/>
    <w:rsid w:val="00877763"/>
    <w:rsid w:val="00877C0A"/>
    <w:rsid w:val="00880074"/>
    <w:rsid w:val="008800CC"/>
    <w:rsid w:val="00880222"/>
    <w:rsid w:val="008809B1"/>
    <w:rsid w:val="00880B91"/>
    <w:rsid w:val="00880D2E"/>
    <w:rsid w:val="0088152D"/>
    <w:rsid w:val="00881798"/>
    <w:rsid w:val="0088181A"/>
    <w:rsid w:val="0088184B"/>
    <w:rsid w:val="00881C2F"/>
    <w:rsid w:val="00882377"/>
    <w:rsid w:val="008829EF"/>
    <w:rsid w:val="00882D98"/>
    <w:rsid w:val="00882E64"/>
    <w:rsid w:val="00883751"/>
    <w:rsid w:val="00883F92"/>
    <w:rsid w:val="008841D6"/>
    <w:rsid w:val="00884393"/>
    <w:rsid w:val="008848DC"/>
    <w:rsid w:val="00884C82"/>
    <w:rsid w:val="008850AE"/>
    <w:rsid w:val="00885CEF"/>
    <w:rsid w:val="008860F4"/>
    <w:rsid w:val="008863D7"/>
    <w:rsid w:val="008867A3"/>
    <w:rsid w:val="00886A38"/>
    <w:rsid w:val="00886C8F"/>
    <w:rsid w:val="00886E64"/>
    <w:rsid w:val="00886ED2"/>
    <w:rsid w:val="00887FF4"/>
    <w:rsid w:val="00890098"/>
    <w:rsid w:val="008901F1"/>
    <w:rsid w:val="0089029C"/>
    <w:rsid w:val="008905F3"/>
    <w:rsid w:val="008913B5"/>
    <w:rsid w:val="00891474"/>
    <w:rsid w:val="00891620"/>
    <w:rsid w:val="00891C4C"/>
    <w:rsid w:val="0089229B"/>
    <w:rsid w:val="00892CE0"/>
    <w:rsid w:val="00892F89"/>
    <w:rsid w:val="008934E5"/>
    <w:rsid w:val="00893D64"/>
    <w:rsid w:val="00893F0B"/>
    <w:rsid w:val="00894031"/>
    <w:rsid w:val="00894581"/>
    <w:rsid w:val="008946BE"/>
    <w:rsid w:val="008947CC"/>
    <w:rsid w:val="008948F6"/>
    <w:rsid w:val="00895107"/>
    <w:rsid w:val="00895207"/>
    <w:rsid w:val="00896117"/>
    <w:rsid w:val="00896618"/>
    <w:rsid w:val="008966DC"/>
    <w:rsid w:val="00896905"/>
    <w:rsid w:val="00896A50"/>
    <w:rsid w:val="008976A8"/>
    <w:rsid w:val="00897741"/>
    <w:rsid w:val="00897E7F"/>
    <w:rsid w:val="008A0632"/>
    <w:rsid w:val="008A09B4"/>
    <w:rsid w:val="008A09F0"/>
    <w:rsid w:val="008A1CB9"/>
    <w:rsid w:val="008A225E"/>
    <w:rsid w:val="008A2412"/>
    <w:rsid w:val="008A2592"/>
    <w:rsid w:val="008A28C3"/>
    <w:rsid w:val="008A2E54"/>
    <w:rsid w:val="008A3272"/>
    <w:rsid w:val="008A358F"/>
    <w:rsid w:val="008A3833"/>
    <w:rsid w:val="008A38CE"/>
    <w:rsid w:val="008A39BE"/>
    <w:rsid w:val="008A4393"/>
    <w:rsid w:val="008A4647"/>
    <w:rsid w:val="008A4A8E"/>
    <w:rsid w:val="008A4C7C"/>
    <w:rsid w:val="008A4CB4"/>
    <w:rsid w:val="008A5F15"/>
    <w:rsid w:val="008A64C0"/>
    <w:rsid w:val="008A65A1"/>
    <w:rsid w:val="008A65F0"/>
    <w:rsid w:val="008A6B60"/>
    <w:rsid w:val="008A6C56"/>
    <w:rsid w:val="008A7815"/>
    <w:rsid w:val="008A7832"/>
    <w:rsid w:val="008B0075"/>
    <w:rsid w:val="008B0158"/>
    <w:rsid w:val="008B04C5"/>
    <w:rsid w:val="008B0806"/>
    <w:rsid w:val="008B0F7C"/>
    <w:rsid w:val="008B11AC"/>
    <w:rsid w:val="008B14E9"/>
    <w:rsid w:val="008B1658"/>
    <w:rsid w:val="008B1803"/>
    <w:rsid w:val="008B1C41"/>
    <w:rsid w:val="008B1D0B"/>
    <w:rsid w:val="008B240E"/>
    <w:rsid w:val="008B24E4"/>
    <w:rsid w:val="008B2C89"/>
    <w:rsid w:val="008B2D19"/>
    <w:rsid w:val="008B2D88"/>
    <w:rsid w:val="008B326E"/>
    <w:rsid w:val="008B3366"/>
    <w:rsid w:val="008B34A7"/>
    <w:rsid w:val="008B3814"/>
    <w:rsid w:val="008B3B77"/>
    <w:rsid w:val="008B3E37"/>
    <w:rsid w:val="008B4179"/>
    <w:rsid w:val="008B4564"/>
    <w:rsid w:val="008B461B"/>
    <w:rsid w:val="008B479B"/>
    <w:rsid w:val="008B47FA"/>
    <w:rsid w:val="008B4AC3"/>
    <w:rsid w:val="008B4D13"/>
    <w:rsid w:val="008B505C"/>
    <w:rsid w:val="008B5148"/>
    <w:rsid w:val="008B58B7"/>
    <w:rsid w:val="008B5D77"/>
    <w:rsid w:val="008B658C"/>
    <w:rsid w:val="008B733B"/>
    <w:rsid w:val="008B7835"/>
    <w:rsid w:val="008C049E"/>
    <w:rsid w:val="008C06BA"/>
    <w:rsid w:val="008C0994"/>
    <w:rsid w:val="008C0CA5"/>
    <w:rsid w:val="008C12C6"/>
    <w:rsid w:val="008C1653"/>
    <w:rsid w:val="008C176A"/>
    <w:rsid w:val="008C1F6D"/>
    <w:rsid w:val="008C22B6"/>
    <w:rsid w:val="008C2531"/>
    <w:rsid w:val="008C25C9"/>
    <w:rsid w:val="008C26C6"/>
    <w:rsid w:val="008C34C6"/>
    <w:rsid w:val="008C3594"/>
    <w:rsid w:val="008C3772"/>
    <w:rsid w:val="008C39C0"/>
    <w:rsid w:val="008C3BB3"/>
    <w:rsid w:val="008C4399"/>
    <w:rsid w:val="008C4BA5"/>
    <w:rsid w:val="008C4CC4"/>
    <w:rsid w:val="008C524E"/>
    <w:rsid w:val="008C53D4"/>
    <w:rsid w:val="008C5512"/>
    <w:rsid w:val="008C60CB"/>
    <w:rsid w:val="008C61F2"/>
    <w:rsid w:val="008C62CE"/>
    <w:rsid w:val="008C6771"/>
    <w:rsid w:val="008C6869"/>
    <w:rsid w:val="008C69C0"/>
    <w:rsid w:val="008C6D39"/>
    <w:rsid w:val="008C70D0"/>
    <w:rsid w:val="008C765A"/>
    <w:rsid w:val="008C77BD"/>
    <w:rsid w:val="008C7E78"/>
    <w:rsid w:val="008D13F3"/>
    <w:rsid w:val="008D19AD"/>
    <w:rsid w:val="008D1F83"/>
    <w:rsid w:val="008D2371"/>
    <w:rsid w:val="008D2800"/>
    <w:rsid w:val="008D2B56"/>
    <w:rsid w:val="008D3490"/>
    <w:rsid w:val="008D34AD"/>
    <w:rsid w:val="008D3AF6"/>
    <w:rsid w:val="008D3D53"/>
    <w:rsid w:val="008D3EB7"/>
    <w:rsid w:val="008D4887"/>
    <w:rsid w:val="008D48E0"/>
    <w:rsid w:val="008D4BFE"/>
    <w:rsid w:val="008D4EC8"/>
    <w:rsid w:val="008D4F94"/>
    <w:rsid w:val="008D51CE"/>
    <w:rsid w:val="008D51E6"/>
    <w:rsid w:val="008D54D6"/>
    <w:rsid w:val="008D5C82"/>
    <w:rsid w:val="008D5E24"/>
    <w:rsid w:val="008D6F27"/>
    <w:rsid w:val="008D6FBD"/>
    <w:rsid w:val="008D70AC"/>
    <w:rsid w:val="008D715E"/>
    <w:rsid w:val="008D72A5"/>
    <w:rsid w:val="008D7789"/>
    <w:rsid w:val="008D7D25"/>
    <w:rsid w:val="008E0139"/>
    <w:rsid w:val="008E0180"/>
    <w:rsid w:val="008E01C4"/>
    <w:rsid w:val="008E0773"/>
    <w:rsid w:val="008E0ED5"/>
    <w:rsid w:val="008E1434"/>
    <w:rsid w:val="008E14D7"/>
    <w:rsid w:val="008E1800"/>
    <w:rsid w:val="008E18A3"/>
    <w:rsid w:val="008E37EA"/>
    <w:rsid w:val="008E3884"/>
    <w:rsid w:val="008E38AC"/>
    <w:rsid w:val="008E3CD4"/>
    <w:rsid w:val="008E3EE8"/>
    <w:rsid w:val="008E4032"/>
    <w:rsid w:val="008E451F"/>
    <w:rsid w:val="008E476F"/>
    <w:rsid w:val="008E484E"/>
    <w:rsid w:val="008E4864"/>
    <w:rsid w:val="008E4CA4"/>
    <w:rsid w:val="008E5695"/>
    <w:rsid w:val="008E5728"/>
    <w:rsid w:val="008E5E8A"/>
    <w:rsid w:val="008E6174"/>
    <w:rsid w:val="008E6219"/>
    <w:rsid w:val="008E6687"/>
    <w:rsid w:val="008E67C0"/>
    <w:rsid w:val="008E6809"/>
    <w:rsid w:val="008F0BC0"/>
    <w:rsid w:val="008F1281"/>
    <w:rsid w:val="008F1DFC"/>
    <w:rsid w:val="008F24CA"/>
    <w:rsid w:val="008F2977"/>
    <w:rsid w:val="008F2F4B"/>
    <w:rsid w:val="008F3636"/>
    <w:rsid w:val="008F3F3E"/>
    <w:rsid w:val="008F3F6E"/>
    <w:rsid w:val="008F45A9"/>
    <w:rsid w:val="008F45CF"/>
    <w:rsid w:val="008F4697"/>
    <w:rsid w:val="008F495B"/>
    <w:rsid w:val="008F4A8B"/>
    <w:rsid w:val="008F4A9F"/>
    <w:rsid w:val="008F4DFC"/>
    <w:rsid w:val="008F4E1B"/>
    <w:rsid w:val="008F5526"/>
    <w:rsid w:val="008F583A"/>
    <w:rsid w:val="008F5898"/>
    <w:rsid w:val="008F5E1F"/>
    <w:rsid w:val="008F5FA1"/>
    <w:rsid w:val="008F5FAC"/>
    <w:rsid w:val="008F6237"/>
    <w:rsid w:val="008F6416"/>
    <w:rsid w:val="008F6962"/>
    <w:rsid w:val="008F6C76"/>
    <w:rsid w:val="008F73F4"/>
    <w:rsid w:val="008F7561"/>
    <w:rsid w:val="008F75C8"/>
    <w:rsid w:val="008F79C9"/>
    <w:rsid w:val="008F7A56"/>
    <w:rsid w:val="00900692"/>
    <w:rsid w:val="00900D7C"/>
    <w:rsid w:val="00900EAD"/>
    <w:rsid w:val="00901631"/>
    <w:rsid w:val="009016BF"/>
    <w:rsid w:val="009017BE"/>
    <w:rsid w:val="009019D5"/>
    <w:rsid w:val="00901BB9"/>
    <w:rsid w:val="00901D48"/>
    <w:rsid w:val="00902CC2"/>
    <w:rsid w:val="009031FF"/>
    <w:rsid w:val="00903A4F"/>
    <w:rsid w:val="00903AC0"/>
    <w:rsid w:val="00903C72"/>
    <w:rsid w:val="009042A1"/>
    <w:rsid w:val="00904584"/>
    <w:rsid w:val="00905136"/>
    <w:rsid w:val="00905203"/>
    <w:rsid w:val="009053F2"/>
    <w:rsid w:val="009054BF"/>
    <w:rsid w:val="00905910"/>
    <w:rsid w:val="009063FB"/>
    <w:rsid w:val="00906AAA"/>
    <w:rsid w:val="00906AAE"/>
    <w:rsid w:val="00906BFB"/>
    <w:rsid w:val="0090705C"/>
    <w:rsid w:val="009070F8"/>
    <w:rsid w:val="00907592"/>
    <w:rsid w:val="00907BDD"/>
    <w:rsid w:val="00910287"/>
    <w:rsid w:val="00910C44"/>
    <w:rsid w:val="00910D1F"/>
    <w:rsid w:val="00911115"/>
    <w:rsid w:val="009112C6"/>
    <w:rsid w:val="009113A9"/>
    <w:rsid w:val="0091143F"/>
    <w:rsid w:val="0091186E"/>
    <w:rsid w:val="009122EB"/>
    <w:rsid w:val="009124D9"/>
    <w:rsid w:val="00912BC1"/>
    <w:rsid w:val="00912C0A"/>
    <w:rsid w:val="00912E1C"/>
    <w:rsid w:val="009134D0"/>
    <w:rsid w:val="009144C0"/>
    <w:rsid w:val="0091473B"/>
    <w:rsid w:val="00914B87"/>
    <w:rsid w:val="00914ED0"/>
    <w:rsid w:val="00915127"/>
    <w:rsid w:val="00915337"/>
    <w:rsid w:val="00915385"/>
    <w:rsid w:val="009155B9"/>
    <w:rsid w:val="00915664"/>
    <w:rsid w:val="009159AE"/>
    <w:rsid w:val="00915AB9"/>
    <w:rsid w:val="0091606A"/>
    <w:rsid w:val="0091667B"/>
    <w:rsid w:val="009168A2"/>
    <w:rsid w:val="00916C12"/>
    <w:rsid w:val="00917153"/>
    <w:rsid w:val="00917394"/>
    <w:rsid w:val="009176FC"/>
    <w:rsid w:val="00917EAD"/>
    <w:rsid w:val="00917FA8"/>
    <w:rsid w:val="00920275"/>
    <w:rsid w:val="0092041F"/>
    <w:rsid w:val="009206B5"/>
    <w:rsid w:val="00920C1A"/>
    <w:rsid w:val="009211C9"/>
    <w:rsid w:val="00921392"/>
    <w:rsid w:val="00921931"/>
    <w:rsid w:val="0092295C"/>
    <w:rsid w:val="00922A16"/>
    <w:rsid w:val="00922A7F"/>
    <w:rsid w:val="00922D48"/>
    <w:rsid w:val="009234F0"/>
    <w:rsid w:val="009239B3"/>
    <w:rsid w:val="0092433C"/>
    <w:rsid w:val="009248F8"/>
    <w:rsid w:val="00924A1F"/>
    <w:rsid w:val="00924A6C"/>
    <w:rsid w:val="00924F2B"/>
    <w:rsid w:val="00924F83"/>
    <w:rsid w:val="009252CC"/>
    <w:rsid w:val="0092562E"/>
    <w:rsid w:val="0092570E"/>
    <w:rsid w:val="009257E3"/>
    <w:rsid w:val="009259A6"/>
    <w:rsid w:val="00926436"/>
    <w:rsid w:val="009269F7"/>
    <w:rsid w:val="00926ABE"/>
    <w:rsid w:val="00926C3C"/>
    <w:rsid w:val="00926CBE"/>
    <w:rsid w:val="00927624"/>
    <w:rsid w:val="009277BD"/>
    <w:rsid w:val="00927B5B"/>
    <w:rsid w:val="00927F24"/>
    <w:rsid w:val="009303FB"/>
    <w:rsid w:val="009305F8"/>
    <w:rsid w:val="00930A85"/>
    <w:rsid w:val="00930FF4"/>
    <w:rsid w:val="0093162F"/>
    <w:rsid w:val="00931CAF"/>
    <w:rsid w:val="00932435"/>
    <w:rsid w:val="00932679"/>
    <w:rsid w:val="00932904"/>
    <w:rsid w:val="00932F94"/>
    <w:rsid w:val="009332CA"/>
    <w:rsid w:val="00933304"/>
    <w:rsid w:val="00933464"/>
    <w:rsid w:val="00933629"/>
    <w:rsid w:val="00933B3E"/>
    <w:rsid w:val="00933CFE"/>
    <w:rsid w:val="00933FE9"/>
    <w:rsid w:val="0093428D"/>
    <w:rsid w:val="00934681"/>
    <w:rsid w:val="00934817"/>
    <w:rsid w:val="00934CF6"/>
    <w:rsid w:val="0093517B"/>
    <w:rsid w:val="009358B3"/>
    <w:rsid w:val="00935AE2"/>
    <w:rsid w:val="00935D81"/>
    <w:rsid w:val="009360D1"/>
    <w:rsid w:val="00936159"/>
    <w:rsid w:val="0093640C"/>
    <w:rsid w:val="00936934"/>
    <w:rsid w:val="0093732B"/>
    <w:rsid w:val="00937C34"/>
    <w:rsid w:val="00937C37"/>
    <w:rsid w:val="009403CC"/>
    <w:rsid w:val="009409B0"/>
    <w:rsid w:val="009409D4"/>
    <w:rsid w:val="00940C96"/>
    <w:rsid w:val="00940F6B"/>
    <w:rsid w:val="00940FA9"/>
    <w:rsid w:val="009413EA"/>
    <w:rsid w:val="00941D17"/>
    <w:rsid w:val="00942046"/>
    <w:rsid w:val="00942442"/>
    <w:rsid w:val="009424A8"/>
    <w:rsid w:val="0094291E"/>
    <w:rsid w:val="00942A0A"/>
    <w:rsid w:val="00942D09"/>
    <w:rsid w:val="00942E43"/>
    <w:rsid w:val="00942E60"/>
    <w:rsid w:val="00943117"/>
    <w:rsid w:val="00943308"/>
    <w:rsid w:val="0094369C"/>
    <w:rsid w:val="0094373D"/>
    <w:rsid w:val="00943F76"/>
    <w:rsid w:val="00944204"/>
    <w:rsid w:val="00944296"/>
    <w:rsid w:val="00944E83"/>
    <w:rsid w:val="009453DE"/>
    <w:rsid w:val="00945563"/>
    <w:rsid w:val="00945E97"/>
    <w:rsid w:val="0094667E"/>
    <w:rsid w:val="00946A7B"/>
    <w:rsid w:val="00947328"/>
    <w:rsid w:val="00947806"/>
    <w:rsid w:val="00947944"/>
    <w:rsid w:val="00947C88"/>
    <w:rsid w:val="0095004B"/>
    <w:rsid w:val="009509F5"/>
    <w:rsid w:val="00950A22"/>
    <w:rsid w:val="00950AAD"/>
    <w:rsid w:val="00950C04"/>
    <w:rsid w:val="00950CFB"/>
    <w:rsid w:val="00950FB7"/>
    <w:rsid w:val="0095116E"/>
    <w:rsid w:val="0095277B"/>
    <w:rsid w:val="00952D36"/>
    <w:rsid w:val="00952D78"/>
    <w:rsid w:val="00953516"/>
    <w:rsid w:val="0095354A"/>
    <w:rsid w:val="00953AEB"/>
    <w:rsid w:val="00953CEB"/>
    <w:rsid w:val="00953E9C"/>
    <w:rsid w:val="0095453C"/>
    <w:rsid w:val="009545AA"/>
    <w:rsid w:val="009548D7"/>
    <w:rsid w:val="00954A4E"/>
    <w:rsid w:val="00955202"/>
    <w:rsid w:val="00955258"/>
    <w:rsid w:val="0095554F"/>
    <w:rsid w:val="00955559"/>
    <w:rsid w:val="00955BC1"/>
    <w:rsid w:val="00955E52"/>
    <w:rsid w:val="0095602A"/>
    <w:rsid w:val="00956BD8"/>
    <w:rsid w:val="00956C7C"/>
    <w:rsid w:val="00956CE4"/>
    <w:rsid w:val="00956E70"/>
    <w:rsid w:val="00957612"/>
    <w:rsid w:val="00957739"/>
    <w:rsid w:val="009601D8"/>
    <w:rsid w:val="00960BBF"/>
    <w:rsid w:val="00960BC6"/>
    <w:rsid w:val="00960CB9"/>
    <w:rsid w:val="00960E66"/>
    <w:rsid w:val="0096274C"/>
    <w:rsid w:val="009627F7"/>
    <w:rsid w:val="00962B7D"/>
    <w:rsid w:val="00962D98"/>
    <w:rsid w:val="00963501"/>
    <w:rsid w:val="00963639"/>
    <w:rsid w:val="00963CB5"/>
    <w:rsid w:val="009640A6"/>
    <w:rsid w:val="00964494"/>
    <w:rsid w:val="00964841"/>
    <w:rsid w:val="009649BC"/>
    <w:rsid w:val="009649DB"/>
    <w:rsid w:val="00964B8D"/>
    <w:rsid w:val="00964D2B"/>
    <w:rsid w:val="00964E43"/>
    <w:rsid w:val="00964EF7"/>
    <w:rsid w:val="009659EC"/>
    <w:rsid w:val="00965A3B"/>
    <w:rsid w:val="009660AB"/>
    <w:rsid w:val="0096630E"/>
    <w:rsid w:val="00966955"/>
    <w:rsid w:val="009671E3"/>
    <w:rsid w:val="009674E4"/>
    <w:rsid w:val="0096754F"/>
    <w:rsid w:val="009675FF"/>
    <w:rsid w:val="0096763A"/>
    <w:rsid w:val="0096796A"/>
    <w:rsid w:val="009679C3"/>
    <w:rsid w:val="00967CBF"/>
    <w:rsid w:val="00970518"/>
    <w:rsid w:val="00970A77"/>
    <w:rsid w:val="00970DA6"/>
    <w:rsid w:val="00971280"/>
    <w:rsid w:val="00971433"/>
    <w:rsid w:val="0097164D"/>
    <w:rsid w:val="00971951"/>
    <w:rsid w:val="00971BA7"/>
    <w:rsid w:val="00971C74"/>
    <w:rsid w:val="00971E73"/>
    <w:rsid w:val="00972340"/>
    <w:rsid w:val="00972390"/>
    <w:rsid w:val="009723C1"/>
    <w:rsid w:val="00972682"/>
    <w:rsid w:val="00972A77"/>
    <w:rsid w:val="00972F21"/>
    <w:rsid w:val="009732B4"/>
    <w:rsid w:val="00973322"/>
    <w:rsid w:val="0097341C"/>
    <w:rsid w:val="0097359D"/>
    <w:rsid w:val="00973810"/>
    <w:rsid w:val="009738B0"/>
    <w:rsid w:val="00973B8F"/>
    <w:rsid w:val="00973E8F"/>
    <w:rsid w:val="0097413F"/>
    <w:rsid w:val="0097426F"/>
    <w:rsid w:val="00974356"/>
    <w:rsid w:val="009748F6"/>
    <w:rsid w:val="009749DC"/>
    <w:rsid w:val="00974E1D"/>
    <w:rsid w:val="009759A6"/>
    <w:rsid w:val="009759CB"/>
    <w:rsid w:val="00975A12"/>
    <w:rsid w:val="00975B43"/>
    <w:rsid w:val="00975CB0"/>
    <w:rsid w:val="00975D47"/>
    <w:rsid w:val="00976296"/>
    <w:rsid w:val="0097649F"/>
    <w:rsid w:val="00976639"/>
    <w:rsid w:val="009766C1"/>
    <w:rsid w:val="00976D8B"/>
    <w:rsid w:val="00976FC9"/>
    <w:rsid w:val="0097756D"/>
    <w:rsid w:val="0098027C"/>
    <w:rsid w:val="0098078A"/>
    <w:rsid w:val="009807BC"/>
    <w:rsid w:val="0098085B"/>
    <w:rsid w:val="00980A5A"/>
    <w:rsid w:val="00981F57"/>
    <w:rsid w:val="009827E8"/>
    <w:rsid w:val="0098280B"/>
    <w:rsid w:val="00982B47"/>
    <w:rsid w:val="00982E18"/>
    <w:rsid w:val="00982FBD"/>
    <w:rsid w:val="0098344C"/>
    <w:rsid w:val="009839F7"/>
    <w:rsid w:val="00983C7D"/>
    <w:rsid w:val="00983DA4"/>
    <w:rsid w:val="00984154"/>
    <w:rsid w:val="00984532"/>
    <w:rsid w:val="00984A82"/>
    <w:rsid w:val="00984BB4"/>
    <w:rsid w:val="00985015"/>
    <w:rsid w:val="009850DC"/>
    <w:rsid w:val="009851F3"/>
    <w:rsid w:val="009852E2"/>
    <w:rsid w:val="009852FB"/>
    <w:rsid w:val="0098595A"/>
    <w:rsid w:val="00985E8A"/>
    <w:rsid w:val="00986064"/>
    <w:rsid w:val="0098609F"/>
    <w:rsid w:val="0098650C"/>
    <w:rsid w:val="00986AA1"/>
    <w:rsid w:val="00986B7C"/>
    <w:rsid w:val="00986C38"/>
    <w:rsid w:val="00986D0F"/>
    <w:rsid w:val="00986F28"/>
    <w:rsid w:val="00987D41"/>
    <w:rsid w:val="00987D65"/>
    <w:rsid w:val="00987DB9"/>
    <w:rsid w:val="0099035F"/>
    <w:rsid w:val="009907E1"/>
    <w:rsid w:val="00990839"/>
    <w:rsid w:val="00990C54"/>
    <w:rsid w:val="00990CC4"/>
    <w:rsid w:val="00990EFA"/>
    <w:rsid w:val="0099169D"/>
    <w:rsid w:val="00991719"/>
    <w:rsid w:val="00991764"/>
    <w:rsid w:val="0099178F"/>
    <w:rsid w:val="00991BC6"/>
    <w:rsid w:val="00991C56"/>
    <w:rsid w:val="00991C88"/>
    <w:rsid w:val="00991F2E"/>
    <w:rsid w:val="0099202B"/>
    <w:rsid w:val="0099340B"/>
    <w:rsid w:val="00993A89"/>
    <w:rsid w:val="00993B86"/>
    <w:rsid w:val="00993DAF"/>
    <w:rsid w:val="00993EF8"/>
    <w:rsid w:val="0099433D"/>
    <w:rsid w:val="009945D5"/>
    <w:rsid w:val="00994A28"/>
    <w:rsid w:val="00994A39"/>
    <w:rsid w:val="00994DCA"/>
    <w:rsid w:val="009950BE"/>
    <w:rsid w:val="009951AF"/>
    <w:rsid w:val="00995724"/>
    <w:rsid w:val="00995754"/>
    <w:rsid w:val="0099585D"/>
    <w:rsid w:val="009959C2"/>
    <w:rsid w:val="00995A10"/>
    <w:rsid w:val="00995D07"/>
    <w:rsid w:val="00995E86"/>
    <w:rsid w:val="00996BE8"/>
    <w:rsid w:val="00996C3C"/>
    <w:rsid w:val="0099712D"/>
    <w:rsid w:val="009972B7"/>
    <w:rsid w:val="00997802"/>
    <w:rsid w:val="009979EE"/>
    <w:rsid w:val="00997AA8"/>
    <w:rsid w:val="00997AEC"/>
    <w:rsid w:val="00997DA4"/>
    <w:rsid w:val="009A05A4"/>
    <w:rsid w:val="009A0706"/>
    <w:rsid w:val="009A0D07"/>
    <w:rsid w:val="009A119B"/>
    <w:rsid w:val="009A13D0"/>
    <w:rsid w:val="009A15FA"/>
    <w:rsid w:val="009A16A9"/>
    <w:rsid w:val="009A1D3D"/>
    <w:rsid w:val="009A1E0B"/>
    <w:rsid w:val="009A2047"/>
    <w:rsid w:val="009A22D5"/>
    <w:rsid w:val="009A250A"/>
    <w:rsid w:val="009A2631"/>
    <w:rsid w:val="009A2C3B"/>
    <w:rsid w:val="009A2D3C"/>
    <w:rsid w:val="009A2D68"/>
    <w:rsid w:val="009A2E6E"/>
    <w:rsid w:val="009A2FC1"/>
    <w:rsid w:val="009A35EB"/>
    <w:rsid w:val="009A3A40"/>
    <w:rsid w:val="009A3CA4"/>
    <w:rsid w:val="009A43A1"/>
    <w:rsid w:val="009A493D"/>
    <w:rsid w:val="009A4A76"/>
    <w:rsid w:val="009A4C7C"/>
    <w:rsid w:val="009A4E67"/>
    <w:rsid w:val="009A5FE4"/>
    <w:rsid w:val="009A60B6"/>
    <w:rsid w:val="009A6F00"/>
    <w:rsid w:val="009A6F19"/>
    <w:rsid w:val="009A73CF"/>
    <w:rsid w:val="009A7481"/>
    <w:rsid w:val="009A7485"/>
    <w:rsid w:val="009A74BE"/>
    <w:rsid w:val="009A79B3"/>
    <w:rsid w:val="009B038C"/>
    <w:rsid w:val="009B0586"/>
    <w:rsid w:val="009B0C88"/>
    <w:rsid w:val="009B0E45"/>
    <w:rsid w:val="009B0E4B"/>
    <w:rsid w:val="009B0F2F"/>
    <w:rsid w:val="009B1042"/>
    <w:rsid w:val="009B14B8"/>
    <w:rsid w:val="009B1741"/>
    <w:rsid w:val="009B1931"/>
    <w:rsid w:val="009B1A93"/>
    <w:rsid w:val="009B1F76"/>
    <w:rsid w:val="009B1FEA"/>
    <w:rsid w:val="009B1FFD"/>
    <w:rsid w:val="009B1FFE"/>
    <w:rsid w:val="009B2112"/>
    <w:rsid w:val="009B26C7"/>
    <w:rsid w:val="009B2DBA"/>
    <w:rsid w:val="009B2F8D"/>
    <w:rsid w:val="009B3847"/>
    <w:rsid w:val="009B3DFE"/>
    <w:rsid w:val="009B3EF0"/>
    <w:rsid w:val="009B42FA"/>
    <w:rsid w:val="009B4546"/>
    <w:rsid w:val="009B47FF"/>
    <w:rsid w:val="009B4883"/>
    <w:rsid w:val="009B4906"/>
    <w:rsid w:val="009B4A25"/>
    <w:rsid w:val="009B4BC8"/>
    <w:rsid w:val="009B4EAE"/>
    <w:rsid w:val="009B557D"/>
    <w:rsid w:val="009B5B17"/>
    <w:rsid w:val="009B5C38"/>
    <w:rsid w:val="009B5C5E"/>
    <w:rsid w:val="009B5DFD"/>
    <w:rsid w:val="009B604C"/>
    <w:rsid w:val="009B6A23"/>
    <w:rsid w:val="009B798F"/>
    <w:rsid w:val="009C01AB"/>
    <w:rsid w:val="009C03FE"/>
    <w:rsid w:val="009C0824"/>
    <w:rsid w:val="009C0875"/>
    <w:rsid w:val="009C0990"/>
    <w:rsid w:val="009C0B42"/>
    <w:rsid w:val="009C14DE"/>
    <w:rsid w:val="009C1555"/>
    <w:rsid w:val="009C1946"/>
    <w:rsid w:val="009C2113"/>
    <w:rsid w:val="009C21BC"/>
    <w:rsid w:val="009C237F"/>
    <w:rsid w:val="009C23E0"/>
    <w:rsid w:val="009C24CD"/>
    <w:rsid w:val="009C2A88"/>
    <w:rsid w:val="009C39F7"/>
    <w:rsid w:val="009C3A97"/>
    <w:rsid w:val="009C3E2C"/>
    <w:rsid w:val="009C4094"/>
    <w:rsid w:val="009C41F8"/>
    <w:rsid w:val="009C458A"/>
    <w:rsid w:val="009C4E4D"/>
    <w:rsid w:val="009C523F"/>
    <w:rsid w:val="009C5380"/>
    <w:rsid w:val="009C59AF"/>
    <w:rsid w:val="009C5E9F"/>
    <w:rsid w:val="009C6240"/>
    <w:rsid w:val="009C6CBE"/>
    <w:rsid w:val="009C70A6"/>
    <w:rsid w:val="009C735A"/>
    <w:rsid w:val="009C79F7"/>
    <w:rsid w:val="009C7A3F"/>
    <w:rsid w:val="009C7F9E"/>
    <w:rsid w:val="009D051D"/>
    <w:rsid w:val="009D078D"/>
    <w:rsid w:val="009D0801"/>
    <w:rsid w:val="009D0DD3"/>
    <w:rsid w:val="009D15E8"/>
    <w:rsid w:val="009D1998"/>
    <w:rsid w:val="009D1EC9"/>
    <w:rsid w:val="009D1F4E"/>
    <w:rsid w:val="009D1F67"/>
    <w:rsid w:val="009D202F"/>
    <w:rsid w:val="009D2880"/>
    <w:rsid w:val="009D2A39"/>
    <w:rsid w:val="009D2C33"/>
    <w:rsid w:val="009D2C99"/>
    <w:rsid w:val="009D2EFF"/>
    <w:rsid w:val="009D2F97"/>
    <w:rsid w:val="009D2FC7"/>
    <w:rsid w:val="009D362F"/>
    <w:rsid w:val="009D37CF"/>
    <w:rsid w:val="009D3C85"/>
    <w:rsid w:val="009D43E3"/>
    <w:rsid w:val="009D4862"/>
    <w:rsid w:val="009D49CD"/>
    <w:rsid w:val="009D4C82"/>
    <w:rsid w:val="009D4EAE"/>
    <w:rsid w:val="009D50EA"/>
    <w:rsid w:val="009D553D"/>
    <w:rsid w:val="009D5A5A"/>
    <w:rsid w:val="009D61B0"/>
    <w:rsid w:val="009D6474"/>
    <w:rsid w:val="009D64DE"/>
    <w:rsid w:val="009D6BDD"/>
    <w:rsid w:val="009D704C"/>
    <w:rsid w:val="009D7406"/>
    <w:rsid w:val="009D77A9"/>
    <w:rsid w:val="009D7D4E"/>
    <w:rsid w:val="009E0425"/>
    <w:rsid w:val="009E046C"/>
    <w:rsid w:val="009E1A5B"/>
    <w:rsid w:val="009E1B2B"/>
    <w:rsid w:val="009E2393"/>
    <w:rsid w:val="009E2394"/>
    <w:rsid w:val="009E23D4"/>
    <w:rsid w:val="009E2B18"/>
    <w:rsid w:val="009E2F3B"/>
    <w:rsid w:val="009E3161"/>
    <w:rsid w:val="009E32BA"/>
    <w:rsid w:val="009E3826"/>
    <w:rsid w:val="009E388E"/>
    <w:rsid w:val="009E4241"/>
    <w:rsid w:val="009E42A2"/>
    <w:rsid w:val="009E44CF"/>
    <w:rsid w:val="009E477F"/>
    <w:rsid w:val="009E49C2"/>
    <w:rsid w:val="009E4C1A"/>
    <w:rsid w:val="009E56A8"/>
    <w:rsid w:val="009E5C82"/>
    <w:rsid w:val="009E5E96"/>
    <w:rsid w:val="009E6475"/>
    <w:rsid w:val="009E69C6"/>
    <w:rsid w:val="009E6C68"/>
    <w:rsid w:val="009E6C80"/>
    <w:rsid w:val="009E6CBA"/>
    <w:rsid w:val="009E7858"/>
    <w:rsid w:val="009E79E5"/>
    <w:rsid w:val="009E7AB6"/>
    <w:rsid w:val="009E7CB2"/>
    <w:rsid w:val="009E7F59"/>
    <w:rsid w:val="009F00AE"/>
    <w:rsid w:val="009F00DA"/>
    <w:rsid w:val="009F01D1"/>
    <w:rsid w:val="009F0C89"/>
    <w:rsid w:val="009F10BE"/>
    <w:rsid w:val="009F154E"/>
    <w:rsid w:val="009F1B83"/>
    <w:rsid w:val="009F1C75"/>
    <w:rsid w:val="009F2523"/>
    <w:rsid w:val="009F25AE"/>
    <w:rsid w:val="009F25F6"/>
    <w:rsid w:val="009F2D09"/>
    <w:rsid w:val="009F2D84"/>
    <w:rsid w:val="009F2E0D"/>
    <w:rsid w:val="009F332A"/>
    <w:rsid w:val="009F33F8"/>
    <w:rsid w:val="009F350D"/>
    <w:rsid w:val="009F35BD"/>
    <w:rsid w:val="009F374B"/>
    <w:rsid w:val="009F38DA"/>
    <w:rsid w:val="009F3EC2"/>
    <w:rsid w:val="009F4027"/>
    <w:rsid w:val="009F406F"/>
    <w:rsid w:val="009F4250"/>
    <w:rsid w:val="009F4450"/>
    <w:rsid w:val="009F4486"/>
    <w:rsid w:val="009F48AB"/>
    <w:rsid w:val="009F4969"/>
    <w:rsid w:val="009F4D56"/>
    <w:rsid w:val="009F538A"/>
    <w:rsid w:val="009F5710"/>
    <w:rsid w:val="009F5B7D"/>
    <w:rsid w:val="009F5D0D"/>
    <w:rsid w:val="009F5DB3"/>
    <w:rsid w:val="009F5F5A"/>
    <w:rsid w:val="009F639E"/>
    <w:rsid w:val="009F671B"/>
    <w:rsid w:val="009F6C9C"/>
    <w:rsid w:val="009F707B"/>
    <w:rsid w:val="009F724D"/>
    <w:rsid w:val="009F7285"/>
    <w:rsid w:val="009F77A5"/>
    <w:rsid w:val="009F7AA4"/>
    <w:rsid w:val="009F7E73"/>
    <w:rsid w:val="009F7E9A"/>
    <w:rsid w:val="00A00021"/>
    <w:rsid w:val="00A0015D"/>
    <w:rsid w:val="00A003DC"/>
    <w:rsid w:val="00A009A8"/>
    <w:rsid w:val="00A00C7D"/>
    <w:rsid w:val="00A00ECF"/>
    <w:rsid w:val="00A00F4B"/>
    <w:rsid w:val="00A01339"/>
    <w:rsid w:val="00A0145E"/>
    <w:rsid w:val="00A01C19"/>
    <w:rsid w:val="00A01C38"/>
    <w:rsid w:val="00A02132"/>
    <w:rsid w:val="00A0220E"/>
    <w:rsid w:val="00A0257B"/>
    <w:rsid w:val="00A02709"/>
    <w:rsid w:val="00A027C0"/>
    <w:rsid w:val="00A02D05"/>
    <w:rsid w:val="00A02F6F"/>
    <w:rsid w:val="00A03188"/>
    <w:rsid w:val="00A03437"/>
    <w:rsid w:val="00A0355A"/>
    <w:rsid w:val="00A03889"/>
    <w:rsid w:val="00A03EA6"/>
    <w:rsid w:val="00A0472E"/>
    <w:rsid w:val="00A04A66"/>
    <w:rsid w:val="00A0529B"/>
    <w:rsid w:val="00A05572"/>
    <w:rsid w:val="00A055EC"/>
    <w:rsid w:val="00A058A1"/>
    <w:rsid w:val="00A065B4"/>
    <w:rsid w:val="00A06BAF"/>
    <w:rsid w:val="00A06FFD"/>
    <w:rsid w:val="00A073EF"/>
    <w:rsid w:val="00A07610"/>
    <w:rsid w:val="00A076AF"/>
    <w:rsid w:val="00A0773F"/>
    <w:rsid w:val="00A078CF"/>
    <w:rsid w:val="00A07B97"/>
    <w:rsid w:val="00A07D9B"/>
    <w:rsid w:val="00A10296"/>
    <w:rsid w:val="00A1037C"/>
    <w:rsid w:val="00A1090F"/>
    <w:rsid w:val="00A10A17"/>
    <w:rsid w:val="00A10D2F"/>
    <w:rsid w:val="00A10E35"/>
    <w:rsid w:val="00A1153E"/>
    <w:rsid w:val="00A1166C"/>
    <w:rsid w:val="00A116CE"/>
    <w:rsid w:val="00A1210D"/>
    <w:rsid w:val="00A1232D"/>
    <w:rsid w:val="00A1253D"/>
    <w:rsid w:val="00A12AC8"/>
    <w:rsid w:val="00A12CEB"/>
    <w:rsid w:val="00A12E0A"/>
    <w:rsid w:val="00A12E7F"/>
    <w:rsid w:val="00A1315F"/>
    <w:rsid w:val="00A13239"/>
    <w:rsid w:val="00A1351E"/>
    <w:rsid w:val="00A13827"/>
    <w:rsid w:val="00A13D25"/>
    <w:rsid w:val="00A14137"/>
    <w:rsid w:val="00A1436F"/>
    <w:rsid w:val="00A14B0B"/>
    <w:rsid w:val="00A14E1F"/>
    <w:rsid w:val="00A152BD"/>
    <w:rsid w:val="00A15B35"/>
    <w:rsid w:val="00A15C76"/>
    <w:rsid w:val="00A15D5B"/>
    <w:rsid w:val="00A16247"/>
    <w:rsid w:val="00A1632B"/>
    <w:rsid w:val="00A1640A"/>
    <w:rsid w:val="00A16423"/>
    <w:rsid w:val="00A16513"/>
    <w:rsid w:val="00A16701"/>
    <w:rsid w:val="00A16806"/>
    <w:rsid w:val="00A16B46"/>
    <w:rsid w:val="00A17322"/>
    <w:rsid w:val="00A17CA4"/>
    <w:rsid w:val="00A17F3D"/>
    <w:rsid w:val="00A201A2"/>
    <w:rsid w:val="00A2049F"/>
    <w:rsid w:val="00A204D7"/>
    <w:rsid w:val="00A206B3"/>
    <w:rsid w:val="00A209AC"/>
    <w:rsid w:val="00A20AE2"/>
    <w:rsid w:val="00A210C4"/>
    <w:rsid w:val="00A2123C"/>
    <w:rsid w:val="00A2179F"/>
    <w:rsid w:val="00A21E51"/>
    <w:rsid w:val="00A22001"/>
    <w:rsid w:val="00A22D0E"/>
    <w:rsid w:val="00A230AF"/>
    <w:rsid w:val="00A231EF"/>
    <w:rsid w:val="00A23297"/>
    <w:rsid w:val="00A237B6"/>
    <w:rsid w:val="00A23EF8"/>
    <w:rsid w:val="00A23FB5"/>
    <w:rsid w:val="00A23FDB"/>
    <w:rsid w:val="00A24077"/>
    <w:rsid w:val="00A24285"/>
    <w:rsid w:val="00A243EF"/>
    <w:rsid w:val="00A24531"/>
    <w:rsid w:val="00A24660"/>
    <w:rsid w:val="00A24C87"/>
    <w:rsid w:val="00A24EA9"/>
    <w:rsid w:val="00A25A3F"/>
    <w:rsid w:val="00A25CD0"/>
    <w:rsid w:val="00A25E4C"/>
    <w:rsid w:val="00A262E3"/>
    <w:rsid w:val="00A269ED"/>
    <w:rsid w:val="00A26E10"/>
    <w:rsid w:val="00A2757A"/>
    <w:rsid w:val="00A27855"/>
    <w:rsid w:val="00A27BD6"/>
    <w:rsid w:val="00A27DCC"/>
    <w:rsid w:val="00A304E0"/>
    <w:rsid w:val="00A304E1"/>
    <w:rsid w:val="00A30AFD"/>
    <w:rsid w:val="00A30D69"/>
    <w:rsid w:val="00A315BB"/>
    <w:rsid w:val="00A31AC0"/>
    <w:rsid w:val="00A31E70"/>
    <w:rsid w:val="00A32190"/>
    <w:rsid w:val="00A321A7"/>
    <w:rsid w:val="00A32BAD"/>
    <w:rsid w:val="00A336DB"/>
    <w:rsid w:val="00A33BAD"/>
    <w:rsid w:val="00A33C03"/>
    <w:rsid w:val="00A33F24"/>
    <w:rsid w:val="00A34A96"/>
    <w:rsid w:val="00A34F77"/>
    <w:rsid w:val="00A3520E"/>
    <w:rsid w:val="00A3581B"/>
    <w:rsid w:val="00A35975"/>
    <w:rsid w:val="00A35AF0"/>
    <w:rsid w:val="00A35BB9"/>
    <w:rsid w:val="00A35D24"/>
    <w:rsid w:val="00A366DD"/>
    <w:rsid w:val="00A36AD4"/>
    <w:rsid w:val="00A3770D"/>
    <w:rsid w:val="00A379DC"/>
    <w:rsid w:val="00A37B55"/>
    <w:rsid w:val="00A37FF5"/>
    <w:rsid w:val="00A40719"/>
    <w:rsid w:val="00A40C31"/>
    <w:rsid w:val="00A4173B"/>
    <w:rsid w:val="00A41CE4"/>
    <w:rsid w:val="00A41EAE"/>
    <w:rsid w:val="00A422B8"/>
    <w:rsid w:val="00A4290E"/>
    <w:rsid w:val="00A42D25"/>
    <w:rsid w:val="00A42D73"/>
    <w:rsid w:val="00A42EAC"/>
    <w:rsid w:val="00A432CE"/>
    <w:rsid w:val="00A4376A"/>
    <w:rsid w:val="00A43AC1"/>
    <w:rsid w:val="00A43B41"/>
    <w:rsid w:val="00A43F2E"/>
    <w:rsid w:val="00A441F0"/>
    <w:rsid w:val="00A44401"/>
    <w:rsid w:val="00A44545"/>
    <w:rsid w:val="00A449AC"/>
    <w:rsid w:val="00A4502D"/>
    <w:rsid w:val="00A45806"/>
    <w:rsid w:val="00A45AE6"/>
    <w:rsid w:val="00A4613E"/>
    <w:rsid w:val="00A46F72"/>
    <w:rsid w:val="00A46FF9"/>
    <w:rsid w:val="00A4700C"/>
    <w:rsid w:val="00A47104"/>
    <w:rsid w:val="00A472BB"/>
    <w:rsid w:val="00A47EDA"/>
    <w:rsid w:val="00A50708"/>
    <w:rsid w:val="00A508C2"/>
    <w:rsid w:val="00A50A8F"/>
    <w:rsid w:val="00A50EC6"/>
    <w:rsid w:val="00A50F2A"/>
    <w:rsid w:val="00A50FF0"/>
    <w:rsid w:val="00A51CD7"/>
    <w:rsid w:val="00A51E1C"/>
    <w:rsid w:val="00A51FC6"/>
    <w:rsid w:val="00A521FC"/>
    <w:rsid w:val="00A528D8"/>
    <w:rsid w:val="00A52981"/>
    <w:rsid w:val="00A52EE5"/>
    <w:rsid w:val="00A5408A"/>
    <w:rsid w:val="00A542BF"/>
    <w:rsid w:val="00A54826"/>
    <w:rsid w:val="00A55091"/>
    <w:rsid w:val="00A55516"/>
    <w:rsid w:val="00A55595"/>
    <w:rsid w:val="00A556FD"/>
    <w:rsid w:val="00A55726"/>
    <w:rsid w:val="00A558F4"/>
    <w:rsid w:val="00A55B0B"/>
    <w:rsid w:val="00A55C38"/>
    <w:rsid w:val="00A56377"/>
    <w:rsid w:val="00A56567"/>
    <w:rsid w:val="00A567FD"/>
    <w:rsid w:val="00A56AB3"/>
    <w:rsid w:val="00A56AD6"/>
    <w:rsid w:val="00A56E05"/>
    <w:rsid w:val="00A56F32"/>
    <w:rsid w:val="00A57387"/>
    <w:rsid w:val="00A57458"/>
    <w:rsid w:val="00A574B2"/>
    <w:rsid w:val="00A574BC"/>
    <w:rsid w:val="00A57C54"/>
    <w:rsid w:val="00A57F15"/>
    <w:rsid w:val="00A57F27"/>
    <w:rsid w:val="00A57FE9"/>
    <w:rsid w:val="00A57FF6"/>
    <w:rsid w:val="00A6008E"/>
    <w:rsid w:val="00A611AE"/>
    <w:rsid w:val="00A6125F"/>
    <w:rsid w:val="00A6129F"/>
    <w:rsid w:val="00A61456"/>
    <w:rsid w:val="00A61544"/>
    <w:rsid w:val="00A616CE"/>
    <w:rsid w:val="00A6170C"/>
    <w:rsid w:val="00A617BD"/>
    <w:rsid w:val="00A61844"/>
    <w:rsid w:val="00A619C4"/>
    <w:rsid w:val="00A620CF"/>
    <w:rsid w:val="00A621AA"/>
    <w:rsid w:val="00A62282"/>
    <w:rsid w:val="00A62631"/>
    <w:rsid w:val="00A62687"/>
    <w:rsid w:val="00A62FE1"/>
    <w:rsid w:val="00A63A07"/>
    <w:rsid w:val="00A63AD0"/>
    <w:rsid w:val="00A63AF8"/>
    <w:rsid w:val="00A63B3C"/>
    <w:rsid w:val="00A6424F"/>
    <w:rsid w:val="00A647EB"/>
    <w:rsid w:val="00A64890"/>
    <w:rsid w:val="00A65773"/>
    <w:rsid w:val="00A6592C"/>
    <w:rsid w:val="00A65C10"/>
    <w:rsid w:val="00A65C29"/>
    <w:rsid w:val="00A66229"/>
    <w:rsid w:val="00A6680E"/>
    <w:rsid w:val="00A66A9A"/>
    <w:rsid w:val="00A66EED"/>
    <w:rsid w:val="00A67138"/>
    <w:rsid w:val="00A67B54"/>
    <w:rsid w:val="00A702DB"/>
    <w:rsid w:val="00A70513"/>
    <w:rsid w:val="00A705C1"/>
    <w:rsid w:val="00A70709"/>
    <w:rsid w:val="00A707BD"/>
    <w:rsid w:val="00A70CAA"/>
    <w:rsid w:val="00A710EC"/>
    <w:rsid w:val="00A7135A"/>
    <w:rsid w:val="00A7138A"/>
    <w:rsid w:val="00A713E4"/>
    <w:rsid w:val="00A715DA"/>
    <w:rsid w:val="00A715FD"/>
    <w:rsid w:val="00A716B0"/>
    <w:rsid w:val="00A716C8"/>
    <w:rsid w:val="00A7182D"/>
    <w:rsid w:val="00A71B32"/>
    <w:rsid w:val="00A71BFF"/>
    <w:rsid w:val="00A71F1C"/>
    <w:rsid w:val="00A7223F"/>
    <w:rsid w:val="00A728F1"/>
    <w:rsid w:val="00A72AEB"/>
    <w:rsid w:val="00A73234"/>
    <w:rsid w:val="00A734D0"/>
    <w:rsid w:val="00A73539"/>
    <w:rsid w:val="00A736F5"/>
    <w:rsid w:val="00A737AC"/>
    <w:rsid w:val="00A73DD0"/>
    <w:rsid w:val="00A73E49"/>
    <w:rsid w:val="00A74766"/>
    <w:rsid w:val="00A748AE"/>
    <w:rsid w:val="00A7519B"/>
    <w:rsid w:val="00A752A8"/>
    <w:rsid w:val="00A7563B"/>
    <w:rsid w:val="00A75718"/>
    <w:rsid w:val="00A75B43"/>
    <w:rsid w:val="00A75D3E"/>
    <w:rsid w:val="00A76144"/>
    <w:rsid w:val="00A76693"/>
    <w:rsid w:val="00A7687B"/>
    <w:rsid w:val="00A76B03"/>
    <w:rsid w:val="00A76B2B"/>
    <w:rsid w:val="00A76FE6"/>
    <w:rsid w:val="00A771BE"/>
    <w:rsid w:val="00A7782E"/>
    <w:rsid w:val="00A77B82"/>
    <w:rsid w:val="00A77BC5"/>
    <w:rsid w:val="00A8034F"/>
    <w:rsid w:val="00A808E2"/>
    <w:rsid w:val="00A80A3B"/>
    <w:rsid w:val="00A80B47"/>
    <w:rsid w:val="00A80F64"/>
    <w:rsid w:val="00A81AD7"/>
    <w:rsid w:val="00A81B0B"/>
    <w:rsid w:val="00A81B82"/>
    <w:rsid w:val="00A82032"/>
    <w:rsid w:val="00A82279"/>
    <w:rsid w:val="00A82618"/>
    <w:rsid w:val="00A82F1E"/>
    <w:rsid w:val="00A832F9"/>
    <w:rsid w:val="00A83A8E"/>
    <w:rsid w:val="00A83C78"/>
    <w:rsid w:val="00A83CB4"/>
    <w:rsid w:val="00A83FF1"/>
    <w:rsid w:val="00A8407A"/>
    <w:rsid w:val="00A84943"/>
    <w:rsid w:val="00A84BF1"/>
    <w:rsid w:val="00A84FED"/>
    <w:rsid w:val="00A85651"/>
    <w:rsid w:val="00A8566C"/>
    <w:rsid w:val="00A85A2F"/>
    <w:rsid w:val="00A86073"/>
    <w:rsid w:val="00A863FB"/>
    <w:rsid w:val="00A86C35"/>
    <w:rsid w:val="00A86CE5"/>
    <w:rsid w:val="00A86FEF"/>
    <w:rsid w:val="00A874A2"/>
    <w:rsid w:val="00A875F2"/>
    <w:rsid w:val="00A87A95"/>
    <w:rsid w:val="00A87C14"/>
    <w:rsid w:val="00A906D5"/>
    <w:rsid w:val="00A909AC"/>
    <w:rsid w:val="00A90ADE"/>
    <w:rsid w:val="00A91951"/>
    <w:rsid w:val="00A920CC"/>
    <w:rsid w:val="00A9255F"/>
    <w:rsid w:val="00A92704"/>
    <w:rsid w:val="00A92AA7"/>
    <w:rsid w:val="00A92ECB"/>
    <w:rsid w:val="00A93244"/>
    <w:rsid w:val="00A934DD"/>
    <w:rsid w:val="00A93806"/>
    <w:rsid w:val="00A93891"/>
    <w:rsid w:val="00A93BF6"/>
    <w:rsid w:val="00A93D41"/>
    <w:rsid w:val="00A93F63"/>
    <w:rsid w:val="00A9445B"/>
    <w:rsid w:val="00A946DE"/>
    <w:rsid w:val="00A94927"/>
    <w:rsid w:val="00A95E5B"/>
    <w:rsid w:val="00A961DF"/>
    <w:rsid w:val="00A9671F"/>
    <w:rsid w:val="00A968DA"/>
    <w:rsid w:val="00A96F9D"/>
    <w:rsid w:val="00A97558"/>
    <w:rsid w:val="00A9798D"/>
    <w:rsid w:val="00A97B9D"/>
    <w:rsid w:val="00A97CAA"/>
    <w:rsid w:val="00A97CD8"/>
    <w:rsid w:val="00AA06A9"/>
    <w:rsid w:val="00AA06BC"/>
    <w:rsid w:val="00AA0A50"/>
    <w:rsid w:val="00AA1394"/>
    <w:rsid w:val="00AA17CB"/>
    <w:rsid w:val="00AA1A6F"/>
    <w:rsid w:val="00AA21A7"/>
    <w:rsid w:val="00AA24C4"/>
    <w:rsid w:val="00AA27CC"/>
    <w:rsid w:val="00AA28E4"/>
    <w:rsid w:val="00AA2BE5"/>
    <w:rsid w:val="00AA2E76"/>
    <w:rsid w:val="00AA31D0"/>
    <w:rsid w:val="00AA3404"/>
    <w:rsid w:val="00AA35B2"/>
    <w:rsid w:val="00AA36E6"/>
    <w:rsid w:val="00AA3A2D"/>
    <w:rsid w:val="00AA3A7A"/>
    <w:rsid w:val="00AA3FC7"/>
    <w:rsid w:val="00AA4505"/>
    <w:rsid w:val="00AA4949"/>
    <w:rsid w:val="00AA501B"/>
    <w:rsid w:val="00AA5223"/>
    <w:rsid w:val="00AA5BAB"/>
    <w:rsid w:val="00AA5C08"/>
    <w:rsid w:val="00AA5D21"/>
    <w:rsid w:val="00AA6003"/>
    <w:rsid w:val="00AA7313"/>
    <w:rsid w:val="00AA7E56"/>
    <w:rsid w:val="00AB016D"/>
    <w:rsid w:val="00AB024D"/>
    <w:rsid w:val="00AB0264"/>
    <w:rsid w:val="00AB0278"/>
    <w:rsid w:val="00AB0900"/>
    <w:rsid w:val="00AB0CAA"/>
    <w:rsid w:val="00AB0CF6"/>
    <w:rsid w:val="00AB0DDB"/>
    <w:rsid w:val="00AB0F6B"/>
    <w:rsid w:val="00AB116E"/>
    <w:rsid w:val="00AB1FA5"/>
    <w:rsid w:val="00AB219E"/>
    <w:rsid w:val="00AB2284"/>
    <w:rsid w:val="00AB23FB"/>
    <w:rsid w:val="00AB2535"/>
    <w:rsid w:val="00AB27B6"/>
    <w:rsid w:val="00AB2ACB"/>
    <w:rsid w:val="00AB2E26"/>
    <w:rsid w:val="00AB361D"/>
    <w:rsid w:val="00AB3C07"/>
    <w:rsid w:val="00AB3EF0"/>
    <w:rsid w:val="00AB4020"/>
    <w:rsid w:val="00AB41FD"/>
    <w:rsid w:val="00AB441D"/>
    <w:rsid w:val="00AB459A"/>
    <w:rsid w:val="00AB4BDA"/>
    <w:rsid w:val="00AB51AB"/>
    <w:rsid w:val="00AB51DF"/>
    <w:rsid w:val="00AB5456"/>
    <w:rsid w:val="00AB5635"/>
    <w:rsid w:val="00AB581B"/>
    <w:rsid w:val="00AB6247"/>
    <w:rsid w:val="00AB62E9"/>
    <w:rsid w:val="00AB6359"/>
    <w:rsid w:val="00AB63F6"/>
    <w:rsid w:val="00AB7220"/>
    <w:rsid w:val="00AB773F"/>
    <w:rsid w:val="00AB7909"/>
    <w:rsid w:val="00AB79D9"/>
    <w:rsid w:val="00AB7B95"/>
    <w:rsid w:val="00AB7E4C"/>
    <w:rsid w:val="00AC098F"/>
    <w:rsid w:val="00AC0C52"/>
    <w:rsid w:val="00AC0ECB"/>
    <w:rsid w:val="00AC1075"/>
    <w:rsid w:val="00AC1332"/>
    <w:rsid w:val="00AC1C84"/>
    <w:rsid w:val="00AC2439"/>
    <w:rsid w:val="00AC2690"/>
    <w:rsid w:val="00AC291A"/>
    <w:rsid w:val="00AC29A0"/>
    <w:rsid w:val="00AC2ADB"/>
    <w:rsid w:val="00AC30B0"/>
    <w:rsid w:val="00AC36CE"/>
    <w:rsid w:val="00AC3927"/>
    <w:rsid w:val="00AC3A48"/>
    <w:rsid w:val="00AC3F86"/>
    <w:rsid w:val="00AC4428"/>
    <w:rsid w:val="00AC444F"/>
    <w:rsid w:val="00AC4741"/>
    <w:rsid w:val="00AC48CB"/>
    <w:rsid w:val="00AC499A"/>
    <w:rsid w:val="00AC551F"/>
    <w:rsid w:val="00AC5836"/>
    <w:rsid w:val="00AC58E8"/>
    <w:rsid w:val="00AC5D1F"/>
    <w:rsid w:val="00AC5D7A"/>
    <w:rsid w:val="00AC5DEC"/>
    <w:rsid w:val="00AC609F"/>
    <w:rsid w:val="00AC640B"/>
    <w:rsid w:val="00AC6936"/>
    <w:rsid w:val="00AC787D"/>
    <w:rsid w:val="00AC7A5B"/>
    <w:rsid w:val="00AC7DF4"/>
    <w:rsid w:val="00AD021B"/>
    <w:rsid w:val="00AD028C"/>
    <w:rsid w:val="00AD0A55"/>
    <w:rsid w:val="00AD0B62"/>
    <w:rsid w:val="00AD0D46"/>
    <w:rsid w:val="00AD12FF"/>
    <w:rsid w:val="00AD1533"/>
    <w:rsid w:val="00AD18CE"/>
    <w:rsid w:val="00AD18D7"/>
    <w:rsid w:val="00AD1B30"/>
    <w:rsid w:val="00AD1C02"/>
    <w:rsid w:val="00AD1DFF"/>
    <w:rsid w:val="00AD1E97"/>
    <w:rsid w:val="00AD20BE"/>
    <w:rsid w:val="00AD2445"/>
    <w:rsid w:val="00AD2986"/>
    <w:rsid w:val="00AD2D3E"/>
    <w:rsid w:val="00AD2FCC"/>
    <w:rsid w:val="00AD31F5"/>
    <w:rsid w:val="00AD348C"/>
    <w:rsid w:val="00AD3856"/>
    <w:rsid w:val="00AD3B15"/>
    <w:rsid w:val="00AD3F38"/>
    <w:rsid w:val="00AD40DB"/>
    <w:rsid w:val="00AD4305"/>
    <w:rsid w:val="00AD47CC"/>
    <w:rsid w:val="00AD491F"/>
    <w:rsid w:val="00AD4921"/>
    <w:rsid w:val="00AD4C89"/>
    <w:rsid w:val="00AD4FB4"/>
    <w:rsid w:val="00AD507B"/>
    <w:rsid w:val="00AD558A"/>
    <w:rsid w:val="00AD5670"/>
    <w:rsid w:val="00AD5B9A"/>
    <w:rsid w:val="00AD5E9C"/>
    <w:rsid w:val="00AD5F7A"/>
    <w:rsid w:val="00AD5FF1"/>
    <w:rsid w:val="00AD65BD"/>
    <w:rsid w:val="00AD670B"/>
    <w:rsid w:val="00AD6ACB"/>
    <w:rsid w:val="00AD76BE"/>
    <w:rsid w:val="00AD78DB"/>
    <w:rsid w:val="00AD7A47"/>
    <w:rsid w:val="00AD7D00"/>
    <w:rsid w:val="00AD7ECF"/>
    <w:rsid w:val="00AE0881"/>
    <w:rsid w:val="00AE0ED7"/>
    <w:rsid w:val="00AE1383"/>
    <w:rsid w:val="00AE18C1"/>
    <w:rsid w:val="00AE1D65"/>
    <w:rsid w:val="00AE21F1"/>
    <w:rsid w:val="00AE26D5"/>
    <w:rsid w:val="00AE27A4"/>
    <w:rsid w:val="00AE27D4"/>
    <w:rsid w:val="00AE2885"/>
    <w:rsid w:val="00AE29BD"/>
    <w:rsid w:val="00AE29FA"/>
    <w:rsid w:val="00AE2E10"/>
    <w:rsid w:val="00AE30F4"/>
    <w:rsid w:val="00AE34E3"/>
    <w:rsid w:val="00AE3784"/>
    <w:rsid w:val="00AE3ADD"/>
    <w:rsid w:val="00AE406F"/>
    <w:rsid w:val="00AE4299"/>
    <w:rsid w:val="00AE44B6"/>
    <w:rsid w:val="00AE4A1F"/>
    <w:rsid w:val="00AE4C69"/>
    <w:rsid w:val="00AE4FFD"/>
    <w:rsid w:val="00AE56AC"/>
    <w:rsid w:val="00AE58D3"/>
    <w:rsid w:val="00AE5F43"/>
    <w:rsid w:val="00AE6046"/>
    <w:rsid w:val="00AE613C"/>
    <w:rsid w:val="00AE61E0"/>
    <w:rsid w:val="00AE6FFD"/>
    <w:rsid w:val="00AE70F2"/>
    <w:rsid w:val="00AE7441"/>
    <w:rsid w:val="00AE7535"/>
    <w:rsid w:val="00AE7B99"/>
    <w:rsid w:val="00AF07D5"/>
    <w:rsid w:val="00AF11F9"/>
    <w:rsid w:val="00AF1563"/>
    <w:rsid w:val="00AF1E6B"/>
    <w:rsid w:val="00AF1EE3"/>
    <w:rsid w:val="00AF207F"/>
    <w:rsid w:val="00AF25F9"/>
    <w:rsid w:val="00AF28C9"/>
    <w:rsid w:val="00AF28DC"/>
    <w:rsid w:val="00AF2CD7"/>
    <w:rsid w:val="00AF30E0"/>
    <w:rsid w:val="00AF3390"/>
    <w:rsid w:val="00AF33B7"/>
    <w:rsid w:val="00AF345B"/>
    <w:rsid w:val="00AF34E3"/>
    <w:rsid w:val="00AF3561"/>
    <w:rsid w:val="00AF3687"/>
    <w:rsid w:val="00AF378E"/>
    <w:rsid w:val="00AF3A1A"/>
    <w:rsid w:val="00AF3BF5"/>
    <w:rsid w:val="00AF3D39"/>
    <w:rsid w:val="00AF49B3"/>
    <w:rsid w:val="00AF4CDE"/>
    <w:rsid w:val="00AF55DE"/>
    <w:rsid w:val="00AF57D8"/>
    <w:rsid w:val="00AF59DB"/>
    <w:rsid w:val="00AF5F7C"/>
    <w:rsid w:val="00AF63D8"/>
    <w:rsid w:val="00AF6457"/>
    <w:rsid w:val="00AF64D2"/>
    <w:rsid w:val="00AF66C3"/>
    <w:rsid w:val="00AF695E"/>
    <w:rsid w:val="00AF6974"/>
    <w:rsid w:val="00AF6F5E"/>
    <w:rsid w:val="00AF6FEE"/>
    <w:rsid w:val="00AF7061"/>
    <w:rsid w:val="00AF73D6"/>
    <w:rsid w:val="00AF755D"/>
    <w:rsid w:val="00AF7704"/>
    <w:rsid w:val="00AF7729"/>
    <w:rsid w:val="00AF773E"/>
    <w:rsid w:val="00AF7DAB"/>
    <w:rsid w:val="00B000D3"/>
    <w:rsid w:val="00B00588"/>
    <w:rsid w:val="00B00DA7"/>
    <w:rsid w:val="00B00EA2"/>
    <w:rsid w:val="00B0177E"/>
    <w:rsid w:val="00B018C3"/>
    <w:rsid w:val="00B018C7"/>
    <w:rsid w:val="00B01DB0"/>
    <w:rsid w:val="00B0208E"/>
    <w:rsid w:val="00B020D6"/>
    <w:rsid w:val="00B02143"/>
    <w:rsid w:val="00B0217F"/>
    <w:rsid w:val="00B02182"/>
    <w:rsid w:val="00B025FF"/>
    <w:rsid w:val="00B02BD9"/>
    <w:rsid w:val="00B02EA1"/>
    <w:rsid w:val="00B03131"/>
    <w:rsid w:val="00B031DF"/>
    <w:rsid w:val="00B031FD"/>
    <w:rsid w:val="00B03207"/>
    <w:rsid w:val="00B03B5A"/>
    <w:rsid w:val="00B03D4A"/>
    <w:rsid w:val="00B03DE8"/>
    <w:rsid w:val="00B0475F"/>
    <w:rsid w:val="00B04AF0"/>
    <w:rsid w:val="00B04F42"/>
    <w:rsid w:val="00B050EB"/>
    <w:rsid w:val="00B053CA"/>
    <w:rsid w:val="00B053D9"/>
    <w:rsid w:val="00B0563E"/>
    <w:rsid w:val="00B05F4F"/>
    <w:rsid w:val="00B0635C"/>
    <w:rsid w:val="00B06384"/>
    <w:rsid w:val="00B06671"/>
    <w:rsid w:val="00B0698E"/>
    <w:rsid w:val="00B06E9B"/>
    <w:rsid w:val="00B06EF3"/>
    <w:rsid w:val="00B06F5B"/>
    <w:rsid w:val="00B074C6"/>
    <w:rsid w:val="00B078A1"/>
    <w:rsid w:val="00B07A97"/>
    <w:rsid w:val="00B07BFC"/>
    <w:rsid w:val="00B103C1"/>
    <w:rsid w:val="00B10540"/>
    <w:rsid w:val="00B10F3E"/>
    <w:rsid w:val="00B110E8"/>
    <w:rsid w:val="00B11820"/>
    <w:rsid w:val="00B11821"/>
    <w:rsid w:val="00B12246"/>
    <w:rsid w:val="00B12307"/>
    <w:rsid w:val="00B12AC7"/>
    <w:rsid w:val="00B12BC0"/>
    <w:rsid w:val="00B12E60"/>
    <w:rsid w:val="00B13163"/>
    <w:rsid w:val="00B13825"/>
    <w:rsid w:val="00B13BCA"/>
    <w:rsid w:val="00B13C8E"/>
    <w:rsid w:val="00B1419F"/>
    <w:rsid w:val="00B14912"/>
    <w:rsid w:val="00B14C43"/>
    <w:rsid w:val="00B14DA2"/>
    <w:rsid w:val="00B14E0D"/>
    <w:rsid w:val="00B15061"/>
    <w:rsid w:val="00B150D7"/>
    <w:rsid w:val="00B15267"/>
    <w:rsid w:val="00B1562A"/>
    <w:rsid w:val="00B1576F"/>
    <w:rsid w:val="00B15D6A"/>
    <w:rsid w:val="00B15E21"/>
    <w:rsid w:val="00B16778"/>
    <w:rsid w:val="00B167B4"/>
    <w:rsid w:val="00B17301"/>
    <w:rsid w:val="00B1775A"/>
    <w:rsid w:val="00B17B26"/>
    <w:rsid w:val="00B2079F"/>
    <w:rsid w:val="00B2085C"/>
    <w:rsid w:val="00B20E22"/>
    <w:rsid w:val="00B21025"/>
    <w:rsid w:val="00B210BD"/>
    <w:rsid w:val="00B219B9"/>
    <w:rsid w:val="00B21EE1"/>
    <w:rsid w:val="00B225EA"/>
    <w:rsid w:val="00B226E0"/>
    <w:rsid w:val="00B228F3"/>
    <w:rsid w:val="00B22E2A"/>
    <w:rsid w:val="00B22E64"/>
    <w:rsid w:val="00B235A7"/>
    <w:rsid w:val="00B23914"/>
    <w:rsid w:val="00B23B8B"/>
    <w:rsid w:val="00B23D5B"/>
    <w:rsid w:val="00B241C5"/>
    <w:rsid w:val="00B24277"/>
    <w:rsid w:val="00B242CF"/>
    <w:rsid w:val="00B243C1"/>
    <w:rsid w:val="00B252E0"/>
    <w:rsid w:val="00B25550"/>
    <w:rsid w:val="00B25AAC"/>
    <w:rsid w:val="00B26622"/>
    <w:rsid w:val="00B26854"/>
    <w:rsid w:val="00B268BF"/>
    <w:rsid w:val="00B27261"/>
    <w:rsid w:val="00B2797B"/>
    <w:rsid w:val="00B27C87"/>
    <w:rsid w:val="00B27F65"/>
    <w:rsid w:val="00B301E7"/>
    <w:rsid w:val="00B30AA8"/>
    <w:rsid w:val="00B30B5E"/>
    <w:rsid w:val="00B30C7E"/>
    <w:rsid w:val="00B30E8B"/>
    <w:rsid w:val="00B31191"/>
    <w:rsid w:val="00B31263"/>
    <w:rsid w:val="00B318A9"/>
    <w:rsid w:val="00B3190C"/>
    <w:rsid w:val="00B31A6B"/>
    <w:rsid w:val="00B31AB8"/>
    <w:rsid w:val="00B31CDA"/>
    <w:rsid w:val="00B32B4D"/>
    <w:rsid w:val="00B32B85"/>
    <w:rsid w:val="00B339CD"/>
    <w:rsid w:val="00B34070"/>
    <w:rsid w:val="00B34825"/>
    <w:rsid w:val="00B348B8"/>
    <w:rsid w:val="00B34C28"/>
    <w:rsid w:val="00B34E93"/>
    <w:rsid w:val="00B35959"/>
    <w:rsid w:val="00B35C9F"/>
    <w:rsid w:val="00B35DA9"/>
    <w:rsid w:val="00B35E56"/>
    <w:rsid w:val="00B35F06"/>
    <w:rsid w:val="00B36434"/>
    <w:rsid w:val="00B36B28"/>
    <w:rsid w:val="00B36B3D"/>
    <w:rsid w:val="00B372A8"/>
    <w:rsid w:val="00B37347"/>
    <w:rsid w:val="00B374B0"/>
    <w:rsid w:val="00B3792E"/>
    <w:rsid w:val="00B37977"/>
    <w:rsid w:val="00B379D2"/>
    <w:rsid w:val="00B37E3F"/>
    <w:rsid w:val="00B40023"/>
    <w:rsid w:val="00B40045"/>
    <w:rsid w:val="00B40088"/>
    <w:rsid w:val="00B40414"/>
    <w:rsid w:val="00B40540"/>
    <w:rsid w:val="00B406DE"/>
    <w:rsid w:val="00B4077C"/>
    <w:rsid w:val="00B40B3E"/>
    <w:rsid w:val="00B4160A"/>
    <w:rsid w:val="00B41968"/>
    <w:rsid w:val="00B41E00"/>
    <w:rsid w:val="00B42030"/>
    <w:rsid w:val="00B423BB"/>
    <w:rsid w:val="00B42899"/>
    <w:rsid w:val="00B44189"/>
    <w:rsid w:val="00B4423C"/>
    <w:rsid w:val="00B4457A"/>
    <w:rsid w:val="00B44776"/>
    <w:rsid w:val="00B447BC"/>
    <w:rsid w:val="00B44AA9"/>
    <w:rsid w:val="00B44B8B"/>
    <w:rsid w:val="00B44FA7"/>
    <w:rsid w:val="00B459C0"/>
    <w:rsid w:val="00B45CE3"/>
    <w:rsid w:val="00B45E53"/>
    <w:rsid w:val="00B45ED9"/>
    <w:rsid w:val="00B46736"/>
    <w:rsid w:val="00B47123"/>
    <w:rsid w:val="00B47AA6"/>
    <w:rsid w:val="00B47E16"/>
    <w:rsid w:val="00B47E3B"/>
    <w:rsid w:val="00B50021"/>
    <w:rsid w:val="00B5021F"/>
    <w:rsid w:val="00B5084F"/>
    <w:rsid w:val="00B50870"/>
    <w:rsid w:val="00B508B5"/>
    <w:rsid w:val="00B516D7"/>
    <w:rsid w:val="00B51B55"/>
    <w:rsid w:val="00B51B5B"/>
    <w:rsid w:val="00B52EEB"/>
    <w:rsid w:val="00B52F94"/>
    <w:rsid w:val="00B5370F"/>
    <w:rsid w:val="00B53B20"/>
    <w:rsid w:val="00B53DE3"/>
    <w:rsid w:val="00B550A3"/>
    <w:rsid w:val="00B5554A"/>
    <w:rsid w:val="00B555AC"/>
    <w:rsid w:val="00B55B7D"/>
    <w:rsid w:val="00B561E3"/>
    <w:rsid w:val="00B5622A"/>
    <w:rsid w:val="00B56993"/>
    <w:rsid w:val="00B57173"/>
    <w:rsid w:val="00B57283"/>
    <w:rsid w:val="00B57A46"/>
    <w:rsid w:val="00B57DA8"/>
    <w:rsid w:val="00B57FAB"/>
    <w:rsid w:val="00B60186"/>
    <w:rsid w:val="00B603A3"/>
    <w:rsid w:val="00B608B2"/>
    <w:rsid w:val="00B608FA"/>
    <w:rsid w:val="00B611D4"/>
    <w:rsid w:val="00B61328"/>
    <w:rsid w:val="00B613AB"/>
    <w:rsid w:val="00B6145E"/>
    <w:rsid w:val="00B61A66"/>
    <w:rsid w:val="00B61E7E"/>
    <w:rsid w:val="00B62293"/>
    <w:rsid w:val="00B62C58"/>
    <w:rsid w:val="00B62EC0"/>
    <w:rsid w:val="00B63132"/>
    <w:rsid w:val="00B632E0"/>
    <w:rsid w:val="00B634EE"/>
    <w:rsid w:val="00B63A4C"/>
    <w:rsid w:val="00B63C48"/>
    <w:rsid w:val="00B63D07"/>
    <w:rsid w:val="00B63F58"/>
    <w:rsid w:val="00B64106"/>
    <w:rsid w:val="00B642CA"/>
    <w:rsid w:val="00B645D1"/>
    <w:rsid w:val="00B6489F"/>
    <w:rsid w:val="00B64934"/>
    <w:rsid w:val="00B64E7D"/>
    <w:rsid w:val="00B65219"/>
    <w:rsid w:val="00B6521E"/>
    <w:rsid w:val="00B653F6"/>
    <w:rsid w:val="00B654FC"/>
    <w:rsid w:val="00B6552B"/>
    <w:rsid w:val="00B6582A"/>
    <w:rsid w:val="00B65851"/>
    <w:rsid w:val="00B65ADF"/>
    <w:rsid w:val="00B66532"/>
    <w:rsid w:val="00B6664E"/>
    <w:rsid w:val="00B66ED4"/>
    <w:rsid w:val="00B66F7F"/>
    <w:rsid w:val="00B67156"/>
    <w:rsid w:val="00B67412"/>
    <w:rsid w:val="00B67848"/>
    <w:rsid w:val="00B6793F"/>
    <w:rsid w:val="00B700E5"/>
    <w:rsid w:val="00B70283"/>
    <w:rsid w:val="00B71340"/>
    <w:rsid w:val="00B71AB4"/>
    <w:rsid w:val="00B71B37"/>
    <w:rsid w:val="00B71C0A"/>
    <w:rsid w:val="00B71CF5"/>
    <w:rsid w:val="00B71D9D"/>
    <w:rsid w:val="00B71DD1"/>
    <w:rsid w:val="00B71F8F"/>
    <w:rsid w:val="00B7237A"/>
    <w:rsid w:val="00B726D7"/>
    <w:rsid w:val="00B72B92"/>
    <w:rsid w:val="00B72BE5"/>
    <w:rsid w:val="00B72E50"/>
    <w:rsid w:val="00B72F62"/>
    <w:rsid w:val="00B731A3"/>
    <w:rsid w:val="00B734BE"/>
    <w:rsid w:val="00B73BF9"/>
    <w:rsid w:val="00B73D0F"/>
    <w:rsid w:val="00B73D9D"/>
    <w:rsid w:val="00B74F3A"/>
    <w:rsid w:val="00B7537B"/>
    <w:rsid w:val="00B75447"/>
    <w:rsid w:val="00B759DA"/>
    <w:rsid w:val="00B75D83"/>
    <w:rsid w:val="00B7697E"/>
    <w:rsid w:val="00B770DA"/>
    <w:rsid w:val="00B7720A"/>
    <w:rsid w:val="00B803C3"/>
    <w:rsid w:val="00B803E9"/>
    <w:rsid w:val="00B805B0"/>
    <w:rsid w:val="00B80862"/>
    <w:rsid w:val="00B80E9D"/>
    <w:rsid w:val="00B80F15"/>
    <w:rsid w:val="00B80F94"/>
    <w:rsid w:val="00B8123E"/>
    <w:rsid w:val="00B81569"/>
    <w:rsid w:val="00B81ABE"/>
    <w:rsid w:val="00B8206D"/>
    <w:rsid w:val="00B8225A"/>
    <w:rsid w:val="00B8249E"/>
    <w:rsid w:val="00B828A3"/>
    <w:rsid w:val="00B8302C"/>
    <w:rsid w:val="00B83310"/>
    <w:rsid w:val="00B8345D"/>
    <w:rsid w:val="00B8356A"/>
    <w:rsid w:val="00B83684"/>
    <w:rsid w:val="00B83E16"/>
    <w:rsid w:val="00B842D7"/>
    <w:rsid w:val="00B84AC2"/>
    <w:rsid w:val="00B84D82"/>
    <w:rsid w:val="00B84E7F"/>
    <w:rsid w:val="00B84F10"/>
    <w:rsid w:val="00B851BE"/>
    <w:rsid w:val="00B8557B"/>
    <w:rsid w:val="00B855F5"/>
    <w:rsid w:val="00B85748"/>
    <w:rsid w:val="00B85D8D"/>
    <w:rsid w:val="00B8685E"/>
    <w:rsid w:val="00B869A4"/>
    <w:rsid w:val="00B869E9"/>
    <w:rsid w:val="00B86D11"/>
    <w:rsid w:val="00B86F95"/>
    <w:rsid w:val="00B87021"/>
    <w:rsid w:val="00B8736D"/>
    <w:rsid w:val="00B874EF"/>
    <w:rsid w:val="00B87684"/>
    <w:rsid w:val="00B876D9"/>
    <w:rsid w:val="00B8798D"/>
    <w:rsid w:val="00B87A82"/>
    <w:rsid w:val="00B90BDF"/>
    <w:rsid w:val="00B913CB"/>
    <w:rsid w:val="00B916B2"/>
    <w:rsid w:val="00B917E7"/>
    <w:rsid w:val="00B919C8"/>
    <w:rsid w:val="00B91F0C"/>
    <w:rsid w:val="00B91FEF"/>
    <w:rsid w:val="00B92249"/>
    <w:rsid w:val="00B929E6"/>
    <w:rsid w:val="00B92AA9"/>
    <w:rsid w:val="00B92B76"/>
    <w:rsid w:val="00B92BE9"/>
    <w:rsid w:val="00B92BF2"/>
    <w:rsid w:val="00B92D04"/>
    <w:rsid w:val="00B92FA2"/>
    <w:rsid w:val="00B9332B"/>
    <w:rsid w:val="00B93341"/>
    <w:rsid w:val="00B93360"/>
    <w:rsid w:val="00B933DF"/>
    <w:rsid w:val="00B93FAE"/>
    <w:rsid w:val="00B93FB2"/>
    <w:rsid w:val="00B94592"/>
    <w:rsid w:val="00B94D5A"/>
    <w:rsid w:val="00B94E83"/>
    <w:rsid w:val="00B95154"/>
    <w:rsid w:val="00B9526D"/>
    <w:rsid w:val="00B955AC"/>
    <w:rsid w:val="00B957F1"/>
    <w:rsid w:val="00B95976"/>
    <w:rsid w:val="00B95B91"/>
    <w:rsid w:val="00B95BCC"/>
    <w:rsid w:val="00B95BE7"/>
    <w:rsid w:val="00B96CA3"/>
    <w:rsid w:val="00B974BD"/>
    <w:rsid w:val="00B9785E"/>
    <w:rsid w:val="00B97CAA"/>
    <w:rsid w:val="00BA0E6A"/>
    <w:rsid w:val="00BA1596"/>
    <w:rsid w:val="00BA1913"/>
    <w:rsid w:val="00BA1B88"/>
    <w:rsid w:val="00BA1C27"/>
    <w:rsid w:val="00BA1E7A"/>
    <w:rsid w:val="00BA210F"/>
    <w:rsid w:val="00BA2193"/>
    <w:rsid w:val="00BA2931"/>
    <w:rsid w:val="00BA296C"/>
    <w:rsid w:val="00BA2B04"/>
    <w:rsid w:val="00BA2DF3"/>
    <w:rsid w:val="00BA36E0"/>
    <w:rsid w:val="00BA384C"/>
    <w:rsid w:val="00BA3F26"/>
    <w:rsid w:val="00BA455A"/>
    <w:rsid w:val="00BA497F"/>
    <w:rsid w:val="00BA4D9E"/>
    <w:rsid w:val="00BA54AF"/>
    <w:rsid w:val="00BA5609"/>
    <w:rsid w:val="00BA5B0D"/>
    <w:rsid w:val="00BA66DA"/>
    <w:rsid w:val="00BA712E"/>
    <w:rsid w:val="00BA77C5"/>
    <w:rsid w:val="00BA7D07"/>
    <w:rsid w:val="00BA7DE1"/>
    <w:rsid w:val="00BB0212"/>
    <w:rsid w:val="00BB03BD"/>
    <w:rsid w:val="00BB091F"/>
    <w:rsid w:val="00BB0CAC"/>
    <w:rsid w:val="00BB11A0"/>
    <w:rsid w:val="00BB1B3A"/>
    <w:rsid w:val="00BB1C88"/>
    <w:rsid w:val="00BB23F8"/>
    <w:rsid w:val="00BB24F3"/>
    <w:rsid w:val="00BB274E"/>
    <w:rsid w:val="00BB2F62"/>
    <w:rsid w:val="00BB312B"/>
    <w:rsid w:val="00BB3190"/>
    <w:rsid w:val="00BB3EED"/>
    <w:rsid w:val="00BB44EF"/>
    <w:rsid w:val="00BB4804"/>
    <w:rsid w:val="00BB53C7"/>
    <w:rsid w:val="00BB5796"/>
    <w:rsid w:val="00BB585E"/>
    <w:rsid w:val="00BB5C81"/>
    <w:rsid w:val="00BB64A3"/>
    <w:rsid w:val="00BB6D66"/>
    <w:rsid w:val="00BB76D7"/>
    <w:rsid w:val="00BC03AA"/>
    <w:rsid w:val="00BC0755"/>
    <w:rsid w:val="00BC07C3"/>
    <w:rsid w:val="00BC07ED"/>
    <w:rsid w:val="00BC082C"/>
    <w:rsid w:val="00BC0A9B"/>
    <w:rsid w:val="00BC14DA"/>
    <w:rsid w:val="00BC17DE"/>
    <w:rsid w:val="00BC18DE"/>
    <w:rsid w:val="00BC2AC7"/>
    <w:rsid w:val="00BC2C3A"/>
    <w:rsid w:val="00BC2EC4"/>
    <w:rsid w:val="00BC309C"/>
    <w:rsid w:val="00BC3137"/>
    <w:rsid w:val="00BC3276"/>
    <w:rsid w:val="00BC33E2"/>
    <w:rsid w:val="00BC34EE"/>
    <w:rsid w:val="00BC355A"/>
    <w:rsid w:val="00BC3A16"/>
    <w:rsid w:val="00BC3A32"/>
    <w:rsid w:val="00BC4345"/>
    <w:rsid w:val="00BC4435"/>
    <w:rsid w:val="00BC4B70"/>
    <w:rsid w:val="00BC4BCA"/>
    <w:rsid w:val="00BC4C49"/>
    <w:rsid w:val="00BC4EC9"/>
    <w:rsid w:val="00BC4FDB"/>
    <w:rsid w:val="00BC53B9"/>
    <w:rsid w:val="00BC5405"/>
    <w:rsid w:val="00BC62CF"/>
    <w:rsid w:val="00BC67C5"/>
    <w:rsid w:val="00BC6A7A"/>
    <w:rsid w:val="00BC6B1A"/>
    <w:rsid w:val="00BC6BAB"/>
    <w:rsid w:val="00BC7077"/>
    <w:rsid w:val="00BC750C"/>
    <w:rsid w:val="00BC7556"/>
    <w:rsid w:val="00BC7677"/>
    <w:rsid w:val="00BC79CD"/>
    <w:rsid w:val="00BC7D0D"/>
    <w:rsid w:val="00BC7E46"/>
    <w:rsid w:val="00BD05D4"/>
    <w:rsid w:val="00BD05F6"/>
    <w:rsid w:val="00BD0723"/>
    <w:rsid w:val="00BD0C6C"/>
    <w:rsid w:val="00BD0FD7"/>
    <w:rsid w:val="00BD0FE6"/>
    <w:rsid w:val="00BD12F9"/>
    <w:rsid w:val="00BD14C2"/>
    <w:rsid w:val="00BD174E"/>
    <w:rsid w:val="00BD19F7"/>
    <w:rsid w:val="00BD290A"/>
    <w:rsid w:val="00BD2A05"/>
    <w:rsid w:val="00BD2B82"/>
    <w:rsid w:val="00BD3149"/>
    <w:rsid w:val="00BD33FA"/>
    <w:rsid w:val="00BD349E"/>
    <w:rsid w:val="00BD3796"/>
    <w:rsid w:val="00BD39E1"/>
    <w:rsid w:val="00BD3B7C"/>
    <w:rsid w:val="00BD3CB1"/>
    <w:rsid w:val="00BD3F34"/>
    <w:rsid w:val="00BD4192"/>
    <w:rsid w:val="00BD442F"/>
    <w:rsid w:val="00BD455C"/>
    <w:rsid w:val="00BD46F7"/>
    <w:rsid w:val="00BD4F2E"/>
    <w:rsid w:val="00BD51C1"/>
    <w:rsid w:val="00BD54E6"/>
    <w:rsid w:val="00BD5693"/>
    <w:rsid w:val="00BD61E6"/>
    <w:rsid w:val="00BD6497"/>
    <w:rsid w:val="00BD6753"/>
    <w:rsid w:val="00BD6AA6"/>
    <w:rsid w:val="00BD6FD3"/>
    <w:rsid w:val="00BD6FDF"/>
    <w:rsid w:val="00BD7196"/>
    <w:rsid w:val="00BD77B0"/>
    <w:rsid w:val="00BD77FA"/>
    <w:rsid w:val="00BD79E4"/>
    <w:rsid w:val="00BE02A2"/>
    <w:rsid w:val="00BE0444"/>
    <w:rsid w:val="00BE0822"/>
    <w:rsid w:val="00BE0D23"/>
    <w:rsid w:val="00BE0E81"/>
    <w:rsid w:val="00BE1587"/>
    <w:rsid w:val="00BE1B9C"/>
    <w:rsid w:val="00BE1C6D"/>
    <w:rsid w:val="00BE1CF0"/>
    <w:rsid w:val="00BE1D90"/>
    <w:rsid w:val="00BE226E"/>
    <w:rsid w:val="00BE285B"/>
    <w:rsid w:val="00BE2E31"/>
    <w:rsid w:val="00BE2FBF"/>
    <w:rsid w:val="00BE3102"/>
    <w:rsid w:val="00BE350E"/>
    <w:rsid w:val="00BE3A12"/>
    <w:rsid w:val="00BE3E58"/>
    <w:rsid w:val="00BE408C"/>
    <w:rsid w:val="00BE4231"/>
    <w:rsid w:val="00BE457E"/>
    <w:rsid w:val="00BE4894"/>
    <w:rsid w:val="00BE4EC2"/>
    <w:rsid w:val="00BE5319"/>
    <w:rsid w:val="00BE5799"/>
    <w:rsid w:val="00BE5A7E"/>
    <w:rsid w:val="00BE5ECB"/>
    <w:rsid w:val="00BE63D2"/>
    <w:rsid w:val="00BE665D"/>
    <w:rsid w:val="00BE681E"/>
    <w:rsid w:val="00BE6AA1"/>
    <w:rsid w:val="00BE6F23"/>
    <w:rsid w:val="00BE7091"/>
    <w:rsid w:val="00BE719F"/>
    <w:rsid w:val="00BE7673"/>
    <w:rsid w:val="00BE79C7"/>
    <w:rsid w:val="00BE7A6A"/>
    <w:rsid w:val="00BE7C9C"/>
    <w:rsid w:val="00BE7EC5"/>
    <w:rsid w:val="00BE7F19"/>
    <w:rsid w:val="00BF0297"/>
    <w:rsid w:val="00BF0703"/>
    <w:rsid w:val="00BF085F"/>
    <w:rsid w:val="00BF0ED4"/>
    <w:rsid w:val="00BF1190"/>
    <w:rsid w:val="00BF1966"/>
    <w:rsid w:val="00BF1A02"/>
    <w:rsid w:val="00BF1A64"/>
    <w:rsid w:val="00BF1C74"/>
    <w:rsid w:val="00BF2382"/>
    <w:rsid w:val="00BF23E5"/>
    <w:rsid w:val="00BF32DE"/>
    <w:rsid w:val="00BF33DC"/>
    <w:rsid w:val="00BF34CD"/>
    <w:rsid w:val="00BF359B"/>
    <w:rsid w:val="00BF3936"/>
    <w:rsid w:val="00BF3C55"/>
    <w:rsid w:val="00BF3ECA"/>
    <w:rsid w:val="00BF49A1"/>
    <w:rsid w:val="00BF4D32"/>
    <w:rsid w:val="00BF4FDA"/>
    <w:rsid w:val="00BF51C5"/>
    <w:rsid w:val="00BF5396"/>
    <w:rsid w:val="00BF5E5D"/>
    <w:rsid w:val="00BF6038"/>
    <w:rsid w:val="00BF63EE"/>
    <w:rsid w:val="00BF686B"/>
    <w:rsid w:val="00BF690D"/>
    <w:rsid w:val="00BF69D8"/>
    <w:rsid w:val="00BF69F8"/>
    <w:rsid w:val="00BF726B"/>
    <w:rsid w:val="00BF74A3"/>
    <w:rsid w:val="00BF74E4"/>
    <w:rsid w:val="00BF7816"/>
    <w:rsid w:val="00BF7892"/>
    <w:rsid w:val="00BF7A5B"/>
    <w:rsid w:val="00BF7B80"/>
    <w:rsid w:val="00C00AA8"/>
    <w:rsid w:val="00C010E8"/>
    <w:rsid w:val="00C010F5"/>
    <w:rsid w:val="00C01120"/>
    <w:rsid w:val="00C013EF"/>
    <w:rsid w:val="00C017C2"/>
    <w:rsid w:val="00C02D9C"/>
    <w:rsid w:val="00C033B6"/>
    <w:rsid w:val="00C034F8"/>
    <w:rsid w:val="00C0360B"/>
    <w:rsid w:val="00C0374E"/>
    <w:rsid w:val="00C037EE"/>
    <w:rsid w:val="00C03844"/>
    <w:rsid w:val="00C03888"/>
    <w:rsid w:val="00C038FF"/>
    <w:rsid w:val="00C03B8E"/>
    <w:rsid w:val="00C03BD4"/>
    <w:rsid w:val="00C03D2D"/>
    <w:rsid w:val="00C03D80"/>
    <w:rsid w:val="00C03DE2"/>
    <w:rsid w:val="00C04477"/>
    <w:rsid w:val="00C046B1"/>
    <w:rsid w:val="00C04973"/>
    <w:rsid w:val="00C04A89"/>
    <w:rsid w:val="00C04BE9"/>
    <w:rsid w:val="00C05075"/>
    <w:rsid w:val="00C05253"/>
    <w:rsid w:val="00C0577C"/>
    <w:rsid w:val="00C05CCE"/>
    <w:rsid w:val="00C06243"/>
    <w:rsid w:val="00C062EA"/>
    <w:rsid w:val="00C06B4E"/>
    <w:rsid w:val="00C06ED5"/>
    <w:rsid w:val="00C070AE"/>
    <w:rsid w:val="00C07CDF"/>
    <w:rsid w:val="00C07D7D"/>
    <w:rsid w:val="00C07EA5"/>
    <w:rsid w:val="00C07FEE"/>
    <w:rsid w:val="00C10214"/>
    <w:rsid w:val="00C1047A"/>
    <w:rsid w:val="00C104F1"/>
    <w:rsid w:val="00C10943"/>
    <w:rsid w:val="00C10DED"/>
    <w:rsid w:val="00C10F2F"/>
    <w:rsid w:val="00C10FEB"/>
    <w:rsid w:val="00C113CB"/>
    <w:rsid w:val="00C11429"/>
    <w:rsid w:val="00C11496"/>
    <w:rsid w:val="00C1186A"/>
    <w:rsid w:val="00C11DBF"/>
    <w:rsid w:val="00C12258"/>
    <w:rsid w:val="00C1294B"/>
    <w:rsid w:val="00C137F6"/>
    <w:rsid w:val="00C140C1"/>
    <w:rsid w:val="00C14B42"/>
    <w:rsid w:val="00C14EF1"/>
    <w:rsid w:val="00C14FDE"/>
    <w:rsid w:val="00C14FEF"/>
    <w:rsid w:val="00C1523F"/>
    <w:rsid w:val="00C152BB"/>
    <w:rsid w:val="00C154ED"/>
    <w:rsid w:val="00C155AF"/>
    <w:rsid w:val="00C156B1"/>
    <w:rsid w:val="00C156E2"/>
    <w:rsid w:val="00C159CC"/>
    <w:rsid w:val="00C15A47"/>
    <w:rsid w:val="00C15E77"/>
    <w:rsid w:val="00C163F2"/>
    <w:rsid w:val="00C16549"/>
    <w:rsid w:val="00C1666F"/>
    <w:rsid w:val="00C168D0"/>
    <w:rsid w:val="00C169B9"/>
    <w:rsid w:val="00C16B35"/>
    <w:rsid w:val="00C1797C"/>
    <w:rsid w:val="00C201C3"/>
    <w:rsid w:val="00C20642"/>
    <w:rsid w:val="00C207F9"/>
    <w:rsid w:val="00C20D80"/>
    <w:rsid w:val="00C210F7"/>
    <w:rsid w:val="00C21310"/>
    <w:rsid w:val="00C215CD"/>
    <w:rsid w:val="00C21CAC"/>
    <w:rsid w:val="00C2302E"/>
    <w:rsid w:val="00C2352A"/>
    <w:rsid w:val="00C23DB7"/>
    <w:rsid w:val="00C23EC1"/>
    <w:rsid w:val="00C24462"/>
    <w:rsid w:val="00C24ED2"/>
    <w:rsid w:val="00C252B9"/>
    <w:rsid w:val="00C2541B"/>
    <w:rsid w:val="00C2561A"/>
    <w:rsid w:val="00C259B5"/>
    <w:rsid w:val="00C25BAD"/>
    <w:rsid w:val="00C25D02"/>
    <w:rsid w:val="00C26234"/>
    <w:rsid w:val="00C269BA"/>
    <w:rsid w:val="00C26CD0"/>
    <w:rsid w:val="00C272AC"/>
    <w:rsid w:val="00C2739D"/>
    <w:rsid w:val="00C276D6"/>
    <w:rsid w:val="00C27988"/>
    <w:rsid w:val="00C27C61"/>
    <w:rsid w:val="00C27DEB"/>
    <w:rsid w:val="00C307A5"/>
    <w:rsid w:val="00C30873"/>
    <w:rsid w:val="00C30B7E"/>
    <w:rsid w:val="00C30CBA"/>
    <w:rsid w:val="00C30E37"/>
    <w:rsid w:val="00C30FA3"/>
    <w:rsid w:val="00C3151F"/>
    <w:rsid w:val="00C31B24"/>
    <w:rsid w:val="00C31FCD"/>
    <w:rsid w:val="00C31FEB"/>
    <w:rsid w:val="00C326EC"/>
    <w:rsid w:val="00C32A9A"/>
    <w:rsid w:val="00C32C76"/>
    <w:rsid w:val="00C32F57"/>
    <w:rsid w:val="00C32F80"/>
    <w:rsid w:val="00C333EE"/>
    <w:rsid w:val="00C3362F"/>
    <w:rsid w:val="00C33651"/>
    <w:rsid w:val="00C3366C"/>
    <w:rsid w:val="00C3386E"/>
    <w:rsid w:val="00C33886"/>
    <w:rsid w:val="00C33BF4"/>
    <w:rsid w:val="00C33F32"/>
    <w:rsid w:val="00C348A9"/>
    <w:rsid w:val="00C348C2"/>
    <w:rsid w:val="00C352B9"/>
    <w:rsid w:val="00C35366"/>
    <w:rsid w:val="00C35667"/>
    <w:rsid w:val="00C35A89"/>
    <w:rsid w:val="00C35BB9"/>
    <w:rsid w:val="00C360C4"/>
    <w:rsid w:val="00C36214"/>
    <w:rsid w:val="00C36343"/>
    <w:rsid w:val="00C36882"/>
    <w:rsid w:val="00C36C26"/>
    <w:rsid w:val="00C370C4"/>
    <w:rsid w:val="00C372F8"/>
    <w:rsid w:val="00C37352"/>
    <w:rsid w:val="00C40337"/>
    <w:rsid w:val="00C404A9"/>
    <w:rsid w:val="00C407DC"/>
    <w:rsid w:val="00C40843"/>
    <w:rsid w:val="00C40EB2"/>
    <w:rsid w:val="00C4169E"/>
    <w:rsid w:val="00C416D4"/>
    <w:rsid w:val="00C425E7"/>
    <w:rsid w:val="00C426A1"/>
    <w:rsid w:val="00C42749"/>
    <w:rsid w:val="00C42C1B"/>
    <w:rsid w:val="00C42D8E"/>
    <w:rsid w:val="00C42F3F"/>
    <w:rsid w:val="00C43220"/>
    <w:rsid w:val="00C438A1"/>
    <w:rsid w:val="00C438CA"/>
    <w:rsid w:val="00C43B42"/>
    <w:rsid w:val="00C440F7"/>
    <w:rsid w:val="00C443D9"/>
    <w:rsid w:val="00C444D6"/>
    <w:rsid w:val="00C449D1"/>
    <w:rsid w:val="00C44DAC"/>
    <w:rsid w:val="00C44E67"/>
    <w:rsid w:val="00C44E85"/>
    <w:rsid w:val="00C44F20"/>
    <w:rsid w:val="00C45786"/>
    <w:rsid w:val="00C4582A"/>
    <w:rsid w:val="00C458F4"/>
    <w:rsid w:val="00C46B66"/>
    <w:rsid w:val="00C470E2"/>
    <w:rsid w:val="00C47F00"/>
    <w:rsid w:val="00C501C1"/>
    <w:rsid w:val="00C50202"/>
    <w:rsid w:val="00C50276"/>
    <w:rsid w:val="00C509A7"/>
    <w:rsid w:val="00C50BC1"/>
    <w:rsid w:val="00C51B56"/>
    <w:rsid w:val="00C51C9B"/>
    <w:rsid w:val="00C51EBE"/>
    <w:rsid w:val="00C520D1"/>
    <w:rsid w:val="00C521F4"/>
    <w:rsid w:val="00C522A1"/>
    <w:rsid w:val="00C5239D"/>
    <w:rsid w:val="00C52AF4"/>
    <w:rsid w:val="00C52C92"/>
    <w:rsid w:val="00C52FBF"/>
    <w:rsid w:val="00C53924"/>
    <w:rsid w:val="00C53A26"/>
    <w:rsid w:val="00C53C81"/>
    <w:rsid w:val="00C54254"/>
    <w:rsid w:val="00C54333"/>
    <w:rsid w:val="00C543E9"/>
    <w:rsid w:val="00C5444A"/>
    <w:rsid w:val="00C54796"/>
    <w:rsid w:val="00C549DF"/>
    <w:rsid w:val="00C556D5"/>
    <w:rsid w:val="00C563FA"/>
    <w:rsid w:val="00C5665D"/>
    <w:rsid w:val="00C56A6C"/>
    <w:rsid w:val="00C56AA9"/>
    <w:rsid w:val="00C57168"/>
    <w:rsid w:val="00C5738F"/>
    <w:rsid w:val="00C57C4A"/>
    <w:rsid w:val="00C57DA7"/>
    <w:rsid w:val="00C60170"/>
    <w:rsid w:val="00C60305"/>
    <w:rsid w:val="00C60460"/>
    <w:rsid w:val="00C60530"/>
    <w:rsid w:val="00C60722"/>
    <w:rsid w:val="00C609E3"/>
    <w:rsid w:val="00C609F2"/>
    <w:rsid w:val="00C60A5B"/>
    <w:rsid w:val="00C60ABA"/>
    <w:rsid w:val="00C60EE1"/>
    <w:rsid w:val="00C60F64"/>
    <w:rsid w:val="00C61878"/>
    <w:rsid w:val="00C61BCD"/>
    <w:rsid w:val="00C6200F"/>
    <w:rsid w:val="00C621CE"/>
    <w:rsid w:val="00C6222B"/>
    <w:rsid w:val="00C626BF"/>
    <w:rsid w:val="00C63432"/>
    <w:rsid w:val="00C636D6"/>
    <w:rsid w:val="00C637D1"/>
    <w:rsid w:val="00C638E8"/>
    <w:rsid w:val="00C63EF4"/>
    <w:rsid w:val="00C6403F"/>
    <w:rsid w:val="00C640EB"/>
    <w:rsid w:val="00C64661"/>
    <w:rsid w:val="00C64F38"/>
    <w:rsid w:val="00C64F57"/>
    <w:rsid w:val="00C657E4"/>
    <w:rsid w:val="00C65D94"/>
    <w:rsid w:val="00C66031"/>
    <w:rsid w:val="00C6653C"/>
    <w:rsid w:val="00C666AF"/>
    <w:rsid w:val="00C6672E"/>
    <w:rsid w:val="00C66A4F"/>
    <w:rsid w:val="00C66E5C"/>
    <w:rsid w:val="00C67373"/>
    <w:rsid w:val="00C675D1"/>
    <w:rsid w:val="00C67869"/>
    <w:rsid w:val="00C67A35"/>
    <w:rsid w:val="00C67C3A"/>
    <w:rsid w:val="00C702C0"/>
    <w:rsid w:val="00C70657"/>
    <w:rsid w:val="00C70913"/>
    <w:rsid w:val="00C71151"/>
    <w:rsid w:val="00C719D7"/>
    <w:rsid w:val="00C722C3"/>
    <w:rsid w:val="00C728A6"/>
    <w:rsid w:val="00C72D28"/>
    <w:rsid w:val="00C72F9A"/>
    <w:rsid w:val="00C733B2"/>
    <w:rsid w:val="00C735D4"/>
    <w:rsid w:val="00C73672"/>
    <w:rsid w:val="00C73C22"/>
    <w:rsid w:val="00C741AD"/>
    <w:rsid w:val="00C750B4"/>
    <w:rsid w:val="00C75376"/>
    <w:rsid w:val="00C7543E"/>
    <w:rsid w:val="00C75856"/>
    <w:rsid w:val="00C7592F"/>
    <w:rsid w:val="00C75F35"/>
    <w:rsid w:val="00C760CD"/>
    <w:rsid w:val="00C766F9"/>
    <w:rsid w:val="00C7699F"/>
    <w:rsid w:val="00C76AF1"/>
    <w:rsid w:val="00C76B59"/>
    <w:rsid w:val="00C7761B"/>
    <w:rsid w:val="00C77639"/>
    <w:rsid w:val="00C777AE"/>
    <w:rsid w:val="00C77A8B"/>
    <w:rsid w:val="00C80063"/>
    <w:rsid w:val="00C80562"/>
    <w:rsid w:val="00C805E9"/>
    <w:rsid w:val="00C808C6"/>
    <w:rsid w:val="00C80A98"/>
    <w:rsid w:val="00C80BF1"/>
    <w:rsid w:val="00C80F67"/>
    <w:rsid w:val="00C812D5"/>
    <w:rsid w:val="00C815AB"/>
    <w:rsid w:val="00C81EEF"/>
    <w:rsid w:val="00C82709"/>
    <w:rsid w:val="00C83048"/>
    <w:rsid w:val="00C83242"/>
    <w:rsid w:val="00C841D5"/>
    <w:rsid w:val="00C84A58"/>
    <w:rsid w:val="00C851D8"/>
    <w:rsid w:val="00C8550C"/>
    <w:rsid w:val="00C85514"/>
    <w:rsid w:val="00C85811"/>
    <w:rsid w:val="00C858C9"/>
    <w:rsid w:val="00C8596D"/>
    <w:rsid w:val="00C86183"/>
    <w:rsid w:val="00C861A8"/>
    <w:rsid w:val="00C864D5"/>
    <w:rsid w:val="00C865C2"/>
    <w:rsid w:val="00C86820"/>
    <w:rsid w:val="00C869FC"/>
    <w:rsid w:val="00C86EA4"/>
    <w:rsid w:val="00C87044"/>
    <w:rsid w:val="00C87466"/>
    <w:rsid w:val="00C874E9"/>
    <w:rsid w:val="00C877C7"/>
    <w:rsid w:val="00C90002"/>
    <w:rsid w:val="00C90130"/>
    <w:rsid w:val="00C905ED"/>
    <w:rsid w:val="00C90BCE"/>
    <w:rsid w:val="00C90E64"/>
    <w:rsid w:val="00C91526"/>
    <w:rsid w:val="00C915ED"/>
    <w:rsid w:val="00C91AE5"/>
    <w:rsid w:val="00C91C3E"/>
    <w:rsid w:val="00C91ED4"/>
    <w:rsid w:val="00C92762"/>
    <w:rsid w:val="00C92A42"/>
    <w:rsid w:val="00C92DA1"/>
    <w:rsid w:val="00C93024"/>
    <w:rsid w:val="00C935AF"/>
    <w:rsid w:val="00C937B6"/>
    <w:rsid w:val="00C93F2B"/>
    <w:rsid w:val="00C94319"/>
    <w:rsid w:val="00C944A9"/>
    <w:rsid w:val="00C945C5"/>
    <w:rsid w:val="00C94F23"/>
    <w:rsid w:val="00C9552F"/>
    <w:rsid w:val="00C956FC"/>
    <w:rsid w:val="00C95794"/>
    <w:rsid w:val="00C958CE"/>
    <w:rsid w:val="00C95904"/>
    <w:rsid w:val="00C959C2"/>
    <w:rsid w:val="00C95C17"/>
    <w:rsid w:val="00C96381"/>
    <w:rsid w:val="00C9666D"/>
    <w:rsid w:val="00C96C81"/>
    <w:rsid w:val="00C9722F"/>
    <w:rsid w:val="00C976AE"/>
    <w:rsid w:val="00C976F4"/>
    <w:rsid w:val="00C9784E"/>
    <w:rsid w:val="00C97DB3"/>
    <w:rsid w:val="00CA029E"/>
    <w:rsid w:val="00CA05C1"/>
    <w:rsid w:val="00CA0D15"/>
    <w:rsid w:val="00CA0EC9"/>
    <w:rsid w:val="00CA0F7C"/>
    <w:rsid w:val="00CA1115"/>
    <w:rsid w:val="00CA11BB"/>
    <w:rsid w:val="00CA1373"/>
    <w:rsid w:val="00CA16E1"/>
    <w:rsid w:val="00CA17CF"/>
    <w:rsid w:val="00CA187D"/>
    <w:rsid w:val="00CA1B77"/>
    <w:rsid w:val="00CA233D"/>
    <w:rsid w:val="00CA32AA"/>
    <w:rsid w:val="00CA32C3"/>
    <w:rsid w:val="00CA34D3"/>
    <w:rsid w:val="00CA3664"/>
    <w:rsid w:val="00CA36B8"/>
    <w:rsid w:val="00CA3C15"/>
    <w:rsid w:val="00CA3D31"/>
    <w:rsid w:val="00CA3E86"/>
    <w:rsid w:val="00CA40EA"/>
    <w:rsid w:val="00CA485A"/>
    <w:rsid w:val="00CA5265"/>
    <w:rsid w:val="00CA5558"/>
    <w:rsid w:val="00CA57F7"/>
    <w:rsid w:val="00CA5F06"/>
    <w:rsid w:val="00CA61CC"/>
    <w:rsid w:val="00CA6209"/>
    <w:rsid w:val="00CA6424"/>
    <w:rsid w:val="00CA649F"/>
    <w:rsid w:val="00CA7271"/>
    <w:rsid w:val="00CA76A3"/>
    <w:rsid w:val="00CA79AA"/>
    <w:rsid w:val="00CA7D64"/>
    <w:rsid w:val="00CB0029"/>
    <w:rsid w:val="00CB014E"/>
    <w:rsid w:val="00CB042C"/>
    <w:rsid w:val="00CB1041"/>
    <w:rsid w:val="00CB105D"/>
    <w:rsid w:val="00CB14EB"/>
    <w:rsid w:val="00CB1797"/>
    <w:rsid w:val="00CB1A5B"/>
    <w:rsid w:val="00CB20F6"/>
    <w:rsid w:val="00CB24AC"/>
    <w:rsid w:val="00CB2AD9"/>
    <w:rsid w:val="00CB2DBA"/>
    <w:rsid w:val="00CB2ECC"/>
    <w:rsid w:val="00CB2ED4"/>
    <w:rsid w:val="00CB300E"/>
    <w:rsid w:val="00CB30CE"/>
    <w:rsid w:val="00CB360B"/>
    <w:rsid w:val="00CB38EE"/>
    <w:rsid w:val="00CB3979"/>
    <w:rsid w:val="00CB3C27"/>
    <w:rsid w:val="00CB3D52"/>
    <w:rsid w:val="00CB3FC8"/>
    <w:rsid w:val="00CB4038"/>
    <w:rsid w:val="00CB40DD"/>
    <w:rsid w:val="00CB421B"/>
    <w:rsid w:val="00CB4467"/>
    <w:rsid w:val="00CB4874"/>
    <w:rsid w:val="00CB4A62"/>
    <w:rsid w:val="00CB4CDF"/>
    <w:rsid w:val="00CB5091"/>
    <w:rsid w:val="00CB51E7"/>
    <w:rsid w:val="00CB562A"/>
    <w:rsid w:val="00CB5A79"/>
    <w:rsid w:val="00CB5B8E"/>
    <w:rsid w:val="00CB5C05"/>
    <w:rsid w:val="00CB5FC9"/>
    <w:rsid w:val="00CB602C"/>
    <w:rsid w:val="00CB6104"/>
    <w:rsid w:val="00CB6130"/>
    <w:rsid w:val="00CB6269"/>
    <w:rsid w:val="00CB6D8B"/>
    <w:rsid w:val="00CB7054"/>
    <w:rsid w:val="00CB754D"/>
    <w:rsid w:val="00CB762C"/>
    <w:rsid w:val="00CB76DE"/>
    <w:rsid w:val="00CB796A"/>
    <w:rsid w:val="00CB79FC"/>
    <w:rsid w:val="00CB7D60"/>
    <w:rsid w:val="00CB7E99"/>
    <w:rsid w:val="00CC0257"/>
    <w:rsid w:val="00CC0357"/>
    <w:rsid w:val="00CC0615"/>
    <w:rsid w:val="00CC07C5"/>
    <w:rsid w:val="00CC07DB"/>
    <w:rsid w:val="00CC097E"/>
    <w:rsid w:val="00CC0C74"/>
    <w:rsid w:val="00CC1D99"/>
    <w:rsid w:val="00CC1ED8"/>
    <w:rsid w:val="00CC20EF"/>
    <w:rsid w:val="00CC2146"/>
    <w:rsid w:val="00CC25ED"/>
    <w:rsid w:val="00CC279B"/>
    <w:rsid w:val="00CC2A57"/>
    <w:rsid w:val="00CC2F14"/>
    <w:rsid w:val="00CC34D6"/>
    <w:rsid w:val="00CC41C5"/>
    <w:rsid w:val="00CC44A2"/>
    <w:rsid w:val="00CC483E"/>
    <w:rsid w:val="00CC485D"/>
    <w:rsid w:val="00CC4930"/>
    <w:rsid w:val="00CC4DE7"/>
    <w:rsid w:val="00CC51C5"/>
    <w:rsid w:val="00CC536B"/>
    <w:rsid w:val="00CC5A08"/>
    <w:rsid w:val="00CC5BD3"/>
    <w:rsid w:val="00CC6808"/>
    <w:rsid w:val="00CC6D7C"/>
    <w:rsid w:val="00CC71AD"/>
    <w:rsid w:val="00CC7201"/>
    <w:rsid w:val="00CC758A"/>
    <w:rsid w:val="00CC7B89"/>
    <w:rsid w:val="00CC7E3D"/>
    <w:rsid w:val="00CD0639"/>
    <w:rsid w:val="00CD06D7"/>
    <w:rsid w:val="00CD0DCC"/>
    <w:rsid w:val="00CD0E26"/>
    <w:rsid w:val="00CD1A4C"/>
    <w:rsid w:val="00CD1A8E"/>
    <w:rsid w:val="00CD1E03"/>
    <w:rsid w:val="00CD1E7B"/>
    <w:rsid w:val="00CD29D6"/>
    <w:rsid w:val="00CD2CE9"/>
    <w:rsid w:val="00CD305F"/>
    <w:rsid w:val="00CD371D"/>
    <w:rsid w:val="00CD3936"/>
    <w:rsid w:val="00CD3A84"/>
    <w:rsid w:val="00CD4041"/>
    <w:rsid w:val="00CD40D7"/>
    <w:rsid w:val="00CD449E"/>
    <w:rsid w:val="00CD46AB"/>
    <w:rsid w:val="00CD46E4"/>
    <w:rsid w:val="00CD4B97"/>
    <w:rsid w:val="00CD4CCF"/>
    <w:rsid w:val="00CD4D85"/>
    <w:rsid w:val="00CD4E0F"/>
    <w:rsid w:val="00CD4F15"/>
    <w:rsid w:val="00CD5383"/>
    <w:rsid w:val="00CD576A"/>
    <w:rsid w:val="00CD6760"/>
    <w:rsid w:val="00CD6A6F"/>
    <w:rsid w:val="00CD6E7B"/>
    <w:rsid w:val="00CD7433"/>
    <w:rsid w:val="00CD7943"/>
    <w:rsid w:val="00CD7985"/>
    <w:rsid w:val="00CD79E1"/>
    <w:rsid w:val="00CD7CB9"/>
    <w:rsid w:val="00CE005E"/>
    <w:rsid w:val="00CE00FA"/>
    <w:rsid w:val="00CE0380"/>
    <w:rsid w:val="00CE041E"/>
    <w:rsid w:val="00CE11A4"/>
    <w:rsid w:val="00CE12EA"/>
    <w:rsid w:val="00CE1F99"/>
    <w:rsid w:val="00CE2457"/>
    <w:rsid w:val="00CE287C"/>
    <w:rsid w:val="00CE2B6D"/>
    <w:rsid w:val="00CE2D6D"/>
    <w:rsid w:val="00CE2E8D"/>
    <w:rsid w:val="00CE38F8"/>
    <w:rsid w:val="00CE3997"/>
    <w:rsid w:val="00CE3C29"/>
    <w:rsid w:val="00CE42AD"/>
    <w:rsid w:val="00CE439A"/>
    <w:rsid w:val="00CE444C"/>
    <w:rsid w:val="00CE464B"/>
    <w:rsid w:val="00CE4EA4"/>
    <w:rsid w:val="00CE4FED"/>
    <w:rsid w:val="00CE5611"/>
    <w:rsid w:val="00CE5A80"/>
    <w:rsid w:val="00CE5B2F"/>
    <w:rsid w:val="00CE601A"/>
    <w:rsid w:val="00CE62FC"/>
    <w:rsid w:val="00CE6764"/>
    <w:rsid w:val="00CE67AE"/>
    <w:rsid w:val="00CE68F5"/>
    <w:rsid w:val="00CE6EA5"/>
    <w:rsid w:val="00CF0043"/>
    <w:rsid w:val="00CF074C"/>
    <w:rsid w:val="00CF08BD"/>
    <w:rsid w:val="00CF09F2"/>
    <w:rsid w:val="00CF09FE"/>
    <w:rsid w:val="00CF0A97"/>
    <w:rsid w:val="00CF0ACC"/>
    <w:rsid w:val="00CF0B23"/>
    <w:rsid w:val="00CF0BB9"/>
    <w:rsid w:val="00CF1214"/>
    <w:rsid w:val="00CF17DC"/>
    <w:rsid w:val="00CF1B22"/>
    <w:rsid w:val="00CF267D"/>
    <w:rsid w:val="00CF2E8E"/>
    <w:rsid w:val="00CF318E"/>
    <w:rsid w:val="00CF3261"/>
    <w:rsid w:val="00CF3810"/>
    <w:rsid w:val="00CF38F1"/>
    <w:rsid w:val="00CF3ABA"/>
    <w:rsid w:val="00CF3C77"/>
    <w:rsid w:val="00CF3E5B"/>
    <w:rsid w:val="00CF4130"/>
    <w:rsid w:val="00CF427D"/>
    <w:rsid w:val="00CF4761"/>
    <w:rsid w:val="00CF5264"/>
    <w:rsid w:val="00CF533B"/>
    <w:rsid w:val="00CF53CC"/>
    <w:rsid w:val="00CF5426"/>
    <w:rsid w:val="00CF5AFA"/>
    <w:rsid w:val="00CF5BD6"/>
    <w:rsid w:val="00CF5E5B"/>
    <w:rsid w:val="00CF6060"/>
    <w:rsid w:val="00CF607C"/>
    <w:rsid w:val="00CF6223"/>
    <w:rsid w:val="00CF62D3"/>
    <w:rsid w:val="00CF65F3"/>
    <w:rsid w:val="00CF672D"/>
    <w:rsid w:val="00CF6F88"/>
    <w:rsid w:val="00CF6FCD"/>
    <w:rsid w:val="00CF7336"/>
    <w:rsid w:val="00CF7388"/>
    <w:rsid w:val="00CF73B0"/>
    <w:rsid w:val="00CF7C22"/>
    <w:rsid w:val="00D006E0"/>
    <w:rsid w:val="00D00C9B"/>
    <w:rsid w:val="00D00D60"/>
    <w:rsid w:val="00D00D62"/>
    <w:rsid w:val="00D01933"/>
    <w:rsid w:val="00D01BD0"/>
    <w:rsid w:val="00D01CA1"/>
    <w:rsid w:val="00D01CEA"/>
    <w:rsid w:val="00D01D95"/>
    <w:rsid w:val="00D01DF0"/>
    <w:rsid w:val="00D02387"/>
    <w:rsid w:val="00D0282A"/>
    <w:rsid w:val="00D02840"/>
    <w:rsid w:val="00D0295B"/>
    <w:rsid w:val="00D03777"/>
    <w:rsid w:val="00D039B3"/>
    <w:rsid w:val="00D03A17"/>
    <w:rsid w:val="00D03BB0"/>
    <w:rsid w:val="00D04256"/>
    <w:rsid w:val="00D0454D"/>
    <w:rsid w:val="00D049D5"/>
    <w:rsid w:val="00D05289"/>
    <w:rsid w:val="00D05519"/>
    <w:rsid w:val="00D060CE"/>
    <w:rsid w:val="00D06559"/>
    <w:rsid w:val="00D069ED"/>
    <w:rsid w:val="00D06C4C"/>
    <w:rsid w:val="00D0729D"/>
    <w:rsid w:val="00D07631"/>
    <w:rsid w:val="00D07663"/>
    <w:rsid w:val="00D1017E"/>
    <w:rsid w:val="00D10756"/>
    <w:rsid w:val="00D11177"/>
    <w:rsid w:val="00D11422"/>
    <w:rsid w:val="00D120DC"/>
    <w:rsid w:val="00D12187"/>
    <w:rsid w:val="00D12394"/>
    <w:rsid w:val="00D12A6F"/>
    <w:rsid w:val="00D12CA0"/>
    <w:rsid w:val="00D12E17"/>
    <w:rsid w:val="00D12EE4"/>
    <w:rsid w:val="00D13D3A"/>
    <w:rsid w:val="00D14796"/>
    <w:rsid w:val="00D14B48"/>
    <w:rsid w:val="00D14B9D"/>
    <w:rsid w:val="00D14F4E"/>
    <w:rsid w:val="00D15248"/>
    <w:rsid w:val="00D15B95"/>
    <w:rsid w:val="00D15DD2"/>
    <w:rsid w:val="00D16506"/>
    <w:rsid w:val="00D167E0"/>
    <w:rsid w:val="00D16854"/>
    <w:rsid w:val="00D16ED9"/>
    <w:rsid w:val="00D173D2"/>
    <w:rsid w:val="00D17DC1"/>
    <w:rsid w:val="00D205BE"/>
    <w:rsid w:val="00D20954"/>
    <w:rsid w:val="00D20A60"/>
    <w:rsid w:val="00D20E98"/>
    <w:rsid w:val="00D2119E"/>
    <w:rsid w:val="00D213DD"/>
    <w:rsid w:val="00D21550"/>
    <w:rsid w:val="00D21776"/>
    <w:rsid w:val="00D21B80"/>
    <w:rsid w:val="00D225C0"/>
    <w:rsid w:val="00D225EA"/>
    <w:rsid w:val="00D2264F"/>
    <w:rsid w:val="00D226C9"/>
    <w:rsid w:val="00D22B8C"/>
    <w:rsid w:val="00D23242"/>
    <w:rsid w:val="00D2336A"/>
    <w:rsid w:val="00D233D9"/>
    <w:rsid w:val="00D23990"/>
    <w:rsid w:val="00D239BC"/>
    <w:rsid w:val="00D23E0D"/>
    <w:rsid w:val="00D2445B"/>
    <w:rsid w:val="00D24B82"/>
    <w:rsid w:val="00D24D78"/>
    <w:rsid w:val="00D25194"/>
    <w:rsid w:val="00D25489"/>
    <w:rsid w:val="00D25940"/>
    <w:rsid w:val="00D25BC2"/>
    <w:rsid w:val="00D25D2C"/>
    <w:rsid w:val="00D25FC3"/>
    <w:rsid w:val="00D26537"/>
    <w:rsid w:val="00D26789"/>
    <w:rsid w:val="00D26B5E"/>
    <w:rsid w:val="00D26BD2"/>
    <w:rsid w:val="00D26CEF"/>
    <w:rsid w:val="00D26E0C"/>
    <w:rsid w:val="00D27167"/>
    <w:rsid w:val="00D27202"/>
    <w:rsid w:val="00D2789A"/>
    <w:rsid w:val="00D278F1"/>
    <w:rsid w:val="00D27FC5"/>
    <w:rsid w:val="00D30965"/>
    <w:rsid w:val="00D31B0B"/>
    <w:rsid w:val="00D32090"/>
    <w:rsid w:val="00D326CB"/>
    <w:rsid w:val="00D327D4"/>
    <w:rsid w:val="00D32A0B"/>
    <w:rsid w:val="00D32CF9"/>
    <w:rsid w:val="00D335E7"/>
    <w:rsid w:val="00D33694"/>
    <w:rsid w:val="00D33CFC"/>
    <w:rsid w:val="00D33D85"/>
    <w:rsid w:val="00D33F4A"/>
    <w:rsid w:val="00D34081"/>
    <w:rsid w:val="00D34150"/>
    <w:rsid w:val="00D343D7"/>
    <w:rsid w:val="00D3483B"/>
    <w:rsid w:val="00D34B52"/>
    <w:rsid w:val="00D34EAB"/>
    <w:rsid w:val="00D3502B"/>
    <w:rsid w:val="00D35035"/>
    <w:rsid w:val="00D350E2"/>
    <w:rsid w:val="00D3588A"/>
    <w:rsid w:val="00D360D2"/>
    <w:rsid w:val="00D36D84"/>
    <w:rsid w:val="00D36F2D"/>
    <w:rsid w:val="00D36FBF"/>
    <w:rsid w:val="00D3724A"/>
    <w:rsid w:val="00D3763D"/>
    <w:rsid w:val="00D376E0"/>
    <w:rsid w:val="00D37BB3"/>
    <w:rsid w:val="00D401F2"/>
    <w:rsid w:val="00D405F2"/>
    <w:rsid w:val="00D40DC1"/>
    <w:rsid w:val="00D40DE1"/>
    <w:rsid w:val="00D40F44"/>
    <w:rsid w:val="00D410F8"/>
    <w:rsid w:val="00D4135F"/>
    <w:rsid w:val="00D41442"/>
    <w:rsid w:val="00D41490"/>
    <w:rsid w:val="00D414F0"/>
    <w:rsid w:val="00D416D1"/>
    <w:rsid w:val="00D418D9"/>
    <w:rsid w:val="00D41944"/>
    <w:rsid w:val="00D41A5F"/>
    <w:rsid w:val="00D41C42"/>
    <w:rsid w:val="00D421BB"/>
    <w:rsid w:val="00D42286"/>
    <w:rsid w:val="00D42365"/>
    <w:rsid w:val="00D428FF"/>
    <w:rsid w:val="00D42E95"/>
    <w:rsid w:val="00D4301E"/>
    <w:rsid w:val="00D43931"/>
    <w:rsid w:val="00D43E76"/>
    <w:rsid w:val="00D4404B"/>
    <w:rsid w:val="00D4456E"/>
    <w:rsid w:val="00D4461A"/>
    <w:rsid w:val="00D449F1"/>
    <w:rsid w:val="00D44E89"/>
    <w:rsid w:val="00D4516B"/>
    <w:rsid w:val="00D45305"/>
    <w:rsid w:val="00D45542"/>
    <w:rsid w:val="00D45962"/>
    <w:rsid w:val="00D45F32"/>
    <w:rsid w:val="00D46261"/>
    <w:rsid w:val="00D46F56"/>
    <w:rsid w:val="00D47BC8"/>
    <w:rsid w:val="00D47D3B"/>
    <w:rsid w:val="00D47D6F"/>
    <w:rsid w:val="00D47E4A"/>
    <w:rsid w:val="00D5016C"/>
    <w:rsid w:val="00D505E3"/>
    <w:rsid w:val="00D50B2B"/>
    <w:rsid w:val="00D51506"/>
    <w:rsid w:val="00D517D0"/>
    <w:rsid w:val="00D519F7"/>
    <w:rsid w:val="00D51A70"/>
    <w:rsid w:val="00D520A9"/>
    <w:rsid w:val="00D52192"/>
    <w:rsid w:val="00D52444"/>
    <w:rsid w:val="00D525FB"/>
    <w:rsid w:val="00D526D2"/>
    <w:rsid w:val="00D5297A"/>
    <w:rsid w:val="00D52B64"/>
    <w:rsid w:val="00D53107"/>
    <w:rsid w:val="00D53C91"/>
    <w:rsid w:val="00D53E93"/>
    <w:rsid w:val="00D543AE"/>
    <w:rsid w:val="00D54C91"/>
    <w:rsid w:val="00D54DFF"/>
    <w:rsid w:val="00D54E1F"/>
    <w:rsid w:val="00D54EE0"/>
    <w:rsid w:val="00D554DC"/>
    <w:rsid w:val="00D5562C"/>
    <w:rsid w:val="00D556F9"/>
    <w:rsid w:val="00D55DDC"/>
    <w:rsid w:val="00D561C7"/>
    <w:rsid w:val="00D568AF"/>
    <w:rsid w:val="00D56D32"/>
    <w:rsid w:val="00D57146"/>
    <w:rsid w:val="00D57791"/>
    <w:rsid w:val="00D57794"/>
    <w:rsid w:val="00D57FAE"/>
    <w:rsid w:val="00D601B5"/>
    <w:rsid w:val="00D606F1"/>
    <w:rsid w:val="00D608BA"/>
    <w:rsid w:val="00D60AB5"/>
    <w:rsid w:val="00D60BC9"/>
    <w:rsid w:val="00D612F1"/>
    <w:rsid w:val="00D615B3"/>
    <w:rsid w:val="00D618BB"/>
    <w:rsid w:val="00D62034"/>
    <w:rsid w:val="00D62564"/>
    <w:rsid w:val="00D62763"/>
    <w:rsid w:val="00D628CF"/>
    <w:rsid w:val="00D62D38"/>
    <w:rsid w:val="00D62DB1"/>
    <w:rsid w:val="00D62DC7"/>
    <w:rsid w:val="00D62F80"/>
    <w:rsid w:val="00D62F91"/>
    <w:rsid w:val="00D63245"/>
    <w:rsid w:val="00D63375"/>
    <w:rsid w:val="00D636E6"/>
    <w:rsid w:val="00D6382A"/>
    <w:rsid w:val="00D6397D"/>
    <w:rsid w:val="00D639BD"/>
    <w:rsid w:val="00D63F30"/>
    <w:rsid w:val="00D63FC1"/>
    <w:rsid w:val="00D6415B"/>
    <w:rsid w:val="00D6451C"/>
    <w:rsid w:val="00D645F4"/>
    <w:rsid w:val="00D6474F"/>
    <w:rsid w:val="00D648BF"/>
    <w:rsid w:val="00D64914"/>
    <w:rsid w:val="00D65287"/>
    <w:rsid w:val="00D65324"/>
    <w:rsid w:val="00D6535F"/>
    <w:rsid w:val="00D65683"/>
    <w:rsid w:val="00D656EF"/>
    <w:rsid w:val="00D658D0"/>
    <w:rsid w:val="00D65E27"/>
    <w:rsid w:val="00D6603C"/>
    <w:rsid w:val="00D660B9"/>
    <w:rsid w:val="00D663BA"/>
    <w:rsid w:val="00D668A3"/>
    <w:rsid w:val="00D668CF"/>
    <w:rsid w:val="00D66A46"/>
    <w:rsid w:val="00D66BAD"/>
    <w:rsid w:val="00D6738D"/>
    <w:rsid w:val="00D67596"/>
    <w:rsid w:val="00D676F3"/>
    <w:rsid w:val="00D67C00"/>
    <w:rsid w:val="00D67C12"/>
    <w:rsid w:val="00D67F56"/>
    <w:rsid w:val="00D70240"/>
    <w:rsid w:val="00D704BA"/>
    <w:rsid w:val="00D70692"/>
    <w:rsid w:val="00D70991"/>
    <w:rsid w:val="00D70C59"/>
    <w:rsid w:val="00D71568"/>
    <w:rsid w:val="00D7170D"/>
    <w:rsid w:val="00D71B74"/>
    <w:rsid w:val="00D71B94"/>
    <w:rsid w:val="00D71E5B"/>
    <w:rsid w:val="00D71ED7"/>
    <w:rsid w:val="00D71EE1"/>
    <w:rsid w:val="00D71EEF"/>
    <w:rsid w:val="00D71EF4"/>
    <w:rsid w:val="00D72246"/>
    <w:rsid w:val="00D7224D"/>
    <w:rsid w:val="00D72268"/>
    <w:rsid w:val="00D723E9"/>
    <w:rsid w:val="00D7266A"/>
    <w:rsid w:val="00D72808"/>
    <w:rsid w:val="00D7294D"/>
    <w:rsid w:val="00D72A83"/>
    <w:rsid w:val="00D72B3D"/>
    <w:rsid w:val="00D72BDC"/>
    <w:rsid w:val="00D73607"/>
    <w:rsid w:val="00D7363E"/>
    <w:rsid w:val="00D738F4"/>
    <w:rsid w:val="00D73962"/>
    <w:rsid w:val="00D739AF"/>
    <w:rsid w:val="00D73A73"/>
    <w:rsid w:val="00D73EDE"/>
    <w:rsid w:val="00D74295"/>
    <w:rsid w:val="00D74458"/>
    <w:rsid w:val="00D74905"/>
    <w:rsid w:val="00D74E9B"/>
    <w:rsid w:val="00D74FF2"/>
    <w:rsid w:val="00D75553"/>
    <w:rsid w:val="00D75725"/>
    <w:rsid w:val="00D75A09"/>
    <w:rsid w:val="00D75B35"/>
    <w:rsid w:val="00D75B73"/>
    <w:rsid w:val="00D75C83"/>
    <w:rsid w:val="00D75D5E"/>
    <w:rsid w:val="00D75EC9"/>
    <w:rsid w:val="00D762BE"/>
    <w:rsid w:val="00D762E8"/>
    <w:rsid w:val="00D765D1"/>
    <w:rsid w:val="00D7672C"/>
    <w:rsid w:val="00D76DF4"/>
    <w:rsid w:val="00D771D7"/>
    <w:rsid w:val="00D7759A"/>
    <w:rsid w:val="00D779CF"/>
    <w:rsid w:val="00D77CA9"/>
    <w:rsid w:val="00D77E96"/>
    <w:rsid w:val="00D800ED"/>
    <w:rsid w:val="00D80429"/>
    <w:rsid w:val="00D80E24"/>
    <w:rsid w:val="00D812CA"/>
    <w:rsid w:val="00D815F7"/>
    <w:rsid w:val="00D817C9"/>
    <w:rsid w:val="00D81995"/>
    <w:rsid w:val="00D81A00"/>
    <w:rsid w:val="00D81CC5"/>
    <w:rsid w:val="00D81FAC"/>
    <w:rsid w:val="00D820DA"/>
    <w:rsid w:val="00D820DD"/>
    <w:rsid w:val="00D82405"/>
    <w:rsid w:val="00D827E5"/>
    <w:rsid w:val="00D82C43"/>
    <w:rsid w:val="00D82C9F"/>
    <w:rsid w:val="00D8356A"/>
    <w:rsid w:val="00D83667"/>
    <w:rsid w:val="00D83714"/>
    <w:rsid w:val="00D839C0"/>
    <w:rsid w:val="00D83AEA"/>
    <w:rsid w:val="00D83CF3"/>
    <w:rsid w:val="00D83D02"/>
    <w:rsid w:val="00D8416F"/>
    <w:rsid w:val="00D84305"/>
    <w:rsid w:val="00D84501"/>
    <w:rsid w:val="00D8475A"/>
    <w:rsid w:val="00D848CC"/>
    <w:rsid w:val="00D8495C"/>
    <w:rsid w:val="00D84A8E"/>
    <w:rsid w:val="00D84BE8"/>
    <w:rsid w:val="00D85478"/>
    <w:rsid w:val="00D85A1A"/>
    <w:rsid w:val="00D85B34"/>
    <w:rsid w:val="00D864A3"/>
    <w:rsid w:val="00D86A7B"/>
    <w:rsid w:val="00D86E88"/>
    <w:rsid w:val="00D875DB"/>
    <w:rsid w:val="00D87FAB"/>
    <w:rsid w:val="00D90485"/>
    <w:rsid w:val="00D90BEC"/>
    <w:rsid w:val="00D90FEB"/>
    <w:rsid w:val="00D91240"/>
    <w:rsid w:val="00D918F5"/>
    <w:rsid w:val="00D91DD0"/>
    <w:rsid w:val="00D91E30"/>
    <w:rsid w:val="00D91E5A"/>
    <w:rsid w:val="00D92061"/>
    <w:rsid w:val="00D9217E"/>
    <w:rsid w:val="00D921F7"/>
    <w:rsid w:val="00D92431"/>
    <w:rsid w:val="00D926F5"/>
    <w:rsid w:val="00D928EC"/>
    <w:rsid w:val="00D929C8"/>
    <w:rsid w:val="00D92D59"/>
    <w:rsid w:val="00D93034"/>
    <w:rsid w:val="00D9354D"/>
    <w:rsid w:val="00D9358D"/>
    <w:rsid w:val="00D9394D"/>
    <w:rsid w:val="00D94A2C"/>
    <w:rsid w:val="00D957BA"/>
    <w:rsid w:val="00D959E9"/>
    <w:rsid w:val="00D95C28"/>
    <w:rsid w:val="00D9609F"/>
    <w:rsid w:val="00D96BF5"/>
    <w:rsid w:val="00D96E43"/>
    <w:rsid w:val="00D97033"/>
    <w:rsid w:val="00D973DB"/>
    <w:rsid w:val="00D973FA"/>
    <w:rsid w:val="00D978A8"/>
    <w:rsid w:val="00D978FA"/>
    <w:rsid w:val="00D97908"/>
    <w:rsid w:val="00D97B8F"/>
    <w:rsid w:val="00D97CA1"/>
    <w:rsid w:val="00DA0864"/>
    <w:rsid w:val="00DA0CC9"/>
    <w:rsid w:val="00DA1244"/>
    <w:rsid w:val="00DA1382"/>
    <w:rsid w:val="00DA13A4"/>
    <w:rsid w:val="00DA14C4"/>
    <w:rsid w:val="00DA1ADE"/>
    <w:rsid w:val="00DA1BF6"/>
    <w:rsid w:val="00DA1D08"/>
    <w:rsid w:val="00DA2387"/>
    <w:rsid w:val="00DA23B5"/>
    <w:rsid w:val="00DA2490"/>
    <w:rsid w:val="00DA31FA"/>
    <w:rsid w:val="00DA3304"/>
    <w:rsid w:val="00DA3B8D"/>
    <w:rsid w:val="00DA4198"/>
    <w:rsid w:val="00DA43F8"/>
    <w:rsid w:val="00DA4642"/>
    <w:rsid w:val="00DA4F97"/>
    <w:rsid w:val="00DA522A"/>
    <w:rsid w:val="00DA538A"/>
    <w:rsid w:val="00DA5571"/>
    <w:rsid w:val="00DA570D"/>
    <w:rsid w:val="00DA5780"/>
    <w:rsid w:val="00DA5B1C"/>
    <w:rsid w:val="00DA5B9C"/>
    <w:rsid w:val="00DA66B3"/>
    <w:rsid w:val="00DA68B2"/>
    <w:rsid w:val="00DA6A20"/>
    <w:rsid w:val="00DA710F"/>
    <w:rsid w:val="00DA7325"/>
    <w:rsid w:val="00DA78A6"/>
    <w:rsid w:val="00DA7933"/>
    <w:rsid w:val="00DA7CF6"/>
    <w:rsid w:val="00DB03CC"/>
    <w:rsid w:val="00DB03EE"/>
    <w:rsid w:val="00DB0681"/>
    <w:rsid w:val="00DB07A5"/>
    <w:rsid w:val="00DB0C77"/>
    <w:rsid w:val="00DB0DB6"/>
    <w:rsid w:val="00DB14DB"/>
    <w:rsid w:val="00DB19AE"/>
    <w:rsid w:val="00DB19D1"/>
    <w:rsid w:val="00DB1B02"/>
    <w:rsid w:val="00DB1B93"/>
    <w:rsid w:val="00DB1CCE"/>
    <w:rsid w:val="00DB1E7A"/>
    <w:rsid w:val="00DB1FAC"/>
    <w:rsid w:val="00DB27E6"/>
    <w:rsid w:val="00DB2931"/>
    <w:rsid w:val="00DB2D4D"/>
    <w:rsid w:val="00DB34E3"/>
    <w:rsid w:val="00DB3679"/>
    <w:rsid w:val="00DB36C0"/>
    <w:rsid w:val="00DB3713"/>
    <w:rsid w:val="00DB3C1E"/>
    <w:rsid w:val="00DB3E1B"/>
    <w:rsid w:val="00DB4077"/>
    <w:rsid w:val="00DB42C3"/>
    <w:rsid w:val="00DB4323"/>
    <w:rsid w:val="00DB46FD"/>
    <w:rsid w:val="00DB4CFE"/>
    <w:rsid w:val="00DB4D18"/>
    <w:rsid w:val="00DB50CD"/>
    <w:rsid w:val="00DB5312"/>
    <w:rsid w:val="00DB5765"/>
    <w:rsid w:val="00DB586C"/>
    <w:rsid w:val="00DB5B3F"/>
    <w:rsid w:val="00DB5CE5"/>
    <w:rsid w:val="00DB5F7C"/>
    <w:rsid w:val="00DB665E"/>
    <w:rsid w:val="00DB688E"/>
    <w:rsid w:val="00DB6A09"/>
    <w:rsid w:val="00DB6CFD"/>
    <w:rsid w:val="00DB7196"/>
    <w:rsid w:val="00DB7204"/>
    <w:rsid w:val="00DB73EB"/>
    <w:rsid w:val="00DB76A7"/>
    <w:rsid w:val="00DB76BD"/>
    <w:rsid w:val="00DB7EE1"/>
    <w:rsid w:val="00DB7FD2"/>
    <w:rsid w:val="00DC0583"/>
    <w:rsid w:val="00DC074D"/>
    <w:rsid w:val="00DC084B"/>
    <w:rsid w:val="00DC0E49"/>
    <w:rsid w:val="00DC0E54"/>
    <w:rsid w:val="00DC0E76"/>
    <w:rsid w:val="00DC1153"/>
    <w:rsid w:val="00DC1BF6"/>
    <w:rsid w:val="00DC1F63"/>
    <w:rsid w:val="00DC21C1"/>
    <w:rsid w:val="00DC23D1"/>
    <w:rsid w:val="00DC259F"/>
    <w:rsid w:val="00DC2610"/>
    <w:rsid w:val="00DC29FB"/>
    <w:rsid w:val="00DC3090"/>
    <w:rsid w:val="00DC3122"/>
    <w:rsid w:val="00DC3425"/>
    <w:rsid w:val="00DC39B0"/>
    <w:rsid w:val="00DC3A4E"/>
    <w:rsid w:val="00DC3BF6"/>
    <w:rsid w:val="00DC3CC0"/>
    <w:rsid w:val="00DC3D2D"/>
    <w:rsid w:val="00DC3FF0"/>
    <w:rsid w:val="00DC41AC"/>
    <w:rsid w:val="00DC4421"/>
    <w:rsid w:val="00DC4725"/>
    <w:rsid w:val="00DC4BA8"/>
    <w:rsid w:val="00DC51EC"/>
    <w:rsid w:val="00DC5602"/>
    <w:rsid w:val="00DC5BA3"/>
    <w:rsid w:val="00DC5D67"/>
    <w:rsid w:val="00DC5F61"/>
    <w:rsid w:val="00DC5FF5"/>
    <w:rsid w:val="00DC671E"/>
    <w:rsid w:val="00DC685A"/>
    <w:rsid w:val="00DC6FDD"/>
    <w:rsid w:val="00DC70D4"/>
    <w:rsid w:val="00DC7222"/>
    <w:rsid w:val="00DC7512"/>
    <w:rsid w:val="00DC78F7"/>
    <w:rsid w:val="00DC799E"/>
    <w:rsid w:val="00DD019F"/>
    <w:rsid w:val="00DD01D1"/>
    <w:rsid w:val="00DD0A51"/>
    <w:rsid w:val="00DD127A"/>
    <w:rsid w:val="00DD1CA3"/>
    <w:rsid w:val="00DD1F89"/>
    <w:rsid w:val="00DD22C4"/>
    <w:rsid w:val="00DD3597"/>
    <w:rsid w:val="00DD38CC"/>
    <w:rsid w:val="00DD3CB3"/>
    <w:rsid w:val="00DD3EFB"/>
    <w:rsid w:val="00DD4C78"/>
    <w:rsid w:val="00DD4FC8"/>
    <w:rsid w:val="00DD5574"/>
    <w:rsid w:val="00DD5579"/>
    <w:rsid w:val="00DD55FB"/>
    <w:rsid w:val="00DD5628"/>
    <w:rsid w:val="00DD644F"/>
    <w:rsid w:val="00DD6D6C"/>
    <w:rsid w:val="00DD723D"/>
    <w:rsid w:val="00DD724C"/>
    <w:rsid w:val="00DD7B0D"/>
    <w:rsid w:val="00DD7C7C"/>
    <w:rsid w:val="00DE06AF"/>
    <w:rsid w:val="00DE0A2B"/>
    <w:rsid w:val="00DE1740"/>
    <w:rsid w:val="00DE1873"/>
    <w:rsid w:val="00DE18A0"/>
    <w:rsid w:val="00DE1CB1"/>
    <w:rsid w:val="00DE22A8"/>
    <w:rsid w:val="00DE2739"/>
    <w:rsid w:val="00DE281B"/>
    <w:rsid w:val="00DE2CA5"/>
    <w:rsid w:val="00DE2CB1"/>
    <w:rsid w:val="00DE2CCA"/>
    <w:rsid w:val="00DE2D57"/>
    <w:rsid w:val="00DE2F43"/>
    <w:rsid w:val="00DE3536"/>
    <w:rsid w:val="00DE3778"/>
    <w:rsid w:val="00DE3DD8"/>
    <w:rsid w:val="00DE3E95"/>
    <w:rsid w:val="00DE3F0B"/>
    <w:rsid w:val="00DE4083"/>
    <w:rsid w:val="00DE45F0"/>
    <w:rsid w:val="00DE479C"/>
    <w:rsid w:val="00DE4B50"/>
    <w:rsid w:val="00DE4DC4"/>
    <w:rsid w:val="00DE4E9E"/>
    <w:rsid w:val="00DE4EDD"/>
    <w:rsid w:val="00DE4F10"/>
    <w:rsid w:val="00DE5069"/>
    <w:rsid w:val="00DE5169"/>
    <w:rsid w:val="00DE5AD1"/>
    <w:rsid w:val="00DE600D"/>
    <w:rsid w:val="00DE610C"/>
    <w:rsid w:val="00DE6252"/>
    <w:rsid w:val="00DE655A"/>
    <w:rsid w:val="00DE663E"/>
    <w:rsid w:val="00DE6878"/>
    <w:rsid w:val="00DE69A9"/>
    <w:rsid w:val="00DE6F00"/>
    <w:rsid w:val="00DE7794"/>
    <w:rsid w:val="00DF0354"/>
    <w:rsid w:val="00DF0A15"/>
    <w:rsid w:val="00DF10BA"/>
    <w:rsid w:val="00DF15CB"/>
    <w:rsid w:val="00DF1691"/>
    <w:rsid w:val="00DF172C"/>
    <w:rsid w:val="00DF201D"/>
    <w:rsid w:val="00DF213D"/>
    <w:rsid w:val="00DF2854"/>
    <w:rsid w:val="00DF2BF9"/>
    <w:rsid w:val="00DF30BD"/>
    <w:rsid w:val="00DF33AD"/>
    <w:rsid w:val="00DF3577"/>
    <w:rsid w:val="00DF35A8"/>
    <w:rsid w:val="00DF4267"/>
    <w:rsid w:val="00DF44F6"/>
    <w:rsid w:val="00DF45D6"/>
    <w:rsid w:val="00DF54BD"/>
    <w:rsid w:val="00DF578D"/>
    <w:rsid w:val="00DF5798"/>
    <w:rsid w:val="00DF587D"/>
    <w:rsid w:val="00DF5BCC"/>
    <w:rsid w:val="00DF6039"/>
    <w:rsid w:val="00DF6627"/>
    <w:rsid w:val="00DF6885"/>
    <w:rsid w:val="00DF68C8"/>
    <w:rsid w:val="00DF7266"/>
    <w:rsid w:val="00DF72FF"/>
    <w:rsid w:val="00DF75F2"/>
    <w:rsid w:val="00DF772A"/>
    <w:rsid w:val="00DF7B2C"/>
    <w:rsid w:val="00DF7BE9"/>
    <w:rsid w:val="00DF7C5C"/>
    <w:rsid w:val="00E0102A"/>
    <w:rsid w:val="00E01213"/>
    <w:rsid w:val="00E01340"/>
    <w:rsid w:val="00E013C1"/>
    <w:rsid w:val="00E01746"/>
    <w:rsid w:val="00E0231C"/>
    <w:rsid w:val="00E023D9"/>
    <w:rsid w:val="00E023E9"/>
    <w:rsid w:val="00E03362"/>
    <w:rsid w:val="00E03682"/>
    <w:rsid w:val="00E036B4"/>
    <w:rsid w:val="00E03B6D"/>
    <w:rsid w:val="00E03C10"/>
    <w:rsid w:val="00E03D7C"/>
    <w:rsid w:val="00E041F2"/>
    <w:rsid w:val="00E044F8"/>
    <w:rsid w:val="00E04584"/>
    <w:rsid w:val="00E048D7"/>
    <w:rsid w:val="00E04B29"/>
    <w:rsid w:val="00E04C43"/>
    <w:rsid w:val="00E04FF5"/>
    <w:rsid w:val="00E06934"/>
    <w:rsid w:val="00E06CC5"/>
    <w:rsid w:val="00E06D68"/>
    <w:rsid w:val="00E071F4"/>
    <w:rsid w:val="00E073BD"/>
    <w:rsid w:val="00E073C7"/>
    <w:rsid w:val="00E075E4"/>
    <w:rsid w:val="00E078A0"/>
    <w:rsid w:val="00E07BC7"/>
    <w:rsid w:val="00E07BE1"/>
    <w:rsid w:val="00E07C07"/>
    <w:rsid w:val="00E07C6E"/>
    <w:rsid w:val="00E07C84"/>
    <w:rsid w:val="00E07EAA"/>
    <w:rsid w:val="00E10024"/>
    <w:rsid w:val="00E103B0"/>
    <w:rsid w:val="00E10BBC"/>
    <w:rsid w:val="00E10D96"/>
    <w:rsid w:val="00E10F3C"/>
    <w:rsid w:val="00E10FD3"/>
    <w:rsid w:val="00E11402"/>
    <w:rsid w:val="00E11637"/>
    <w:rsid w:val="00E11811"/>
    <w:rsid w:val="00E11B33"/>
    <w:rsid w:val="00E12133"/>
    <w:rsid w:val="00E121F3"/>
    <w:rsid w:val="00E1220E"/>
    <w:rsid w:val="00E12372"/>
    <w:rsid w:val="00E12386"/>
    <w:rsid w:val="00E124C7"/>
    <w:rsid w:val="00E128DE"/>
    <w:rsid w:val="00E12D52"/>
    <w:rsid w:val="00E12D56"/>
    <w:rsid w:val="00E12D75"/>
    <w:rsid w:val="00E12E37"/>
    <w:rsid w:val="00E13350"/>
    <w:rsid w:val="00E13354"/>
    <w:rsid w:val="00E13415"/>
    <w:rsid w:val="00E13483"/>
    <w:rsid w:val="00E13E4A"/>
    <w:rsid w:val="00E13E54"/>
    <w:rsid w:val="00E14091"/>
    <w:rsid w:val="00E14152"/>
    <w:rsid w:val="00E14208"/>
    <w:rsid w:val="00E14574"/>
    <w:rsid w:val="00E14775"/>
    <w:rsid w:val="00E14C7F"/>
    <w:rsid w:val="00E14CDB"/>
    <w:rsid w:val="00E14EC4"/>
    <w:rsid w:val="00E14F3B"/>
    <w:rsid w:val="00E150DC"/>
    <w:rsid w:val="00E151DC"/>
    <w:rsid w:val="00E15544"/>
    <w:rsid w:val="00E158D5"/>
    <w:rsid w:val="00E15FAC"/>
    <w:rsid w:val="00E162CC"/>
    <w:rsid w:val="00E1643A"/>
    <w:rsid w:val="00E165C1"/>
    <w:rsid w:val="00E166D0"/>
    <w:rsid w:val="00E17126"/>
    <w:rsid w:val="00E1729C"/>
    <w:rsid w:val="00E175BE"/>
    <w:rsid w:val="00E17736"/>
    <w:rsid w:val="00E17946"/>
    <w:rsid w:val="00E17A14"/>
    <w:rsid w:val="00E17A2F"/>
    <w:rsid w:val="00E2034E"/>
    <w:rsid w:val="00E20FAE"/>
    <w:rsid w:val="00E2106B"/>
    <w:rsid w:val="00E210A5"/>
    <w:rsid w:val="00E2131E"/>
    <w:rsid w:val="00E22469"/>
    <w:rsid w:val="00E227CD"/>
    <w:rsid w:val="00E229D4"/>
    <w:rsid w:val="00E22AD4"/>
    <w:rsid w:val="00E232B6"/>
    <w:rsid w:val="00E23505"/>
    <w:rsid w:val="00E23BF0"/>
    <w:rsid w:val="00E24134"/>
    <w:rsid w:val="00E243F7"/>
    <w:rsid w:val="00E244A4"/>
    <w:rsid w:val="00E247B4"/>
    <w:rsid w:val="00E247C8"/>
    <w:rsid w:val="00E24D45"/>
    <w:rsid w:val="00E2504C"/>
    <w:rsid w:val="00E251C6"/>
    <w:rsid w:val="00E25532"/>
    <w:rsid w:val="00E2587A"/>
    <w:rsid w:val="00E25DEA"/>
    <w:rsid w:val="00E25E1C"/>
    <w:rsid w:val="00E2653E"/>
    <w:rsid w:val="00E266FE"/>
    <w:rsid w:val="00E2699F"/>
    <w:rsid w:val="00E26A23"/>
    <w:rsid w:val="00E26A95"/>
    <w:rsid w:val="00E26B17"/>
    <w:rsid w:val="00E27055"/>
    <w:rsid w:val="00E27105"/>
    <w:rsid w:val="00E27109"/>
    <w:rsid w:val="00E2752D"/>
    <w:rsid w:val="00E276E5"/>
    <w:rsid w:val="00E30214"/>
    <w:rsid w:val="00E30418"/>
    <w:rsid w:val="00E30993"/>
    <w:rsid w:val="00E30F1E"/>
    <w:rsid w:val="00E31245"/>
    <w:rsid w:val="00E31712"/>
    <w:rsid w:val="00E317CD"/>
    <w:rsid w:val="00E31AD7"/>
    <w:rsid w:val="00E31AE2"/>
    <w:rsid w:val="00E31DEA"/>
    <w:rsid w:val="00E321B0"/>
    <w:rsid w:val="00E322DE"/>
    <w:rsid w:val="00E326B1"/>
    <w:rsid w:val="00E32838"/>
    <w:rsid w:val="00E32A7B"/>
    <w:rsid w:val="00E335B6"/>
    <w:rsid w:val="00E33869"/>
    <w:rsid w:val="00E33973"/>
    <w:rsid w:val="00E33B3C"/>
    <w:rsid w:val="00E33DA3"/>
    <w:rsid w:val="00E33FF1"/>
    <w:rsid w:val="00E347C4"/>
    <w:rsid w:val="00E34EAC"/>
    <w:rsid w:val="00E34FD0"/>
    <w:rsid w:val="00E351CA"/>
    <w:rsid w:val="00E35249"/>
    <w:rsid w:val="00E35532"/>
    <w:rsid w:val="00E35558"/>
    <w:rsid w:val="00E35D36"/>
    <w:rsid w:val="00E362AC"/>
    <w:rsid w:val="00E36B8F"/>
    <w:rsid w:val="00E36CE9"/>
    <w:rsid w:val="00E36ED5"/>
    <w:rsid w:val="00E370CB"/>
    <w:rsid w:val="00E37453"/>
    <w:rsid w:val="00E37C6E"/>
    <w:rsid w:val="00E4017E"/>
    <w:rsid w:val="00E4046D"/>
    <w:rsid w:val="00E408B3"/>
    <w:rsid w:val="00E408E7"/>
    <w:rsid w:val="00E40A6B"/>
    <w:rsid w:val="00E40EB5"/>
    <w:rsid w:val="00E41300"/>
    <w:rsid w:val="00E419BD"/>
    <w:rsid w:val="00E424F8"/>
    <w:rsid w:val="00E427B0"/>
    <w:rsid w:val="00E427CD"/>
    <w:rsid w:val="00E427DA"/>
    <w:rsid w:val="00E42B51"/>
    <w:rsid w:val="00E42DD3"/>
    <w:rsid w:val="00E43230"/>
    <w:rsid w:val="00E433FC"/>
    <w:rsid w:val="00E436EA"/>
    <w:rsid w:val="00E4399A"/>
    <w:rsid w:val="00E441E7"/>
    <w:rsid w:val="00E44711"/>
    <w:rsid w:val="00E44CA2"/>
    <w:rsid w:val="00E44EF6"/>
    <w:rsid w:val="00E45446"/>
    <w:rsid w:val="00E45609"/>
    <w:rsid w:val="00E45A36"/>
    <w:rsid w:val="00E45AAC"/>
    <w:rsid w:val="00E46049"/>
    <w:rsid w:val="00E46461"/>
    <w:rsid w:val="00E46A75"/>
    <w:rsid w:val="00E46A7D"/>
    <w:rsid w:val="00E46BAC"/>
    <w:rsid w:val="00E46BCE"/>
    <w:rsid w:val="00E46C97"/>
    <w:rsid w:val="00E47135"/>
    <w:rsid w:val="00E476AD"/>
    <w:rsid w:val="00E47A20"/>
    <w:rsid w:val="00E47B45"/>
    <w:rsid w:val="00E47CBE"/>
    <w:rsid w:val="00E5043B"/>
    <w:rsid w:val="00E505D5"/>
    <w:rsid w:val="00E50B21"/>
    <w:rsid w:val="00E50B91"/>
    <w:rsid w:val="00E50D10"/>
    <w:rsid w:val="00E50E7E"/>
    <w:rsid w:val="00E50E99"/>
    <w:rsid w:val="00E51B74"/>
    <w:rsid w:val="00E520B7"/>
    <w:rsid w:val="00E521E5"/>
    <w:rsid w:val="00E5247D"/>
    <w:rsid w:val="00E52511"/>
    <w:rsid w:val="00E5281C"/>
    <w:rsid w:val="00E52A1A"/>
    <w:rsid w:val="00E53234"/>
    <w:rsid w:val="00E535FC"/>
    <w:rsid w:val="00E536AC"/>
    <w:rsid w:val="00E5384A"/>
    <w:rsid w:val="00E53E93"/>
    <w:rsid w:val="00E53FAC"/>
    <w:rsid w:val="00E5453C"/>
    <w:rsid w:val="00E55250"/>
    <w:rsid w:val="00E552B9"/>
    <w:rsid w:val="00E552DF"/>
    <w:rsid w:val="00E55AFE"/>
    <w:rsid w:val="00E5612F"/>
    <w:rsid w:val="00E5624D"/>
    <w:rsid w:val="00E56578"/>
    <w:rsid w:val="00E56611"/>
    <w:rsid w:val="00E5670F"/>
    <w:rsid w:val="00E56750"/>
    <w:rsid w:val="00E56E54"/>
    <w:rsid w:val="00E5701C"/>
    <w:rsid w:val="00E572FF"/>
    <w:rsid w:val="00E5730E"/>
    <w:rsid w:val="00E5738F"/>
    <w:rsid w:val="00E57B4F"/>
    <w:rsid w:val="00E60103"/>
    <w:rsid w:val="00E60211"/>
    <w:rsid w:val="00E606EB"/>
    <w:rsid w:val="00E607DA"/>
    <w:rsid w:val="00E609AC"/>
    <w:rsid w:val="00E6136A"/>
    <w:rsid w:val="00E61817"/>
    <w:rsid w:val="00E6189B"/>
    <w:rsid w:val="00E6227A"/>
    <w:rsid w:val="00E622AD"/>
    <w:rsid w:val="00E62611"/>
    <w:rsid w:val="00E62903"/>
    <w:rsid w:val="00E629AE"/>
    <w:rsid w:val="00E62C7A"/>
    <w:rsid w:val="00E6357B"/>
    <w:rsid w:val="00E63930"/>
    <w:rsid w:val="00E6486F"/>
    <w:rsid w:val="00E64877"/>
    <w:rsid w:val="00E64A8C"/>
    <w:rsid w:val="00E65095"/>
    <w:rsid w:val="00E65376"/>
    <w:rsid w:val="00E65B97"/>
    <w:rsid w:val="00E663DD"/>
    <w:rsid w:val="00E664F7"/>
    <w:rsid w:val="00E66A7F"/>
    <w:rsid w:val="00E66AE3"/>
    <w:rsid w:val="00E66F7B"/>
    <w:rsid w:val="00E67650"/>
    <w:rsid w:val="00E67984"/>
    <w:rsid w:val="00E679F7"/>
    <w:rsid w:val="00E67AD1"/>
    <w:rsid w:val="00E7014F"/>
    <w:rsid w:val="00E701D3"/>
    <w:rsid w:val="00E704C5"/>
    <w:rsid w:val="00E70827"/>
    <w:rsid w:val="00E70965"/>
    <w:rsid w:val="00E717A1"/>
    <w:rsid w:val="00E71DEF"/>
    <w:rsid w:val="00E71F8A"/>
    <w:rsid w:val="00E7212E"/>
    <w:rsid w:val="00E72341"/>
    <w:rsid w:val="00E729BF"/>
    <w:rsid w:val="00E72F88"/>
    <w:rsid w:val="00E7315A"/>
    <w:rsid w:val="00E733A8"/>
    <w:rsid w:val="00E7385E"/>
    <w:rsid w:val="00E73AB8"/>
    <w:rsid w:val="00E73BBA"/>
    <w:rsid w:val="00E744E6"/>
    <w:rsid w:val="00E74C14"/>
    <w:rsid w:val="00E74D37"/>
    <w:rsid w:val="00E751DF"/>
    <w:rsid w:val="00E7521D"/>
    <w:rsid w:val="00E75403"/>
    <w:rsid w:val="00E757BF"/>
    <w:rsid w:val="00E75C87"/>
    <w:rsid w:val="00E75E80"/>
    <w:rsid w:val="00E76B11"/>
    <w:rsid w:val="00E76B47"/>
    <w:rsid w:val="00E76BE6"/>
    <w:rsid w:val="00E76C6C"/>
    <w:rsid w:val="00E76F30"/>
    <w:rsid w:val="00E770DF"/>
    <w:rsid w:val="00E77692"/>
    <w:rsid w:val="00E776E7"/>
    <w:rsid w:val="00E77798"/>
    <w:rsid w:val="00E77DB9"/>
    <w:rsid w:val="00E8014E"/>
    <w:rsid w:val="00E80939"/>
    <w:rsid w:val="00E80987"/>
    <w:rsid w:val="00E809E9"/>
    <w:rsid w:val="00E80EC4"/>
    <w:rsid w:val="00E80ED3"/>
    <w:rsid w:val="00E81127"/>
    <w:rsid w:val="00E811E7"/>
    <w:rsid w:val="00E81386"/>
    <w:rsid w:val="00E814FB"/>
    <w:rsid w:val="00E81911"/>
    <w:rsid w:val="00E81B32"/>
    <w:rsid w:val="00E81BC7"/>
    <w:rsid w:val="00E81FC9"/>
    <w:rsid w:val="00E82364"/>
    <w:rsid w:val="00E82520"/>
    <w:rsid w:val="00E825A6"/>
    <w:rsid w:val="00E82FCC"/>
    <w:rsid w:val="00E8322F"/>
    <w:rsid w:val="00E832C8"/>
    <w:rsid w:val="00E832FB"/>
    <w:rsid w:val="00E8384F"/>
    <w:rsid w:val="00E84759"/>
    <w:rsid w:val="00E848A9"/>
    <w:rsid w:val="00E849B4"/>
    <w:rsid w:val="00E85014"/>
    <w:rsid w:val="00E8538E"/>
    <w:rsid w:val="00E85462"/>
    <w:rsid w:val="00E856D6"/>
    <w:rsid w:val="00E8575F"/>
    <w:rsid w:val="00E86021"/>
    <w:rsid w:val="00E861AB"/>
    <w:rsid w:val="00E864C0"/>
    <w:rsid w:val="00E86CE4"/>
    <w:rsid w:val="00E86F77"/>
    <w:rsid w:val="00E87041"/>
    <w:rsid w:val="00E8715D"/>
    <w:rsid w:val="00E879C8"/>
    <w:rsid w:val="00E87A1B"/>
    <w:rsid w:val="00E87DA6"/>
    <w:rsid w:val="00E87DCE"/>
    <w:rsid w:val="00E9064E"/>
    <w:rsid w:val="00E90824"/>
    <w:rsid w:val="00E90826"/>
    <w:rsid w:val="00E90BB4"/>
    <w:rsid w:val="00E90DBA"/>
    <w:rsid w:val="00E912DC"/>
    <w:rsid w:val="00E915E4"/>
    <w:rsid w:val="00E92160"/>
    <w:rsid w:val="00E92429"/>
    <w:rsid w:val="00E92AEF"/>
    <w:rsid w:val="00E93630"/>
    <w:rsid w:val="00E937A4"/>
    <w:rsid w:val="00E93D46"/>
    <w:rsid w:val="00E940CD"/>
    <w:rsid w:val="00E9422A"/>
    <w:rsid w:val="00E94518"/>
    <w:rsid w:val="00E948E4"/>
    <w:rsid w:val="00E94B97"/>
    <w:rsid w:val="00E94D8E"/>
    <w:rsid w:val="00E94EB2"/>
    <w:rsid w:val="00E951F5"/>
    <w:rsid w:val="00E9544F"/>
    <w:rsid w:val="00E95AC6"/>
    <w:rsid w:val="00E95F35"/>
    <w:rsid w:val="00E96411"/>
    <w:rsid w:val="00E9659B"/>
    <w:rsid w:val="00E9664C"/>
    <w:rsid w:val="00E96826"/>
    <w:rsid w:val="00E96969"/>
    <w:rsid w:val="00E96A73"/>
    <w:rsid w:val="00E96EA5"/>
    <w:rsid w:val="00E96EF9"/>
    <w:rsid w:val="00E974DC"/>
    <w:rsid w:val="00E97EAF"/>
    <w:rsid w:val="00EA023E"/>
    <w:rsid w:val="00EA08F9"/>
    <w:rsid w:val="00EA0945"/>
    <w:rsid w:val="00EA0D79"/>
    <w:rsid w:val="00EA0E5D"/>
    <w:rsid w:val="00EA0E84"/>
    <w:rsid w:val="00EA12FC"/>
    <w:rsid w:val="00EA14E6"/>
    <w:rsid w:val="00EA1676"/>
    <w:rsid w:val="00EA17BF"/>
    <w:rsid w:val="00EA1EC4"/>
    <w:rsid w:val="00EA1F90"/>
    <w:rsid w:val="00EA1FD0"/>
    <w:rsid w:val="00EA275F"/>
    <w:rsid w:val="00EA2C1D"/>
    <w:rsid w:val="00EA2CE9"/>
    <w:rsid w:val="00EA2D77"/>
    <w:rsid w:val="00EA2DC8"/>
    <w:rsid w:val="00EA2FAD"/>
    <w:rsid w:val="00EA3C77"/>
    <w:rsid w:val="00EA40C0"/>
    <w:rsid w:val="00EA41D3"/>
    <w:rsid w:val="00EA438D"/>
    <w:rsid w:val="00EA4611"/>
    <w:rsid w:val="00EA470C"/>
    <w:rsid w:val="00EA5413"/>
    <w:rsid w:val="00EA54DB"/>
    <w:rsid w:val="00EA54DF"/>
    <w:rsid w:val="00EA562D"/>
    <w:rsid w:val="00EA5B5E"/>
    <w:rsid w:val="00EA610F"/>
    <w:rsid w:val="00EA7E12"/>
    <w:rsid w:val="00EB021E"/>
    <w:rsid w:val="00EB0803"/>
    <w:rsid w:val="00EB0AD1"/>
    <w:rsid w:val="00EB0C21"/>
    <w:rsid w:val="00EB0FCE"/>
    <w:rsid w:val="00EB16A7"/>
    <w:rsid w:val="00EB18F3"/>
    <w:rsid w:val="00EB1A00"/>
    <w:rsid w:val="00EB1A58"/>
    <w:rsid w:val="00EB1EEB"/>
    <w:rsid w:val="00EB2279"/>
    <w:rsid w:val="00EB2369"/>
    <w:rsid w:val="00EB23A3"/>
    <w:rsid w:val="00EB2658"/>
    <w:rsid w:val="00EB2B7C"/>
    <w:rsid w:val="00EB329D"/>
    <w:rsid w:val="00EB35D5"/>
    <w:rsid w:val="00EB36F9"/>
    <w:rsid w:val="00EB3C85"/>
    <w:rsid w:val="00EB4013"/>
    <w:rsid w:val="00EB4109"/>
    <w:rsid w:val="00EB42B6"/>
    <w:rsid w:val="00EB43AD"/>
    <w:rsid w:val="00EB46B0"/>
    <w:rsid w:val="00EB4928"/>
    <w:rsid w:val="00EB4FD6"/>
    <w:rsid w:val="00EB5620"/>
    <w:rsid w:val="00EB5D24"/>
    <w:rsid w:val="00EB5F41"/>
    <w:rsid w:val="00EB6101"/>
    <w:rsid w:val="00EB680D"/>
    <w:rsid w:val="00EB68F2"/>
    <w:rsid w:val="00EB6D09"/>
    <w:rsid w:val="00EB6E54"/>
    <w:rsid w:val="00EB754E"/>
    <w:rsid w:val="00EB76A5"/>
    <w:rsid w:val="00EB7EA4"/>
    <w:rsid w:val="00EC00D7"/>
    <w:rsid w:val="00EC0342"/>
    <w:rsid w:val="00EC04AA"/>
    <w:rsid w:val="00EC073F"/>
    <w:rsid w:val="00EC0C2B"/>
    <w:rsid w:val="00EC0FF6"/>
    <w:rsid w:val="00EC148C"/>
    <w:rsid w:val="00EC17B1"/>
    <w:rsid w:val="00EC1A4F"/>
    <w:rsid w:val="00EC1DDF"/>
    <w:rsid w:val="00EC2123"/>
    <w:rsid w:val="00EC27D7"/>
    <w:rsid w:val="00EC2AD3"/>
    <w:rsid w:val="00EC30E4"/>
    <w:rsid w:val="00EC327E"/>
    <w:rsid w:val="00EC37AE"/>
    <w:rsid w:val="00EC3A76"/>
    <w:rsid w:val="00EC3B0A"/>
    <w:rsid w:val="00EC3B47"/>
    <w:rsid w:val="00EC4064"/>
    <w:rsid w:val="00EC4195"/>
    <w:rsid w:val="00EC4A38"/>
    <w:rsid w:val="00EC4D57"/>
    <w:rsid w:val="00EC52F5"/>
    <w:rsid w:val="00EC5823"/>
    <w:rsid w:val="00EC5FEA"/>
    <w:rsid w:val="00EC615E"/>
    <w:rsid w:val="00EC6683"/>
    <w:rsid w:val="00EC6AE2"/>
    <w:rsid w:val="00EC6DF9"/>
    <w:rsid w:val="00ED00AC"/>
    <w:rsid w:val="00ED0198"/>
    <w:rsid w:val="00ED04F7"/>
    <w:rsid w:val="00ED05BB"/>
    <w:rsid w:val="00ED069D"/>
    <w:rsid w:val="00ED0927"/>
    <w:rsid w:val="00ED0991"/>
    <w:rsid w:val="00ED0C25"/>
    <w:rsid w:val="00ED0C41"/>
    <w:rsid w:val="00ED0DB4"/>
    <w:rsid w:val="00ED0EEF"/>
    <w:rsid w:val="00ED1384"/>
    <w:rsid w:val="00ED138F"/>
    <w:rsid w:val="00ED1403"/>
    <w:rsid w:val="00ED1667"/>
    <w:rsid w:val="00ED1A12"/>
    <w:rsid w:val="00ED1CD6"/>
    <w:rsid w:val="00ED1D48"/>
    <w:rsid w:val="00ED1E3B"/>
    <w:rsid w:val="00ED2565"/>
    <w:rsid w:val="00ED2C04"/>
    <w:rsid w:val="00ED2E23"/>
    <w:rsid w:val="00ED2E9F"/>
    <w:rsid w:val="00ED2F9E"/>
    <w:rsid w:val="00ED3248"/>
    <w:rsid w:val="00ED3E7B"/>
    <w:rsid w:val="00ED4482"/>
    <w:rsid w:val="00ED4791"/>
    <w:rsid w:val="00ED4C31"/>
    <w:rsid w:val="00ED4CC2"/>
    <w:rsid w:val="00ED4DE8"/>
    <w:rsid w:val="00ED4E9A"/>
    <w:rsid w:val="00ED4F92"/>
    <w:rsid w:val="00ED540C"/>
    <w:rsid w:val="00ED55ED"/>
    <w:rsid w:val="00ED5A20"/>
    <w:rsid w:val="00ED5AAF"/>
    <w:rsid w:val="00ED5B3A"/>
    <w:rsid w:val="00ED65D9"/>
    <w:rsid w:val="00ED7475"/>
    <w:rsid w:val="00ED784C"/>
    <w:rsid w:val="00ED7CB4"/>
    <w:rsid w:val="00EE07FC"/>
    <w:rsid w:val="00EE0A65"/>
    <w:rsid w:val="00EE0D72"/>
    <w:rsid w:val="00EE0DE4"/>
    <w:rsid w:val="00EE1199"/>
    <w:rsid w:val="00EE11D0"/>
    <w:rsid w:val="00EE1305"/>
    <w:rsid w:val="00EE1405"/>
    <w:rsid w:val="00EE158B"/>
    <w:rsid w:val="00EE1C0B"/>
    <w:rsid w:val="00EE1CFF"/>
    <w:rsid w:val="00EE2079"/>
    <w:rsid w:val="00EE22CC"/>
    <w:rsid w:val="00EE2698"/>
    <w:rsid w:val="00EE2863"/>
    <w:rsid w:val="00EE289A"/>
    <w:rsid w:val="00EE289D"/>
    <w:rsid w:val="00EE2D99"/>
    <w:rsid w:val="00EE2D9B"/>
    <w:rsid w:val="00EE2DC1"/>
    <w:rsid w:val="00EE396E"/>
    <w:rsid w:val="00EE4F53"/>
    <w:rsid w:val="00EE5AF7"/>
    <w:rsid w:val="00EE6380"/>
    <w:rsid w:val="00EE6834"/>
    <w:rsid w:val="00EE6F25"/>
    <w:rsid w:val="00EE7E2B"/>
    <w:rsid w:val="00EF0055"/>
    <w:rsid w:val="00EF0264"/>
    <w:rsid w:val="00EF0800"/>
    <w:rsid w:val="00EF0E62"/>
    <w:rsid w:val="00EF15DB"/>
    <w:rsid w:val="00EF16BF"/>
    <w:rsid w:val="00EF1940"/>
    <w:rsid w:val="00EF1A92"/>
    <w:rsid w:val="00EF1AC5"/>
    <w:rsid w:val="00EF1DF4"/>
    <w:rsid w:val="00EF230F"/>
    <w:rsid w:val="00EF28F4"/>
    <w:rsid w:val="00EF2B85"/>
    <w:rsid w:val="00EF2F52"/>
    <w:rsid w:val="00EF2F91"/>
    <w:rsid w:val="00EF30A8"/>
    <w:rsid w:val="00EF30BB"/>
    <w:rsid w:val="00EF313C"/>
    <w:rsid w:val="00EF32C8"/>
    <w:rsid w:val="00EF32DA"/>
    <w:rsid w:val="00EF3327"/>
    <w:rsid w:val="00EF33B0"/>
    <w:rsid w:val="00EF33F5"/>
    <w:rsid w:val="00EF3467"/>
    <w:rsid w:val="00EF3570"/>
    <w:rsid w:val="00EF3A3F"/>
    <w:rsid w:val="00EF3E98"/>
    <w:rsid w:val="00EF442F"/>
    <w:rsid w:val="00EF4681"/>
    <w:rsid w:val="00EF47FC"/>
    <w:rsid w:val="00EF4A34"/>
    <w:rsid w:val="00EF4CD8"/>
    <w:rsid w:val="00EF4D11"/>
    <w:rsid w:val="00EF51CB"/>
    <w:rsid w:val="00EF5369"/>
    <w:rsid w:val="00EF5674"/>
    <w:rsid w:val="00EF5816"/>
    <w:rsid w:val="00EF5915"/>
    <w:rsid w:val="00EF67D9"/>
    <w:rsid w:val="00EF6909"/>
    <w:rsid w:val="00EF6F12"/>
    <w:rsid w:val="00EF6F45"/>
    <w:rsid w:val="00EF7B73"/>
    <w:rsid w:val="00EF7FFC"/>
    <w:rsid w:val="00F00399"/>
    <w:rsid w:val="00F00D89"/>
    <w:rsid w:val="00F00FF0"/>
    <w:rsid w:val="00F014D2"/>
    <w:rsid w:val="00F01CE0"/>
    <w:rsid w:val="00F02726"/>
    <w:rsid w:val="00F0294D"/>
    <w:rsid w:val="00F02ABC"/>
    <w:rsid w:val="00F02BBB"/>
    <w:rsid w:val="00F0307E"/>
    <w:rsid w:val="00F033D3"/>
    <w:rsid w:val="00F04624"/>
    <w:rsid w:val="00F046B6"/>
    <w:rsid w:val="00F04CF9"/>
    <w:rsid w:val="00F04F73"/>
    <w:rsid w:val="00F05255"/>
    <w:rsid w:val="00F053FD"/>
    <w:rsid w:val="00F056CB"/>
    <w:rsid w:val="00F057EB"/>
    <w:rsid w:val="00F057F1"/>
    <w:rsid w:val="00F05FDB"/>
    <w:rsid w:val="00F06789"/>
    <w:rsid w:val="00F067C1"/>
    <w:rsid w:val="00F068FF"/>
    <w:rsid w:val="00F06992"/>
    <w:rsid w:val="00F06BC0"/>
    <w:rsid w:val="00F06EB8"/>
    <w:rsid w:val="00F078AF"/>
    <w:rsid w:val="00F07F5B"/>
    <w:rsid w:val="00F102CC"/>
    <w:rsid w:val="00F103A6"/>
    <w:rsid w:val="00F1046D"/>
    <w:rsid w:val="00F1050C"/>
    <w:rsid w:val="00F106AA"/>
    <w:rsid w:val="00F108B9"/>
    <w:rsid w:val="00F10903"/>
    <w:rsid w:val="00F10EE8"/>
    <w:rsid w:val="00F1122D"/>
    <w:rsid w:val="00F11262"/>
    <w:rsid w:val="00F11490"/>
    <w:rsid w:val="00F11678"/>
    <w:rsid w:val="00F11FB3"/>
    <w:rsid w:val="00F12349"/>
    <w:rsid w:val="00F123C1"/>
    <w:rsid w:val="00F128BA"/>
    <w:rsid w:val="00F129FC"/>
    <w:rsid w:val="00F12B99"/>
    <w:rsid w:val="00F12F92"/>
    <w:rsid w:val="00F1344B"/>
    <w:rsid w:val="00F13863"/>
    <w:rsid w:val="00F1399A"/>
    <w:rsid w:val="00F139EC"/>
    <w:rsid w:val="00F140A5"/>
    <w:rsid w:val="00F14166"/>
    <w:rsid w:val="00F141EC"/>
    <w:rsid w:val="00F145E5"/>
    <w:rsid w:val="00F145F2"/>
    <w:rsid w:val="00F15824"/>
    <w:rsid w:val="00F15B20"/>
    <w:rsid w:val="00F15DBD"/>
    <w:rsid w:val="00F15EF1"/>
    <w:rsid w:val="00F15F67"/>
    <w:rsid w:val="00F16C53"/>
    <w:rsid w:val="00F16EF0"/>
    <w:rsid w:val="00F176E8"/>
    <w:rsid w:val="00F2063E"/>
    <w:rsid w:val="00F2088A"/>
    <w:rsid w:val="00F20D70"/>
    <w:rsid w:val="00F20FD3"/>
    <w:rsid w:val="00F21037"/>
    <w:rsid w:val="00F21314"/>
    <w:rsid w:val="00F2179E"/>
    <w:rsid w:val="00F21878"/>
    <w:rsid w:val="00F219A3"/>
    <w:rsid w:val="00F21B18"/>
    <w:rsid w:val="00F21ECD"/>
    <w:rsid w:val="00F22575"/>
    <w:rsid w:val="00F228DE"/>
    <w:rsid w:val="00F22A7C"/>
    <w:rsid w:val="00F23A04"/>
    <w:rsid w:val="00F23E6B"/>
    <w:rsid w:val="00F2498A"/>
    <w:rsid w:val="00F24A16"/>
    <w:rsid w:val="00F24BFC"/>
    <w:rsid w:val="00F24C39"/>
    <w:rsid w:val="00F24C5E"/>
    <w:rsid w:val="00F24EAA"/>
    <w:rsid w:val="00F256B5"/>
    <w:rsid w:val="00F257A4"/>
    <w:rsid w:val="00F25836"/>
    <w:rsid w:val="00F25F2E"/>
    <w:rsid w:val="00F25FDC"/>
    <w:rsid w:val="00F264D4"/>
    <w:rsid w:val="00F27870"/>
    <w:rsid w:val="00F305D6"/>
    <w:rsid w:val="00F30667"/>
    <w:rsid w:val="00F3081E"/>
    <w:rsid w:val="00F3087F"/>
    <w:rsid w:val="00F31313"/>
    <w:rsid w:val="00F31469"/>
    <w:rsid w:val="00F31558"/>
    <w:rsid w:val="00F31EC8"/>
    <w:rsid w:val="00F32322"/>
    <w:rsid w:val="00F32586"/>
    <w:rsid w:val="00F32740"/>
    <w:rsid w:val="00F32B44"/>
    <w:rsid w:val="00F32C3A"/>
    <w:rsid w:val="00F32D07"/>
    <w:rsid w:val="00F32D3A"/>
    <w:rsid w:val="00F331B3"/>
    <w:rsid w:val="00F33531"/>
    <w:rsid w:val="00F33AEA"/>
    <w:rsid w:val="00F33B6B"/>
    <w:rsid w:val="00F33CDA"/>
    <w:rsid w:val="00F341DD"/>
    <w:rsid w:val="00F3423B"/>
    <w:rsid w:val="00F34555"/>
    <w:rsid w:val="00F34763"/>
    <w:rsid w:val="00F34AC5"/>
    <w:rsid w:val="00F34ECF"/>
    <w:rsid w:val="00F3515F"/>
    <w:rsid w:val="00F355D4"/>
    <w:rsid w:val="00F3596A"/>
    <w:rsid w:val="00F35B29"/>
    <w:rsid w:val="00F35CB4"/>
    <w:rsid w:val="00F35F40"/>
    <w:rsid w:val="00F362B6"/>
    <w:rsid w:val="00F36487"/>
    <w:rsid w:val="00F368A0"/>
    <w:rsid w:val="00F36DFD"/>
    <w:rsid w:val="00F37252"/>
    <w:rsid w:val="00F37409"/>
    <w:rsid w:val="00F37B1A"/>
    <w:rsid w:val="00F37C60"/>
    <w:rsid w:val="00F37ECC"/>
    <w:rsid w:val="00F40BD4"/>
    <w:rsid w:val="00F40C8C"/>
    <w:rsid w:val="00F40EEB"/>
    <w:rsid w:val="00F41070"/>
    <w:rsid w:val="00F41250"/>
    <w:rsid w:val="00F41446"/>
    <w:rsid w:val="00F4148E"/>
    <w:rsid w:val="00F41750"/>
    <w:rsid w:val="00F419CF"/>
    <w:rsid w:val="00F41EF7"/>
    <w:rsid w:val="00F42155"/>
    <w:rsid w:val="00F426F4"/>
    <w:rsid w:val="00F4281D"/>
    <w:rsid w:val="00F42B3B"/>
    <w:rsid w:val="00F42C39"/>
    <w:rsid w:val="00F42E75"/>
    <w:rsid w:val="00F436B6"/>
    <w:rsid w:val="00F436E8"/>
    <w:rsid w:val="00F43862"/>
    <w:rsid w:val="00F438BE"/>
    <w:rsid w:val="00F438FF"/>
    <w:rsid w:val="00F441AC"/>
    <w:rsid w:val="00F442CD"/>
    <w:rsid w:val="00F442E7"/>
    <w:rsid w:val="00F44870"/>
    <w:rsid w:val="00F451A9"/>
    <w:rsid w:val="00F4525E"/>
    <w:rsid w:val="00F4554C"/>
    <w:rsid w:val="00F4572A"/>
    <w:rsid w:val="00F45B1C"/>
    <w:rsid w:val="00F45C55"/>
    <w:rsid w:val="00F45E80"/>
    <w:rsid w:val="00F460FB"/>
    <w:rsid w:val="00F4651C"/>
    <w:rsid w:val="00F46AB9"/>
    <w:rsid w:val="00F46CD4"/>
    <w:rsid w:val="00F47264"/>
    <w:rsid w:val="00F47311"/>
    <w:rsid w:val="00F474FB"/>
    <w:rsid w:val="00F47505"/>
    <w:rsid w:val="00F50239"/>
    <w:rsid w:val="00F505F4"/>
    <w:rsid w:val="00F517E9"/>
    <w:rsid w:val="00F51A88"/>
    <w:rsid w:val="00F51A8B"/>
    <w:rsid w:val="00F5227A"/>
    <w:rsid w:val="00F5275A"/>
    <w:rsid w:val="00F5276D"/>
    <w:rsid w:val="00F528A2"/>
    <w:rsid w:val="00F52AC5"/>
    <w:rsid w:val="00F52BF4"/>
    <w:rsid w:val="00F53068"/>
    <w:rsid w:val="00F53095"/>
    <w:rsid w:val="00F53268"/>
    <w:rsid w:val="00F533F4"/>
    <w:rsid w:val="00F53448"/>
    <w:rsid w:val="00F5355B"/>
    <w:rsid w:val="00F53A8F"/>
    <w:rsid w:val="00F53E9E"/>
    <w:rsid w:val="00F53F96"/>
    <w:rsid w:val="00F541B6"/>
    <w:rsid w:val="00F54211"/>
    <w:rsid w:val="00F5460D"/>
    <w:rsid w:val="00F54711"/>
    <w:rsid w:val="00F54C00"/>
    <w:rsid w:val="00F54DC7"/>
    <w:rsid w:val="00F54F24"/>
    <w:rsid w:val="00F55148"/>
    <w:rsid w:val="00F553BE"/>
    <w:rsid w:val="00F562D6"/>
    <w:rsid w:val="00F56BD1"/>
    <w:rsid w:val="00F57479"/>
    <w:rsid w:val="00F57683"/>
    <w:rsid w:val="00F576C7"/>
    <w:rsid w:val="00F579A6"/>
    <w:rsid w:val="00F57AF5"/>
    <w:rsid w:val="00F60362"/>
    <w:rsid w:val="00F60373"/>
    <w:rsid w:val="00F603A1"/>
    <w:rsid w:val="00F60C06"/>
    <w:rsid w:val="00F61473"/>
    <w:rsid w:val="00F61812"/>
    <w:rsid w:val="00F61C06"/>
    <w:rsid w:val="00F61E32"/>
    <w:rsid w:val="00F62329"/>
    <w:rsid w:val="00F62CAC"/>
    <w:rsid w:val="00F62DE9"/>
    <w:rsid w:val="00F62EB9"/>
    <w:rsid w:val="00F62F53"/>
    <w:rsid w:val="00F635D2"/>
    <w:rsid w:val="00F63668"/>
    <w:rsid w:val="00F63881"/>
    <w:rsid w:val="00F6397A"/>
    <w:rsid w:val="00F639EF"/>
    <w:rsid w:val="00F63C01"/>
    <w:rsid w:val="00F63E72"/>
    <w:rsid w:val="00F63F5B"/>
    <w:rsid w:val="00F6413E"/>
    <w:rsid w:val="00F642C0"/>
    <w:rsid w:val="00F64669"/>
    <w:rsid w:val="00F646BF"/>
    <w:rsid w:val="00F64CEB"/>
    <w:rsid w:val="00F6556F"/>
    <w:rsid w:val="00F6569D"/>
    <w:rsid w:val="00F65D39"/>
    <w:rsid w:val="00F65F4C"/>
    <w:rsid w:val="00F66528"/>
    <w:rsid w:val="00F667A7"/>
    <w:rsid w:val="00F67171"/>
    <w:rsid w:val="00F67A35"/>
    <w:rsid w:val="00F67D64"/>
    <w:rsid w:val="00F67FEE"/>
    <w:rsid w:val="00F709D1"/>
    <w:rsid w:val="00F70F13"/>
    <w:rsid w:val="00F710E8"/>
    <w:rsid w:val="00F712D4"/>
    <w:rsid w:val="00F71A50"/>
    <w:rsid w:val="00F71B7F"/>
    <w:rsid w:val="00F72640"/>
    <w:rsid w:val="00F73AFB"/>
    <w:rsid w:val="00F73E47"/>
    <w:rsid w:val="00F73FF9"/>
    <w:rsid w:val="00F740C5"/>
    <w:rsid w:val="00F74788"/>
    <w:rsid w:val="00F747F6"/>
    <w:rsid w:val="00F74ACB"/>
    <w:rsid w:val="00F75049"/>
    <w:rsid w:val="00F75069"/>
    <w:rsid w:val="00F75891"/>
    <w:rsid w:val="00F75C3C"/>
    <w:rsid w:val="00F76998"/>
    <w:rsid w:val="00F76A89"/>
    <w:rsid w:val="00F76CAC"/>
    <w:rsid w:val="00F771B7"/>
    <w:rsid w:val="00F772F0"/>
    <w:rsid w:val="00F77304"/>
    <w:rsid w:val="00F77608"/>
    <w:rsid w:val="00F7766E"/>
    <w:rsid w:val="00F77C69"/>
    <w:rsid w:val="00F8022F"/>
    <w:rsid w:val="00F81C28"/>
    <w:rsid w:val="00F81CF2"/>
    <w:rsid w:val="00F81EED"/>
    <w:rsid w:val="00F82121"/>
    <w:rsid w:val="00F821FE"/>
    <w:rsid w:val="00F8297A"/>
    <w:rsid w:val="00F82981"/>
    <w:rsid w:val="00F82F3C"/>
    <w:rsid w:val="00F83025"/>
    <w:rsid w:val="00F830F7"/>
    <w:rsid w:val="00F834C6"/>
    <w:rsid w:val="00F838EC"/>
    <w:rsid w:val="00F83961"/>
    <w:rsid w:val="00F83D07"/>
    <w:rsid w:val="00F840B8"/>
    <w:rsid w:val="00F8416F"/>
    <w:rsid w:val="00F8419B"/>
    <w:rsid w:val="00F8423D"/>
    <w:rsid w:val="00F84320"/>
    <w:rsid w:val="00F84B82"/>
    <w:rsid w:val="00F84DFF"/>
    <w:rsid w:val="00F84F1F"/>
    <w:rsid w:val="00F852B2"/>
    <w:rsid w:val="00F857D4"/>
    <w:rsid w:val="00F85C2E"/>
    <w:rsid w:val="00F85EC3"/>
    <w:rsid w:val="00F85F79"/>
    <w:rsid w:val="00F864EB"/>
    <w:rsid w:val="00F86683"/>
    <w:rsid w:val="00F868BC"/>
    <w:rsid w:val="00F86932"/>
    <w:rsid w:val="00F86BEE"/>
    <w:rsid w:val="00F86ED6"/>
    <w:rsid w:val="00F86EEC"/>
    <w:rsid w:val="00F86F3C"/>
    <w:rsid w:val="00F87067"/>
    <w:rsid w:val="00F87BBE"/>
    <w:rsid w:val="00F87F74"/>
    <w:rsid w:val="00F9007C"/>
    <w:rsid w:val="00F90110"/>
    <w:rsid w:val="00F902F0"/>
    <w:rsid w:val="00F90493"/>
    <w:rsid w:val="00F90619"/>
    <w:rsid w:val="00F9078B"/>
    <w:rsid w:val="00F90981"/>
    <w:rsid w:val="00F90C6E"/>
    <w:rsid w:val="00F90FB0"/>
    <w:rsid w:val="00F91866"/>
    <w:rsid w:val="00F91F5A"/>
    <w:rsid w:val="00F91F7B"/>
    <w:rsid w:val="00F91FC2"/>
    <w:rsid w:val="00F9215A"/>
    <w:rsid w:val="00F923B8"/>
    <w:rsid w:val="00F92774"/>
    <w:rsid w:val="00F929AE"/>
    <w:rsid w:val="00F92A2B"/>
    <w:rsid w:val="00F92F39"/>
    <w:rsid w:val="00F93189"/>
    <w:rsid w:val="00F93282"/>
    <w:rsid w:val="00F936CA"/>
    <w:rsid w:val="00F938C5"/>
    <w:rsid w:val="00F9413F"/>
    <w:rsid w:val="00F94920"/>
    <w:rsid w:val="00F953C8"/>
    <w:rsid w:val="00F9556A"/>
    <w:rsid w:val="00F95A29"/>
    <w:rsid w:val="00F95C50"/>
    <w:rsid w:val="00F96548"/>
    <w:rsid w:val="00F96966"/>
    <w:rsid w:val="00F969B1"/>
    <w:rsid w:val="00F9718D"/>
    <w:rsid w:val="00F971E1"/>
    <w:rsid w:val="00F972F1"/>
    <w:rsid w:val="00F973C3"/>
    <w:rsid w:val="00F97595"/>
    <w:rsid w:val="00F97A8C"/>
    <w:rsid w:val="00F97CDB"/>
    <w:rsid w:val="00FA00DE"/>
    <w:rsid w:val="00FA07A7"/>
    <w:rsid w:val="00FA0AAB"/>
    <w:rsid w:val="00FA1213"/>
    <w:rsid w:val="00FA1653"/>
    <w:rsid w:val="00FA1C80"/>
    <w:rsid w:val="00FA1F82"/>
    <w:rsid w:val="00FA2167"/>
    <w:rsid w:val="00FA2611"/>
    <w:rsid w:val="00FA29ED"/>
    <w:rsid w:val="00FA2C8A"/>
    <w:rsid w:val="00FA3CB6"/>
    <w:rsid w:val="00FA4541"/>
    <w:rsid w:val="00FA4D8A"/>
    <w:rsid w:val="00FA516C"/>
    <w:rsid w:val="00FA54C2"/>
    <w:rsid w:val="00FA54D6"/>
    <w:rsid w:val="00FA54F4"/>
    <w:rsid w:val="00FA5895"/>
    <w:rsid w:val="00FA5CC7"/>
    <w:rsid w:val="00FA631C"/>
    <w:rsid w:val="00FA6CA6"/>
    <w:rsid w:val="00FA7164"/>
    <w:rsid w:val="00FA7689"/>
    <w:rsid w:val="00FA7CBD"/>
    <w:rsid w:val="00FB0067"/>
    <w:rsid w:val="00FB0433"/>
    <w:rsid w:val="00FB0440"/>
    <w:rsid w:val="00FB0668"/>
    <w:rsid w:val="00FB0721"/>
    <w:rsid w:val="00FB07EA"/>
    <w:rsid w:val="00FB0ABA"/>
    <w:rsid w:val="00FB0ADE"/>
    <w:rsid w:val="00FB0BDA"/>
    <w:rsid w:val="00FB0EF5"/>
    <w:rsid w:val="00FB1788"/>
    <w:rsid w:val="00FB1B59"/>
    <w:rsid w:val="00FB1EAC"/>
    <w:rsid w:val="00FB22B6"/>
    <w:rsid w:val="00FB2883"/>
    <w:rsid w:val="00FB2BBF"/>
    <w:rsid w:val="00FB2DFF"/>
    <w:rsid w:val="00FB2F84"/>
    <w:rsid w:val="00FB30C6"/>
    <w:rsid w:val="00FB35DC"/>
    <w:rsid w:val="00FB36BB"/>
    <w:rsid w:val="00FB49D7"/>
    <w:rsid w:val="00FB4AE7"/>
    <w:rsid w:val="00FB4EDA"/>
    <w:rsid w:val="00FB56A6"/>
    <w:rsid w:val="00FB56CF"/>
    <w:rsid w:val="00FB598D"/>
    <w:rsid w:val="00FB65C8"/>
    <w:rsid w:val="00FB6617"/>
    <w:rsid w:val="00FB66C4"/>
    <w:rsid w:val="00FB6773"/>
    <w:rsid w:val="00FB69AD"/>
    <w:rsid w:val="00FB6CA4"/>
    <w:rsid w:val="00FB6EAB"/>
    <w:rsid w:val="00FB6F65"/>
    <w:rsid w:val="00FB7556"/>
    <w:rsid w:val="00FB78C5"/>
    <w:rsid w:val="00FB7B7B"/>
    <w:rsid w:val="00FB7BDC"/>
    <w:rsid w:val="00FB7C4C"/>
    <w:rsid w:val="00FC02DA"/>
    <w:rsid w:val="00FC1582"/>
    <w:rsid w:val="00FC15FA"/>
    <w:rsid w:val="00FC1B09"/>
    <w:rsid w:val="00FC1C8A"/>
    <w:rsid w:val="00FC2220"/>
    <w:rsid w:val="00FC2677"/>
    <w:rsid w:val="00FC291D"/>
    <w:rsid w:val="00FC29E7"/>
    <w:rsid w:val="00FC2C99"/>
    <w:rsid w:val="00FC39CE"/>
    <w:rsid w:val="00FC3E51"/>
    <w:rsid w:val="00FC4252"/>
    <w:rsid w:val="00FC46BC"/>
    <w:rsid w:val="00FC47EC"/>
    <w:rsid w:val="00FC51DE"/>
    <w:rsid w:val="00FC5481"/>
    <w:rsid w:val="00FC55C0"/>
    <w:rsid w:val="00FC569C"/>
    <w:rsid w:val="00FC5743"/>
    <w:rsid w:val="00FC5D98"/>
    <w:rsid w:val="00FC5F76"/>
    <w:rsid w:val="00FC638C"/>
    <w:rsid w:val="00FC6A59"/>
    <w:rsid w:val="00FC6E08"/>
    <w:rsid w:val="00FC7108"/>
    <w:rsid w:val="00FC7142"/>
    <w:rsid w:val="00FC76E9"/>
    <w:rsid w:val="00FC7739"/>
    <w:rsid w:val="00FC7A88"/>
    <w:rsid w:val="00FC7AC6"/>
    <w:rsid w:val="00FC7B6E"/>
    <w:rsid w:val="00FC7EB0"/>
    <w:rsid w:val="00FD06D6"/>
    <w:rsid w:val="00FD08A0"/>
    <w:rsid w:val="00FD0B57"/>
    <w:rsid w:val="00FD0C62"/>
    <w:rsid w:val="00FD1D07"/>
    <w:rsid w:val="00FD2100"/>
    <w:rsid w:val="00FD3540"/>
    <w:rsid w:val="00FD3665"/>
    <w:rsid w:val="00FD3AC1"/>
    <w:rsid w:val="00FD3D33"/>
    <w:rsid w:val="00FD44C7"/>
    <w:rsid w:val="00FD4A9F"/>
    <w:rsid w:val="00FD4B18"/>
    <w:rsid w:val="00FD4DBD"/>
    <w:rsid w:val="00FD4FB9"/>
    <w:rsid w:val="00FD53B0"/>
    <w:rsid w:val="00FD578B"/>
    <w:rsid w:val="00FD5B55"/>
    <w:rsid w:val="00FD5E4D"/>
    <w:rsid w:val="00FD5FF5"/>
    <w:rsid w:val="00FD60FC"/>
    <w:rsid w:val="00FD6172"/>
    <w:rsid w:val="00FD64D9"/>
    <w:rsid w:val="00FD6A48"/>
    <w:rsid w:val="00FD6BFF"/>
    <w:rsid w:val="00FD6E7A"/>
    <w:rsid w:val="00FD7025"/>
    <w:rsid w:val="00FD70B0"/>
    <w:rsid w:val="00FD7B2F"/>
    <w:rsid w:val="00FE0259"/>
    <w:rsid w:val="00FE0478"/>
    <w:rsid w:val="00FE059B"/>
    <w:rsid w:val="00FE0937"/>
    <w:rsid w:val="00FE0F4B"/>
    <w:rsid w:val="00FE1560"/>
    <w:rsid w:val="00FE2069"/>
    <w:rsid w:val="00FE2470"/>
    <w:rsid w:val="00FE3134"/>
    <w:rsid w:val="00FE380C"/>
    <w:rsid w:val="00FE405E"/>
    <w:rsid w:val="00FE4166"/>
    <w:rsid w:val="00FE47CD"/>
    <w:rsid w:val="00FE4850"/>
    <w:rsid w:val="00FE4AC6"/>
    <w:rsid w:val="00FE4D5B"/>
    <w:rsid w:val="00FE4F2D"/>
    <w:rsid w:val="00FE4F3C"/>
    <w:rsid w:val="00FE4F80"/>
    <w:rsid w:val="00FE54EA"/>
    <w:rsid w:val="00FE5600"/>
    <w:rsid w:val="00FE5E59"/>
    <w:rsid w:val="00FE61D1"/>
    <w:rsid w:val="00FE6266"/>
    <w:rsid w:val="00FE62BB"/>
    <w:rsid w:val="00FE63A4"/>
    <w:rsid w:val="00FE68A8"/>
    <w:rsid w:val="00FE6924"/>
    <w:rsid w:val="00FE69FD"/>
    <w:rsid w:val="00FE6B33"/>
    <w:rsid w:val="00FE6C20"/>
    <w:rsid w:val="00FE6C6E"/>
    <w:rsid w:val="00FE7385"/>
    <w:rsid w:val="00FE75AA"/>
    <w:rsid w:val="00FE7C2A"/>
    <w:rsid w:val="00FF0088"/>
    <w:rsid w:val="00FF01E0"/>
    <w:rsid w:val="00FF05FC"/>
    <w:rsid w:val="00FF0F69"/>
    <w:rsid w:val="00FF11F1"/>
    <w:rsid w:val="00FF1733"/>
    <w:rsid w:val="00FF1928"/>
    <w:rsid w:val="00FF1AB2"/>
    <w:rsid w:val="00FF1D30"/>
    <w:rsid w:val="00FF2167"/>
    <w:rsid w:val="00FF256C"/>
    <w:rsid w:val="00FF27ED"/>
    <w:rsid w:val="00FF2986"/>
    <w:rsid w:val="00FF2A4D"/>
    <w:rsid w:val="00FF3428"/>
    <w:rsid w:val="00FF369B"/>
    <w:rsid w:val="00FF36B3"/>
    <w:rsid w:val="00FF3B21"/>
    <w:rsid w:val="00FF3FD8"/>
    <w:rsid w:val="00FF4063"/>
    <w:rsid w:val="00FF4135"/>
    <w:rsid w:val="00FF43DF"/>
    <w:rsid w:val="00FF483F"/>
    <w:rsid w:val="00FF4C92"/>
    <w:rsid w:val="00FF4E35"/>
    <w:rsid w:val="00FF4F18"/>
    <w:rsid w:val="00FF53C9"/>
    <w:rsid w:val="00FF63E4"/>
    <w:rsid w:val="00FF663C"/>
    <w:rsid w:val="00FF66BD"/>
    <w:rsid w:val="00FF6E1B"/>
    <w:rsid w:val="00FF6F1A"/>
    <w:rsid w:val="011C74B2"/>
    <w:rsid w:val="01395070"/>
    <w:rsid w:val="014D49EB"/>
    <w:rsid w:val="01687703"/>
    <w:rsid w:val="01714173"/>
    <w:rsid w:val="01805727"/>
    <w:rsid w:val="018A0D80"/>
    <w:rsid w:val="018C3135"/>
    <w:rsid w:val="018F6A3E"/>
    <w:rsid w:val="01985F9D"/>
    <w:rsid w:val="019B3879"/>
    <w:rsid w:val="019C4326"/>
    <w:rsid w:val="01A11117"/>
    <w:rsid w:val="01AC5842"/>
    <w:rsid w:val="01D133CB"/>
    <w:rsid w:val="01D360C8"/>
    <w:rsid w:val="01DD1C4C"/>
    <w:rsid w:val="01EF65B9"/>
    <w:rsid w:val="01FD1152"/>
    <w:rsid w:val="02124B9D"/>
    <w:rsid w:val="0217304F"/>
    <w:rsid w:val="02296E92"/>
    <w:rsid w:val="022F77D5"/>
    <w:rsid w:val="02337D11"/>
    <w:rsid w:val="02345BDF"/>
    <w:rsid w:val="02532161"/>
    <w:rsid w:val="0270076E"/>
    <w:rsid w:val="027232D7"/>
    <w:rsid w:val="0279651D"/>
    <w:rsid w:val="027976FD"/>
    <w:rsid w:val="027B639D"/>
    <w:rsid w:val="028642E4"/>
    <w:rsid w:val="028B1CBA"/>
    <w:rsid w:val="02955E4D"/>
    <w:rsid w:val="029568E7"/>
    <w:rsid w:val="02A7347D"/>
    <w:rsid w:val="02A9706C"/>
    <w:rsid w:val="02AA548C"/>
    <w:rsid w:val="02AF0910"/>
    <w:rsid w:val="02D63BDC"/>
    <w:rsid w:val="02DC5445"/>
    <w:rsid w:val="02E5100F"/>
    <w:rsid w:val="02E5725D"/>
    <w:rsid w:val="02E80465"/>
    <w:rsid w:val="02E84657"/>
    <w:rsid w:val="03084900"/>
    <w:rsid w:val="03092820"/>
    <w:rsid w:val="03215050"/>
    <w:rsid w:val="03313EAD"/>
    <w:rsid w:val="03412F01"/>
    <w:rsid w:val="0342583E"/>
    <w:rsid w:val="035003D6"/>
    <w:rsid w:val="0350044F"/>
    <w:rsid w:val="035742F0"/>
    <w:rsid w:val="03597303"/>
    <w:rsid w:val="035E0DBD"/>
    <w:rsid w:val="0370031C"/>
    <w:rsid w:val="039B7C31"/>
    <w:rsid w:val="03A10CAA"/>
    <w:rsid w:val="03A219EA"/>
    <w:rsid w:val="03B12F76"/>
    <w:rsid w:val="03B64756"/>
    <w:rsid w:val="03C60679"/>
    <w:rsid w:val="03CA29C7"/>
    <w:rsid w:val="03CB18C7"/>
    <w:rsid w:val="03CB56C4"/>
    <w:rsid w:val="03EA2651"/>
    <w:rsid w:val="03EE654B"/>
    <w:rsid w:val="03F4350D"/>
    <w:rsid w:val="03FA3E85"/>
    <w:rsid w:val="0401226F"/>
    <w:rsid w:val="04136A94"/>
    <w:rsid w:val="041453FF"/>
    <w:rsid w:val="041537FA"/>
    <w:rsid w:val="0428457E"/>
    <w:rsid w:val="042B32CA"/>
    <w:rsid w:val="042C3965"/>
    <w:rsid w:val="043D621C"/>
    <w:rsid w:val="04422E6B"/>
    <w:rsid w:val="044D478C"/>
    <w:rsid w:val="044E3593"/>
    <w:rsid w:val="044F0706"/>
    <w:rsid w:val="045849ED"/>
    <w:rsid w:val="047E7EEC"/>
    <w:rsid w:val="04826D2E"/>
    <w:rsid w:val="048275F8"/>
    <w:rsid w:val="04843394"/>
    <w:rsid w:val="048A7923"/>
    <w:rsid w:val="048F5C08"/>
    <w:rsid w:val="049137B4"/>
    <w:rsid w:val="04966335"/>
    <w:rsid w:val="04AE64BD"/>
    <w:rsid w:val="04B14F1D"/>
    <w:rsid w:val="04E1218F"/>
    <w:rsid w:val="04E8759B"/>
    <w:rsid w:val="04EF18DF"/>
    <w:rsid w:val="04F97575"/>
    <w:rsid w:val="050100D8"/>
    <w:rsid w:val="050C0583"/>
    <w:rsid w:val="0511045E"/>
    <w:rsid w:val="05176C35"/>
    <w:rsid w:val="0519262A"/>
    <w:rsid w:val="052154A3"/>
    <w:rsid w:val="05233EFD"/>
    <w:rsid w:val="05246DAD"/>
    <w:rsid w:val="053D4AA7"/>
    <w:rsid w:val="0553600C"/>
    <w:rsid w:val="05665D07"/>
    <w:rsid w:val="056E3497"/>
    <w:rsid w:val="05781409"/>
    <w:rsid w:val="0579296A"/>
    <w:rsid w:val="0592514E"/>
    <w:rsid w:val="05985F76"/>
    <w:rsid w:val="05A35A2A"/>
    <w:rsid w:val="05A76FB4"/>
    <w:rsid w:val="05B53D33"/>
    <w:rsid w:val="05E059EC"/>
    <w:rsid w:val="05E275A9"/>
    <w:rsid w:val="05E5510F"/>
    <w:rsid w:val="05E656E9"/>
    <w:rsid w:val="05EB3A23"/>
    <w:rsid w:val="05F2584F"/>
    <w:rsid w:val="05F93484"/>
    <w:rsid w:val="05FF4171"/>
    <w:rsid w:val="060D18FC"/>
    <w:rsid w:val="060F6B88"/>
    <w:rsid w:val="06233BF8"/>
    <w:rsid w:val="06316639"/>
    <w:rsid w:val="063B36C5"/>
    <w:rsid w:val="064A5EDE"/>
    <w:rsid w:val="06572BB6"/>
    <w:rsid w:val="065B3D37"/>
    <w:rsid w:val="065B7836"/>
    <w:rsid w:val="06737B09"/>
    <w:rsid w:val="067E4035"/>
    <w:rsid w:val="067F6BE4"/>
    <w:rsid w:val="06906652"/>
    <w:rsid w:val="06923476"/>
    <w:rsid w:val="06A40DD8"/>
    <w:rsid w:val="06A80874"/>
    <w:rsid w:val="06C619F9"/>
    <w:rsid w:val="06C770D9"/>
    <w:rsid w:val="06EA5D60"/>
    <w:rsid w:val="07006361"/>
    <w:rsid w:val="07100953"/>
    <w:rsid w:val="071A65B6"/>
    <w:rsid w:val="072851F7"/>
    <w:rsid w:val="073D7C26"/>
    <w:rsid w:val="074E1BEF"/>
    <w:rsid w:val="07567052"/>
    <w:rsid w:val="076034A7"/>
    <w:rsid w:val="0768381A"/>
    <w:rsid w:val="07724F31"/>
    <w:rsid w:val="07775060"/>
    <w:rsid w:val="077E03E7"/>
    <w:rsid w:val="077F49F0"/>
    <w:rsid w:val="078E2AC0"/>
    <w:rsid w:val="07940642"/>
    <w:rsid w:val="07A07BF6"/>
    <w:rsid w:val="07AD54C2"/>
    <w:rsid w:val="07C57DE3"/>
    <w:rsid w:val="07CE6692"/>
    <w:rsid w:val="07DB6591"/>
    <w:rsid w:val="07F9311E"/>
    <w:rsid w:val="07FB7581"/>
    <w:rsid w:val="081163FE"/>
    <w:rsid w:val="08212C72"/>
    <w:rsid w:val="08246C9E"/>
    <w:rsid w:val="085A36BF"/>
    <w:rsid w:val="08643A98"/>
    <w:rsid w:val="08690AB5"/>
    <w:rsid w:val="086F02EC"/>
    <w:rsid w:val="087C7AB9"/>
    <w:rsid w:val="0888458F"/>
    <w:rsid w:val="088C3CD7"/>
    <w:rsid w:val="089C0163"/>
    <w:rsid w:val="08A44C6D"/>
    <w:rsid w:val="08A7690F"/>
    <w:rsid w:val="08B54B96"/>
    <w:rsid w:val="08B71158"/>
    <w:rsid w:val="08BB1F85"/>
    <w:rsid w:val="08BB636A"/>
    <w:rsid w:val="08C221DF"/>
    <w:rsid w:val="08C920BF"/>
    <w:rsid w:val="08D32F55"/>
    <w:rsid w:val="08D44DA7"/>
    <w:rsid w:val="08D55A15"/>
    <w:rsid w:val="08E95403"/>
    <w:rsid w:val="091354DA"/>
    <w:rsid w:val="091B7041"/>
    <w:rsid w:val="09205A07"/>
    <w:rsid w:val="09226B0F"/>
    <w:rsid w:val="092B1332"/>
    <w:rsid w:val="09480C98"/>
    <w:rsid w:val="094965F9"/>
    <w:rsid w:val="094F44C9"/>
    <w:rsid w:val="09596EA1"/>
    <w:rsid w:val="095A6440"/>
    <w:rsid w:val="095D0797"/>
    <w:rsid w:val="09677018"/>
    <w:rsid w:val="0979108D"/>
    <w:rsid w:val="09852E6F"/>
    <w:rsid w:val="09930B5A"/>
    <w:rsid w:val="0997182D"/>
    <w:rsid w:val="09B712F8"/>
    <w:rsid w:val="09B94900"/>
    <w:rsid w:val="09BD49D9"/>
    <w:rsid w:val="09C120A6"/>
    <w:rsid w:val="09C21D61"/>
    <w:rsid w:val="09CB2997"/>
    <w:rsid w:val="09CD0A4B"/>
    <w:rsid w:val="09CF1D46"/>
    <w:rsid w:val="09F41033"/>
    <w:rsid w:val="0A0A1357"/>
    <w:rsid w:val="0A125422"/>
    <w:rsid w:val="0A1C6BA3"/>
    <w:rsid w:val="0A2E4B70"/>
    <w:rsid w:val="0A31087C"/>
    <w:rsid w:val="0A320D47"/>
    <w:rsid w:val="0A466F61"/>
    <w:rsid w:val="0A4725AB"/>
    <w:rsid w:val="0A49770E"/>
    <w:rsid w:val="0A4B78FC"/>
    <w:rsid w:val="0A560A40"/>
    <w:rsid w:val="0A5B7E05"/>
    <w:rsid w:val="0A62389E"/>
    <w:rsid w:val="0A671549"/>
    <w:rsid w:val="0A876F85"/>
    <w:rsid w:val="0A905464"/>
    <w:rsid w:val="0AA74E2E"/>
    <w:rsid w:val="0AAB3A68"/>
    <w:rsid w:val="0AAD0691"/>
    <w:rsid w:val="0AC879AB"/>
    <w:rsid w:val="0AE05BEE"/>
    <w:rsid w:val="0AED4318"/>
    <w:rsid w:val="0AF426F0"/>
    <w:rsid w:val="0AF56886"/>
    <w:rsid w:val="0AFA0737"/>
    <w:rsid w:val="0AFB763F"/>
    <w:rsid w:val="0B090DAA"/>
    <w:rsid w:val="0B105691"/>
    <w:rsid w:val="0B106E41"/>
    <w:rsid w:val="0B16263E"/>
    <w:rsid w:val="0B195170"/>
    <w:rsid w:val="0B196157"/>
    <w:rsid w:val="0B1C4AA2"/>
    <w:rsid w:val="0B25018D"/>
    <w:rsid w:val="0B41178A"/>
    <w:rsid w:val="0B451036"/>
    <w:rsid w:val="0B45695D"/>
    <w:rsid w:val="0B46023D"/>
    <w:rsid w:val="0B4A1814"/>
    <w:rsid w:val="0B4B48F9"/>
    <w:rsid w:val="0B521208"/>
    <w:rsid w:val="0B5B3C98"/>
    <w:rsid w:val="0B871E89"/>
    <w:rsid w:val="0B8E77A2"/>
    <w:rsid w:val="0B901D30"/>
    <w:rsid w:val="0B9D1269"/>
    <w:rsid w:val="0BA033AB"/>
    <w:rsid w:val="0BB971DF"/>
    <w:rsid w:val="0BBA5CE6"/>
    <w:rsid w:val="0BBA6DAD"/>
    <w:rsid w:val="0BC16C46"/>
    <w:rsid w:val="0BC81863"/>
    <w:rsid w:val="0BCF45B9"/>
    <w:rsid w:val="0BE43E2A"/>
    <w:rsid w:val="0BE56668"/>
    <w:rsid w:val="0BF4443A"/>
    <w:rsid w:val="0BFA695A"/>
    <w:rsid w:val="0C0544CC"/>
    <w:rsid w:val="0C0B3E50"/>
    <w:rsid w:val="0C0D512F"/>
    <w:rsid w:val="0C1B02CE"/>
    <w:rsid w:val="0C2311EF"/>
    <w:rsid w:val="0C27345B"/>
    <w:rsid w:val="0C3A111C"/>
    <w:rsid w:val="0C5010C1"/>
    <w:rsid w:val="0C581366"/>
    <w:rsid w:val="0C6E3D50"/>
    <w:rsid w:val="0C80252C"/>
    <w:rsid w:val="0C8B5275"/>
    <w:rsid w:val="0C92078C"/>
    <w:rsid w:val="0C953DB4"/>
    <w:rsid w:val="0C9B3568"/>
    <w:rsid w:val="0CA51D28"/>
    <w:rsid w:val="0CB61DE1"/>
    <w:rsid w:val="0CBD0903"/>
    <w:rsid w:val="0CC457FD"/>
    <w:rsid w:val="0CD178B3"/>
    <w:rsid w:val="0CE71270"/>
    <w:rsid w:val="0CEC37E5"/>
    <w:rsid w:val="0CFF122E"/>
    <w:rsid w:val="0D05510F"/>
    <w:rsid w:val="0D0735EA"/>
    <w:rsid w:val="0D0804BA"/>
    <w:rsid w:val="0D08613C"/>
    <w:rsid w:val="0D0E4E98"/>
    <w:rsid w:val="0D1C6E6B"/>
    <w:rsid w:val="0D2070E4"/>
    <w:rsid w:val="0D2503E7"/>
    <w:rsid w:val="0D352A6D"/>
    <w:rsid w:val="0D387A9B"/>
    <w:rsid w:val="0D4528F8"/>
    <w:rsid w:val="0D4F1DC3"/>
    <w:rsid w:val="0D505733"/>
    <w:rsid w:val="0D69154E"/>
    <w:rsid w:val="0D7359A1"/>
    <w:rsid w:val="0D741283"/>
    <w:rsid w:val="0D741854"/>
    <w:rsid w:val="0D7A2C98"/>
    <w:rsid w:val="0D8558BB"/>
    <w:rsid w:val="0D896D09"/>
    <w:rsid w:val="0D923962"/>
    <w:rsid w:val="0D943668"/>
    <w:rsid w:val="0D985311"/>
    <w:rsid w:val="0DA770F4"/>
    <w:rsid w:val="0DAA5A09"/>
    <w:rsid w:val="0DAC0F3E"/>
    <w:rsid w:val="0DC55FC0"/>
    <w:rsid w:val="0DD33F08"/>
    <w:rsid w:val="0DD41C86"/>
    <w:rsid w:val="0DD9514B"/>
    <w:rsid w:val="0DE76E2C"/>
    <w:rsid w:val="0E012A71"/>
    <w:rsid w:val="0E093F77"/>
    <w:rsid w:val="0E0D1B15"/>
    <w:rsid w:val="0E147545"/>
    <w:rsid w:val="0E1C334B"/>
    <w:rsid w:val="0E1F1455"/>
    <w:rsid w:val="0E271DA9"/>
    <w:rsid w:val="0E2C734E"/>
    <w:rsid w:val="0E314AD3"/>
    <w:rsid w:val="0E354C95"/>
    <w:rsid w:val="0E47740F"/>
    <w:rsid w:val="0E651252"/>
    <w:rsid w:val="0EA306B8"/>
    <w:rsid w:val="0EBA0C6D"/>
    <w:rsid w:val="0ECA257C"/>
    <w:rsid w:val="0ECD7D40"/>
    <w:rsid w:val="0ED60F56"/>
    <w:rsid w:val="0EE3763A"/>
    <w:rsid w:val="0EF44B98"/>
    <w:rsid w:val="0EF774A7"/>
    <w:rsid w:val="0EFB4523"/>
    <w:rsid w:val="0EFD1188"/>
    <w:rsid w:val="0F0E1EBF"/>
    <w:rsid w:val="0F115E66"/>
    <w:rsid w:val="0F2416D7"/>
    <w:rsid w:val="0F2B4FAF"/>
    <w:rsid w:val="0F3A6403"/>
    <w:rsid w:val="0F4277E5"/>
    <w:rsid w:val="0F5B05FA"/>
    <w:rsid w:val="0F610399"/>
    <w:rsid w:val="0F804919"/>
    <w:rsid w:val="0FAC6377"/>
    <w:rsid w:val="0FD42790"/>
    <w:rsid w:val="0FDC7094"/>
    <w:rsid w:val="0FDD25F1"/>
    <w:rsid w:val="0FFA7C54"/>
    <w:rsid w:val="0FFF56D6"/>
    <w:rsid w:val="101A497B"/>
    <w:rsid w:val="10204587"/>
    <w:rsid w:val="10256733"/>
    <w:rsid w:val="10262C63"/>
    <w:rsid w:val="10594CCA"/>
    <w:rsid w:val="105F0026"/>
    <w:rsid w:val="105F7F23"/>
    <w:rsid w:val="10600200"/>
    <w:rsid w:val="10656D77"/>
    <w:rsid w:val="10763A0F"/>
    <w:rsid w:val="107875CE"/>
    <w:rsid w:val="107F4780"/>
    <w:rsid w:val="108407A7"/>
    <w:rsid w:val="108D3635"/>
    <w:rsid w:val="108E453B"/>
    <w:rsid w:val="10984924"/>
    <w:rsid w:val="10A4285D"/>
    <w:rsid w:val="10B97677"/>
    <w:rsid w:val="10C7426A"/>
    <w:rsid w:val="10E365A9"/>
    <w:rsid w:val="10EE1409"/>
    <w:rsid w:val="10F01DC1"/>
    <w:rsid w:val="1105510B"/>
    <w:rsid w:val="110F618C"/>
    <w:rsid w:val="111B6EA5"/>
    <w:rsid w:val="111E1D59"/>
    <w:rsid w:val="11200E0F"/>
    <w:rsid w:val="11212726"/>
    <w:rsid w:val="11391088"/>
    <w:rsid w:val="11401CDB"/>
    <w:rsid w:val="114917E9"/>
    <w:rsid w:val="1149506D"/>
    <w:rsid w:val="115259D3"/>
    <w:rsid w:val="115B2D88"/>
    <w:rsid w:val="115D35F1"/>
    <w:rsid w:val="11624912"/>
    <w:rsid w:val="11695950"/>
    <w:rsid w:val="117238D3"/>
    <w:rsid w:val="117C585D"/>
    <w:rsid w:val="118C11EC"/>
    <w:rsid w:val="118D274B"/>
    <w:rsid w:val="11C314B3"/>
    <w:rsid w:val="11E04F22"/>
    <w:rsid w:val="12000D11"/>
    <w:rsid w:val="121C6D63"/>
    <w:rsid w:val="121C75C3"/>
    <w:rsid w:val="121E2530"/>
    <w:rsid w:val="12241579"/>
    <w:rsid w:val="12261975"/>
    <w:rsid w:val="122733D6"/>
    <w:rsid w:val="123235D9"/>
    <w:rsid w:val="12517E5A"/>
    <w:rsid w:val="126233C3"/>
    <w:rsid w:val="126B6286"/>
    <w:rsid w:val="128479D8"/>
    <w:rsid w:val="12922DA3"/>
    <w:rsid w:val="129C4DFB"/>
    <w:rsid w:val="12AD29E6"/>
    <w:rsid w:val="12B02AB5"/>
    <w:rsid w:val="12CE4E68"/>
    <w:rsid w:val="12D93FBD"/>
    <w:rsid w:val="12DC585B"/>
    <w:rsid w:val="12E90C2B"/>
    <w:rsid w:val="12EA441C"/>
    <w:rsid w:val="12F00EB1"/>
    <w:rsid w:val="12F86B39"/>
    <w:rsid w:val="12FB4A33"/>
    <w:rsid w:val="12FE3439"/>
    <w:rsid w:val="131E1E82"/>
    <w:rsid w:val="1321351C"/>
    <w:rsid w:val="132268A3"/>
    <w:rsid w:val="13226C8C"/>
    <w:rsid w:val="13260D3B"/>
    <w:rsid w:val="13353B78"/>
    <w:rsid w:val="13355B11"/>
    <w:rsid w:val="133E4060"/>
    <w:rsid w:val="1344295B"/>
    <w:rsid w:val="13567B45"/>
    <w:rsid w:val="136A57BC"/>
    <w:rsid w:val="13705B58"/>
    <w:rsid w:val="13801E6A"/>
    <w:rsid w:val="138240D1"/>
    <w:rsid w:val="138F47E7"/>
    <w:rsid w:val="13AC7923"/>
    <w:rsid w:val="13BD2572"/>
    <w:rsid w:val="13C92B55"/>
    <w:rsid w:val="13CE4871"/>
    <w:rsid w:val="13D07F0E"/>
    <w:rsid w:val="13D11213"/>
    <w:rsid w:val="13F01035"/>
    <w:rsid w:val="13F06A5A"/>
    <w:rsid w:val="13FA32AE"/>
    <w:rsid w:val="140908D1"/>
    <w:rsid w:val="141731D5"/>
    <w:rsid w:val="143D5AF1"/>
    <w:rsid w:val="144009DA"/>
    <w:rsid w:val="144608AB"/>
    <w:rsid w:val="14574805"/>
    <w:rsid w:val="14692BD2"/>
    <w:rsid w:val="14741381"/>
    <w:rsid w:val="14841E5F"/>
    <w:rsid w:val="1486432F"/>
    <w:rsid w:val="148B3F03"/>
    <w:rsid w:val="14AD5701"/>
    <w:rsid w:val="14B4199F"/>
    <w:rsid w:val="14B56260"/>
    <w:rsid w:val="14E2780E"/>
    <w:rsid w:val="14E858C7"/>
    <w:rsid w:val="14EA1CE0"/>
    <w:rsid w:val="14ED5EB4"/>
    <w:rsid w:val="14F17B7B"/>
    <w:rsid w:val="150B2427"/>
    <w:rsid w:val="151918D6"/>
    <w:rsid w:val="151B2AD5"/>
    <w:rsid w:val="151F0EB5"/>
    <w:rsid w:val="152C6752"/>
    <w:rsid w:val="15373433"/>
    <w:rsid w:val="15432709"/>
    <w:rsid w:val="15630FC0"/>
    <w:rsid w:val="156B4E1D"/>
    <w:rsid w:val="156E7876"/>
    <w:rsid w:val="15794A47"/>
    <w:rsid w:val="157B2782"/>
    <w:rsid w:val="157D1577"/>
    <w:rsid w:val="15833A52"/>
    <w:rsid w:val="15907C53"/>
    <w:rsid w:val="15913A24"/>
    <w:rsid w:val="15BE6D60"/>
    <w:rsid w:val="15C246A8"/>
    <w:rsid w:val="15C42D02"/>
    <w:rsid w:val="15C603C9"/>
    <w:rsid w:val="15C928DA"/>
    <w:rsid w:val="15CB1088"/>
    <w:rsid w:val="15CE063D"/>
    <w:rsid w:val="15D7735E"/>
    <w:rsid w:val="15E70AAC"/>
    <w:rsid w:val="15FC2CBE"/>
    <w:rsid w:val="16080E33"/>
    <w:rsid w:val="160D58CE"/>
    <w:rsid w:val="1635775C"/>
    <w:rsid w:val="163A5496"/>
    <w:rsid w:val="16471E96"/>
    <w:rsid w:val="1648658E"/>
    <w:rsid w:val="164E5475"/>
    <w:rsid w:val="164E7F6B"/>
    <w:rsid w:val="165434B0"/>
    <w:rsid w:val="166B7621"/>
    <w:rsid w:val="168A13B6"/>
    <w:rsid w:val="16984F89"/>
    <w:rsid w:val="16B977BA"/>
    <w:rsid w:val="16F97B8F"/>
    <w:rsid w:val="16FE5DD1"/>
    <w:rsid w:val="170147EB"/>
    <w:rsid w:val="17020624"/>
    <w:rsid w:val="17087008"/>
    <w:rsid w:val="17180EC5"/>
    <w:rsid w:val="171C7F0A"/>
    <w:rsid w:val="171F56EB"/>
    <w:rsid w:val="174A7237"/>
    <w:rsid w:val="174E2D0E"/>
    <w:rsid w:val="175D573C"/>
    <w:rsid w:val="17606A5A"/>
    <w:rsid w:val="17824C23"/>
    <w:rsid w:val="17935082"/>
    <w:rsid w:val="17956332"/>
    <w:rsid w:val="17B02FA2"/>
    <w:rsid w:val="17B12250"/>
    <w:rsid w:val="17B7561E"/>
    <w:rsid w:val="17BD4997"/>
    <w:rsid w:val="17D343AA"/>
    <w:rsid w:val="17D81FF2"/>
    <w:rsid w:val="17D86098"/>
    <w:rsid w:val="17DC4231"/>
    <w:rsid w:val="17E94CA2"/>
    <w:rsid w:val="17F61B9F"/>
    <w:rsid w:val="17F7713F"/>
    <w:rsid w:val="17F9141B"/>
    <w:rsid w:val="17FF44C5"/>
    <w:rsid w:val="1807637A"/>
    <w:rsid w:val="180F3D84"/>
    <w:rsid w:val="1819270C"/>
    <w:rsid w:val="181D0DEF"/>
    <w:rsid w:val="18247EA8"/>
    <w:rsid w:val="182B3FD2"/>
    <w:rsid w:val="182E7B9D"/>
    <w:rsid w:val="18335B35"/>
    <w:rsid w:val="18440AA8"/>
    <w:rsid w:val="18495740"/>
    <w:rsid w:val="185C0C48"/>
    <w:rsid w:val="186F473D"/>
    <w:rsid w:val="188744BB"/>
    <w:rsid w:val="188C4DE8"/>
    <w:rsid w:val="18964F73"/>
    <w:rsid w:val="189F77F2"/>
    <w:rsid w:val="18A311E0"/>
    <w:rsid w:val="18A4506D"/>
    <w:rsid w:val="18C75F97"/>
    <w:rsid w:val="18CA2E69"/>
    <w:rsid w:val="18D57D92"/>
    <w:rsid w:val="18E9621F"/>
    <w:rsid w:val="18F574F8"/>
    <w:rsid w:val="190F5991"/>
    <w:rsid w:val="192B12EA"/>
    <w:rsid w:val="193E0F10"/>
    <w:rsid w:val="19463153"/>
    <w:rsid w:val="194F68FF"/>
    <w:rsid w:val="1951057E"/>
    <w:rsid w:val="195A4CC2"/>
    <w:rsid w:val="195F2D42"/>
    <w:rsid w:val="196D36B1"/>
    <w:rsid w:val="196E4431"/>
    <w:rsid w:val="197210C7"/>
    <w:rsid w:val="199433F2"/>
    <w:rsid w:val="199B6790"/>
    <w:rsid w:val="19A435FD"/>
    <w:rsid w:val="19B70021"/>
    <w:rsid w:val="19B802BF"/>
    <w:rsid w:val="19B906A4"/>
    <w:rsid w:val="19BB08C0"/>
    <w:rsid w:val="19ED4FB2"/>
    <w:rsid w:val="19F605BF"/>
    <w:rsid w:val="19F87749"/>
    <w:rsid w:val="1A210251"/>
    <w:rsid w:val="1A2126D1"/>
    <w:rsid w:val="1A360B8D"/>
    <w:rsid w:val="1A383CBF"/>
    <w:rsid w:val="1A451B76"/>
    <w:rsid w:val="1A4D07B2"/>
    <w:rsid w:val="1A513D5B"/>
    <w:rsid w:val="1A6155C4"/>
    <w:rsid w:val="1A620F82"/>
    <w:rsid w:val="1A63133D"/>
    <w:rsid w:val="1A713892"/>
    <w:rsid w:val="1A7E151C"/>
    <w:rsid w:val="1A893918"/>
    <w:rsid w:val="1A8A4238"/>
    <w:rsid w:val="1A8C6C9A"/>
    <w:rsid w:val="1A983FD5"/>
    <w:rsid w:val="1A986467"/>
    <w:rsid w:val="1A9C3D22"/>
    <w:rsid w:val="1AAC2BA1"/>
    <w:rsid w:val="1AB0701F"/>
    <w:rsid w:val="1ACF4442"/>
    <w:rsid w:val="1AD75F02"/>
    <w:rsid w:val="1ADF3C8C"/>
    <w:rsid w:val="1AF079B3"/>
    <w:rsid w:val="1AFB480D"/>
    <w:rsid w:val="1B186F81"/>
    <w:rsid w:val="1B1951FE"/>
    <w:rsid w:val="1B261F3B"/>
    <w:rsid w:val="1B2B2B54"/>
    <w:rsid w:val="1B3A6B8A"/>
    <w:rsid w:val="1B4545BF"/>
    <w:rsid w:val="1B5E1503"/>
    <w:rsid w:val="1B631D4C"/>
    <w:rsid w:val="1B6541A5"/>
    <w:rsid w:val="1B682209"/>
    <w:rsid w:val="1B6F1B8E"/>
    <w:rsid w:val="1B776A68"/>
    <w:rsid w:val="1B7E160A"/>
    <w:rsid w:val="1B7E21A9"/>
    <w:rsid w:val="1B97254D"/>
    <w:rsid w:val="1B9B04CF"/>
    <w:rsid w:val="1BA558B5"/>
    <w:rsid w:val="1BAA299A"/>
    <w:rsid w:val="1BAF6F55"/>
    <w:rsid w:val="1BBC26CD"/>
    <w:rsid w:val="1BC3580A"/>
    <w:rsid w:val="1BC572A5"/>
    <w:rsid w:val="1BCB40DD"/>
    <w:rsid w:val="1BCD20E8"/>
    <w:rsid w:val="1BD869BC"/>
    <w:rsid w:val="1BDD64C4"/>
    <w:rsid w:val="1BDD7954"/>
    <w:rsid w:val="1BE177DA"/>
    <w:rsid w:val="1BE240CC"/>
    <w:rsid w:val="1C084381"/>
    <w:rsid w:val="1C1059AD"/>
    <w:rsid w:val="1C275EFB"/>
    <w:rsid w:val="1C2C7853"/>
    <w:rsid w:val="1C450915"/>
    <w:rsid w:val="1C582D3A"/>
    <w:rsid w:val="1C5A571A"/>
    <w:rsid w:val="1C6D46E5"/>
    <w:rsid w:val="1C80324C"/>
    <w:rsid w:val="1C893B1E"/>
    <w:rsid w:val="1CA077C1"/>
    <w:rsid w:val="1CA47A0D"/>
    <w:rsid w:val="1CA563EF"/>
    <w:rsid w:val="1CB20CF1"/>
    <w:rsid w:val="1CBF6038"/>
    <w:rsid w:val="1CDB4054"/>
    <w:rsid w:val="1CDF3A25"/>
    <w:rsid w:val="1CED6FE2"/>
    <w:rsid w:val="1CF07882"/>
    <w:rsid w:val="1CFD0BF7"/>
    <w:rsid w:val="1D001020"/>
    <w:rsid w:val="1D012325"/>
    <w:rsid w:val="1D014845"/>
    <w:rsid w:val="1D0608B0"/>
    <w:rsid w:val="1D0A020E"/>
    <w:rsid w:val="1D1B2A29"/>
    <w:rsid w:val="1D244FBB"/>
    <w:rsid w:val="1D263C41"/>
    <w:rsid w:val="1D3650CA"/>
    <w:rsid w:val="1D3F5364"/>
    <w:rsid w:val="1D506B68"/>
    <w:rsid w:val="1D5255A7"/>
    <w:rsid w:val="1D571475"/>
    <w:rsid w:val="1D577E2A"/>
    <w:rsid w:val="1D591759"/>
    <w:rsid w:val="1D6844D5"/>
    <w:rsid w:val="1D7565E9"/>
    <w:rsid w:val="1DA0087A"/>
    <w:rsid w:val="1DA453B1"/>
    <w:rsid w:val="1DAD70E6"/>
    <w:rsid w:val="1DB35CDA"/>
    <w:rsid w:val="1DBA1716"/>
    <w:rsid w:val="1DC04219"/>
    <w:rsid w:val="1DC65566"/>
    <w:rsid w:val="1DC8425E"/>
    <w:rsid w:val="1DD416D3"/>
    <w:rsid w:val="1DD91315"/>
    <w:rsid w:val="1DDC7DAC"/>
    <w:rsid w:val="1DE101C9"/>
    <w:rsid w:val="1DE47C88"/>
    <w:rsid w:val="1DE63B9F"/>
    <w:rsid w:val="1DED1FB5"/>
    <w:rsid w:val="1DF7774C"/>
    <w:rsid w:val="1DFE62EA"/>
    <w:rsid w:val="1E117301"/>
    <w:rsid w:val="1E280559"/>
    <w:rsid w:val="1E35361B"/>
    <w:rsid w:val="1E353AAA"/>
    <w:rsid w:val="1E363EC0"/>
    <w:rsid w:val="1E4F7A48"/>
    <w:rsid w:val="1E633770"/>
    <w:rsid w:val="1E682698"/>
    <w:rsid w:val="1E68578F"/>
    <w:rsid w:val="1E6C0B3B"/>
    <w:rsid w:val="1E8B750E"/>
    <w:rsid w:val="1E961CCF"/>
    <w:rsid w:val="1EAB7E95"/>
    <w:rsid w:val="1EAE31C3"/>
    <w:rsid w:val="1EB1426A"/>
    <w:rsid w:val="1EB64872"/>
    <w:rsid w:val="1EE07337"/>
    <w:rsid w:val="1EE8262C"/>
    <w:rsid w:val="1EE87318"/>
    <w:rsid w:val="1EEB4D02"/>
    <w:rsid w:val="1EFF541A"/>
    <w:rsid w:val="1F0E3155"/>
    <w:rsid w:val="1F192001"/>
    <w:rsid w:val="1F2332A4"/>
    <w:rsid w:val="1F2A2C2F"/>
    <w:rsid w:val="1F4160D7"/>
    <w:rsid w:val="1F43738D"/>
    <w:rsid w:val="1F485D0F"/>
    <w:rsid w:val="1F4E611F"/>
    <w:rsid w:val="1F4F53ED"/>
    <w:rsid w:val="1F550A5C"/>
    <w:rsid w:val="1F667C26"/>
    <w:rsid w:val="1F687D89"/>
    <w:rsid w:val="1F6A0705"/>
    <w:rsid w:val="1F7314A2"/>
    <w:rsid w:val="1F882183"/>
    <w:rsid w:val="1F99686A"/>
    <w:rsid w:val="1F9A47FD"/>
    <w:rsid w:val="1F9E2BED"/>
    <w:rsid w:val="1F9F346D"/>
    <w:rsid w:val="1FA023ED"/>
    <w:rsid w:val="1FA22A97"/>
    <w:rsid w:val="1FA61457"/>
    <w:rsid w:val="1FB21E1D"/>
    <w:rsid w:val="1FBC4C20"/>
    <w:rsid w:val="1FC00E5F"/>
    <w:rsid w:val="1FC461EB"/>
    <w:rsid w:val="1FCD6C57"/>
    <w:rsid w:val="1FE3647B"/>
    <w:rsid w:val="1FEB314C"/>
    <w:rsid w:val="1FF56772"/>
    <w:rsid w:val="20036B1D"/>
    <w:rsid w:val="201D61FE"/>
    <w:rsid w:val="20223FCF"/>
    <w:rsid w:val="20374EF6"/>
    <w:rsid w:val="203C5455"/>
    <w:rsid w:val="203E1903"/>
    <w:rsid w:val="20570FCD"/>
    <w:rsid w:val="206630FE"/>
    <w:rsid w:val="20727BBC"/>
    <w:rsid w:val="20895BBA"/>
    <w:rsid w:val="208A4B48"/>
    <w:rsid w:val="20A200E4"/>
    <w:rsid w:val="20B27232"/>
    <w:rsid w:val="20B852EF"/>
    <w:rsid w:val="20C772D1"/>
    <w:rsid w:val="20D25D47"/>
    <w:rsid w:val="20D83B05"/>
    <w:rsid w:val="20DB25F5"/>
    <w:rsid w:val="20ED4B72"/>
    <w:rsid w:val="210D0846"/>
    <w:rsid w:val="21113C39"/>
    <w:rsid w:val="21154D5A"/>
    <w:rsid w:val="2129610F"/>
    <w:rsid w:val="212E3C42"/>
    <w:rsid w:val="213A4B92"/>
    <w:rsid w:val="21461012"/>
    <w:rsid w:val="21484941"/>
    <w:rsid w:val="214F223B"/>
    <w:rsid w:val="215A6C3C"/>
    <w:rsid w:val="216502C1"/>
    <w:rsid w:val="216E06B3"/>
    <w:rsid w:val="216F0E45"/>
    <w:rsid w:val="21741606"/>
    <w:rsid w:val="218628EB"/>
    <w:rsid w:val="21886640"/>
    <w:rsid w:val="218A7DFE"/>
    <w:rsid w:val="21947825"/>
    <w:rsid w:val="21A91D49"/>
    <w:rsid w:val="21BF72FA"/>
    <w:rsid w:val="21C978F2"/>
    <w:rsid w:val="21CB01E8"/>
    <w:rsid w:val="21CB0F6A"/>
    <w:rsid w:val="21DA1AFF"/>
    <w:rsid w:val="220646A2"/>
    <w:rsid w:val="220D2568"/>
    <w:rsid w:val="221B003E"/>
    <w:rsid w:val="221B4D86"/>
    <w:rsid w:val="224A024D"/>
    <w:rsid w:val="225418B2"/>
    <w:rsid w:val="227A7454"/>
    <w:rsid w:val="227E3396"/>
    <w:rsid w:val="228B5D2D"/>
    <w:rsid w:val="22AC18CE"/>
    <w:rsid w:val="22B17E7D"/>
    <w:rsid w:val="22D402FC"/>
    <w:rsid w:val="2314799E"/>
    <w:rsid w:val="231762F6"/>
    <w:rsid w:val="232057F5"/>
    <w:rsid w:val="23242312"/>
    <w:rsid w:val="2328635C"/>
    <w:rsid w:val="234178B0"/>
    <w:rsid w:val="23497647"/>
    <w:rsid w:val="23680A25"/>
    <w:rsid w:val="23711252"/>
    <w:rsid w:val="23761C5A"/>
    <w:rsid w:val="237657BC"/>
    <w:rsid w:val="238060CC"/>
    <w:rsid w:val="239A7AC3"/>
    <w:rsid w:val="23AA7EAF"/>
    <w:rsid w:val="23CE1C05"/>
    <w:rsid w:val="23CE1C31"/>
    <w:rsid w:val="23E261B6"/>
    <w:rsid w:val="23EF4896"/>
    <w:rsid w:val="240E783E"/>
    <w:rsid w:val="240F19F1"/>
    <w:rsid w:val="24213A15"/>
    <w:rsid w:val="24466D8E"/>
    <w:rsid w:val="244E1C1C"/>
    <w:rsid w:val="24523588"/>
    <w:rsid w:val="24561B4D"/>
    <w:rsid w:val="24571CB2"/>
    <w:rsid w:val="24805C6F"/>
    <w:rsid w:val="249B7324"/>
    <w:rsid w:val="249D7540"/>
    <w:rsid w:val="24A73F1B"/>
    <w:rsid w:val="24AE47F4"/>
    <w:rsid w:val="24AF3183"/>
    <w:rsid w:val="24B672B1"/>
    <w:rsid w:val="24CD4B9F"/>
    <w:rsid w:val="24D571B8"/>
    <w:rsid w:val="24D92020"/>
    <w:rsid w:val="24D932CD"/>
    <w:rsid w:val="24E931F3"/>
    <w:rsid w:val="250B1F3E"/>
    <w:rsid w:val="251A0F27"/>
    <w:rsid w:val="25205A7B"/>
    <w:rsid w:val="25206462"/>
    <w:rsid w:val="25282C04"/>
    <w:rsid w:val="253A41A3"/>
    <w:rsid w:val="25493139"/>
    <w:rsid w:val="255132D9"/>
    <w:rsid w:val="256E766A"/>
    <w:rsid w:val="25916979"/>
    <w:rsid w:val="259F10D7"/>
    <w:rsid w:val="259F5255"/>
    <w:rsid w:val="25A70F54"/>
    <w:rsid w:val="25AD2E01"/>
    <w:rsid w:val="25B508B9"/>
    <w:rsid w:val="25BA7F75"/>
    <w:rsid w:val="25BE5338"/>
    <w:rsid w:val="25C07E61"/>
    <w:rsid w:val="25C67DF8"/>
    <w:rsid w:val="25DA6AB0"/>
    <w:rsid w:val="25DB26A8"/>
    <w:rsid w:val="25DF1958"/>
    <w:rsid w:val="25F81110"/>
    <w:rsid w:val="26035CC8"/>
    <w:rsid w:val="26056817"/>
    <w:rsid w:val="261808C8"/>
    <w:rsid w:val="26185D90"/>
    <w:rsid w:val="2622053B"/>
    <w:rsid w:val="262579D5"/>
    <w:rsid w:val="263C68E5"/>
    <w:rsid w:val="263D57DD"/>
    <w:rsid w:val="26401B1E"/>
    <w:rsid w:val="2651396B"/>
    <w:rsid w:val="2652435A"/>
    <w:rsid w:val="2661459D"/>
    <w:rsid w:val="266371B1"/>
    <w:rsid w:val="266D3134"/>
    <w:rsid w:val="26764466"/>
    <w:rsid w:val="267C0839"/>
    <w:rsid w:val="2682246B"/>
    <w:rsid w:val="26976211"/>
    <w:rsid w:val="269C2FFC"/>
    <w:rsid w:val="26B029A2"/>
    <w:rsid w:val="26C51CD4"/>
    <w:rsid w:val="26CF1303"/>
    <w:rsid w:val="26D54EB3"/>
    <w:rsid w:val="26D70CB5"/>
    <w:rsid w:val="26F43B18"/>
    <w:rsid w:val="27031211"/>
    <w:rsid w:val="272726CA"/>
    <w:rsid w:val="27563219"/>
    <w:rsid w:val="27600482"/>
    <w:rsid w:val="2764472D"/>
    <w:rsid w:val="27815A4A"/>
    <w:rsid w:val="2782622F"/>
    <w:rsid w:val="27857F9B"/>
    <w:rsid w:val="27990DA1"/>
    <w:rsid w:val="27A16FF0"/>
    <w:rsid w:val="27A44828"/>
    <w:rsid w:val="27B308DB"/>
    <w:rsid w:val="27CF0637"/>
    <w:rsid w:val="27D75F18"/>
    <w:rsid w:val="27D76439"/>
    <w:rsid w:val="27DE0CF8"/>
    <w:rsid w:val="27E13D93"/>
    <w:rsid w:val="27E14DBF"/>
    <w:rsid w:val="27E21421"/>
    <w:rsid w:val="27F342B8"/>
    <w:rsid w:val="27F80179"/>
    <w:rsid w:val="27F81F7C"/>
    <w:rsid w:val="280965D1"/>
    <w:rsid w:val="280E640F"/>
    <w:rsid w:val="28163595"/>
    <w:rsid w:val="282A31F1"/>
    <w:rsid w:val="282F089F"/>
    <w:rsid w:val="284779AA"/>
    <w:rsid w:val="284C3166"/>
    <w:rsid w:val="284E0E06"/>
    <w:rsid w:val="286163CF"/>
    <w:rsid w:val="286D2605"/>
    <w:rsid w:val="28756E66"/>
    <w:rsid w:val="287820B1"/>
    <w:rsid w:val="287D3B77"/>
    <w:rsid w:val="288F4F38"/>
    <w:rsid w:val="289A61FA"/>
    <w:rsid w:val="28A66BF6"/>
    <w:rsid w:val="28B50BD7"/>
    <w:rsid w:val="28C739A6"/>
    <w:rsid w:val="28D177B8"/>
    <w:rsid w:val="28E05948"/>
    <w:rsid w:val="28E571A8"/>
    <w:rsid w:val="28F151B9"/>
    <w:rsid w:val="28F25980"/>
    <w:rsid w:val="28F61640"/>
    <w:rsid w:val="29066596"/>
    <w:rsid w:val="291830EA"/>
    <w:rsid w:val="29341449"/>
    <w:rsid w:val="294856D2"/>
    <w:rsid w:val="294A494E"/>
    <w:rsid w:val="297445E7"/>
    <w:rsid w:val="297D1637"/>
    <w:rsid w:val="29807A50"/>
    <w:rsid w:val="29820142"/>
    <w:rsid w:val="2991039E"/>
    <w:rsid w:val="2991199D"/>
    <w:rsid w:val="2993699F"/>
    <w:rsid w:val="29A078DB"/>
    <w:rsid w:val="29A44A2B"/>
    <w:rsid w:val="29AD443F"/>
    <w:rsid w:val="29BC0105"/>
    <w:rsid w:val="29BF3AB4"/>
    <w:rsid w:val="29C238F5"/>
    <w:rsid w:val="29D4444C"/>
    <w:rsid w:val="29D5322D"/>
    <w:rsid w:val="29DB01C2"/>
    <w:rsid w:val="29DC643B"/>
    <w:rsid w:val="29F3375E"/>
    <w:rsid w:val="2A070E79"/>
    <w:rsid w:val="2A172D9D"/>
    <w:rsid w:val="2A1E6D3F"/>
    <w:rsid w:val="2A2036AC"/>
    <w:rsid w:val="2A2A12BD"/>
    <w:rsid w:val="2A3359BB"/>
    <w:rsid w:val="2A3B5FEB"/>
    <w:rsid w:val="2A465F84"/>
    <w:rsid w:val="2A4D3B4D"/>
    <w:rsid w:val="2A4E6D14"/>
    <w:rsid w:val="2A600C13"/>
    <w:rsid w:val="2A6178FD"/>
    <w:rsid w:val="2A66059D"/>
    <w:rsid w:val="2A697EC4"/>
    <w:rsid w:val="2A704BE4"/>
    <w:rsid w:val="2A730717"/>
    <w:rsid w:val="2AA151B4"/>
    <w:rsid w:val="2AB12D4D"/>
    <w:rsid w:val="2AB36FA2"/>
    <w:rsid w:val="2AC05D36"/>
    <w:rsid w:val="2AC45322"/>
    <w:rsid w:val="2AD875D8"/>
    <w:rsid w:val="2ADF3570"/>
    <w:rsid w:val="2AE4001C"/>
    <w:rsid w:val="2AE412F9"/>
    <w:rsid w:val="2AFB5E9E"/>
    <w:rsid w:val="2B114468"/>
    <w:rsid w:val="2B1A7ED3"/>
    <w:rsid w:val="2B231D3E"/>
    <w:rsid w:val="2B280919"/>
    <w:rsid w:val="2B377D46"/>
    <w:rsid w:val="2B3A6DCF"/>
    <w:rsid w:val="2B3E4EAD"/>
    <w:rsid w:val="2B467C0B"/>
    <w:rsid w:val="2B511FDC"/>
    <w:rsid w:val="2B5F2D34"/>
    <w:rsid w:val="2B665F42"/>
    <w:rsid w:val="2B74644A"/>
    <w:rsid w:val="2B787679"/>
    <w:rsid w:val="2B824FF2"/>
    <w:rsid w:val="2B8D7375"/>
    <w:rsid w:val="2B914EE8"/>
    <w:rsid w:val="2B987A16"/>
    <w:rsid w:val="2BA01951"/>
    <w:rsid w:val="2BA07916"/>
    <w:rsid w:val="2BC2163A"/>
    <w:rsid w:val="2BCF43DF"/>
    <w:rsid w:val="2BD85A0F"/>
    <w:rsid w:val="2BE602BD"/>
    <w:rsid w:val="2C0A502B"/>
    <w:rsid w:val="2C101EFB"/>
    <w:rsid w:val="2C2979A7"/>
    <w:rsid w:val="2C421653"/>
    <w:rsid w:val="2C4656A4"/>
    <w:rsid w:val="2C542375"/>
    <w:rsid w:val="2C56006A"/>
    <w:rsid w:val="2C64754E"/>
    <w:rsid w:val="2C683E17"/>
    <w:rsid w:val="2C6D3C0D"/>
    <w:rsid w:val="2C7176F9"/>
    <w:rsid w:val="2C766947"/>
    <w:rsid w:val="2C7B6C83"/>
    <w:rsid w:val="2C7C6A09"/>
    <w:rsid w:val="2C9355D3"/>
    <w:rsid w:val="2C9500BA"/>
    <w:rsid w:val="2C9B7ADD"/>
    <w:rsid w:val="2CAB4F54"/>
    <w:rsid w:val="2CB573F1"/>
    <w:rsid w:val="2CDC497D"/>
    <w:rsid w:val="2CF10F08"/>
    <w:rsid w:val="2CF453EE"/>
    <w:rsid w:val="2CF60195"/>
    <w:rsid w:val="2D090B71"/>
    <w:rsid w:val="2D0F5CF4"/>
    <w:rsid w:val="2D1759B5"/>
    <w:rsid w:val="2D28699D"/>
    <w:rsid w:val="2D2A6B27"/>
    <w:rsid w:val="2D383323"/>
    <w:rsid w:val="2D3F74C3"/>
    <w:rsid w:val="2D47353E"/>
    <w:rsid w:val="2D49666F"/>
    <w:rsid w:val="2D4B12B8"/>
    <w:rsid w:val="2D584173"/>
    <w:rsid w:val="2D5B67D2"/>
    <w:rsid w:val="2D621DCA"/>
    <w:rsid w:val="2D7B5822"/>
    <w:rsid w:val="2D85673B"/>
    <w:rsid w:val="2DAD0071"/>
    <w:rsid w:val="2DAF2972"/>
    <w:rsid w:val="2DBD1919"/>
    <w:rsid w:val="2DC4273E"/>
    <w:rsid w:val="2DCD0BD5"/>
    <w:rsid w:val="2DD929ED"/>
    <w:rsid w:val="2DEF1F92"/>
    <w:rsid w:val="2E023E21"/>
    <w:rsid w:val="2E0A0099"/>
    <w:rsid w:val="2E153D76"/>
    <w:rsid w:val="2E16582B"/>
    <w:rsid w:val="2E3237B2"/>
    <w:rsid w:val="2E39054D"/>
    <w:rsid w:val="2E497DF1"/>
    <w:rsid w:val="2E57641F"/>
    <w:rsid w:val="2E7154B5"/>
    <w:rsid w:val="2E78467F"/>
    <w:rsid w:val="2E89330E"/>
    <w:rsid w:val="2E9F4C7E"/>
    <w:rsid w:val="2EAC6B4E"/>
    <w:rsid w:val="2EB46A7A"/>
    <w:rsid w:val="2EBE6F3E"/>
    <w:rsid w:val="2EC11FE4"/>
    <w:rsid w:val="2EC71DCC"/>
    <w:rsid w:val="2ECD4212"/>
    <w:rsid w:val="2EDF2CF6"/>
    <w:rsid w:val="2EE26765"/>
    <w:rsid w:val="2EF10A6E"/>
    <w:rsid w:val="2EF23007"/>
    <w:rsid w:val="2F0026A8"/>
    <w:rsid w:val="2F0632E4"/>
    <w:rsid w:val="2F19217E"/>
    <w:rsid w:val="2F2C7572"/>
    <w:rsid w:val="2F487998"/>
    <w:rsid w:val="2F4D332A"/>
    <w:rsid w:val="2F522CD5"/>
    <w:rsid w:val="2F5C636E"/>
    <w:rsid w:val="2F5F04B7"/>
    <w:rsid w:val="2F5F6C83"/>
    <w:rsid w:val="2F7D786F"/>
    <w:rsid w:val="2F7E020F"/>
    <w:rsid w:val="2F963C02"/>
    <w:rsid w:val="2FA00EA9"/>
    <w:rsid w:val="2FA2183B"/>
    <w:rsid w:val="2FA44DCF"/>
    <w:rsid w:val="2FCA644C"/>
    <w:rsid w:val="2FCD7301"/>
    <w:rsid w:val="2FE50256"/>
    <w:rsid w:val="2FF11021"/>
    <w:rsid w:val="2FF63A03"/>
    <w:rsid w:val="30017091"/>
    <w:rsid w:val="3015021F"/>
    <w:rsid w:val="301C5171"/>
    <w:rsid w:val="301E2C84"/>
    <w:rsid w:val="30332040"/>
    <w:rsid w:val="303D7EFF"/>
    <w:rsid w:val="305022CF"/>
    <w:rsid w:val="305505F6"/>
    <w:rsid w:val="305E1897"/>
    <w:rsid w:val="30744ECD"/>
    <w:rsid w:val="30802F38"/>
    <w:rsid w:val="309B13F3"/>
    <w:rsid w:val="30A21A3A"/>
    <w:rsid w:val="30B76A7F"/>
    <w:rsid w:val="30B8648A"/>
    <w:rsid w:val="30B91F68"/>
    <w:rsid w:val="30BF439A"/>
    <w:rsid w:val="30CD4503"/>
    <w:rsid w:val="30DA5FB3"/>
    <w:rsid w:val="30DE49BA"/>
    <w:rsid w:val="30E1541A"/>
    <w:rsid w:val="3103599E"/>
    <w:rsid w:val="3109327F"/>
    <w:rsid w:val="31126A58"/>
    <w:rsid w:val="31216E03"/>
    <w:rsid w:val="31352B82"/>
    <w:rsid w:val="313C59EB"/>
    <w:rsid w:val="314E47F2"/>
    <w:rsid w:val="31532EF3"/>
    <w:rsid w:val="3161111E"/>
    <w:rsid w:val="317D580D"/>
    <w:rsid w:val="31805E5F"/>
    <w:rsid w:val="3182167E"/>
    <w:rsid w:val="31960D87"/>
    <w:rsid w:val="31B449A5"/>
    <w:rsid w:val="31B75656"/>
    <w:rsid w:val="31C756D3"/>
    <w:rsid w:val="31F15893"/>
    <w:rsid w:val="31F179F6"/>
    <w:rsid w:val="320D6688"/>
    <w:rsid w:val="320F1CC2"/>
    <w:rsid w:val="32312DDB"/>
    <w:rsid w:val="323C2B25"/>
    <w:rsid w:val="323C5A5D"/>
    <w:rsid w:val="3246791E"/>
    <w:rsid w:val="324F1E45"/>
    <w:rsid w:val="325D0E38"/>
    <w:rsid w:val="32712BD2"/>
    <w:rsid w:val="327207DD"/>
    <w:rsid w:val="328162A0"/>
    <w:rsid w:val="328A4026"/>
    <w:rsid w:val="328D5E90"/>
    <w:rsid w:val="32916AA3"/>
    <w:rsid w:val="32937114"/>
    <w:rsid w:val="32B73692"/>
    <w:rsid w:val="32BC7D33"/>
    <w:rsid w:val="32D3412D"/>
    <w:rsid w:val="32E2187B"/>
    <w:rsid w:val="32EE219B"/>
    <w:rsid w:val="32FE047D"/>
    <w:rsid w:val="33244988"/>
    <w:rsid w:val="33292712"/>
    <w:rsid w:val="3331778D"/>
    <w:rsid w:val="33550BD2"/>
    <w:rsid w:val="335E02B9"/>
    <w:rsid w:val="336807CF"/>
    <w:rsid w:val="33752BC3"/>
    <w:rsid w:val="3377502F"/>
    <w:rsid w:val="338971A5"/>
    <w:rsid w:val="33967BBB"/>
    <w:rsid w:val="339A10EE"/>
    <w:rsid w:val="33BE4DDD"/>
    <w:rsid w:val="33BF6FAD"/>
    <w:rsid w:val="33C44CB7"/>
    <w:rsid w:val="33D360B3"/>
    <w:rsid w:val="33E800AC"/>
    <w:rsid w:val="33EA2621"/>
    <w:rsid w:val="33FC71AA"/>
    <w:rsid w:val="340706E9"/>
    <w:rsid w:val="340E558F"/>
    <w:rsid w:val="34142209"/>
    <w:rsid w:val="341C0ECB"/>
    <w:rsid w:val="34251F31"/>
    <w:rsid w:val="343054E5"/>
    <w:rsid w:val="343B1E3D"/>
    <w:rsid w:val="34417F2A"/>
    <w:rsid w:val="34421309"/>
    <w:rsid w:val="344A1F98"/>
    <w:rsid w:val="344D3CE8"/>
    <w:rsid w:val="34685A09"/>
    <w:rsid w:val="34697122"/>
    <w:rsid w:val="346A0AC1"/>
    <w:rsid w:val="34762CC6"/>
    <w:rsid w:val="348A5D7B"/>
    <w:rsid w:val="348C3A13"/>
    <w:rsid w:val="34A806BE"/>
    <w:rsid w:val="34BB131C"/>
    <w:rsid w:val="34C435B9"/>
    <w:rsid w:val="34CD04CE"/>
    <w:rsid w:val="34D423BC"/>
    <w:rsid w:val="34D60CBB"/>
    <w:rsid w:val="34DB1D47"/>
    <w:rsid w:val="34DD3641"/>
    <w:rsid w:val="34F51A0A"/>
    <w:rsid w:val="34FB0C3B"/>
    <w:rsid w:val="350B4052"/>
    <w:rsid w:val="351110E2"/>
    <w:rsid w:val="35183DAA"/>
    <w:rsid w:val="35284C04"/>
    <w:rsid w:val="352D49E0"/>
    <w:rsid w:val="35466A47"/>
    <w:rsid w:val="35467F83"/>
    <w:rsid w:val="3552098C"/>
    <w:rsid w:val="35590D53"/>
    <w:rsid w:val="356715F8"/>
    <w:rsid w:val="35684EEA"/>
    <w:rsid w:val="357B604D"/>
    <w:rsid w:val="358866EC"/>
    <w:rsid w:val="35933343"/>
    <w:rsid w:val="35A84113"/>
    <w:rsid w:val="35AE50D1"/>
    <w:rsid w:val="35B37891"/>
    <w:rsid w:val="35DE3207"/>
    <w:rsid w:val="35E7317D"/>
    <w:rsid w:val="36174C78"/>
    <w:rsid w:val="36282D64"/>
    <w:rsid w:val="362A0A84"/>
    <w:rsid w:val="362F471D"/>
    <w:rsid w:val="36346070"/>
    <w:rsid w:val="36377C51"/>
    <w:rsid w:val="363E7508"/>
    <w:rsid w:val="364729C7"/>
    <w:rsid w:val="364910E2"/>
    <w:rsid w:val="364C3ACF"/>
    <w:rsid w:val="366A7ED3"/>
    <w:rsid w:val="366B2253"/>
    <w:rsid w:val="36721EAF"/>
    <w:rsid w:val="36946B19"/>
    <w:rsid w:val="36956A34"/>
    <w:rsid w:val="36A35379"/>
    <w:rsid w:val="36BB740B"/>
    <w:rsid w:val="36C40E71"/>
    <w:rsid w:val="36C626E3"/>
    <w:rsid w:val="36DE12F2"/>
    <w:rsid w:val="36E37C5A"/>
    <w:rsid w:val="36F452C0"/>
    <w:rsid w:val="36F7415C"/>
    <w:rsid w:val="37001905"/>
    <w:rsid w:val="37164F30"/>
    <w:rsid w:val="371D3696"/>
    <w:rsid w:val="371F6DA2"/>
    <w:rsid w:val="372E157F"/>
    <w:rsid w:val="37314419"/>
    <w:rsid w:val="37371BA6"/>
    <w:rsid w:val="37397A21"/>
    <w:rsid w:val="37574DED"/>
    <w:rsid w:val="375842D9"/>
    <w:rsid w:val="378450BB"/>
    <w:rsid w:val="37941FB8"/>
    <w:rsid w:val="379B18CA"/>
    <w:rsid w:val="37E02F84"/>
    <w:rsid w:val="37E566EF"/>
    <w:rsid w:val="37E75D9B"/>
    <w:rsid w:val="38173180"/>
    <w:rsid w:val="38213B8C"/>
    <w:rsid w:val="382D7456"/>
    <w:rsid w:val="38321A3E"/>
    <w:rsid w:val="38372D78"/>
    <w:rsid w:val="38482EC7"/>
    <w:rsid w:val="384D519E"/>
    <w:rsid w:val="38527C32"/>
    <w:rsid w:val="38610DB6"/>
    <w:rsid w:val="3862042D"/>
    <w:rsid w:val="38666E04"/>
    <w:rsid w:val="38735D2A"/>
    <w:rsid w:val="387E30CF"/>
    <w:rsid w:val="388771E6"/>
    <w:rsid w:val="388D08B5"/>
    <w:rsid w:val="388D51B3"/>
    <w:rsid w:val="38975EB0"/>
    <w:rsid w:val="38A120BC"/>
    <w:rsid w:val="38B16CBE"/>
    <w:rsid w:val="38C14966"/>
    <w:rsid w:val="38C44830"/>
    <w:rsid w:val="38D67D3C"/>
    <w:rsid w:val="38DC14F7"/>
    <w:rsid w:val="38E2747C"/>
    <w:rsid w:val="38FD7E3B"/>
    <w:rsid w:val="38FE711A"/>
    <w:rsid w:val="39186D3D"/>
    <w:rsid w:val="391D0D8A"/>
    <w:rsid w:val="391D260E"/>
    <w:rsid w:val="391E546A"/>
    <w:rsid w:val="392B00E3"/>
    <w:rsid w:val="392D7A6D"/>
    <w:rsid w:val="393175DE"/>
    <w:rsid w:val="39346689"/>
    <w:rsid w:val="394C01BD"/>
    <w:rsid w:val="396E1AD1"/>
    <w:rsid w:val="397228F1"/>
    <w:rsid w:val="397B72CC"/>
    <w:rsid w:val="398904C6"/>
    <w:rsid w:val="398D772B"/>
    <w:rsid w:val="399051FD"/>
    <w:rsid w:val="39A24859"/>
    <w:rsid w:val="39B31F3A"/>
    <w:rsid w:val="39B4592A"/>
    <w:rsid w:val="39CE52C1"/>
    <w:rsid w:val="39DF4214"/>
    <w:rsid w:val="39E70C2A"/>
    <w:rsid w:val="39F4436A"/>
    <w:rsid w:val="3A123995"/>
    <w:rsid w:val="3A1B0664"/>
    <w:rsid w:val="3A22223D"/>
    <w:rsid w:val="3A40788F"/>
    <w:rsid w:val="3A531AA4"/>
    <w:rsid w:val="3A5A36B6"/>
    <w:rsid w:val="3A6F0BDF"/>
    <w:rsid w:val="3A7637B0"/>
    <w:rsid w:val="3A884D17"/>
    <w:rsid w:val="3A895D65"/>
    <w:rsid w:val="3A8C23C1"/>
    <w:rsid w:val="3A941A91"/>
    <w:rsid w:val="3A99173F"/>
    <w:rsid w:val="3AD314C7"/>
    <w:rsid w:val="3AD51B66"/>
    <w:rsid w:val="3ADA3168"/>
    <w:rsid w:val="3ADD3456"/>
    <w:rsid w:val="3AE07D2F"/>
    <w:rsid w:val="3AEB461C"/>
    <w:rsid w:val="3AFB6927"/>
    <w:rsid w:val="3AFF08D7"/>
    <w:rsid w:val="3B0911E6"/>
    <w:rsid w:val="3B0D71EB"/>
    <w:rsid w:val="3B2F65C0"/>
    <w:rsid w:val="3B301EC0"/>
    <w:rsid w:val="3B37051D"/>
    <w:rsid w:val="3B404329"/>
    <w:rsid w:val="3B532446"/>
    <w:rsid w:val="3B5344E9"/>
    <w:rsid w:val="3B73686F"/>
    <w:rsid w:val="3B765133"/>
    <w:rsid w:val="3B867E82"/>
    <w:rsid w:val="3B970243"/>
    <w:rsid w:val="3B9B4A91"/>
    <w:rsid w:val="3B9C3CF6"/>
    <w:rsid w:val="3BA80C78"/>
    <w:rsid w:val="3BB84BBC"/>
    <w:rsid w:val="3BBC7DE0"/>
    <w:rsid w:val="3BC44ED4"/>
    <w:rsid w:val="3BDE0053"/>
    <w:rsid w:val="3BDF37C8"/>
    <w:rsid w:val="3BE14825"/>
    <w:rsid w:val="3BEC1041"/>
    <w:rsid w:val="3BF93C21"/>
    <w:rsid w:val="3C0B7B0F"/>
    <w:rsid w:val="3C0D5FBE"/>
    <w:rsid w:val="3C174336"/>
    <w:rsid w:val="3C1D792E"/>
    <w:rsid w:val="3C202033"/>
    <w:rsid w:val="3C251641"/>
    <w:rsid w:val="3C2B25C3"/>
    <w:rsid w:val="3C3042B3"/>
    <w:rsid w:val="3C4050F7"/>
    <w:rsid w:val="3C4206E8"/>
    <w:rsid w:val="3C6A1695"/>
    <w:rsid w:val="3C8577D9"/>
    <w:rsid w:val="3C8E4865"/>
    <w:rsid w:val="3C961C72"/>
    <w:rsid w:val="3C9633DB"/>
    <w:rsid w:val="3C9A3DFE"/>
    <w:rsid w:val="3C9F4B00"/>
    <w:rsid w:val="3CBB635D"/>
    <w:rsid w:val="3CC04181"/>
    <w:rsid w:val="3CC17E21"/>
    <w:rsid w:val="3CC75CC4"/>
    <w:rsid w:val="3CD218F9"/>
    <w:rsid w:val="3CD90A8C"/>
    <w:rsid w:val="3CE028C1"/>
    <w:rsid w:val="3CE55188"/>
    <w:rsid w:val="3CEA487B"/>
    <w:rsid w:val="3CF6169E"/>
    <w:rsid w:val="3CFB2BFE"/>
    <w:rsid w:val="3CFC5061"/>
    <w:rsid w:val="3D036D02"/>
    <w:rsid w:val="3D2140C0"/>
    <w:rsid w:val="3D2E6701"/>
    <w:rsid w:val="3D456592"/>
    <w:rsid w:val="3D4C16AB"/>
    <w:rsid w:val="3D526154"/>
    <w:rsid w:val="3D5832DE"/>
    <w:rsid w:val="3D655001"/>
    <w:rsid w:val="3D7F514D"/>
    <w:rsid w:val="3D914055"/>
    <w:rsid w:val="3D9449C2"/>
    <w:rsid w:val="3DBA51E3"/>
    <w:rsid w:val="3DD7776F"/>
    <w:rsid w:val="3DD92726"/>
    <w:rsid w:val="3DF10C64"/>
    <w:rsid w:val="3E05231B"/>
    <w:rsid w:val="3E1D3B91"/>
    <w:rsid w:val="3E2148E6"/>
    <w:rsid w:val="3E2241BA"/>
    <w:rsid w:val="3E330ACA"/>
    <w:rsid w:val="3E3B7F54"/>
    <w:rsid w:val="3E3E6DC1"/>
    <w:rsid w:val="3E4747AC"/>
    <w:rsid w:val="3E4814E0"/>
    <w:rsid w:val="3E7E3EC9"/>
    <w:rsid w:val="3E8F6E8B"/>
    <w:rsid w:val="3E911343"/>
    <w:rsid w:val="3E964A73"/>
    <w:rsid w:val="3EA94BC4"/>
    <w:rsid w:val="3EBB2C7C"/>
    <w:rsid w:val="3EBB4593"/>
    <w:rsid w:val="3ED8225D"/>
    <w:rsid w:val="3EE82BCD"/>
    <w:rsid w:val="3EF510CC"/>
    <w:rsid w:val="3F0A0DB2"/>
    <w:rsid w:val="3F0B047D"/>
    <w:rsid w:val="3F333BBF"/>
    <w:rsid w:val="3F5356B7"/>
    <w:rsid w:val="3F5D1180"/>
    <w:rsid w:val="3F632CDC"/>
    <w:rsid w:val="3F667982"/>
    <w:rsid w:val="3F7B1DD4"/>
    <w:rsid w:val="3F8B6B62"/>
    <w:rsid w:val="3F8E0A56"/>
    <w:rsid w:val="3F984734"/>
    <w:rsid w:val="3FAB4779"/>
    <w:rsid w:val="3FB22828"/>
    <w:rsid w:val="3FB87997"/>
    <w:rsid w:val="3FBA0B4E"/>
    <w:rsid w:val="3FBB2060"/>
    <w:rsid w:val="3FCD2BA8"/>
    <w:rsid w:val="3FD17940"/>
    <w:rsid w:val="3FE64695"/>
    <w:rsid w:val="3FF03A3F"/>
    <w:rsid w:val="3FF23ED5"/>
    <w:rsid w:val="3FFA193D"/>
    <w:rsid w:val="3FFD6B0B"/>
    <w:rsid w:val="40070B3D"/>
    <w:rsid w:val="401C6194"/>
    <w:rsid w:val="401E7C60"/>
    <w:rsid w:val="40273B0A"/>
    <w:rsid w:val="403544DF"/>
    <w:rsid w:val="403A340E"/>
    <w:rsid w:val="4050500F"/>
    <w:rsid w:val="406C133E"/>
    <w:rsid w:val="40763B34"/>
    <w:rsid w:val="40794D33"/>
    <w:rsid w:val="407A0062"/>
    <w:rsid w:val="40885BAC"/>
    <w:rsid w:val="408D33C8"/>
    <w:rsid w:val="40AD50FD"/>
    <w:rsid w:val="40B137B8"/>
    <w:rsid w:val="40BB01C3"/>
    <w:rsid w:val="40CD4F1D"/>
    <w:rsid w:val="40DD27B3"/>
    <w:rsid w:val="40E96EAF"/>
    <w:rsid w:val="40ED54D8"/>
    <w:rsid w:val="40F11E96"/>
    <w:rsid w:val="40FC085C"/>
    <w:rsid w:val="411E335F"/>
    <w:rsid w:val="412368EE"/>
    <w:rsid w:val="412F51E3"/>
    <w:rsid w:val="413E2AE3"/>
    <w:rsid w:val="413F78DB"/>
    <w:rsid w:val="41497343"/>
    <w:rsid w:val="415077B3"/>
    <w:rsid w:val="41633932"/>
    <w:rsid w:val="41674A59"/>
    <w:rsid w:val="41701102"/>
    <w:rsid w:val="4170233D"/>
    <w:rsid w:val="41743CEF"/>
    <w:rsid w:val="41765A39"/>
    <w:rsid w:val="419A2DBD"/>
    <w:rsid w:val="41A71B0F"/>
    <w:rsid w:val="41A729E4"/>
    <w:rsid w:val="41A77FEE"/>
    <w:rsid w:val="41AC774B"/>
    <w:rsid w:val="41B0762E"/>
    <w:rsid w:val="41BD79E6"/>
    <w:rsid w:val="41C041EE"/>
    <w:rsid w:val="41C837F8"/>
    <w:rsid w:val="41D2400B"/>
    <w:rsid w:val="41D605EE"/>
    <w:rsid w:val="41D640BB"/>
    <w:rsid w:val="41E4004E"/>
    <w:rsid w:val="41EC0D67"/>
    <w:rsid w:val="41F027BE"/>
    <w:rsid w:val="41F20DCA"/>
    <w:rsid w:val="420D42ED"/>
    <w:rsid w:val="421C2CB7"/>
    <w:rsid w:val="42223725"/>
    <w:rsid w:val="42241862"/>
    <w:rsid w:val="42251667"/>
    <w:rsid w:val="422B0E4D"/>
    <w:rsid w:val="422B389D"/>
    <w:rsid w:val="42407A6B"/>
    <w:rsid w:val="42503809"/>
    <w:rsid w:val="42620504"/>
    <w:rsid w:val="4265561A"/>
    <w:rsid w:val="427E5F8D"/>
    <w:rsid w:val="429921E6"/>
    <w:rsid w:val="429B2DA6"/>
    <w:rsid w:val="42B04115"/>
    <w:rsid w:val="42B43A91"/>
    <w:rsid w:val="42B80EC8"/>
    <w:rsid w:val="42CF2B62"/>
    <w:rsid w:val="42D05C0F"/>
    <w:rsid w:val="42EB0458"/>
    <w:rsid w:val="42F77F68"/>
    <w:rsid w:val="430E1E5D"/>
    <w:rsid w:val="430F7393"/>
    <w:rsid w:val="432C1F92"/>
    <w:rsid w:val="43503578"/>
    <w:rsid w:val="435E01A9"/>
    <w:rsid w:val="436D260D"/>
    <w:rsid w:val="43904487"/>
    <w:rsid w:val="43987337"/>
    <w:rsid w:val="43A8628C"/>
    <w:rsid w:val="43AA0EDA"/>
    <w:rsid w:val="43B23408"/>
    <w:rsid w:val="43BC2D2F"/>
    <w:rsid w:val="43BD17FC"/>
    <w:rsid w:val="43C750D8"/>
    <w:rsid w:val="43D535D9"/>
    <w:rsid w:val="43DB57E2"/>
    <w:rsid w:val="43DF111F"/>
    <w:rsid w:val="43E97AFD"/>
    <w:rsid w:val="440B0D97"/>
    <w:rsid w:val="440D2C87"/>
    <w:rsid w:val="441133CA"/>
    <w:rsid w:val="44232DA7"/>
    <w:rsid w:val="442D6302"/>
    <w:rsid w:val="443F7A85"/>
    <w:rsid w:val="445E28E1"/>
    <w:rsid w:val="4469414C"/>
    <w:rsid w:val="448004EE"/>
    <w:rsid w:val="449000D0"/>
    <w:rsid w:val="44983888"/>
    <w:rsid w:val="44984918"/>
    <w:rsid w:val="449D63E3"/>
    <w:rsid w:val="44A5003C"/>
    <w:rsid w:val="44A818BD"/>
    <w:rsid w:val="44A9533F"/>
    <w:rsid w:val="44B6424B"/>
    <w:rsid w:val="44B90FD0"/>
    <w:rsid w:val="44BB7271"/>
    <w:rsid w:val="44C85ABB"/>
    <w:rsid w:val="44F51977"/>
    <w:rsid w:val="450961C7"/>
    <w:rsid w:val="45111167"/>
    <w:rsid w:val="451764AF"/>
    <w:rsid w:val="45273A9E"/>
    <w:rsid w:val="45273F8F"/>
    <w:rsid w:val="452914A0"/>
    <w:rsid w:val="45303BB3"/>
    <w:rsid w:val="455C6BD8"/>
    <w:rsid w:val="458F3F2F"/>
    <w:rsid w:val="459A001C"/>
    <w:rsid w:val="459D644F"/>
    <w:rsid w:val="45B1654F"/>
    <w:rsid w:val="45B77253"/>
    <w:rsid w:val="45B9210B"/>
    <w:rsid w:val="45BC47C3"/>
    <w:rsid w:val="45CB0699"/>
    <w:rsid w:val="45CB480C"/>
    <w:rsid w:val="45E74737"/>
    <w:rsid w:val="45EB590C"/>
    <w:rsid w:val="46121C35"/>
    <w:rsid w:val="46164604"/>
    <w:rsid w:val="46267C76"/>
    <w:rsid w:val="462D72B0"/>
    <w:rsid w:val="463926E2"/>
    <w:rsid w:val="46427B81"/>
    <w:rsid w:val="464419BE"/>
    <w:rsid w:val="46474D79"/>
    <w:rsid w:val="464F2CE8"/>
    <w:rsid w:val="46512483"/>
    <w:rsid w:val="465F4FD9"/>
    <w:rsid w:val="46657D47"/>
    <w:rsid w:val="466F11C7"/>
    <w:rsid w:val="467C4DAF"/>
    <w:rsid w:val="468010F4"/>
    <w:rsid w:val="468269BA"/>
    <w:rsid w:val="46826C09"/>
    <w:rsid w:val="4689797D"/>
    <w:rsid w:val="46903F5E"/>
    <w:rsid w:val="46A87C32"/>
    <w:rsid w:val="46AF6585"/>
    <w:rsid w:val="46B07D02"/>
    <w:rsid w:val="46CA44D0"/>
    <w:rsid w:val="46CD1440"/>
    <w:rsid w:val="46D300F8"/>
    <w:rsid w:val="46F613BC"/>
    <w:rsid w:val="47035D6E"/>
    <w:rsid w:val="47054E5A"/>
    <w:rsid w:val="472B33EB"/>
    <w:rsid w:val="473D0A98"/>
    <w:rsid w:val="475B1488"/>
    <w:rsid w:val="47737835"/>
    <w:rsid w:val="477C0DDF"/>
    <w:rsid w:val="477D598D"/>
    <w:rsid w:val="47892189"/>
    <w:rsid w:val="478B4B7E"/>
    <w:rsid w:val="4790142E"/>
    <w:rsid w:val="47A01390"/>
    <w:rsid w:val="47A048F3"/>
    <w:rsid w:val="47A70D1B"/>
    <w:rsid w:val="47AF2796"/>
    <w:rsid w:val="47D457D8"/>
    <w:rsid w:val="47DB78B4"/>
    <w:rsid w:val="47DD11F5"/>
    <w:rsid w:val="47E94804"/>
    <w:rsid w:val="47ED18DC"/>
    <w:rsid w:val="47F25917"/>
    <w:rsid w:val="47FE6B56"/>
    <w:rsid w:val="48007BEA"/>
    <w:rsid w:val="480B6841"/>
    <w:rsid w:val="48117779"/>
    <w:rsid w:val="482079BC"/>
    <w:rsid w:val="482E7E64"/>
    <w:rsid w:val="4840038A"/>
    <w:rsid w:val="484134D7"/>
    <w:rsid w:val="484768C7"/>
    <w:rsid w:val="484C389B"/>
    <w:rsid w:val="484F25B3"/>
    <w:rsid w:val="48552C31"/>
    <w:rsid w:val="48612F57"/>
    <w:rsid w:val="48745BFB"/>
    <w:rsid w:val="4876133F"/>
    <w:rsid w:val="487642A3"/>
    <w:rsid w:val="48887CEC"/>
    <w:rsid w:val="489A0833"/>
    <w:rsid w:val="48A25794"/>
    <w:rsid w:val="48BC487C"/>
    <w:rsid w:val="48BF75E9"/>
    <w:rsid w:val="48D6451F"/>
    <w:rsid w:val="48DF1625"/>
    <w:rsid w:val="48F33870"/>
    <w:rsid w:val="49000053"/>
    <w:rsid w:val="49221F0B"/>
    <w:rsid w:val="49262CC7"/>
    <w:rsid w:val="4928193C"/>
    <w:rsid w:val="49301E81"/>
    <w:rsid w:val="49357497"/>
    <w:rsid w:val="49424AF1"/>
    <w:rsid w:val="49444DA4"/>
    <w:rsid w:val="49464FF9"/>
    <w:rsid w:val="494704AA"/>
    <w:rsid w:val="497163A1"/>
    <w:rsid w:val="49725FF6"/>
    <w:rsid w:val="49845D29"/>
    <w:rsid w:val="499A36B3"/>
    <w:rsid w:val="49A84D8C"/>
    <w:rsid w:val="49AB7605"/>
    <w:rsid w:val="49C64CA3"/>
    <w:rsid w:val="49C76797"/>
    <w:rsid w:val="49D721A8"/>
    <w:rsid w:val="49EB349E"/>
    <w:rsid w:val="49FB3A10"/>
    <w:rsid w:val="49FD6207"/>
    <w:rsid w:val="4A1656C9"/>
    <w:rsid w:val="4A27081E"/>
    <w:rsid w:val="4A275032"/>
    <w:rsid w:val="4A3E2089"/>
    <w:rsid w:val="4A4B7E4A"/>
    <w:rsid w:val="4A530060"/>
    <w:rsid w:val="4A7D6A41"/>
    <w:rsid w:val="4A8502BA"/>
    <w:rsid w:val="4A8C1339"/>
    <w:rsid w:val="4A8D5F2C"/>
    <w:rsid w:val="4A8F4DC9"/>
    <w:rsid w:val="4A9B77CE"/>
    <w:rsid w:val="4AAE1013"/>
    <w:rsid w:val="4ABC3E0E"/>
    <w:rsid w:val="4AC46A3A"/>
    <w:rsid w:val="4AD8457E"/>
    <w:rsid w:val="4AE87B2E"/>
    <w:rsid w:val="4B083EF1"/>
    <w:rsid w:val="4B206185"/>
    <w:rsid w:val="4B232FE0"/>
    <w:rsid w:val="4B3A6678"/>
    <w:rsid w:val="4B3B4839"/>
    <w:rsid w:val="4B3F0322"/>
    <w:rsid w:val="4B4340EE"/>
    <w:rsid w:val="4B4A6004"/>
    <w:rsid w:val="4B5936AA"/>
    <w:rsid w:val="4B6D5228"/>
    <w:rsid w:val="4B7A3887"/>
    <w:rsid w:val="4B985ABC"/>
    <w:rsid w:val="4B9F1D0C"/>
    <w:rsid w:val="4BA5240C"/>
    <w:rsid w:val="4BA92E99"/>
    <w:rsid w:val="4BB435D4"/>
    <w:rsid w:val="4BBA6B91"/>
    <w:rsid w:val="4BC10DC8"/>
    <w:rsid w:val="4BC54346"/>
    <w:rsid w:val="4BD56D10"/>
    <w:rsid w:val="4BDB6202"/>
    <w:rsid w:val="4BE55A97"/>
    <w:rsid w:val="4C075C03"/>
    <w:rsid w:val="4C1031D9"/>
    <w:rsid w:val="4C1A506A"/>
    <w:rsid w:val="4C1B4FA3"/>
    <w:rsid w:val="4C1B7BFD"/>
    <w:rsid w:val="4C215AB1"/>
    <w:rsid w:val="4C266C47"/>
    <w:rsid w:val="4C2D08FA"/>
    <w:rsid w:val="4C2E2532"/>
    <w:rsid w:val="4C2E2D4F"/>
    <w:rsid w:val="4C342190"/>
    <w:rsid w:val="4C361137"/>
    <w:rsid w:val="4C4335FF"/>
    <w:rsid w:val="4C4E2CBD"/>
    <w:rsid w:val="4C5340D7"/>
    <w:rsid w:val="4C6B47EC"/>
    <w:rsid w:val="4C722A71"/>
    <w:rsid w:val="4C73767A"/>
    <w:rsid w:val="4C791821"/>
    <w:rsid w:val="4C8E694C"/>
    <w:rsid w:val="4CA01B62"/>
    <w:rsid w:val="4CA05F1B"/>
    <w:rsid w:val="4CB229E2"/>
    <w:rsid w:val="4CB701C3"/>
    <w:rsid w:val="4CBE2078"/>
    <w:rsid w:val="4CC61682"/>
    <w:rsid w:val="4CCA6149"/>
    <w:rsid w:val="4CDC056F"/>
    <w:rsid w:val="4CE27CEC"/>
    <w:rsid w:val="4CE444B6"/>
    <w:rsid w:val="4CE50553"/>
    <w:rsid w:val="4CE90827"/>
    <w:rsid w:val="4CF84A64"/>
    <w:rsid w:val="4D0B5FEA"/>
    <w:rsid w:val="4D183A0B"/>
    <w:rsid w:val="4D1B4446"/>
    <w:rsid w:val="4D200BC0"/>
    <w:rsid w:val="4D260AC0"/>
    <w:rsid w:val="4D317F9E"/>
    <w:rsid w:val="4D322037"/>
    <w:rsid w:val="4D414F9D"/>
    <w:rsid w:val="4D422D53"/>
    <w:rsid w:val="4D53256B"/>
    <w:rsid w:val="4D5B7AAF"/>
    <w:rsid w:val="4D75321C"/>
    <w:rsid w:val="4D877174"/>
    <w:rsid w:val="4D8B228C"/>
    <w:rsid w:val="4D8B54AE"/>
    <w:rsid w:val="4D904369"/>
    <w:rsid w:val="4DA21EBF"/>
    <w:rsid w:val="4DCC0792"/>
    <w:rsid w:val="4DD1783D"/>
    <w:rsid w:val="4DD70B1D"/>
    <w:rsid w:val="4DDE5B4C"/>
    <w:rsid w:val="4E146DA6"/>
    <w:rsid w:val="4E2B70BB"/>
    <w:rsid w:val="4E4A7536"/>
    <w:rsid w:val="4E661EA1"/>
    <w:rsid w:val="4E6C04AA"/>
    <w:rsid w:val="4E7F780D"/>
    <w:rsid w:val="4EA74A80"/>
    <w:rsid w:val="4EAF6A9E"/>
    <w:rsid w:val="4EBB3F9B"/>
    <w:rsid w:val="4EC85B4B"/>
    <w:rsid w:val="4ED01D17"/>
    <w:rsid w:val="4EDB6309"/>
    <w:rsid w:val="4EE009A4"/>
    <w:rsid w:val="4EE95E85"/>
    <w:rsid w:val="4EF233F5"/>
    <w:rsid w:val="4F0A3630"/>
    <w:rsid w:val="4F0E58E2"/>
    <w:rsid w:val="4F127867"/>
    <w:rsid w:val="4F167C4E"/>
    <w:rsid w:val="4F1A6B5A"/>
    <w:rsid w:val="4F1D78BD"/>
    <w:rsid w:val="4F215A12"/>
    <w:rsid w:val="4F252FDD"/>
    <w:rsid w:val="4F2C2A8C"/>
    <w:rsid w:val="4F380BAC"/>
    <w:rsid w:val="4F673E69"/>
    <w:rsid w:val="4F7F2F0C"/>
    <w:rsid w:val="4F8C700B"/>
    <w:rsid w:val="4F9F4B69"/>
    <w:rsid w:val="4FA17635"/>
    <w:rsid w:val="4FAB39C4"/>
    <w:rsid w:val="4FAD0894"/>
    <w:rsid w:val="4FC06760"/>
    <w:rsid w:val="4FC74BC1"/>
    <w:rsid w:val="4FD751FF"/>
    <w:rsid w:val="4FD8578D"/>
    <w:rsid w:val="4FDD1C15"/>
    <w:rsid w:val="4FE65048"/>
    <w:rsid w:val="4FE66F26"/>
    <w:rsid w:val="50011E81"/>
    <w:rsid w:val="50056F75"/>
    <w:rsid w:val="500B62CE"/>
    <w:rsid w:val="501E4BFD"/>
    <w:rsid w:val="501F17AD"/>
    <w:rsid w:val="5028041A"/>
    <w:rsid w:val="502A189B"/>
    <w:rsid w:val="50366DE6"/>
    <w:rsid w:val="5069507C"/>
    <w:rsid w:val="506D5166"/>
    <w:rsid w:val="50750D76"/>
    <w:rsid w:val="507E7873"/>
    <w:rsid w:val="50873ECF"/>
    <w:rsid w:val="50905620"/>
    <w:rsid w:val="5095786A"/>
    <w:rsid w:val="50977575"/>
    <w:rsid w:val="50A00F4B"/>
    <w:rsid w:val="50B74C46"/>
    <w:rsid w:val="50C328D9"/>
    <w:rsid w:val="50C44491"/>
    <w:rsid w:val="50DA4FC8"/>
    <w:rsid w:val="50F86624"/>
    <w:rsid w:val="512359DE"/>
    <w:rsid w:val="5126542F"/>
    <w:rsid w:val="512C4CA2"/>
    <w:rsid w:val="51402DFE"/>
    <w:rsid w:val="51413A5A"/>
    <w:rsid w:val="51455CE4"/>
    <w:rsid w:val="5147495E"/>
    <w:rsid w:val="51677CC0"/>
    <w:rsid w:val="51936BF0"/>
    <w:rsid w:val="5196453E"/>
    <w:rsid w:val="51A72505"/>
    <w:rsid w:val="51B435EF"/>
    <w:rsid w:val="51D610EC"/>
    <w:rsid w:val="51EA6472"/>
    <w:rsid w:val="52120D66"/>
    <w:rsid w:val="52156A3A"/>
    <w:rsid w:val="521D1DF0"/>
    <w:rsid w:val="52214A5D"/>
    <w:rsid w:val="522762D7"/>
    <w:rsid w:val="524558F9"/>
    <w:rsid w:val="524E6196"/>
    <w:rsid w:val="52602DDE"/>
    <w:rsid w:val="527D1264"/>
    <w:rsid w:val="527F7D57"/>
    <w:rsid w:val="528728C3"/>
    <w:rsid w:val="5296022B"/>
    <w:rsid w:val="52A3383B"/>
    <w:rsid w:val="52A666D6"/>
    <w:rsid w:val="52A85BF9"/>
    <w:rsid w:val="52AD7835"/>
    <w:rsid w:val="52B256B5"/>
    <w:rsid w:val="52D73051"/>
    <w:rsid w:val="52E61B8D"/>
    <w:rsid w:val="52F3183C"/>
    <w:rsid w:val="52FA333D"/>
    <w:rsid w:val="52FB1B32"/>
    <w:rsid w:val="52FF78E7"/>
    <w:rsid w:val="53013525"/>
    <w:rsid w:val="530E78F4"/>
    <w:rsid w:val="530F4FA2"/>
    <w:rsid w:val="53255C8A"/>
    <w:rsid w:val="53364538"/>
    <w:rsid w:val="5340384F"/>
    <w:rsid w:val="534103F4"/>
    <w:rsid w:val="534352ED"/>
    <w:rsid w:val="535A53CF"/>
    <w:rsid w:val="538550AA"/>
    <w:rsid w:val="538C3F06"/>
    <w:rsid w:val="53A60401"/>
    <w:rsid w:val="53B417F2"/>
    <w:rsid w:val="53C65075"/>
    <w:rsid w:val="53D96F42"/>
    <w:rsid w:val="53E02AE5"/>
    <w:rsid w:val="53E36514"/>
    <w:rsid w:val="53FC752F"/>
    <w:rsid w:val="5402344E"/>
    <w:rsid w:val="541303D5"/>
    <w:rsid w:val="54311BAF"/>
    <w:rsid w:val="543B2B99"/>
    <w:rsid w:val="544C01DA"/>
    <w:rsid w:val="544D0BA6"/>
    <w:rsid w:val="545420AF"/>
    <w:rsid w:val="54703135"/>
    <w:rsid w:val="54857525"/>
    <w:rsid w:val="5489615F"/>
    <w:rsid w:val="54A74207"/>
    <w:rsid w:val="54AB59CA"/>
    <w:rsid w:val="54AE27FD"/>
    <w:rsid w:val="54AE49FC"/>
    <w:rsid w:val="54B46905"/>
    <w:rsid w:val="54B54386"/>
    <w:rsid w:val="54B8081A"/>
    <w:rsid w:val="54CA58F9"/>
    <w:rsid w:val="54CA6D0F"/>
    <w:rsid w:val="54D20290"/>
    <w:rsid w:val="54EE1F62"/>
    <w:rsid w:val="54EF5CA9"/>
    <w:rsid w:val="55015561"/>
    <w:rsid w:val="551C08B3"/>
    <w:rsid w:val="554738F5"/>
    <w:rsid w:val="55524BDB"/>
    <w:rsid w:val="556263BC"/>
    <w:rsid w:val="55725346"/>
    <w:rsid w:val="55727FBD"/>
    <w:rsid w:val="55735A3E"/>
    <w:rsid w:val="55A37404"/>
    <w:rsid w:val="55CD4E7B"/>
    <w:rsid w:val="55DB38E9"/>
    <w:rsid w:val="55EE439A"/>
    <w:rsid w:val="55F06C20"/>
    <w:rsid w:val="56007DFE"/>
    <w:rsid w:val="56035F5E"/>
    <w:rsid w:val="560440E1"/>
    <w:rsid w:val="560456C0"/>
    <w:rsid w:val="560F712F"/>
    <w:rsid w:val="56182F10"/>
    <w:rsid w:val="56237289"/>
    <w:rsid w:val="562C0F0B"/>
    <w:rsid w:val="565A1A6F"/>
    <w:rsid w:val="565D1267"/>
    <w:rsid w:val="566B35EC"/>
    <w:rsid w:val="569D042A"/>
    <w:rsid w:val="569D1C00"/>
    <w:rsid w:val="56A812A9"/>
    <w:rsid w:val="56BB621B"/>
    <w:rsid w:val="56C37E91"/>
    <w:rsid w:val="56C87B9D"/>
    <w:rsid w:val="56DB0C98"/>
    <w:rsid w:val="56E7079F"/>
    <w:rsid w:val="56EF512A"/>
    <w:rsid w:val="56F52014"/>
    <w:rsid w:val="56F95642"/>
    <w:rsid w:val="57035B47"/>
    <w:rsid w:val="57185AC9"/>
    <w:rsid w:val="57196442"/>
    <w:rsid w:val="571B5F1F"/>
    <w:rsid w:val="571C3339"/>
    <w:rsid w:val="57260908"/>
    <w:rsid w:val="572E6B68"/>
    <w:rsid w:val="57347C1D"/>
    <w:rsid w:val="57390153"/>
    <w:rsid w:val="573B1258"/>
    <w:rsid w:val="57551741"/>
    <w:rsid w:val="57561ED2"/>
    <w:rsid w:val="575C69E3"/>
    <w:rsid w:val="577C7118"/>
    <w:rsid w:val="57920928"/>
    <w:rsid w:val="57A44CA1"/>
    <w:rsid w:val="57C01963"/>
    <w:rsid w:val="57D15E26"/>
    <w:rsid w:val="57D34B8C"/>
    <w:rsid w:val="57DA78C0"/>
    <w:rsid w:val="57F4225A"/>
    <w:rsid w:val="580A64E9"/>
    <w:rsid w:val="580F7251"/>
    <w:rsid w:val="58106307"/>
    <w:rsid w:val="5831766B"/>
    <w:rsid w:val="583A23D4"/>
    <w:rsid w:val="58481CE4"/>
    <w:rsid w:val="584E2AB9"/>
    <w:rsid w:val="584E7471"/>
    <w:rsid w:val="58782D8B"/>
    <w:rsid w:val="58851A4B"/>
    <w:rsid w:val="58937D37"/>
    <w:rsid w:val="58992740"/>
    <w:rsid w:val="58AA4F62"/>
    <w:rsid w:val="58AD64D8"/>
    <w:rsid w:val="58B51272"/>
    <w:rsid w:val="58B928A7"/>
    <w:rsid w:val="58C36B93"/>
    <w:rsid w:val="58CD70D1"/>
    <w:rsid w:val="58D03034"/>
    <w:rsid w:val="58D34740"/>
    <w:rsid w:val="58D86E2F"/>
    <w:rsid w:val="58EB7C76"/>
    <w:rsid w:val="58F145F0"/>
    <w:rsid w:val="58F22E77"/>
    <w:rsid w:val="58F52F4F"/>
    <w:rsid w:val="591A24CC"/>
    <w:rsid w:val="59227CF6"/>
    <w:rsid w:val="593041E0"/>
    <w:rsid w:val="593231AA"/>
    <w:rsid w:val="5932421D"/>
    <w:rsid w:val="59364BCE"/>
    <w:rsid w:val="59513E7A"/>
    <w:rsid w:val="59592DC8"/>
    <w:rsid w:val="595D7DDC"/>
    <w:rsid w:val="596127B1"/>
    <w:rsid w:val="59624CEB"/>
    <w:rsid w:val="596279B4"/>
    <w:rsid w:val="59652B78"/>
    <w:rsid w:val="59823F10"/>
    <w:rsid w:val="59A42311"/>
    <w:rsid w:val="59AC165F"/>
    <w:rsid w:val="59C55F6B"/>
    <w:rsid w:val="59C679E6"/>
    <w:rsid w:val="59CD78E2"/>
    <w:rsid w:val="59DC2276"/>
    <w:rsid w:val="59E13FAB"/>
    <w:rsid w:val="59E52B83"/>
    <w:rsid w:val="59E85E60"/>
    <w:rsid w:val="59EA7D32"/>
    <w:rsid w:val="59F14D15"/>
    <w:rsid w:val="5A145AD8"/>
    <w:rsid w:val="5A15245C"/>
    <w:rsid w:val="5A461F0B"/>
    <w:rsid w:val="5A66205E"/>
    <w:rsid w:val="5A6F30B0"/>
    <w:rsid w:val="5A811579"/>
    <w:rsid w:val="5A823BD6"/>
    <w:rsid w:val="5A867B53"/>
    <w:rsid w:val="5A97033A"/>
    <w:rsid w:val="5A9A6721"/>
    <w:rsid w:val="5AA4447D"/>
    <w:rsid w:val="5AB6376A"/>
    <w:rsid w:val="5ABE4593"/>
    <w:rsid w:val="5AC830A9"/>
    <w:rsid w:val="5ACC5286"/>
    <w:rsid w:val="5AE34EAB"/>
    <w:rsid w:val="5AE65E30"/>
    <w:rsid w:val="5AE6620C"/>
    <w:rsid w:val="5AE865E4"/>
    <w:rsid w:val="5B081868"/>
    <w:rsid w:val="5B0A0D7F"/>
    <w:rsid w:val="5B0C2C13"/>
    <w:rsid w:val="5B0F7B9E"/>
    <w:rsid w:val="5B2857C0"/>
    <w:rsid w:val="5B3452A4"/>
    <w:rsid w:val="5B362ED0"/>
    <w:rsid w:val="5B3C63C3"/>
    <w:rsid w:val="5B3E64BE"/>
    <w:rsid w:val="5B455FE5"/>
    <w:rsid w:val="5B651C25"/>
    <w:rsid w:val="5B6A0607"/>
    <w:rsid w:val="5B6B0495"/>
    <w:rsid w:val="5B6B16B2"/>
    <w:rsid w:val="5B6F1496"/>
    <w:rsid w:val="5B8008E7"/>
    <w:rsid w:val="5B801E1B"/>
    <w:rsid w:val="5B8B6467"/>
    <w:rsid w:val="5B901FD1"/>
    <w:rsid w:val="5B964105"/>
    <w:rsid w:val="5B974FDB"/>
    <w:rsid w:val="5B9E711E"/>
    <w:rsid w:val="5BC6732E"/>
    <w:rsid w:val="5BCD1F7A"/>
    <w:rsid w:val="5BCF426A"/>
    <w:rsid w:val="5BE3667E"/>
    <w:rsid w:val="5BE73454"/>
    <w:rsid w:val="5BEC0F65"/>
    <w:rsid w:val="5BF16C10"/>
    <w:rsid w:val="5C2E477C"/>
    <w:rsid w:val="5C366A56"/>
    <w:rsid w:val="5C394E4E"/>
    <w:rsid w:val="5C3A43B2"/>
    <w:rsid w:val="5C3D06E5"/>
    <w:rsid w:val="5C422ABE"/>
    <w:rsid w:val="5C474772"/>
    <w:rsid w:val="5C4E1C11"/>
    <w:rsid w:val="5C576E99"/>
    <w:rsid w:val="5C5A0930"/>
    <w:rsid w:val="5C8102EB"/>
    <w:rsid w:val="5C841A86"/>
    <w:rsid w:val="5C854B9B"/>
    <w:rsid w:val="5C963A49"/>
    <w:rsid w:val="5CA23B87"/>
    <w:rsid w:val="5CA668A2"/>
    <w:rsid w:val="5CAC6D2A"/>
    <w:rsid w:val="5CAD7CBA"/>
    <w:rsid w:val="5CCA5AEC"/>
    <w:rsid w:val="5CCF7023"/>
    <w:rsid w:val="5CD21E05"/>
    <w:rsid w:val="5CDD5541"/>
    <w:rsid w:val="5CE45533"/>
    <w:rsid w:val="5CE61299"/>
    <w:rsid w:val="5D15428C"/>
    <w:rsid w:val="5D1C342E"/>
    <w:rsid w:val="5D327BF3"/>
    <w:rsid w:val="5D347D3A"/>
    <w:rsid w:val="5D3538D0"/>
    <w:rsid w:val="5D3F048D"/>
    <w:rsid w:val="5D563216"/>
    <w:rsid w:val="5D5D42BA"/>
    <w:rsid w:val="5D700D5D"/>
    <w:rsid w:val="5D7610DC"/>
    <w:rsid w:val="5D990670"/>
    <w:rsid w:val="5D9C7622"/>
    <w:rsid w:val="5DAA425C"/>
    <w:rsid w:val="5DBF14A6"/>
    <w:rsid w:val="5DD53D62"/>
    <w:rsid w:val="5DDE1391"/>
    <w:rsid w:val="5DE72E29"/>
    <w:rsid w:val="5DEA187C"/>
    <w:rsid w:val="5DED53C4"/>
    <w:rsid w:val="5DF83221"/>
    <w:rsid w:val="5DFA623B"/>
    <w:rsid w:val="5E0B04B9"/>
    <w:rsid w:val="5E1F089D"/>
    <w:rsid w:val="5E3258E4"/>
    <w:rsid w:val="5E342C2E"/>
    <w:rsid w:val="5E361890"/>
    <w:rsid w:val="5E3D71AC"/>
    <w:rsid w:val="5E4F4B48"/>
    <w:rsid w:val="5E5025C9"/>
    <w:rsid w:val="5E556A51"/>
    <w:rsid w:val="5E6D4B86"/>
    <w:rsid w:val="5E6F6F21"/>
    <w:rsid w:val="5E7C4CEA"/>
    <w:rsid w:val="5E8219FA"/>
    <w:rsid w:val="5EB10F16"/>
    <w:rsid w:val="5EB205EB"/>
    <w:rsid w:val="5EB34616"/>
    <w:rsid w:val="5EBA7DC4"/>
    <w:rsid w:val="5EBD78BB"/>
    <w:rsid w:val="5EBF3633"/>
    <w:rsid w:val="5EC6266C"/>
    <w:rsid w:val="5ECF1B47"/>
    <w:rsid w:val="5ED122DB"/>
    <w:rsid w:val="5EDE2A91"/>
    <w:rsid w:val="5EDF7683"/>
    <w:rsid w:val="5EE16A07"/>
    <w:rsid w:val="5EFC5E47"/>
    <w:rsid w:val="5F013C4C"/>
    <w:rsid w:val="5F08188B"/>
    <w:rsid w:val="5F1115F5"/>
    <w:rsid w:val="5F193E39"/>
    <w:rsid w:val="5F2058F6"/>
    <w:rsid w:val="5F2E1FB7"/>
    <w:rsid w:val="5F321771"/>
    <w:rsid w:val="5F400E5C"/>
    <w:rsid w:val="5F533870"/>
    <w:rsid w:val="5F746EA8"/>
    <w:rsid w:val="5F7E7B72"/>
    <w:rsid w:val="5F805704"/>
    <w:rsid w:val="5F8F79DC"/>
    <w:rsid w:val="5FA6051D"/>
    <w:rsid w:val="5FAC060C"/>
    <w:rsid w:val="5FB93320"/>
    <w:rsid w:val="5FBB26BB"/>
    <w:rsid w:val="5FBF5E2C"/>
    <w:rsid w:val="5FC634BE"/>
    <w:rsid w:val="5FCF62BD"/>
    <w:rsid w:val="5FDF3A48"/>
    <w:rsid w:val="60005287"/>
    <w:rsid w:val="60023C8F"/>
    <w:rsid w:val="6005776C"/>
    <w:rsid w:val="601E438A"/>
    <w:rsid w:val="604A11E2"/>
    <w:rsid w:val="60530A95"/>
    <w:rsid w:val="605C71E1"/>
    <w:rsid w:val="606D435A"/>
    <w:rsid w:val="60765F74"/>
    <w:rsid w:val="607B7354"/>
    <w:rsid w:val="60842907"/>
    <w:rsid w:val="60847A10"/>
    <w:rsid w:val="60A81005"/>
    <w:rsid w:val="60AF0894"/>
    <w:rsid w:val="60B91957"/>
    <w:rsid w:val="60B97540"/>
    <w:rsid w:val="60CA77DA"/>
    <w:rsid w:val="60DF4DDA"/>
    <w:rsid w:val="60E76F55"/>
    <w:rsid w:val="60EF3DBE"/>
    <w:rsid w:val="60FD0F2E"/>
    <w:rsid w:val="60FF7086"/>
    <w:rsid w:val="610D26F0"/>
    <w:rsid w:val="611B16B9"/>
    <w:rsid w:val="61272165"/>
    <w:rsid w:val="612A6E85"/>
    <w:rsid w:val="612D6FEC"/>
    <w:rsid w:val="61333F9B"/>
    <w:rsid w:val="613B5763"/>
    <w:rsid w:val="6144655B"/>
    <w:rsid w:val="615652E6"/>
    <w:rsid w:val="61595E0B"/>
    <w:rsid w:val="61664294"/>
    <w:rsid w:val="616C21E8"/>
    <w:rsid w:val="616F12F4"/>
    <w:rsid w:val="617F5423"/>
    <w:rsid w:val="61934CE5"/>
    <w:rsid w:val="619D77B2"/>
    <w:rsid w:val="619F30C9"/>
    <w:rsid w:val="619F55F2"/>
    <w:rsid w:val="61A20744"/>
    <w:rsid w:val="61A57F6C"/>
    <w:rsid w:val="61A8461E"/>
    <w:rsid w:val="61B23EE2"/>
    <w:rsid w:val="61D074A0"/>
    <w:rsid w:val="61E001E0"/>
    <w:rsid w:val="61E60EAB"/>
    <w:rsid w:val="61E868C4"/>
    <w:rsid w:val="61EB680D"/>
    <w:rsid w:val="61EC5F37"/>
    <w:rsid w:val="61EE37AA"/>
    <w:rsid w:val="61F56EE9"/>
    <w:rsid w:val="61FF2404"/>
    <w:rsid w:val="62086E62"/>
    <w:rsid w:val="620C41BC"/>
    <w:rsid w:val="620D2908"/>
    <w:rsid w:val="620E026E"/>
    <w:rsid w:val="621230F7"/>
    <w:rsid w:val="621335E4"/>
    <w:rsid w:val="621D675B"/>
    <w:rsid w:val="62257C51"/>
    <w:rsid w:val="624A4446"/>
    <w:rsid w:val="624C74DD"/>
    <w:rsid w:val="62565C03"/>
    <w:rsid w:val="625E5672"/>
    <w:rsid w:val="627025A0"/>
    <w:rsid w:val="62840D04"/>
    <w:rsid w:val="628A19B9"/>
    <w:rsid w:val="628F4CD6"/>
    <w:rsid w:val="6292243E"/>
    <w:rsid w:val="62BA296F"/>
    <w:rsid w:val="62C53589"/>
    <w:rsid w:val="62C66C23"/>
    <w:rsid w:val="62CC73D1"/>
    <w:rsid w:val="62D2496B"/>
    <w:rsid w:val="62D31995"/>
    <w:rsid w:val="62E670F3"/>
    <w:rsid w:val="62E77842"/>
    <w:rsid w:val="62F16356"/>
    <w:rsid w:val="62F3053E"/>
    <w:rsid w:val="62F97A6F"/>
    <w:rsid w:val="62FA0E4E"/>
    <w:rsid w:val="63071A4D"/>
    <w:rsid w:val="63085B89"/>
    <w:rsid w:val="63113597"/>
    <w:rsid w:val="63153C5F"/>
    <w:rsid w:val="631B1054"/>
    <w:rsid w:val="632D64DD"/>
    <w:rsid w:val="632D72AE"/>
    <w:rsid w:val="632F3981"/>
    <w:rsid w:val="63390858"/>
    <w:rsid w:val="633A5CF8"/>
    <w:rsid w:val="63423274"/>
    <w:rsid w:val="634F365B"/>
    <w:rsid w:val="63626E16"/>
    <w:rsid w:val="636764D4"/>
    <w:rsid w:val="63775D30"/>
    <w:rsid w:val="63777AAD"/>
    <w:rsid w:val="638504D1"/>
    <w:rsid w:val="638D31FD"/>
    <w:rsid w:val="639456EF"/>
    <w:rsid w:val="63953FA2"/>
    <w:rsid w:val="63D3661C"/>
    <w:rsid w:val="63D57455"/>
    <w:rsid w:val="63E30CF1"/>
    <w:rsid w:val="64091E2A"/>
    <w:rsid w:val="640D40B4"/>
    <w:rsid w:val="64310AD5"/>
    <w:rsid w:val="64343F73"/>
    <w:rsid w:val="64482C14"/>
    <w:rsid w:val="644F48CD"/>
    <w:rsid w:val="64686554"/>
    <w:rsid w:val="64704C25"/>
    <w:rsid w:val="6477319F"/>
    <w:rsid w:val="648064C6"/>
    <w:rsid w:val="64825558"/>
    <w:rsid w:val="64931D8E"/>
    <w:rsid w:val="64B93AAA"/>
    <w:rsid w:val="64C76D65"/>
    <w:rsid w:val="64D045E1"/>
    <w:rsid w:val="64D26DD1"/>
    <w:rsid w:val="64D6695A"/>
    <w:rsid w:val="64E55A9D"/>
    <w:rsid w:val="64E738E4"/>
    <w:rsid w:val="64ED6E8A"/>
    <w:rsid w:val="64EE469B"/>
    <w:rsid w:val="64F54970"/>
    <w:rsid w:val="64FE6EBF"/>
    <w:rsid w:val="65000502"/>
    <w:rsid w:val="65067B4F"/>
    <w:rsid w:val="65085AFE"/>
    <w:rsid w:val="650F6824"/>
    <w:rsid w:val="651248C9"/>
    <w:rsid w:val="651D03D0"/>
    <w:rsid w:val="65261C89"/>
    <w:rsid w:val="65413E13"/>
    <w:rsid w:val="65484E76"/>
    <w:rsid w:val="6550056C"/>
    <w:rsid w:val="655817B4"/>
    <w:rsid w:val="65670AB2"/>
    <w:rsid w:val="658748E7"/>
    <w:rsid w:val="659D66A9"/>
    <w:rsid w:val="659F31C5"/>
    <w:rsid w:val="65A25F7F"/>
    <w:rsid w:val="65B14764"/>
    <w:rsid w:val="65B15C47"/>
    <w:rsid w:val="65BE72E4"/>
    <w:rsid w:val="65C21370"/>
    <w:rsid w:val="65C21C5B"/>
    <w:rsid w:val="65C60144"/>
    <w:rsid w:val="65D406AC"/>
    <w:rsid w:val="65D52A29"/>
    <w:rsid w:val="65DC0F6F"/>
    <w:rsid w:val="65DF3FAF"/>
    <w:rsid w:val="65ED6563"/>
    <w:rsid w:val="65F416D3"/>
    <w:rsid w:val="65F64A18"/>
    <w:rsid w:val="65F65310"/>
    <w:rsid w:val="65FE0EE5"/>
    <w:rsid w:val="660404D8"/>
    <w:rsid w:val="66060BF9"/>
    <w:rsid w:val="66061D39"/>
    <w:rsid w:val="660718F0"/>
    <w:rsid w:val="66124991"/>
    <w:rsid w:val="661C7073"/>
    <w:rsid w:val="661F35F3"/>
    <w:rsid w:val="662B662D"/>
    <w:rsid w:val="66521575"/>
    <w:rsid w:val="665459F1"/>
    <w:rsid w:val="665539A1"/>
    <w:rsid w:val="6655613C"/>
    <w:rsid w:val="66562F35"/>
    <w:rsid w:val="667F60B7"/>
    <w:rsid w:val="668639FA"/>
    <w:rsid w:val="668A1765"/>
    <w:rsid w:val="668E330A"/>
    <w:rsid w:val="66A84904"/>
    <w:rsid w:val="66B137F8"/>
    <w:rsid w:val="66B43DF1"/>
    <w:rsid w:val="66B87515"/>
    <w:rsid w:val="66CC2311"/>
    <w:rsid w:val="66CD24A8"/>
    <w:rsid w:val="66D23720"/>
    <w:rsid w:val="66E4393A"/>
    <w:rsid w:val="66E63EC5"/>
    <w:rsid w:val="66F45E44"/>
    <w:rsid w:val="66FC43DA"/>
    <w:rsid w:val="670011ED"/>
    <w:rsid w:val="6704729E"/>
    <w:rsid w:val="670B01C0"/>
    <w:rsid w:val="67116F40"/>
    <w:rsid w:val="67191D4F"/>
    <w:rsid w:val="671D35ED"/>
    <w:rsid w:val="672B1301"/>
    <w:rsid w:val="673F3837"/>
    <w:rsid w:val="674347BF"/>
    <w:rsid w:val="674D37A6"/>
    <w:rsid w:val="67784A62"/>
    <w:rsid w:val="67792A77"/>
    <w:rsid w:val="67834660"/>
    <w:rsid w:val="679561C0"/>
    <w:rsid w:val="67980EC5"/>
    <w:rsid w:val="67A77AD3"/>
    <w:rsid w:val="67AA2321"/>
    <w:rsid w:val="67B101D9"/>
    <w:rsid w:val="67B32FA0"/>
    <w:rsid w:val="67B33F51"/>
    <w:rsid w:val="67D75874"/>
    <w:rsid w:val="67E206EE"/>
    <w:rsid w:val="67F208BA"/>
    <w:rsid w:val="680229CA"/>
    <w:rsid w:val="68152C79"/>
    <w:rsid w:val="681553B7"/>
    <w:rsid w:val="68307CD3"/>
    <w:rsid w:val="683B20EE"/>
    <w:rsid w:val="683F1C20"/>
    <w:rsid w:val="684259E9"/>
    <w:rsid w:val="684B1788"/>
    <w:rsid w:val="68572091"/>
    <w:rsid w:val="686D58E2"/>
    <w:rsid w:val="68754EED"/>
    <w:rsid w:val="68866F70"/>
    <w:rsid w:val="688B2364"/>
    <w:rsid w:val="688B634E"/>
    <w:rsid w:val="68A95382"/>
    <w:rsid w:val="68B11D04"/>
    <w:rsid w:val="68B46056"/>
    <w:rsid w:val="68B94891"/>
    <w:rsid w:val="68D54BAD"/>
    <w:rsid w:val="68E75BA5"/>
    <w:rsid w:val="68EE2307"/>
    <w:rsid w:val="69034E54"/>
    <w:rsid w:val="690470DA"/>
    <w:rsid w:val="690632A5"/>
    <w:rsid w:val="692073C4"/>
    <w:rsid w:val="692355DF"/>
    <w:rsid w:val="69274112"/>
    <w:rsid w:val="694A2693"/>
    <w:rsid w:val="69580D63"/>
    <w:rsid w:val="69627593"/>
    <w:rsid w:val="696372B1"/>
    <w:rsid w:val="69784594"/>
    <w:rsid w:val="69A456A9"/>
    <w:rsid w:val="69B531C9"/>
    <w:rsid w:val="69BB7C22"/>
    <w:rsid w:val="69CC03FD"/>
    <w:rsid w:val="69D56FC5"/>
    <w:rsid w:val="69D770B2"/>
    <w:rsid w:val="69E168DA"/>
    <w:rsid w:val="69F17761"/>
    <w:rsid w:val="69F457FF"/>
    <w:rsid w:val="69FF522C"/>
    <w:rsid w:val="6A0D0A97"/>
    <w:rsid w:val="6A1D1DA5"/>
    <w:rsid w:val="6A212D5D"/>
    <w:rsid w:val="6A2F2C3D"/>
    <w:rsid w:val="6A427C3D"/>
    <w:rsid w:val="6A507FC3"/>
    <w:rsid w:val="6A604D1B"/>
    <w:rsid w:val="6A940369"/>
    <w:rsid w:val="6A9519CB"/>
    <w:rsid w:val="6A9C7BD0"/>
    <w:rsid w:val="6A9E427C"/>
    <w:rsid w:val="6AA1457D"/>
    <w:rsid w:val="6ABC0023"/>
    <w:rsid w:val="6ACA583A"/>
    <w:rsid w:val="6AD51D4B"/>
    <w:rsid w:val="6AD65E7A"/>
    <w:rsid w:val="6AF86742"/>
    <w:rsid w:val="6B001234"/>
    <w:rsid w:val="6B1A4FF8"/>
    <w:rsid w:val="6B2E6145"/>
    <w:rsid w:val="6B3F74D7"/>
    <w:rsid w:val="6B407BD8"/>
    <w:rsid w:val="6B721796"/>
    <w:rsid w:val="6B891CA0"/>
    <w:rsid w:val="6B966D7A"/>
    <w:rsid w:val="6B9A0018"/>
    <w:rsid w:val="6B9F13A3"/>
    <w:rsid w:val="6BAB1F11"/>
    <w:rsid w:val="6BAE6B51"/>
    <w:rsid w:val="6BB650A7"/>
    <w:rsid w:val="6BB67D50"/>
    <w:rsid w:val="6BBC47BD"/>
    <w:rsid w:val="6BCB65E9"/>
    <w:rsid w:val="6BD47F5C"/>
    <w:rsid w:val="6BF2093B"/>
    <w:rsid w:val="6BF8381A"/>
    <w:rsid w:val="6BF91894"/>
    <w:rsid w:val="6C032026"/>
    <w:rsid w:val="6C1156D8"/>
    <w:rsid w:val="6C307AAE"/>
    <w:rsid w:val="6C3140AA"/>
    <w:rsid w:val="6C327292"/>
    <w:rsid w:val="6C4B0304"/>
    <w:rsid w:val="6C4D5216"/>
    <w:rsid w:val="6C4D6722"/>
    <w:rsid w:val="6C591309"/>
    <w:rsid w:val="6C5D7D56"/>
    <w:rsid w:val="6C690179"/>
    <w:rsid w:val="6C6D5DF2"/>
    <w:rsid w:val="6C74085F"/>
    <w:rsid w:val="6C7672FB"/>
    <w:rsid w:val="6C773749"/>
    <w:rsid w:val="6C810FA2"/>
    <w:rsid w:val="6C8A4F6A"/>
    <w:rsid w:val="6C8F6511"/>
    <w:rsid w:val="6C955CB1"/>
    <w:rsid w:val="6CA253E7"/>
    <w:rsid w:val="6CB930F0"/>
    <w:rsid w:val="6CD02EB0"/>
    <w:rsid w:val="6CD526D9"/>
    <w:rsid w:val="6CDE381F"/>
    <w:rsid w:val="6CE02CFC"/>
    <w:rsid w:val="6CE2448B"/>
    <w:rsid w:val="6CE962B9"/>
    <w:rsid w:val="6CF2784B"/>
    <w:rsid w:val="6CF3094C"/>
    <w:rsid w:val="6CF70AC4"/>
    <w:rsid w:val="6CFC41F9"/>
    <w:rsid w:val="6D0111E3"/>
    <w:rsid w:val="6D030DA1"/>
    <w:rsid w:val="6D0A743A"/>
    <w:rsid w:val="6D0C3814"/>
    <w:rsid w:val="6D1515A8"/>
    <w:rsid w:val="6D230171"/>
    <w:rsid w:val="6D230ABE"/>
    <w:rsid w:val="6D275220"/>
    <w:rsid w:val="6D5B6E2D"/>
    <w:rsid w:val="6D7B052E"/>
    <w:rsid w:val="6D82560B"/>
    <w:rsid w:val="6DA36865"/>
    <w:rsid w:val="6DA36DEF"/>
    <w:rsid w:val="6DB50CB8"/>
    <w:rsid w:val="6DB516C0"/>
    <w:rsid w:val="6DBC0F97"/>
    <w:rsid w:val="6DE74E42"/>
    <w:rsid w:val="6DFA0D9A"/>
    <w:rsid w:val="6DFD59B9"/>
    <w:rsid w:val="6E05302D"/>
    <w:rsid w:val="6E053187"/>
    <w:rsid w:val="6E076609"/>
    <w:rsid w:val="6E171F11"/>
    <w:rsid w:val="6E193025"/>
    <w:rsid w:val="6E276AFF"/>
    <w:rsid w:val="6E3B4C10"/>
    <w:rsid w:val="6E455DEF"/>
    <w:rsid w:val="6E5717ED"/>
    <w:rsid w:val="6E597819"/>
    <w:rsid w:val="6E623FDB"/>
    <w:rsid w:val="6E680060"/>
    <w:rsid w:val="6E781A56"/>
    <w:rsid w:val="6E7B2698"/>
    <w:rsid w:val="6E7C29F4"/>
    <w:rsid w:val="6E837CDE"/>
    <w:rsid w:val="6E8E3022"/>
    <w:rsid w:val="6E9471D5"/>
    <w:rsid w:val="6E9817AB"/>
    <w:rsid w:val="6E9B2C7F"/>
    <w:rsid w:val="6EA56D16"/>
    <w:rsid w:val="6EA87B76"/>
    <w:rsid w:val="6EB350C5"/>
    <w:rsid w:val="6EBF58A5"/>
    <w:rsid w:val="6F0532E4"/>
    <w:rsid w:val="6F077019"/>
    <w:rsid w:val="6F2474E3"/>
    <w:rsid w:val="6F3239AE"/>
    <w:rsid w:val="6F380483"/>
    <w:rsid w:val="6F3B6F32"/>
    <w:rsid w:val="6F500E33"/>
    <w:rsid w:val="6F551878"/>
    <w:rsid w:val="6F591668"/>
    <w:rsid w:val="6F5B773E"/>
    <w:rsid w:val="6F716B04"/>
    <w:rsid w:val="6F7A4097"/>
    <w:rsid w:val="6F7C2E7B"/>
    <w:rsid w:val="6F7E0BF8"/>
    <w:rsid w:val="6F7F030F"/>
    <w:rsid w:val="6F894CA6"/>
    <w:rsid w:val="6F9D5C29"/>
    <w:rsid w:val="6FC87D72"/>
    <w:rsid w:val="6FDD13A7"/>
    <w:rsid w:val="6FE70627"/>
    <w:rsid w:val="6FF618F6"/>
    <w:rsid w:val="6FFF244B"/>
    <w:rsid w:val="700A0487"/>
    <w:rsid w:val="700C5771"/>
    <w:rsid w:val="701904DB"/>
    <w:rsid w:val="701D527E"/>
    <w:rsid w:val="7020414E"/>
    <w:rsid w:val="70212176"/>
    <w:rsid w:val="7028385F"/>
    <w:rsid w:val="702E6CCA"/>
    <w:rsid w:val="706F0B60"/>
    <w:rsid w:val="707D659C"/>
    <w:rsid w:val="708D2B62"/>
    <w:rsid w:val="70A47E78"/>
    <w:rsid w:val="70A628A5"/>
    <w:rsid w:val="70C64CF5"/>
    <w:rsid w:val="70C84F08"/>
    <w:rsid w:val="70CA3EAA"/>
    <w:rsid w:val="70CE0ED4"/>
    <w:rsid w:val="70DD6B8C"/>
    <w:rsid w:val="70E441F4"/>
    <w:rsid w:val="70E60F0B"/>
    <w:rsid w:val="70F439A5"/>
    <w:rsid w:val="71194131"/>
    <w:rsid w:val="711D243B"/>
    <w:rsid w:val="711F7F62"/>
    <w:rsid w:val="712F4EC1"/>
    <w:rsid w:val="71356938"/>
    <w:rsid w:val="713835A2"/>
    <w:rsid w:val="713A528B"/>
    <w:rsid w:val="713A659C"/>
    <w:rsid w:val="713F0604"/>
    <w:rsid w:val="71473DAB"/>
    <w:rsid w:val="7148692D"/>
    <w:rsid w:val="71511DF8"/>
    <w:rsid w:val="71565A3F"/>
    <w:rsid w:val="719E4475"/>
    <w:rsid w:val="71A010A2"/>
    <w:rsid w:val="71A12E7C"/>
    <w:rsid w:val="71A967C5"/>
    <w:rsid w:val="71BA5D2F"/>
    <w:rsid w:val="71D17306"/>
    <w:rsid w:val="71D54287"/>
    <w:rsid w:val="71EA2ACC"/>
    <w:rsid w:val="71EC1FF6"/>
    <w:rsid w:val="71F46425"/>
    <w:rsid w:val="71F731CF"/>
    <w:rsid w:val="71F77BAB"/>
    <w:rsid w:val="71FA7C7A"/>
    <w:rsid w:val="7204189B"/>
    <w:rsid w:val="72080E01"/>
    <w:rsid w:val="721D27C5"/>
    <w:rsid w:val="722630D5"/>
    <w:rsid w:val="72331572"/>
    <w:rsid w:val="72350776"/>
    <w:rsid w:val="723839D1"/>
    <w:rsid w:val="72570333"/>
    <w:rsid w:val="725B4D63"/>
    <w:rsid w:val="72683E78"/>
    <w:rsid w:val="726A7902"/>
    <w:rsid w:val="7270283E"/>
    <w:rsid w:val="728026E4"/>
    <w:rsid w:val="729B4DB3"/>
    <w:rsid w:val="729B57EB"/>
    <w:rsid w:val="72A12DDF"/>
    <w:rsid w:val="72BC2610"/>
    <w:rsid w:val="72C321BF"/>
    <w:rsid w:val="72D405E0"/>
    <w:rsid w:val="72E60CA8"/>
    <w:rsid w:val="72EC0317"/>
    <w:rsid w:val="72EE7CB6"/>
    <w:rsid w:val="72F0165D"/>
    <w:rsid w:val="72FC1BA9"/>
    <w:rsid w:val="73014491"/>
    <w:rsid w:val="7311765E"/>
    <w:rsid w:val="731400DF"/>
    <w:rsid w:val="73287DEA"/>
    <w:rsid w:val="732D105C"/>
    <w:rsid w:val="73387D60"/>
    <w:rsid w:val="733E001A"/>
    <w:rsid w:val="733F5DA0"/>
    <w:rsid w:val="73410F6F"/>
    <w:rsid w:val="734B6330"/>
    <w:rsid w:val="736032BE"/>
    <w:rsid w:val="7370719A"/>
    <w:rsid w:val="738844E4"/>
    <w:rsid w:val="73993FFB"/>
    <w:rsid w:val="73A41347"/>
    <w:rsid w:val="73D4272C"/>
    <w:rsid w:val="73D44095"/>
    <w:rsid w:val="73DB77C3"/>
    <w:rsid w:val="73E272B8"/>
    <w:rsid w:val="73F952CF"/>
    <w:rsid w:val="74042666"/>
    <w:rsid w:val="740577B2"/>
    <w:rsid w:val="74113C86"/>
    <w:rsid w:val="74196D88"/>
    <w:rsid w:val="742F7357"/>
    <w:rsid w:val="7431194D"/>
    <w:rsid w:val="74404A49"/>
    <w:rsid w:val="74447BCC"/>
    <w:rsid w:val="74501460"/>
    <w:rsid w:val="7452064E"/>
    <w:rsid w:val="7455116B"/>
    <w:rsid w:val="745D21BA"/>
    <w:rsid w:val="74707C06"/>
    <w:rsid w:val="7472484C"/>
    <w:rsid w:val="748154B2"/>
    <w:rsid w:val="748A428C"/>
    <w:rsid w:val="748C4417"/>
    <w:rsid w:val="74A44079"/>
    <w:rsid w:val="74A523FD"/>
    <w:rsid w:val="74AE2AF4"/>
    <w:rsid w:val="74AF129E"/>
    <w:rsid w:val="74B22D2F"/>
    <w:rsid w:val="74B31505"/>
    <w:rsid w:val="74BD6383"/>
    <w:rsid w:val="74C10A05"/>
    <w:rsid w:val="74C21005"/>
    <w:rsid w:val="74CA3328"/>
    <w:rsid w:val="74CD0FB4"/>
    <w:rsid w:val="74E50B73"/>
    <w:rsid w:val="74E82415"/>
    <w:rsid w:val="74EE481B"/>
    <w:rsid w:val="74F2077E"/>
    <w:rsid w:val="74F2198A"/>
    <w:rsid w:val="75070109"/>
    <w:rsid w:val="750D5096"/>
    <w:rsid w:val="751402A4"/>
    <w:rsid w:val="7524053F"/>
    <w:rsid w:val="752D0AD9"/>
    <w:rsid w:val="752F0ACE"/>
    <w:rsid w:val="753A6E5F"/>
    <w:rsid w:val="75546644"/>
    <w:rsid w:val="755C7FA6"/>
    <w:rsid w:val="756A14B3"/>
    <w:rsid w:val="75815055"/>
    <w:rsid w:val="758C6C69"/>
    <w:rsid w:val="75931266"/>
    <w:rsid w:val="759A1D62"/>
    <w:rsid w:val="759E16C4"/>
    <w:rsid w:val="75A17B08"/>
    <w:rsid w:val="75A3688F"/>
    <w:rsid w:val="75C31342"/>
    <w:rsid w:val="75E23F2A"/>
    <w:rsid w:val="75FC4C21"/>
    <w:rsid w:val="76067942"/>
    <w:rsid w:val="76142BC8"/>
    <w:rsid w:val="76220CF4"/>
    <w:rsid w:val="762C7266"/>
    <w:rsid w:val="764F47A9"/>
    <w:rsid w:val="765C57B4"/>
    <w:rsid w:val="76624936"/>
    <w:rsid w:val="76692CAD"/>
    <w:rsid w:val="766F725C"/>
    <w:rsid w:val="769767EC"/>
    <w:rsid w:val="769C03BA"/>
    <w:rsid w:val="76A5715B"/>
    <w:rsid w:val="76B21AE8"/>
    <w:rsid w:val="76BE5DDB"/>
    <w:rsid w:val="76C43C71"/>
    <w:rsid w:val="76C45833"/>
    <w:rsid w:val="76C7021B"/>
    <w:rsid w:val="76D81919"/>
    <w:rsid w:val="76E35922"/>
    <w:rsid w:val="76F81A5D"/>
    <w:rsid w:val="76FB72D0"/>
    <w:rsid w:val="77094221"/>
    <w:rsid w:val="770A204C"/>
    <w:rsid w:val="77184E78"/>
    <w:rsid w:val="77226D00"/>
    <w:rsid w:val="77425036"/>
    <w:rsid w:val="7760149B"/>
    <w:rsid w:val="77695F38"/>
    <w:rsid w:val="77731088"/>
    <w:rsid w:val="779437BB"/>
    <w:rsid w:val="77B34070"/>
    <w:rsid w:val="77C20E07"/>
    <w:rsid w:val="77C85A23"/>
    <w:rsid w:val="77CC339C"/>
    <w:rsid w:val="77CF7C33"/>
    <w:rsid w:val="77E8589D"/>
    <w:rsid w:val="77FA641A"/>
    <w:rsid w:val="781C0220"/>
    <w:rsid w:val="78232A2D"/>
    <w:rsid w:val="78237BE5"/>
    <w:rsid w:val="783A38D3"/>
    <w:rsid w:val="7843265A"/>
    <w:rsid w:val="78481DBB"/>
    <w:rsid w:val="785A2808"/>
    <w:rsid w:val="7875412E"/>
    <w:rsid w:val="787A44C2"/>
    <w:rsid w:val="787B48AE"/>
    <w:rsid w:val="787C2CBF"/>
    <w:rsid w:val="787D71C2"/>
    <w:rsid w:val="788159C2"/>
    <w:rsid w:val="78851ACB"/>
    <w:rsid w:val="788E41B8"/>
    <w:rsid w:val="789B42E3"/>
    <w:rsid w:val="789F7357"/>
    <w:rsid w:val="78A903FE"/>
    <w:rsid w:val="78AF10BF"/>
    <w:rsid w:val="78C8304F"/>
    <w:rsid w:val="78D12BEE"/>
    <w:rsid w:val="78D573DA"/>
    <w:rsid w:val="78D863D1"/>
    <w:rsid w:val="78DD498A"/>
    <w:rsid w:val="78DF2E5D"/>
    <w:rsid w:val="78E904B6"/>
    <w:rsid w:val="78FA3DB3"/>
    <w:rsid w:val="78FA5E3D"/>
    <w:rsid w:val="78FE3883"/>
    <w:rsid w:val="79144124"/>
    <w:rsid w:val="7919798C"/>
    <w:rsid w:val="792E135E"/>
    <w:rsid w:val="79415E38"/>
    <w:rsid w:val="79464C25"/>
    <w:rsid w:val="79591E5B"/>
    <w:rsid w:val="795B1E95"/>
    <w:rsid w:val="795F2C09"/>
    <w:rsid w:val="799022FC"/>
    <w:rsid w:val="79992B6E"/>
    <w:rsid w:val="799B6B5A"/>
    <w:rsid w:val="799D44F9"/>
    <w:rsid w:val="79BE31CC"/>
    <w:rsid w:val="79BF0534"/>
    <w:rsid w:val="79C85CD9"/>
    <w:rsid w:val="79CA11DC"/>
    <w:rsid w:val="79DC19A7"/>
    <w:rsid w:val="79F3459F"/>
    <w:rsid w:val="79F77CCE"/>
    <w:rsid w:val="79FC2CB0"/>
    <w:rsid w:val="7A017138"/>
    <w:rsid w:val="7A095961"/>
    <w:rsid w:val="7A0E75FC"/>
    <w:rsid w:val="7A1563A6"/>
    <w:rsid w:val="7A210BCD"/>
    <w:rsid w:val="7A21106A"/>
    <w:rsid w:val="7A373D8F"/>
    <w:rsid w:val="7A5214CB"/>
    <w:rsid w:val="7A5D60F1"/>
    <w:rsid w:val="7A625ED8"/>
    <w:rsid w:val="7A6B0D66"/>
    <w:rsid w:val="7A7270AB"/>
    <w:rsid w:val="7A807CC3"/>
    <w:rsid w:val="7A8772A3"/>
    <w:rsid w:val="7A8E1220"/>
    <w:rsid w:val="7A9A1E68"/>
    <w:rsid w:val="7AA375BD"/>
    <w:rsid w:val="7AA84391"/>
    <w:rsid w:val="7AB001D5"/>
    <w:rsid w:val="7ABE31D1"/>
    <w:rsid w:val="7ABF07F0"/>
    <w:rsid w:val="7AC2652D"/>
    <w:rsid w:val="7AC62379"/>
    <w:rsid w:val="7ACA104C"/>
    <w:rsid w:val="7ACB02FA"/>
    <w:rsid w:val="7ACE1511"/>
    <w:rsid w:val="7ADA00E4"/>
    <w:rsid w:val="7ADA0D70"/>
    <w:rsid w:val="7ADB77D1"/>
    <w:rsid w:val="7AEA2E64"/>
    <w:rsid w:val="7AEF5982"/>
    <w:rsid w:val="7B1B51DF"/>
    <w:rsid w:val="7B21296D"/>
    <w:rsid w:val="7B214ED6"/>
    <w:rsid w:val="7B2166B9"/>
    <w:rsid w:val="7B2A209D"/>
    <w:rsid w:val="7B334B2E"/>
    <w:rsid w:val="7B433F79"/>
    <w:rsid w:val="7B515627"/>
    <w:rsid w:val="7B581FCF"/>
    <w:rsid w:val="7B5C0B86"/>
    <w:rsid w:val="7B5F3D7C"/>
    <w:rsid w:val="7B6569FF"/>
    <w:rsid w:val="7B705F89"/>
    <w:rsid w:val="7B767318"/>
    <w:rsid w:val="7B7B511B"/>
    <w:rsid w:val="7BAA4675"/>
    <w:rsid w:val="7BB13288"/>
    <w:rsid w:val="7BBF39F0"/>
    <w:rsid w:val="7BC57958"/>
    <w:rsid w:val="7BD834BB"/>
    <w:rsid w:val="7BE60252"/>
    <w:rsid w:val="7BED20CF"/>
    <w:rsid w:val="7BED3460"/>
    <w:rsid w:val="7BED4F50"/>
    <w:rsid w:val="7BF00305"/>
    <w:rsid w:val="7BFA33C9"/>
    <w:rsid w:val="7BFD5C79"/>
    <w:rsid w:val="7C193820"/>
    <w:rsid w:val="7C1E59E5"/>
    <w:rsid w:val="7C346DC2"/>
    <w:rsid w:val="7C360279"/>
    <w:rsid w:val="7C44130E"/>
    <w:rsid w:val="7C4B54ED"/>
    <w:rsid w:val="7C565413"/>
    <w:rsid w:val="7C5970FF"/>
    <w:rsid w:val="7C5B4942"/>
    <w:rsid w:val="7C5C4760"/>
    <w:rsid w:val="7C5F4699"/>
    <w:rsid w:val="7C777B41"/>
    <w:rsid w:val="7CA11C62"/>
    <w:rsid w:val="7CA80B9C"/>
    <w:rsid w:val="7CB43C54"/>
    <w:rsid w:val="7CB805AB"/>
    <w:rsid w:val="7CBB2592"/>
    <w:rsid w:val="7CBC44C1"/>
    <w:rsid w:val="7CC04823"/>
    <w:rsid w:val="7CC81F31"/>
    <w:rsid w:val="7CD010E3"/>
    <w:rsid w:val="7CF04C04"/>
    <w:rsid w:val="7CF8604B"/>
    <w:rsid w:val="7D026CDB"/>
    <w:rsid w:val="7D052A47"/>
    <w:rsid w:val="7D0F189C"/>
    <w:rsid w:val="7D176A41"/>
    <w:rsid w:val="7D2B3DE0"/>
    <w:rsid w:val="7D2D62D5"/>
    <w:rsid w:val="7D324BE3"/>
    <w:rsid w:val="7D336618"/>
    <w:rsid w:val="7D4E2E71"/>
    <w:rsid w:val="7D615540"/>
    <w:rsid w:val="7D654DE4"/>
    <w:rsid w:val="7D7465A0"/>
    <w:rsid w:val="7D79587A"/>
    <w:rsid w:val="7D7B5C4C"/>
    <w:rsid w:val="7D9F0875"/>
    <w:rsid w:val="7D9F5025"/>
    <w:rsid w:val="7DA42AF8"/>
    <w:rsid w:val="7DBA4CD5"/>
    <w:rsid w:val="7DE93DD1"/>
    <w:rsid w:val="7DF1015F"/>
    <w:rsid w:val="7DF173AE"/>
    <w:rsid w:val="7E023697"/>
    <w:rsid w:val="7E0D68B8"/>
    <w:rsid w:val="7E4F5A11"/>
    <w:rsid w:val="7E5D17F1"/>
    <w:rsid w:val="7E5F458E"/>
    <w:rsid w:val="7E714CEC"/>
    <w:rsid w:val="7E773AFC"/>
    <w:rsid w:val="7E7D4A13"/>
    <w:rsid w:val="7E7F44E2"/>
    <w:rsid w:val="7E8245C3"/>
    <w:rsid w:val="7E851E20"/>
    <w:rsid w:val="7E9453B8"/>
    <w:rsid w:val="7EAF78FB"/>
    <w:rsid w:val="7EB540E8"/>
    <w:rsid w:val="7EC871EC"/>
    <w:rsid w:val="7ECE3519"/>
    <w:rsid w:val="7EDE3F3C"/>
    <w:rsid w:val="7EDF1235"/>
    <w:rsid w:val="7F051FDB"/>
    <w:rsid w:val="7F2326F5"/>
    <w:rsid w:val="7F330FD8"/>
    <w:rsid w:val="7F3E1EFB"/>
    <w:rsid w:val="7F3F07EA"/>
    <w:rsid w:val="7F4F5EB6"/>
    <w:rsid w:val="7F5002B0"/>
    <w:rsid w:val="7F7F158B"/>
    <w:rsid w:val="7F85293C"/>
    <w:rsid w:val="7F852FCE"/>
    <w:rsid w:val="7F96733B"/>
    <w:rsid w:val="7F9A60E4"/>
    <w:rsid w:val="7F9C3A4F"/>
    <w:rsid w:val="7FA110B9"/>
    <w:rsid w:val="7FA73459"/>
    <w:rsid w:val="7FC5602F"/>
    <w:rsid w:val="7FCF0EE6"/>
    <w:rsid w:val="7FDD36D6"/>
    <w:rsid w:val="7FE61B40"/>
    <w:rsid w:val="7FEC78F7"/>
    <w:rsid w:val="7FF16F6D"/>
    <w:rsid w:val="7FF262FD"/>
    <w:rsid w:val="ADF88AAA"/>
    <w:rsid w:val="BF9DBC1B"/>
    <w:rsid w:val="CDBFA2B6"/>
    <w:rsid w:val="E4FEC2EB"/>
    <w:rsid w:val="FFB711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endarrow="open" endarrowwidth="narrow" endarrowlength="long"/>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uiPriority="99" w:name="HTML Typewriter"/>
    <w:lsdException w:qFormat="1" w:uiPriority="99"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qFormat="1" w:unhideWhenUsed="0" w:uiPriority="0" w:semiHidden="0"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0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63"/>
    <w:qFormat/>
    <w:uiPriority w:val="0"/>
    <w:pPr>
      <w:keepNext/>
      <w:keepLines/>
      <w:outlineLvl w:val="1"/>
    </w:pPr>
    <w:rPr>
      <w:rFonts w:ascii="Arial" w:hAnsi="Arial" w:eastAsia="黑体"/>
      <w:b/>
      <w:bCs/>
      <w:sz w:val="28"/>
      <w:szCs w:val="32"/>
    </w:rPr>
  </w:style>
  <w:style w:type="paragraph" w:styleId="4">
    <w:name w:val="heading 3"/>
    <w:basedOn w:val="1"/>
    <w:next w:val="1"/>
    <w:link w:val="196"/>
    <w:semiHidden/>
    <w:unhideWhenUsed/>
    <w:qFormat/>
    <w:uiPriority w:val="9"/>
    <w:pPr>
      <w:keepNext/>
      <w:keepLines/>
      <w:spacing w:before="260" w:after="260" w:line="416" w:lineRule="auto"/>
      <w:outlineLvl w:val="2"/>
    </w:pPr>
    <w:rPr>
      <w:b/>
      <w:bCs/>
      <w:sz w:val="32"/>
      <w:szCs w:val="32"/>
    </w:rPr>
  </w:style>
  <w:style w:type="character" w:default="1" w:styleId="40">
    <w:name w:val="Default Paragraph Font"/>
    <w:semiHidden/>
    <w:unhideWhenUsed/>
    <w:qFormat/>
    <w:uiPriority w:val="1"/>
  </w:style>
  <w:style w:type="table" w:default="1" w:styleId="3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5">
    <w:name w:val="List 3"/>
    <w:basedOn w:val="1"/>
    <w:qFormat/>
    <w:uiPriority w:val="0"/>
    <w:pPr>
      <w:spacing w:before="60" w:after="60" w:line="240" w:lineRule="auto"/>
      <w:ind w:left="0" w:leftChars="0" w:firstLine="0" w:firstLineChars="0"/>
      <w:jc w:val="center"/>
    </w:pPr>
    <w:rPr>
      <w:rFonts w:ascii="Times New Roman" w:hAnsi="Times New Roman"/>
      <w:sz w:val="21"/>
      <w:szCs w:val="24"/>
    </w:rPr>
  </w:style>
  <w:style w:type="paragraph" w:styleId="6">
    <w:name w:val="toc 7"/>
    <w:basedOn w:val="1"/>
    <w:next w:val="1"/>
    <w:semiHidden/>
    <w:qFormat/>
    <w:uiPriority w:val="0"/>
    <w:pPr>
      <w:ind w:left="1260"/>
      <w:jc w:val="left"/>
    </w:pPr>
    <w:rPr>
      <w:sz w:val="18"/>
      <w:szCs w:val="18"/>
    </w:rPr>
  </w:style>
  <w:style w:type="paragraph" w:styleId="7">
    <w:name w:val="Normal Indent"/>
    <w:basedOn w:val="1"/>
    <w:link w:val="93"/>
    <w:qFormat/>
    <w:uiPriority w:val="0"/>
    <w:pPr>
      <w:ind w:firstLine="420"/>
    </w:pPr>
    <w:rPr>
      <w:rFonts w:ascii="宋体"/>
      <w:kern w:val="0"/>
      <w:sz w:val="26"/>
      <w:szCs w:val="20"/>
    </w:rPr>
  </w:style>
  <w:style w:type="paragraph" w:styleId="8">
    <w:name w:val="Document Map"/>
    <w:basedOn w:val="1"/>
    <w:link w:val="89"/>
    <w:unhideWhenUsed/>
    <w:qFormat/>
    <w:uiPriority w:val="99"/>
    <w:rPr>
      <w:rFonts w:ascii="宋体"/>
      <w:sz w:val="18"/>
      <w:szCs w:val="18"/>
    </w:rPr>
  </w:style>
  <w:style w:type="paragraph" w:styleId="9">
    <w:name w:val="annotation text"/>
    <w:basedOn w:val="1"/>
    <w:link w:val="74"/>
    <w:qFormat/>
    <w:uiPriority w:val="99"/>
    <w:pPr>
      <w:jc w:val="left"/>
    </w:pPr>
  </w:style>
  <w:style w:type="paragraph" w:styleId="10">
    <w:name w:val="Salutation"/>
    <w:basedOn w:val="1"/>
    <w:next w:val="1"/>
    <w:unhideWhenUsed/>
    <w:qFormat/>
    <w:uiPriority w:val="99"/>
  </w:style>
  <w:style w:type="paragraph" w:styleId="11">
    <w:name w:val="Body Text"/>
    <w:basedOn w:val="1"/>
    <w:link w:val="254"/>
    <w:qFormat/>
    <w:uiPriority w:val="0"/>
    <w:pPr>
      <w:spacing w:after="120"/>
    </w:pPr>
  </w:style>
  <w:style w:type="paragraph" w:styleId="12">
    <w:name w:val="Body Text Indent"/>
    <w:basedOn w:val="1"/>
    <w:next w:val="1"/>
    <w:link w:val="203"/>
    <w:qFormat/>
    <w:uiPriority w:val="0"/>
    <w:pPr>
      <w:spacing w:after="120"/>
      <w:ind w:left="420" w:leftChars="200"/>
    </w:pPr>
    <w:rPr>
      <w:szCs w:val="24"/>
    </w:rPr>
  </w:style>
  <w:style w:type="paragraph" w:styleId="13">
    <w:name w:val="toc 5"/>
    <w:basedOn w:val="1"/>
    <w:next w:val="1"/>
    <w:semiHidden/>
    <w:qFormat/>
    <w:uiPriority w:val="0"/>
    <w:pPr>
      <w:ind w:left="840"/>
      <w:jc w:val="left"/>
    </w:pPr>
    <w:rPr>
      <w:sz w:val="18"/>
      <w:szCs w:val="18"/>
    </w:rPr>
  </w:style>
  <w:style w:type="paragraph" w:styleId="14">
    <w:name w:val="toc 3"/>
    <w:basedOn w:val="1"/>
    <w:next w:val="1"/>
    <w:semiHidden/>
    <w:qFormat/>
    <w:uiPriority w:val="0"/>
    <w:pPr>
      <w:ind w:left="420"/>
      <w:jc w:val="left"/>
    </w:pPr>
    <w:rPr>
      <w:i/>
      <w:iCs/>
      <w:sz w:val="20"/>
      <w:szCs w:val="20"/>
    </w:rPr>
  </w:style>
  <w:style w:type="paragraph" w:styleId="15">
    <w:name w:val="Plain Text"/>
    <w:basedOn w:val="1"/>
    <w:next w:val="10"/>
    <w:link w:val="87"/>
    <w:qFormat/>
    <w:uiPriority w:val="0"/>
    <w:rPr>
      <w:rFonts w:ascii="宋体" w:hAnsi="Courier New"/>
      <w:color w:val="000000"/>
      <w:kern w:val="0"/>
      <w:sz w:val="26"/>
      <w:szCs w:val="20"/>
    </w:rPr>
  </w:style>
  <w:style w:type="paragraph" w:styleId="16">
    <w:name w:val="toc 8"/>
    <w:basedOn w:val="1"/>
    <w:next w:val="1"/>
    <w:semiHidden/>
    <w:qFormat/>
    <w:uiPriority w:val="0"/>
    <w:pPr>
      <w:ind w:left="1470"/>
      <w:jc w:val="left"/>
    </w:pPr>
    <w:rPr>
      <w:sz w:val="18"/>
      <w:szCs w:val="18"/>
    </w:rPr>
  </w:style>
  <w:style w:type="paragraph" w:styleId="17">
    <w:name w:val="Date"/>
    <w:basedOn w:val="1"/>
    <w:next w:val="1"/>
    <w:qFormat/>
    <w:uiPriority w:val="0"/>
    <w:rPr>
      <w:sz w:val="24"/>
      <w:szCs w:val="20"/>
    </w:rPr>
  </w:style>
  <w:style w:type="paragraph" w:styleId="18">
    <w:name w:val="Body Text Indent 2"/>
    <w:basedOn w:val="1"/>
    <w:next w:val="19"/>
    <w:link w:val="237"/>
    <w:qFormat/>
    <w:uiPriority w:val="0"/>
    <w:pPr>
      <w:spacing w:after="120" w:line="480" w:lineRule="auto"/>
      <w:ind w:left="420" w:leftChars="200"/>
    </w:pPr>
    <w:rPr>
      <w:szCs w:val="24"/>
    </w:rPr>
  </w:style>
  <w:style w:type="paragraph" w:styleId="19">
    <w:name w:val="Body Text First Indent 2"/>
    <w:basedOn w:val="12"/>
    <w:next w:val="1"/>
    <w:link w:val="204"/>
    <w:unhideWhenUsed/>
    <w:qFormat/>
    <w:uiPriority w:val="0"/>
    <w:pPr>
      <w:ind w:firstLine="420" w:firstLineChars="200"/>
    </w:pPr>
  </w:style>
  <w:style w:type="paragraph" w:styleId="20">
    <w:name w:val="Balloon Text"/>
    <w:basedOn w:val="1"/>
    <w:link w:val="85"/>
    <w:unhideWhenUsed/>
    <w:qFormat/>
    <w:uiPriority w:val="99"/>
    <w:rPr>
      <w:kern w:val="0"/>
      <w:sz w:val="18"/>
      <w:szCs w:val="18"/>
    </w:rPr>
  </w:style>
  <w:style w:type="paragraph" w:styleId="21">
    <w:name w:val="footer"/>
    <w:basedOn w:val="1"/>
    <w:link w:val="90"/>
    <w:unhideWhenUsed/>
    <w:qFormat/>
    <w:uiPriority w:val="99"/>
    <w:pPr>
      <w:tabs>
        <w:tab w:val="center" w:pos="4153"/>
        <w:tab w:val="right" w:pos="8306"/>
      </w:tabs>
      <w:snapToGrid w:val="0"/>
      <w:jc w:val="left"/>
    </w:pPr>
    <w:rPr>
      <w:kern w:val="0"/>
      <w:sz w:val="18"/>
      <w:szCs w:val="18"/>
    </w:rPr>
  </w:style>
  <w:style w:type="paragraph" w:styleId="22">
    <w:name w:val="envelope return"/>
    <w:basedOn w:val="1"/>
    <w:qFormat/>
    <w:uiPriority w:val="0"/>
    <w:pPr>
      <w:snapToGrid w:val="0"/>
      <w:spacing w:line="500" w:lineRule="exact"/>
    </w:pPr>
    <w:rPr>
      <w:rFonts w:ascii="Arial" w:hAnsi="Arial" w:eastAsia="仿宋_GB2312" w:cs="Arial"/>
      <w:sz w:val="28"/>
      <w:szCs w:val="20"/>
    </w:rPr>
  </w:style>
  <w:style w:type="paragraph" w:styleId="23">
    <w:name w:val="header"/>
    <w:basedOn w:val="1"/>
    <w:link w:val="92"/>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4">
    <w:name w:val="toc 1"/>
    <w:basedOn w:val="1"/>
    <w:next w:val="1"/>
    <w:semiHidden/>
    <w:qFormat/>
    <w:uiPriority w:val="0"/>
    <w:pPr>
      <w:spacing w:before="120" w:after="120"/>
      <w:jc w:val="left"/>
    </w:pPr>
    <w:rPr>
      <w:b/>
      <w:bCs/>
      <w:caps/>
      <w:sz w:val="20"/>
      <w:szCs w:val="20"/>
    </w:rPr>
  </w:style>
  <w:style w:type="paragraph" w:styleId="25">
    <w:name w:val="toc 4"/>
    <w:basedOn w:val="1"/>
    <w:next w:val="1"/>
    <w:semiHidden/>
    <w:qFormat/>
    <w:uiPriority w:val="0"/>
    <w:pPr>
      <w:ind w:left="630"/>
      <w:jc w:val="left"/>
    </w:pPr>
    <w:rPr>
      <w:sz w:val="18"/>
      <w:szCs w:val="18"/>
    </w:rPr>
  </w:style>
  <w:style w:type="paragraph" w:styleId="26">
    <w:name w:val="toc 6"/>
    <w:basedOn w:val="1"/>
    <w:next w:val="1"/>
    <w:semiHidden/>
    <w:qFormat/>
    <w:uiPriority w:val="0"/>
    <w:pPr>
      <w:ind w:left="1050"/>
      <w:jc w:val="left"/>
    </w:pPr>
    <w:rPr>
      <w:sz w:val="18"/>
      <w:szCs w:val="18"/>
    </w:rPr>
  </w:style>
  <w:style w:type="paragraph" w:styleId="27">
    <w:name w:val="Body Text Indent 3"/>
    <w:basedOn w:val="1"/>
    <w:link w:val="81"/>
    <w:qFormat/>
    <w:uiPriority w:val="0"/>
    <w:pPr>
      <w:spacing w:after="120"/>
      <w:ind w:left="420" w:leftChars="200"/>
    </w:pPr>
    <w:rPr>
      <w:sz w:val="16"/>
      <w:szCs w:val="16"/>
    </w:rPr>
  </w:style>
  <w:style w:type="paragraph" w:styleId="28">
    <w:name w:val="toc 2"/>
    <w:basedOn w:val="1"/>
    <w:next w:val="1"/>
    <w:semiHidden/>
    <w:qFormat/>
    <w:uiPriority w:val="0"/>
    <w:pPr>
      <w:ind w:left="210"/>
      <w:jc w:val="left"/>
    </w:pPr>
    <w:rPr>
      <w:smallCaps/>
      <w:sz w:val="20"/>
      <w:szCs w:val="20"/>
    </w:rPr>
  </w:style>
  <w:style w:type="paragraph" w:styleId="29">
    <w:name w:val="toc 9"/>
    <w:basedOn w:val="1"/>
    <w:next w:val="1"/>
    <w:semiHidden/>
    <w:qFormat/>
    <w:uiPriority w:val="0"/>
    <w:pPr>
      <w:ind w:left="1680"/>
      <w:jc w:val="left"/>
    </w:pPr>
    <w:rPr>
      <w:sz w:val="18"/>
      <w:szCs w:val="18"/>
    </w:rPr>
  </w:style>
  <w:style w:type="paragraph" w:styleId="30">
    <w:name w:val="Body Text 2"/>
    <w:basedOn w:val="1"/>
    <w:qFormat/>
    <w:uiPriority w:val="0"/>
    <w:pPr>
      <w:spacing w:after="120" w:line="480" w:lineRule="auto"/>
    </w:pPr>
  </w:style>
  <w:style w:type="paragraph" w:styleId="31">
    <w:name w:val="HTML Preformatted"/>
    <w:basedOn w:val="1"/>
    <w:link w:val="8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kern w:val="0"/>
      <w:szCs w:val="21"/>
    </w:rPr>
  </w:style>
  <w:style w:type="paragraph" w:styleId="32">
    <w:name w:val="Normal (Web)"/>
    <w:basedOn w:val="1"/>
    <w:link w:val="234"/>
    <w:unhideWhenUsed/>
    <w:qFormat/>
    <w:uiPriority w:val="0"/>
    <w:pPr>
      <w:widowControl/>
      <w:spacing w:before="100" w:beforeAutospacing="1" w:after="100" w:afterAutospacing="1"/>
      <w:jc w:val="left"/>
    </w:pPr>
    <w:rPr>
      <w:rFonts w:ascii="宋体" w:hAnsi="宋体"/>
      <w:kern w:val="0"/>
      <w:sz w:val="24"/>
      <w:szCs w:val="24"/>
    </w:rPr>
  </w:style>
  <w:style w:type="paragraph" w:styleId="33">
    <w:name w:val="index 1"/>
    <w:basedOn w:val="1"/>
    <w:next w:val="1"/>
    <w:semiHidden/>
    <w:qFormat/>
    <w:uiPriority w:val="0"/>
    <w:pPr>
      <w:tabs>
        <w:tab w:val="left" w:pos="5580"/>
      </w:tabs>
      <w:spacing w:line="280" w:lineRule="exact"/>
    </w:pPr>
    <w:rPr>
      <w:rFonts w:ascii="宋体" w:hAnsi="宋体" w:cs="宋体"/>
      <w:spacing w:val="10"/>
      <w:szCs w:val="21"/>
    </w:rPr>
  </w:style>
  <w:style w:type="paragraph" w:styleId="34">
    <w:name w:val="Title"/>
    <w:basedOn w:val="1"/>
    <w:next w:val="1"/>
    <w:link w:val="83"/>
    <w:qFormat/>
    <w:uiPriority w:val="10"/>
    <w:pPr>
      <w:spacing w:before="240" w:after="60"/>
      <w:jc w:val="center"/>
      <w:outlineLvl w:val="0"/>
    </w:pPr>
    <w:rPr>
      <w:rFonts w:ascii="Cambria" w:hAnsi="Cambria"/>
      <w:b/>
      <w:bCs/>
      <w:sz w:val="32"/>
      <w:szCs w:val="32"/>
    </w:rPr>
  </w:style>
  <w:style w:type="paragraph" w:styleId="35">
    <w:name w:val="annotation subject"/>
    <w:basedOn w:val="9"/>
    <w:next w:val="9"/>
    <w:semiHidden/>
    <w:qFormat/>
    <w:uiPriority w:val="0"/>
    <w:rPr>
      <w:b/>
      <w:bCs/>
    </w:rPr>
  </w:style>
  <w:style w:type="paragraph" w:styleId="36">
    <w:name w:val="Body Text First Indent"/>
    <w:basedOn w:val="11"/>
    <w:link w:val="221"/>
    <w:qFormat/>
    <w:uiPriority w:val="0"/>
    <w:pPr>
      <w:ind w:firstLine="420" w:firstLineChars="100"/>
    </w:pPr>
    <w:rPr>
      <w:rFonts w:ascii="Calibri" w:hAnsi="Calibri"/>
      <w:szCs w:val="24"/>
    </w:rPr>
  </w:style>
  <w:style w:type="table" w:styleId="38">
    <w:name w:val="Table Grid"/>
    <w:basedOn w:val="37"/>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39">
    <w:name w:val="Table Grid 1"/>
    <w:basedOn w:val="37"/>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character" w:styleId="41">
    <w:name w:val="Strong"/>
    <w:qFormat/>
    <w:uiPriority w:val="0"/>
    <w:rPr>
      <w:b/>
      <w:bCs/>
    </w:rPr>
  </w:style>
  <w:style w:type="character" w:styleId="42">
    <w:name w:val="page number"/>
    <w:basedOn w:val="40"/>
    <w:qFormat/>
    <w:uiPriority w:val="0"/>
  </w:style>
  <w:style w:type="character" w:styleId="43">
    <w:name w:val="FollowedHyperlink"/>
    <w:unhideWhenUsed/>
    <w:qFormat/>
    <w:uiPriority w:val="99"/>
    <w:rPr>
      <w:color w:val="282828"/>
      <w:u w:val="none"/>
    </w:rPr>
  </w:style>
  <w:style w:type="character" w:styleId="44">
    <w:name w:val="Emphasis"/>
    <w:qFormat/>
    <w:uiPriority w:val="20"/>
    <w:rPr>
      <w:b/>
    </w:rPr>
  </w:style>
  <w:style w:type="character" w:styleId="45">
    <w:name w:val="HTML Definition"/>
    <w:unhideWhenUsed/>
    <w:qFormat/>
    <w:uiPriority w:val="99"/>
  </w:style>
  <w:style w:type="character" w:styleId="46">
    <w:name w:val="HTML Variable"/>
    <w:unhideWhenUsed/>
    <w:qFormat/>
    <w:uiPriority w:val="99"/>
  </w:style>
  <w:style w:type="character" w:styleId="47">
    <w:name w:val="Hyperlink"/>
    <w:unhideWhenUsed/>
    <w:qFormat/>
    <w:uiPriority w:val="99"/>
    <w:rPr>
      <w:color w:val="282828"/>
      <w:u w:val="none"/>
    </w:rPr>
  </w:style>
  <w:style w:type="character" w:styleId="48">
    <w:name w:val="HTML Code"/>
    <w:unhideWhenUsed/>
    <w:qFormat/>
    <w:uiPriority w:val="99"/>
    <w:rPr>
      <w:rFonts w:ascii="Courier New" w:hAnsi="Courier New"/>
      <w:sz w:val="20"/>
    </w:rPr>
  </w:style>
  <w:style w:type="character" w:styleId="49">
    <w:name w:val="annotation reference"/>
    <w:qFormat/>
    <w:uiPriority w:val="99"/>
    <w:rPr>
      <w:sz w:val="21"/>
      <w:szCs w:val="21"/>
    </w:rPr>
  </w:style>
  <w:style w:type="character" w:styleId="50">
    <w:name w:val="HTML Cite"/>
    <w:unhideWhenUsed/>
    <w:qFormat/>
    <w:uiPriority w:val="99"/>
  </w:style>
  <w:style w:type="character" w:styleId="51">
    <w:name w:val="HTML Keyboard"/>
    <w:unhideWhenUsed/>
    <w:qFormat/>
    <w:uiPriority w:val="99"/>
    <w:rPr>
      <w:rFonts w:ascii="Courier New" w:hAnsi="Courier New"/>
      <w:sz w:val="20"/>
    </w:rPr>
  </w:style>
  <w:style w:type="character" w:styleId="52">
    <w:name w:val="HTML Sample"/>
    <w:unhideWhenUsed/>
    <w:qFormat/>
    <w:uiPriority w:val="99"/>
    <w:rPr>
      <w:rFonts w:ascii="Courier New" w:hAnsi="Courier New"/>
    </w:rPr>
  </w:style>
  <w:style w:type="paragraph" w:customStyle="1" w:styleId="53">
    <w:name w:val="Default"/>
    <w:basedOn w:val="54"/>
    <w:link w:val="209"/>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54">
    <w:name w:val="标题2"/>
    <w:basedOn w:val="3"/>
    <w:next w:val="1"/>
    <w:qFormat/>
    <w:uiPriority w:val="0"/>
    <w:pPr>
      <w:numPr>
        <w:ilvl w:val="1"/>
        <w:numId w:val="1"/>
      </w:numPr>
      <w:spacing w:before="0" w:after="0" w:line="440" w:lineRule="exact"/>
    </w:pPr>
    <w:rPr>
      <w:kern w:val="0"/>
      <w:sz w:val="28"/>
    </w:rPr>
  </w:style>
  <w:style w:type="character" w:customStyle="1" w:styleId="55">
    <w:name w:val="weather"/>
    <w:basedOn w:val="40"/>
    <w:qFormat/>
    <w:uiPriority w:val="0"/>
  </w:style>
  <w:style w:type="character" w:customStyle="1" w:styleId="56">
    <w:name w:val="样式 (符号) 宋体 四号 加粗 Char"/>
    <w:link w:val="57"/>
    <w:qFormat/>
    <w:uiPriority w:val="0"/>
    <w:rPr>
      <w:rFonts w:hAnsi="宋体" w:eastAsia="宋体"/>
      <w:b/>
      <w:color w:val="000000"/>
      <w:sz w:val="24"/>
      <w:szCs w:val="28"/>
      <w:u w:color="000000"/>
      <w:lang w:val="en-US" w:eastAsia="zh-CN" w:bidi="ar-SA"/>
    </w:rPr>
  </w:style>
  <w:style w:type="paragraph" w:customStyle="1" w:styleId="57">
    <w:name w:val="样式 (符号) 宋体 四号 加粗"/>
    <w:basedOn w:val="1"/>
    <w:link w:val="56"/>
    <w:qFormat/>
    <w:uiPriority w:val="0"/>
    <w:pPr>
      <w:widowControl/>
      <w:spacing w:line="500" w:lineRule="exact"/>
      <w:ind w:firstLine="200" w:firstLineChars="200"/>
      <w:textAlignment w:val="baseline"/>
    </w:pPr>
    <w:rPr>
      <w:rFonts w:hAnsi="宋体"/>
      <w:b/>
      <w:color w:val="000000"/>
      <w:kern w:val="0"/>
      <w:sz w:val="24"/>
      <w:szCs w:val="28"/>
      <w:u w:color="000000"/>
    </w:rPr>
  </w:style>
  <w:style w:type="character" w:customStyle="1" w:styleId="58">
    <w:name w:val="正文1 Char"/>
    <w:link w:val="59"/>
    <w:qFormat/>
    <w:uiPriority w:val="0"/>
    <w:rPr>
      <w:rFonts w:eastAsia="宋体" w:cs="宋体"/>
      <w:spacing w:val="10"/>
      <w:kern w:val="2"/>
      <w:sz w:val="24"/>
      <w:szCs w:val="24"/>
      <w:lang w:val="en-US" w:eastAsia="zh-CN" w:bidi="ar-SA"/>
    </w:rPr>
  </w:style>
  <w:style w:type="paragraph" w:customStyle="1" w:styleId="59">
    <w:name w:val="正文1"/>
    <w:basedOn w:val="1"/>
    <w:link w:val="58"/>
    <w:qFormat/>
    <w:uiPriority w:val="0"/>
    <w:pPr>
      <w:adjustRightInd w:val="0"/>
      <w:spacing w:line="360" w:lineRule="auto"/>
      <w:ind w:firstLine="200" w:firstLineChars="200"/>
      <w:textAlignment w:val="baseline"/>
    </w:pPr>
    <w:rPr>
      <w:rFonts w:cs="宋体"/>
      <w:spacing w:val="10"/>
      <w:sz w:val="24"/>
      <w:szCs w:val="24"/>
    </w:rPr>
  </w:style>
  <w:style w:type="character" w:customStyle="1" w:styleId="60">
    <w:name w:val="state5"/>
    <w:qFormat/>
    <w:uiPriority w:val="0"/>
    <w:rPr>
      <w:color w:val="CF0303"/>
    </w:rPr>
  </w:style>
  <w:style w:type="character" w:customStyle="1" w:styleId="61">
    <w:name w:val="引用 Char"/>
    <w:link w:val="62"/>
    <w:qFormat/>
    <w:uiPriority w:val="0"/>
    <w:rPr>
      <w:iCs/>
      <w:color w:val="000000"/>
      <w:kern w:val="2"/>
      <w:sz w:val="21"/>
      <w:szCs w:val="21"/>
    </w:rPr>
  </w:style>
  <w:style w:type="paragraph" w:customStyle="1" w:styleId="62">
    <w:name w:val="引用1"/>
    <w:basedOn w:val="1"/>
    <w:next w:val="1"/>
    <w:link w:val="61"/>
    <w:qFormat/>
    <w:uiPriority w:val="0"/>
    <w:pPr>
      <w:spacing w:line="360" w:lineRule="exact"/>
      <w:jc w:val="center"/>
    </w:pPr>
    <w:rPr>
      <w:iCs/>
      <w:color w:val="000000"/>
      <w:szCs w:val="21"/>
    </w:rPr>
  </w:style>
  <w:style w:type="character" w:customStyle="1" w:styleId="63">
    <w:name w:val="标题 2 Char1"/>
    <w:link w:val="3"/>
    <w:qFormat/>
    <w:uiPriority w:val="0"/>
    <w:rPr>
      <w:rFonts w:ascii="Arial" w:hAnsi="Arial" w:eastAsia="黑体"/>
      <w:b/>
      <w:bCs/>
      <w:kern w:val="2"/>
      <w:sz w:val="28"/>
      <w:szCs w:val="32"/>
    </w:rPr>
  </w:style>
  <w:style w:type="character" w:customStyle="1" w:styleId="64">
    <w:name w:val="普通文字 Char3"/>
    <w:qFormat/>
    <w:uiPriority w:val="0"/>
    <w:rPr>
      <w:rFonts w:ascii="宋体" w:hAnsi="Courier New" w:eastAsia="宋体"/>
      <w:kern w:val="2"/>
      <w:lang w:val="en-US" w:eastAsia="zh-CN" w:bidi="ar-SA"/>
    </w:rPr>
  </w:style>
  <w:style w:type="character" w:customStyle="1" w:styleId="65">
    <w:name w:val="state3"/>
    <w:basedOn w:val="40"/>
    <w:qFormat/>
    <w:uiPriority w:val="0"/>
  </w:style>
  <w:style w:type="character" w:customStyle="1" w:styleId="66">
    <w:name w:val="Char Char8"/>
    <w:qFormat/>
    <w:uiPriority w:val="0"/>
    <w:rPr>
      <w:rFonts w:ascii="Arial" w:hAnsi="Arial" w:eastAsia="黑体"/>
      <w:b/>
      <w:bCs/>
      <w:kern w:val="2"/>
      <w:sz w:val="28"/>
      <w:szCs w:val="32"/>
      <w:lang w:val="en-US" w:eastAsia="zh-CN" w:bidi="ar-SA"/>
    </w:rPr>
  </w:style>
  <w:style w:type="character" w:customStyle="1" w:styleId="67">
    <w:name w:val="end2"/>
    <w:qFormat/>
    <w:uiPriority w:val="0"/>
    <w:rPr>
      <w:color w:val="03CA1B"/>
    </w:rPr>
  </w:style>
  <w:style w:type="character" w:customStyle="1" w:styleId="68">
    <w:name w:val="图表标注 Char"/>
    <w:link w:val="69"/>
    <w:qFormat/>
    <w:uiPriority w:val="0"/>
    <w:rPr>
      <w:rFonts w:ascii="Times New Roman" w:eastAsia="黑体"/>
    </w:rPr>
  </w:style>
  <w:style w:type="paragraph" w:customStyle="1" w:styleId="69">
    <w:name w:val="图表标注"/>
    <w:basedOn w:val="1"/>
    <w:link w:val="68"/>
    <w:qFormat/>
    <w:uiPriority w:val="0"/>
    <w:pPr>
      <w:spacing w:line="480" w:lineRule="exact"/>
      <w:jc w:val="center"/>
    </w:pPr>
    <w:rPr>
      <w:rFonts w:eastAsia="黑体"/>
      <w:kern w:val="0"/>
      <w:sz w:val="20"/>
      <w:szCs w:val="20"/>
    </w:rPr>
  </w:style>
  <w:style w:type="character" w:customStyle="1" w:styleId="70">
    <w:name w:val="样式1 Char"/>
    <w:link w:val="71"/>
    <w:qFormat/>
    <w:uiPriority w:val="0"/>
    <w:rPr>
      <w:rFonts w:eastAsia="宋体"/>
      <w:kern w:val="2"/>
      <w:sz w:val="24"/>
      <w:szCs w:val="28"/>
      <w:lang w:val="en-US" w:eastAsia="zh-CN" w:bidi="ar-SA"/>
    </w:rPr>
  </w:style>
  <w:style w:type="paragraph" w:customStyle="1" w:styleId="71">
    <w:name w:val="样式1"/>
    <w:basedOn w:val="7"/>
    <w:link w:val="70"/>
    <w:qFormat/>
    <w:uiPriority w:val="0"/>
    <w:pPr>
      <w:spacing w:line="500" w:lineRule="exact"/>
      <w:ind w:firstLine="200" w:firstLineChars="200"/>
    </w:pPr>
    <w:rPr>
      <w:rFonts w:ascii="Times New Roman"/>
      <w:kern w:val="2"/>
      <w:sz w:val="24"/>
      <w:szCs w:val="28"/>
    </w:rPr>
  </w:style>
  <w:style w:type="character" w:customStyle="1" w:styleId="72">
    <w:name w:val="三级标题 Char"/>
    <w:link w:val="73"/>
    <w:qFormat/>
    <w:uiPriority w:val="0"/>
    <w:rPr>
      <w:rFonts w:eastAsia="宋体"/>
      <w:b/>
      <w:kern w:val="2"/>
      <w:sz w:val="24"/>
      <w:szCs w:val="24"/>
      <w:lang w:val="en-US" w:eastAsia="zh-CN" w:bidi="ar-SA"/>
    </w:rPr>
  </w:style>
  <w:style w:type="paragraph" w:customStyle="1" w:styleId="73">
    <w:name w:val="三级标题"/>
    <w:basedOn w:val="1"/>
    <w:link w:val="72"/>
    <w:qFormat/>
    <w:uiPriority w:val="0"/>
    <w:pPr>
      <w:spacing w:before="300" w:line="460" w:lineRule="exact"/>
      <w:outlineLvl w:val="2"/>
    </w:pPr>
    <w:rPr>
      <w:b/>
      <w:sz w:val="24"/>
      <w:szCs w:val="24"/>
    </w:rPr>
  </w:style>
  <w:style w:type="character" w:customStyle="1" w:styleId="74">
    <w:name w:val="批注文字 Char"/>
    <w:link w:val="9"/>
    <w:qFormat/>
    <w:uiPriority w:val="99"/>
    <w:rPr>
      <w:kern w:val="2"/>
      <w:sz w:val="21"/>
      <w:szCs w:val="22"/>
    </w:rPr>
  </w:style>
  <w:style w:type="character" w:customStyle="1" w:styleId="75">
    <w:name w:val="state4"/>
    <w:basedOn w:val="40"/>
    <w:qFormat/>
    <w:uiPriority w:val="0"/>
  </w:style>
  <w:style w:type="character" w:customStyle="1" w:styleId="76">
    <w:name w:val="普通文字 Char2"/>
    <w:qFormat/>
    <w:uiPriority w:val="0"/>
    <w:rPr>
      <w:rFonts w:ascii="宋体" w:hAnsi="Courier New" w:eastAsia="宋体"/>
      <w:color w:val="000000"/>
      <w:kern w:val="2"/>
      <w:sz w:val="26"/>
      <w:lang w:val="en-US" w:eastAsia="zh-CN" w:bidi="ar-SA"/>
    </w:rPr>
  </w:style>
  <w:style w:type="character" w:customStyle="1" w:styleId="77">
    <w:name w:val="num"/>
    <w:basedOn w:val="40"/>
    <w:qFormat/>
    <w:uiPriority w:val="0"/>
  </w:style>
  <w:style w:type="character" w:customStyle="1" w:styleId="78">
    <w:name w:val="department1"/>
    <w:basedOn w:val="40"/>
    <w:qFormat/>
    <w:uiPriority w:val="0"/>
  </w:style>
  <w:style w:type="character" w:customStyle="1" w:styleId="79">
    <w:name w:val="end"/>
    <w:qFormat/>
    <w:uiPriority w:val="0"/>
    <w:rPr>
      <w:color w:val="03CA1B"/>
    </w:rPr>
  </w:style>
  <w:style w:type="character" w:customStyle="1" w:styleId="80">
    <w:name w:val="HTML 预设格式 Char"/>
    <w:link w:val="31"/>
    <w:qFormat/>
    <w:uiPriority w:val="0"/>
    <w:rPr>
      <w:rFonts w:ascii="Arial" w:hAnsi="Arial" w:cs="Arial"/>
      <w:sz w:val="21"/>
      <w:szCs w:val="21"/>
    </w:rPr>
  </w:style>
  <w:style w:type="character" w:customStyle="1" w:styleId="81">
    <w:name w:val="正文文本缩进 3 Char"/>
    <w:link w:val="27"/>
    <w:qFormat/>
    <w:uiPriority w:val="0"/>
    <w:rPr>
      <w:rFonts w:ascii="Times New Roman" w:hAnsi="Times New Roman"/>
      <w:kern w:val="2"/>
      <w:sz w:val="16"/>
      <w:szCs w:val="16"/>
    </w:rPr>
  </w:style>
  <w:style w:type="character" w:customStyle="1" w:styleId="82">
    <w:name w:val="标题 2 Char"/>
    <w:qFormat/>
    <w:uiPriority w:val="0"/>
    <w:rPr>
      <w:rFonts w:ascii="Arial" w:hAnsi="Arial" w:eastAsia="黑体"/>
      <w:b/>
      <w:bCs/>
      <w:kern w:val="2"/>
      <w:sz w:val="28"/>
      <w:szCs w:val="32"/>
    </w:rPr>
  </w:style>
  <w:style w:type="character" w:customStyle="1" w:styleId="83">
    <w:name w:val="标题 Char"/>
    <w:link w:val="34"/>
    <w:qFormat/>
    <w:uiPriority w:val="10"/>
    <w:rPr>
      <w:rFonts w:ascii="Cambria" w:hAnsi="Cambria" w:cs="Times New Roman"/>
      <w:b/>
      <w:bCs/>
      <w:kern w:val="2"/>
      <w:sz w:val="32"/>
      <w:szCs w:val="32"/>
    </w:rPr>
  </w:style>
  <w:style w:type="character" w:customStyle="1" w:styleId="84">
    <w:name w:val="state2"/>
    <w:qFormat/>
    <w:uiPriority w:val="0"/>
    <w:rPr>
      <w:color w:val="CF0303"/>
    </w:rPr>
  </w:style>
  <w:style w:type="character" w:customStyle="1" w:styleId="85">
    <w:name w:val="批注框文本 Char"/>
    <w:link w:val="20"/>
    <w:semiHidden/>
    <w:qFormat/>
    <w:uiPriority w:val="99"/>
    <w:rPr>
      <w:sz w:val="18"/>
      <w:szCs w:val="18"/>
    </w:rPr>
  </w:style>
  <w:style w:type="character" w:customStyle="1" w:styleId="86">
    <w:name w:val="txt_color"/>
    <w:qFormat/>
    <w:uiPriority w:val="0"/>
    <w:rPr>
      <w:color w:val="C0C0C0"/>
    </w:rPr>
  </w:style>
  <w:style w:type="character" w:customStyle="1" w:styleId="87">
    <w:name w:val="纯文本 Char1"/>
    <w:link w:val="15"/>
    <w:qFormat/>
    <w:uiPriority w:val="0"/>
    <w:rPr>
      <w:rFonts w:ascii="宋体" w:hAnsi="Courier New" w:eastAsia="宋体" w:cs="Times New Roman"/>
      <w:color w:val="000000"/>
      <w:sz w:val="26"/>
      <w:szCs w:val="20"/>
    </w:rPr>
  </w:style>
  <w:style w:type="character" w:customStyle="1" w:styleId="88">
    <w:name w:val="name"/>
    <w:basedOn w:val="40"/>
    <w:qFormat/>
    <w:uiPriority w:val="0"/>
  </w:style>
  <w:style w:type="character" w:customStyle="1" w:styleId="89">
    <w:name w:val="文档结构图 Char1"/>
    <w:link w:val="8"/>
    <w:semiHidden/>
    <w:qFormat/>
    <w:uiPriority w:val="99"/>
    <w:rPr>
      <w:rFonts w:ascii="宋体"/>
      <w:kern w:val="2"/>
      <w:sz w:val="18"/>
      <w:szCs w:val="18"/>
    </w:rPr>
  </w:style>
  <w:style w:type="character" w:customStyle="1" w:styleId="90">
    <w:name w:val="页脚 Char"/>
    <w:link w:val="21"/>
    <w:qFormat/>
    <w:uiPriority w:val="99"/>
    <w:rPr>
      <w:sz w:val="18"/>
      <w:szCs w:val="18"/>
    </w:rPr>
  </w:style>
  <w:style w:type="character" w:customStyle="1" w:styleId="91">
    <w:name w:val="apple-converted-space"/>
    <w:basedOn w:val="40"/>
    <w:qFormat/>
    <w:uiPriority w:val="0"/>
  </w:style>
  <w:style w:type="character" w:customStyle="1" w:styleId="92">
    <w:name w:val="页眉 Char"/>
    <w:link w:val="23"/>
    <w:qFormat/>
    <w:uiPriority w:val="99"/>
    <w:rPr>
      <w:sz w:val="18"/>
      <w:szCs w:val="18"/>
    </w:rPr>
  </w:style>
  <w:style w:type="character" w:customStyle="1" w:styleId="93">
    <w:name w:val="正文缩进 Char"/>
    <w:link w:val="7"/>
    <w:qFormat/>
    <w:uiPriority w:val="0"/>
    <w:rPr>
      <w:rFonts w:ascii="宋体" w:hAnsi="Times New Roman" w:eastAsia="宋体" w:cs="Times New Roman"/>
      <w:sz w:val="26"/>
      <w:szCs w:val="20"/>
    </w:rPr>
  </w:style>
  <w:style w:type="character" w:customStyle="1" w:styleId="94">
    <w:name w:val="end1"/>
    <w:qFormat/>
    <w:uiPriority w:val="0"/>
    <w:rPr>
      <w:color w:val="03CA1B"/>
    </w:rPr>
  </w:style>
  <w:style w:type="character" w:customStyle="1" w:styleId="95">
    <w:name w:val="文档结构图 Char"/>
    <w:qFormat/>
    <w:uiPriority w:val="0"/>
    <w:rPr>
      <w:rFonts w:ascii="宋体"/>
      <w:kern w:val="2"/>
      <w:sz w:val="18"/>
      <w:szCs w:val="18"/>
    </w:rPr>
  </w:style>
  <w:style w:type="character" w:customStyle="1" w:styleId="96">
    <w:name w:val="正文(首行缩进) Char1"/>
    <w:link w:val="97"/>
    <w:qFormat/>
    <w:uiPriority w:val="0"/>
    <w:rPr>
      <w:rFonts w:ascii="宋体"/>
      <w:snapToGrid w:val="0"/>
      <w:sz w:val="24"/>
      <w:szCs w:val="24"/>
      <w:lang w:bidi="ar-SA"/>
    </w:rPr>
  </w:style>
  <w:style w:type="paragraph" w:customStyle="1" w:styleId="97">
    <w:name w:val="正文(首行缩进)"/>
    <w:basedOn w:val="1"/>
    <w:link w:val="96"/>
    <w:qFormat/>
    <w:uiPriority w:val="0"/>
    <w:pPr>
      <w:spacing w:line="360" w:lineRule="auto"/>
      <w:ind w:firstLine="480" w:firstLineChars="200"/>
    </w:pPr>
    <w:rPr>
      <w:rFonts w:ascii="宋体"/>
      <w:snapToGrid w:val="0"/>
      <w:kern w:val="0"/>
      <w:sz w:val="24"/>
      <w:szCs w:val="24"/>
    </w:rPr>
  </w:style>
  <w:style w:type="character" w:customStyle="1" w:styleId="98">
    <w:name w:val="15"/>
    <w:qFormat/>
    <w:uiPriority w:val="0"/>
    <w:rPr>
      <w:rFonts w:hint="default" w:ascii="Times New Roman" w:hAnsi="Times New Roman" w:cs="Times New Roman"/>
      <w:color w:val="0000FF"/>
      <w:sz w:val="20"/>
      <w:szCs w:val="20"/>
      <w:u w:val="single"/>
    </w:rPr>
  </w:style>
  <w:style w:type="character" w:customStyle="1" w:styleId="99">
    <w:name w:val="doc_title"/>
    <w:basedOn w:val="40"/>
    <w:qFormat/>
    <w:uiPriority w:val="0"/>
  </w:style>
  <w:style w:type="character" w:customStyle="1" w:styleId="100">
    <w:name w:val="state"/>
    <w:qFormat/>
    <w:uiPriority w:val="0"/>
    <w:rPr>
      <w:color w:val="CF0303"/>
    </w:rPr>
  </w:style>
  <w:style w:type="character" w:customStyle="1" w:styleId="101">
    <w:name w:val="样式 宋体 小四 Char"/>
    <w:link w:val="102"/>
    <w:qFormat/>
    <w:uiPriority w:val="0"/>
    <w:rPr>
      <w:rFonts w:eastAsia="宋体"/>
      <w:color w:val="000000"/>
      <w:sz w:val="24"/>
      <w:u w:color="000000"/>
      <w:lang w:val="en-US" w:eastAsia="zh-CN" w:bidi="ar-SA"/>
    </w:rPr>
  </w:style>
  <w:style w:type="paragraph" w:customStyle="1" w:styleId="102">
    <w:name w:val="样式 宋体 小四"/>
    <w:basedOn w:val="1"/>
    <w:link w:val="101"/>
    <w:qFormat/>
    <w:uiPriority w:val="0"/>
    <w:pPr>
      <w:widowControl/>
      <w:spacing w:line="500" w:lineRule="exact"/>
      <w:ind w:firstLine="200" w:firstLineChars="200"/>
      <w:textAlignment w:val="baseline"/>
    </w:pPr>
    <w:rPr>
      <w:color w:val="000000"/>
      <w:kern w:val="0"/>
      <w:sz w:val="24"/>
      <w:szCs w:val="20"/>
      <w:u w:color="000000"/>
    </w:rPr>
  </w:style>
  <w:style w:type="character" w:customStyle="1" w:styleId="103">
    <w:name w:val="纯文本 Char"/>
    <w:qFormat/>
    <w:uiPriority w:val="99"/>
    <w:rPr>
      <w:rFonts w:ascii="宋体" w:hAnsi="Courier New" w:eastAsia="宋体" w:cs="Times New Roman"/>
      <w:color w:val="000000"/>
      <w:sz w:val="26"/>
      <w:szCs w:val="20"/>
    </w:rPr>
  </w:style>
  <w:style w:type="character" w:customStyle="1" w:styleId="104">
    <w:name w:val="标题 1 Char"/>
    <w:link w:val="2"/>
    <w:qFormat/>
    <w:uiPriority w:val="9"/>
    <w:rPr>
      <w:b/>
      <w:bCs/>
      <w:kern w:val="44"/>
      <w:sz w:val="44"/>
      <w:szCs w:val="44"/>
    </w:rPr>
  </w:style>
  <w:style w:type="character" w:customStyle="1" w:styleId="105">
    <w:name w:val="state1"/>
    <w:basedOn w:val="40"/>
    <w:qFormat/>
    <w:uiPriority w:val="0"/>
  </w:style>
  <w:style w:type="character" w:customStyle="1" w:styleId="106">
    <w:name w:val="gl"/>
    <w:qFormat/>
    <w:uiPriority w:val="0"/>
    <w:rPr>
      <w:rFonts w:ascii="Verdana" w:hAnsi="Verdana" w:eastAsia="仿宋_GB2312" w:cs="”“Times New Roman”“"/>
      <w:kern w:val="0"/>
      <w:sz w:val="28"/>
      <w:szCs w:val="28"/>
      <w:lang w:eastAsia="en-US"/>
    </w:rPr>
  </w:style>
  <w:style w:type="character" w:customStyle="1" w:styleId="107">
    <w:name w:val="num1"/>
    <w:basedOn w:val="40"/>
    <w:qFormat/>
    <w:uiPriority w:val="0"/>
  </w:style>
  <w:style w:type="character" w:customStyle="1" w:styleId="108">
    <w:name w:val="department"/>
    <w:basedOn w:val="40"/>
    <w:qFormat/>
    <w:uiPriority w:val="0"/>
  </w:style>
  <w:style w:type="character" w:customStyle="1" w:styleId="109">
    <w:name w:val="font31"/>
    <w:qFormat/>
    <w:uiPriority w:val="0"/>
    <w:rPr>
      <w:rFonts w:hint="default" w:ascii="Calibri" w:hAnsi="Calibri" w:eastAsia="仿宋_GB2312" w:cs="”“Times New Roman”“"/>
      <w:color w:val="000000"/>
      <w:kern w:val="0"/>
      <w:sz w:val="21"/>
      <w:szCs w:val="21"/>
      <w:u w:val="none"/>
      <w:vertAlign w:val="superscript"/>
      <w:lang w:eastAsia="en-US"/>
    </w:rPr>
  </w:style>
  <w:style w:type="paragraph" w:customStyle="1" w:styleId="110">
    <w:name w:val="表格正文"/>
    <w:basedOn w:val="1"/>
    <w:next w:val="1"/>
    <w:link w:val="193"/>
    <w:qFormat/>
    <w:uiPriority w:val="0"/>
    <w:pPr>
      <w:spacing w:line="360" w:lineRule="exact"/>
      <w:jc w:val="center"/>
    </w:pPr>
    <w:rPr>
      <w:szCs w:val="20"/>
    </w:rPr>
  </w:style>
  <w:style w:type="paragraph" w:customStyle="1" w:styleId="111">
    <w:name w:val="p22"/>
    <w:basedOn w:val="1"/>
    <w:qFormat/>
    <w:uiPriority w:val="0"/>
    <w:pPr>
      <w:widowControl/>
      <w:spacing w:before="100" w:after="100"/>
      <w:jc w:val="center"/>
    </w:pPr>
    <w:rPr>
      <w:rFonts w:ascii="宋体" w:hAnsi="宋体" w:cs="宋体"/>
      <w:color w:val="000000"/>
      <w:kern w:val="0"/>
      <w:sz w:val="24"/>
      <w:szCs w:val="24"/>
    </w:rPr>
  </w:style>
  <w:style w:type="paragraph" w:customStyle="1" w:styleId="112">
    <w:name w:val="reader-word-layer reader-word-s6-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3">
    <w:name w:val="纯文本1"/>
    <w:basedOn w:val="1"/>
    <w:qFormat/>
    <w:uiPriority w:val="0"/>
    <w:pPr>
      <w:spacing w:line="480" w:lineRule="exact"/>
      <w:ind w:firstLine="480" w:firstLineChars="200"/>
    </w:pPr>
    <w:rPr>
      <w:rFonts w:ascii="宋体" w:hAnsi="Courier New"/>
      <w:kern w:val="0"/>
      <w:sz w:val="20"/>
      <w:szCs w:val="20"/>
    </w:rPr>
  </w:style>
  <w:style w:type="paragraph" w:customStyle="1" w:styleId="114">
    <w:name w:val="_Style 70"/>
    <w:basedOn w:val="1"/>
    <w:qFormat/>
    <w:uiPriority w:val="0"/>
    <w:rPr>
      <w:rFonts w:eastAsia="仿宋_GB2312"/>
      <w:sz w:val="28"/>
      <w:szCs w:val="20"/>
    </w:rPr>
  </w:style>
  <w:style w:type="paragraph" w:customStyle="1" w:styleId="115">
    <w:name w:val="p0"/>
    <w:basedOn w:val="1"/>
    <w:qFormat/>
    <w:uiPriority w:val="0"/>
    <w:pPr>
      <w:widowControl/>
    </w:pPr>
    <w:rPr>
      <w:kern w:val="0"/>
      <w:szCs w:val="21"/>
    </w:rPr>
  </w:style>
  <w:style w:type="paragraph" w:customStyle="1" w:styleId="116">
    <w:name w:val="样式 样式 标题 3 + 段前: 0.5 行 段后: 0.5 行1 + 宋体 段前: 0.5 行 段后: 0.5 行"/>
    <w:basedOn w:val="1"/>
    <w:qFormat/>
    <w:uiPriority w:val="0"/>
    <w:pPr>
      <w:keepNext/>
      <w:keepLines/>
      <w:adjustRightInd w:val="0"/>
      <w:snapToGrid w:val="0"/>
      <w:spacing w:beforeLines="50" w:line="360" w:lineRule="auto"/>
      <w:ind w:firstLine="482" w:firstLineChars="200"/>
      <w:jc w:val="left"/>
      <w:outlineLvl w:val="2"/>
    </w:pPr>
    <w:rPr>
      <w:b/>
      <w:kern w:val="44"/>
      <w:sz w:val="24"/>
      <w:szCs w:val="24"/>
    </w:rPr>
  </w:style>
  <w:style w:type="paragraph" w:customStyle="1" w:styleId="117">
    <w:name w:val="Char Char Char Char"/>
    <w:basedOn w:val="1"/>
    <w:qFormat/>
    <w:uiPriority w:val="0"/>
    <w:pPr>
      <w:spacing w:line="360" w:lineRule="auto"/>
      <w:ind w:firstLine="200" w:firstLineChars="200"/>
    </w:pPr>
    <w:rPr>
      <w:rFonts w:ascii="宋体" w:hAnsi="宋体" w:cs="宋体"/>
      <w:sz w:val="24"/>
      <w:szCs w:val="24"/>
    </w:rPr>
  </w:style>
  <w:style w:type="paragraph" w:customStyle="1" w:styleId="118">
    <w:name w:val="reader-word-layer reader-word-s1-2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9">
    <w:name w:val="表头"/>
    <w:basedOn w:val="1"/>
    <w:next w:val="1"/>
    <w:qFormat/>
    <w:uiPriority w:val="0"/>
    <w:pPr>
      <w:keepNext/>
      <w:snapToGrid w:val="0"/>
      <w:spacing w:before="60" w:after="60" w:line="400" w:lineRule="atLeast"/>
      <w:jc w:val="center"/>
    </w:pPr>
    <w:rPr>
      <w:rFonts w:hint="eastAsia" w:ascii="黑体" w:eastAsia="黑体"/>
      <w:spacing w:val="10"/>
      <w:w w:val="90"/>
      <w:kern w:val="21"/>
      <w:sz w:val="24"/>
      <w:szCs w:val="20"/>
    </w:rPr>
  </w:style>
  <w:style w:type="paragraph" w:customStyle="1" w:styleId="120">
    <w:name w:val="reader-word-layer reader-word-s1-1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1">
    <w:name w:val="样式 表格正文 + 黑色 段后: 0.1 行 行距: 最小值 12 磅"/>
    <w:basedOn w:val="1"/>
    <w:qFormat/>
    <w:uiPriority w:val="0"/>
    <w:pPr>
      <w:spacing w:line="360" w:lineRule="atLeast"/>
      <w:jc w:val="center"/>
    </w:pPr>
    <w:rPr>
      <w:rFonts w:hint="eastAsia"/>
      <w:color w:val="000000"/>
      <w:szCs w:val="20"/>
    </w:rPr>
  </w:style>
  <w:style w:type="paragraph" w:customStyle="1" w:styleId="122">
    <w:name w:val="样式13"/>
    <w:basedOn w:val="1"/>
    <w:qFormat/>
    <w:uiPriority w:val="0"/>
    <w:pPr>
      <w:spacing w:line="360" w:lineRule="auto"/>
      <w:ind w:firstLine="480" w:firstLineChars="200"/>
    </w:pPr>
    <w:rPr>
      <w:color w:val="000000"/>
      <w:sz w:val="24"/>
      <w:szCs w:val="24"/>
    </w:rPr>
  </w:style>
  <w:style w:type="paragraph" w:customStyle="1" w:styleId="123">
    <w:name w:val="reader-word-layer reader-word-s4-1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4">
    <w:name w:val="xl59"/>
    <w:basedOn w:val="1"/>
    <w:qFormat/>
    <w:uiPriority w:val="0"/>
    <w:pPr>
      <w:widowControl/>
      <w:pBdr>
        <w:bottom w:val="single" w:color="auto" w:sz="8" w:space="0"/>
        <w:right w:val="single" w:color="000000" w:sz="8" w:space="0"/>
      </w:pBdr>
      <w:spacing w:before="100" w:beforeAutospacing="1" w:after="100" w:afterAutospacing="1"/>
      <w:textAlignment w:val="top"/>
    </w:pPr>
    <w:rPr>
      <w:rFonts w:ascii="Arial Unicode MS" w:hAnsi="Arial Unicode MS" w:eastAsia="Arial Unicode MS" w:cs="Arial Unicode MS"/>
      <w:kern w:val="0"/>
      <w:szCs w:val="21"/>
    </w:rPr>
  </w:style>
  <w:style w:type="paragraph" w:customStyle="1" w:styleId="125">
    <w:name w:val="xl26"/>
    <w:basedOn w:val="1"/>
    <w:qFormat/>
    <w:uiPriority w:val="0"/>
    <w:pPr>
      <w:widowControl/>
      <w:spacing w:before="100" w:after="100"/>
      <w:jc w:val="center"/>
    </w:pPr>
    <w:rPr>
      <w:rFonts w:ascii="宋体"/>
      <w:color w:val="000000"/>
      <w:kern w:val="0"/>
      <w:sz w:val="24"/>
      <w:szCs w:val="20"/>
    </w:rPr>
  </w:style>
  <w:style w:type="paragraph" w:customStyle="1" w:styleId="126">
    <w:name w:val="reader-word-layer reader-word-s6-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7">
    <w:name w:val="1标题2级"/>
    <w:basedOn w:val="1"/>
    <w:qFormat/>
    <w:uiPriority w:val="0"/>
    <w:pPr>
      <w:keepNext/>
      <w:snapToGrid w:val="0"/>
      <w:spacing w:line="420" w:lineRule="auto"/>
      <w:outlineLvl w:val="1"/>
    </w:pPr>
    <w:rPr>
      <w:rFonts w:eastAsia="黑体"/>
      <w:b/>
      <w:sz w:val="28"/>
      <w:szCs w:val="20"/>
    </w:rPr>
  </w:style>
  <w:style w:type="paragraph" w:customStyle="1" w:styleId="128">
    <w:name w:val="小四表格"/>
    <w:basedOn w:val="1"/>
    <w:qFormat/>
    <w:uiPriority w:val="0"/>
    <w:pPr>
      <w:jc w:val="center"/>
    </w:pPr>
    <w:rPr>
      <w:kern w:val="0"/>
      <w:sz w:val="24"/>
      <w:szCs w:val="20"/>
    </w:rPr>
  </w:style>
  <w:style w:type="paragraph" w:customStyle="1" w:styleId="129">
    <w:name w:val="Char"/>
    <w:basedOn w:val="1"/>
    <w:qFormat/>
    <w:uiPriority w:val="0"/>
    <w:pPr>
      <w:widowControl/>
      <w:spacing w:after="160"/>
      <w:jc w:val="left"/>
    </w:pPr>
    <w:rPr>
      <w:rFonts w:ascii="Verdana" w:hAnsi="Verdana" w:eastAsia="仿宋_GB2312" w:cs="”“Times New Roman”“"/>
      <w:kern w:val="0"/>
      <w:sz w:val="28"/>
      <w:szCs w:val="28"/>
      <w:lang w:eastAsia="en-US"/>
    </w:rPr>
  </w:style>
  <w:style w:type="paragraph" w:customStyle="1" w:styleId="130">
    <w:name w:val="首行缩进:  2 字符"/>
    <w:basedOn w:val="1"/>
    <w:qFormat/>
    <w:uiPriority w:val="0"/>
    <w:pPr>
      <w:spacing w:line="440" w:lineRule="exact"/>
      <w:ind w:firstLine="200" w:firstLineChars="200"/>
    </w:pPr>
    <w:rPr>
      <w:rFonts w:eastAsia="仿宋_GB2312" w:cs="宋体"/>
      <w:sz w:val="24"/>
      <w:szCs w:val="20"/>
    </w:rPr>
  </w:style>
  <w:style w:type="paragraph" w:customStyle="1" w:styleId="131">
    <w:name w:val="reader-word-layer reader-word-s1-1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2">
    <w:name w:val="Char Char Char1 Char Char Char Char"/>
    <w:basedOn w:val="1"/>
    <w:qFormat/>
    <w:uiPriority w:val="0"/>
    <w:pPr>
      <w:adjustRightInd w:val="0"/>
      <w:spacing w:line="360" w:lineRule="auto"/>
      <w:ind w:firstLine="200" w:firstLineChars="200"/>
    </w:pPr>
    <w:rPr>
      <w:rFonts w:eastAsia="楷体_GB2312"/>
      <w:sz w:val="24"/>
      <w:szCs w:val="24"/>
    </w:rPr>
  </w:style>
  <w:style w:type="paragraph" w:customStyle="1" w:styleId="133">
    <w:name w:val="reader-word-layer reader-word-s4-1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4">
    <w:name w:val="Char Char Char Char Char Char Char"/>
    <w:basedOn w:val="1"/>
    <w:qFormat/>
    <w:uiPriority w:val="0"/>
    <w:rPr>
      <w:sz w:val="24"/>
      <w:szCs w:val="24"/>
    </w:rPr>
  </w:style>
  <w:style w:type="paragraph" w:customStyle="1" w:styleId="135">
    <w:name w:val="p15"/>
    <w:basedOn w:val="1"/>
    <w:qFormat/>
    <w:uiPriority w:val="0"/>
    <w:pPr>
      <w:widowControl/>
      <w:pBdr>
        <w:bottom w:val="single" w:color="000000" w:sz="6" w:space="1"/>
      </w:pBdr>
      <w:snapToGrid w:val="0"/>
      <w:spacing w:after="200"/>
      <w:jc w:val="center"/>
    </w:pPr>
    <w:rPr>
      <w:rFonts w:ascii="Tahoma" w:hAnsi="Tahoma" w:cs="Tahoma"/>
      <w:kern w:val="0"/>
      <w:sz w:val="18"/>
      <w:szCs w:val="18"/>
    </w:rPr>
  </w:style>
  <w:style w:type="paragraph" w:customStyle="1" w:styleId="136">
    <w:name w:val="reader-word-layer reader-word-s20-10 reader-word-s20-3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7">
    <w:name w:val="中文报告书样式"/>
    <w:basedOn w:val="1"/>
    <w:qFormat/>
    <w:uiPriority w:val="0"/>
    <w:pPr>
      <w:widowControl/>
      <w:adjustRightInd w:val="0"/>
      <w:spacing w:line="480" w:lineRule="atLeast"/>
      <w:ind w:firstLine="482"/>
      <w:jc w:val="left"/>
    </w:pPr>
    <w:rPr>
      <w:rFonts w:ascii="黑体" w:hAnsi="黑体" w:cs="黑体"/>
      <w:kern w:val="24"/>
      <w:sz w:val="24"/>
      <w:szCs w:val="20"/>
    </w:rPr>
  </w:style>
  <w:style w:type="paragraph" w:customStyle="1" w:styleId="138">
    <w:name w:val="reader-word-layer reader-word-s1-1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9">
    <w:name w:val="reader-word-layer reader-word-s20-2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0">
    <w:name w:val="reader-word-layer reader-word-s1-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1">
    <w:name w:val="p19"/>
    <w:basedOn w:val="1"/>
    <w:qFormat/>
    <w:uiPriority w:val="0"/>
    <w:pPr>
      <w:widowControl/>
      <w:ind w:firstLine="420"/>
    </w:pPr>
    <w:rPr>
      <w:rFonts w:ascii="宋体" w:hAnsi="宋体" w:cs="宋体"/>
      <w:kern w:val="0"/>
      <w:sz w:val="26"/>
      <w:szCs w:val="26"/>
    </w:rPr>
  </w:style>
  <w:style w:type="paragraph" w:customStyle="1" w:styleId="142">
    <w:name w:val="reader-word-layer reader-word-s6-1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3">
    <w:name w:val="reader-word-layer reader-word-s6-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4">
    <w:name w:val="标题 41"/>
    <w:basedOn w:val="1"/>
    <w:qFormat/>
    <w:uiPriority w:val="0"/>
    <w:pPr>
      <w:spacing w:before="29"/>
      <w:ind w:left="120"/>
      <w:outlineLvl w:val="3"/>
    </w:pPr>
    <w:rPr>
      <w:rFonts w:ascii="宋体" w:cs="宋体"/>
      <w:b/>
      <w:bCs/>
    </w:rPr>
  </w:style>
  <w:style w:type="paragraph" w:customStyle="1" w:styleId="145">
    <w:name w:val="p24"/>
    <w:basedOn w:val="1"/>
    <w:qFormat/>
    <w:uiPriority w:val="0"/>
    <w:pPr>
      <w:widowControl/>
      <w:spacing w:before="60" w:line="460" w:lineRule="atLeast"/>
      <w:ind w:firstLine="482"/>
    </w:pPr>
    <w:rPr>
      <w:kern w:val="0"/>
      <w:sz w:val="24"/>
      <w:szCs w:val="24"/>
    </w:rPr>
  </w:style>
  <w:style w:type="paragraph" w:customStyle="1" w:styleId="146">
    <w:name w:val="Char Char Char"/>
    <w:basedOn w:val="1"/>
    <w:qFormat/>
    <w:uiPriority w:val="0"/>
    <w:rPr>
      <w:szCs w:val="24"/>
    </w:rPr>
  </w:style>
  <w:style w:type="paragraph" w:styleId="147">
    <w:name w:val="List Paragraph"/>
    <w:basedOn w:val="1"/>
    <w:qFormat/>
    <w:uiPriority w:val="0"/>
    <w:pPr>
      <w:ind w:firstLine="420" w:firstLineChars="200"/>
    </w:pPr>
  </w:style>
  <w:style w:type="paragraph" w:customStyle="1" w:styleId="148">
    <w:name w:val="char"/>
    <w:basedOn w:val="1"/>
    <w:qFormat/>
    <w:uiPriority w:val="0"/>
    <w:pPr>
      <w:widowControl/>
      <w:spacing w:after="160" w:line="240" w:lineRule="atLeast"/>
      <w:ind w:right="533" w:rightChars="254"/>
    </w:pPr>
    <w:rPr>
      <w:szCs w:val="20"/>
    </w:rPr>
  </w:style>
  <w:style w:type="paragraph" w:customStyle="1" w:styleId="149">
    <w:name w:val="reader-word-layer reader-word-s6-1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0">
    <w:name w:val="样式12"/>
    <w:basedOn w:val="1"/>
    <w:qFormat/>
    <w:uiPriority w:val="0"/>
    <w:pPr>
      <w:jc w:val="center"/>
    </w:pPr>
    <w:rPr>
      <w:szCs w:val="21"/>
    </w:rPr>
  </w:style>
  <w:style w:type="paragraph" w:customStyle="1" w:styleId="151">
    <w:name w:val="p25"/>
    <w:basedOn w:val="1"/>
    <w:qFormat/>
    <w:uiPriority w:val="0"/>
    <w:pPr>
      <w:widowControl/>
      <w:jc w:val="center"/>
    </w:pPr>
    <w:rPr>
      <w:kern w:val="0"/>
      <w:sz w:val="24"/>
      <w:szCs w:val="24"/>
    </w:rPr>
  </w:style>
  <w:style w:type="paragraph" w:customStyle="1" w:styleId="152">
    <w:name w:val="reader-word-layer reader-word-s1-1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3">
    <w:name w:val="p17"/>
    <w:basedOn w:val="1"/>
    <w:qFormat/>
    <w:uiPriority w:val="0"/>
    <w:pPr>
      <w:widowControl/>
      <w:snapToGrid w:val="0"/>
      <w:spacing w:line="312" w:lineRule="auto"/>
      <w:ind w:left="113" w:right="113" w:firstLine="482"/>
      <w:jc w:val="left"/>
    </w:pPr>
    <w:rPr>
      <w:kern w:val="0"/>
      <w:sz w:val="24"/>
      <w:szCs w:val="24"/>
    </w:rPr>
  </w:style>
  <w:style w:type="paragraph" w:customStyle="1" w:styleId="154">
    <w:name w:val="reader-word-layer reader-word-s1-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5">
    <w:name w:val="reader-word-layer reader-word-s6-1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6">
    <w:name w:val="reader-word-layer reader-word-s21-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7">
    <w:name w:val="p18"/>
    <w:basedOn w:val="1"/>
    <w:qFormat/>
    <w:uiPriority w:val="0"/>
    <w:pPr>
      <w:widowControl/>
      <w:spacing w:before="78" w:after="78" w:line="360" w:lineRule="auto"/>
    </w:pPr>
    <w:rPr>
      <w:b/>
      <w:bCs/>
      <w:caps/>
      <w:kern w:val="0"/>
      <w:sz w:val="24"/>
      <w:szCs w:val="24"/>
    </w:rPr>
  </w:style>
  <w:style w:type="paragraph" w:customStyle="1" w:styleId="158">
    <w:name w:val="p20"/>
    <w:basedOn w:val="1"/>
    <w:qFormat/>
    <w:uiPriority w:val="0"/>
    <w:pPr>
      <w:pageBreakBefore/>
      <w:widowControl/>
      <w:spacing w:before="60" w:line="460" w:lineRule="atLeast"/>
    </w:pPr>
    <w:rPr>
      <w:rFonts w:ascii="Arial" w:hAnsi="Arial" w:cs="Arial"/>
      <w:b/>
      <w:bCs/>
      <w:color w:val="000000"/>
      <w:kern w:val="0"/>
      <w:sz w:val="24"/>
      <w:szCs w:val="24"/>
    </w:rPr>
  </w:style>
  <w:style w:type="paragraph" w:customStyle="1" w:styleId="159">
    <w:name w:val="标题111 Char Char Char Char Char Char Char"/>
    <w:basedOn w:val="1"/>
    <w:qFormat/>
    <w:uiPriority w:val="0"/>
    <w:pPr>
      <w:spacing w:before="60" w:line="460" w:lineRule="atLeast"/>
      <w:ind w:firstLine="200" w:firstLineChars="200"/>
    </w:pPr>
    <w:rPr>
      <w:rFonts w:ascii="宋体" w:hAnsi="宋体" w:cs="宋体"/>
      <w:sz w:val="24"/>
      <w:szCs w:val="24"/>
    </w:rPr>
  </w:style>
  <w:style w:type="paragraph" w:customStyle="1" w:styleId="160">
    <w:name w:val="样式3"/>
    <w:basedOn w:val="1"/>
    <w:qFormat/>
    <w:uiPriority w:val="0"/>
    <w:pPr>
      <w:autoSpaceDE w:val="0"/>
      <w:autoSpaceDN w:val="0"/>
      <w:snapToGrid w:val="0"/>
      <w:spacing w:before="120" w:line="460" w:lineRule="atLeast"/>
      <w:jc w:val="center"/>
    </w:pPr>
    <w:rPr>
      <w:rFonts w:eastAsia="黑体"/>
      <w:sz w:val="28"/>
      <w:szCs w:val="24"/>
    </w:rPr>
  </w:style>
  <w:style w:type="paragraph" w:customStyle="1" w:styleId="161">
    <w:name w:val="reader-word-layer reader-word-s6-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2">
    <w:name w:val="表格"/>
    <w:basedOn w:val="1"/>
    <w:next w:val="1"/>
    <w:link w:val="225"/>
    <w:qFormat/>
    <w:uiPriority w:val="0"/>
    <w:pPr>
      <w:jc w:val="center"/>
    </w:pPr>
    <w:rPr>
      <w:sz w:val="24"/>
      <w:szCs w:val="21"/>
    </w:rPr>
  </w:style>
  <w:style w:type="paragraph" w:customStyle="1" w:styleId="163">
    <w:name w:val="样式35"/>
    <w:basedOn w:val="1"/>
    <w:qFormat/>
    <w:uiPriority w:val="0"/>
    <w:pPr>
      <w:adjustRightInd w:val="0"/>
      <w:spacing w:line="312" w:lineRule="auto"/>
      <w:ind w:firstLine="567"/>
    </w:pPr>
    <w:rPr>
      <w:rFonts w:ascii="宋体"/>
      <w:kern w:val="0"/>
      <w:sz w:val="28"/>
      <w:szCs w:val="24"/>
    </w:rPr>
  </w:style>
  <w:style w:type="paragraph" w:customStyle="1" w:styleId="164">
    <w:name w:val="列出段落1"/>
    <w:basedOn w:val="1"/>
    <w:qFormat/>
    <w:uiPriority w:val="0"/>
    <w:pPr>
      <w:spacing w:line="500" w:lineRule="exact"/>
      <w:ind w:firstLine="420" w:firstLineChars="200"/>
    </w:pPr>
    <w:rPr>
      <w:sz w:val="24"/>
      <w:szCs w:val="24"/>
    </w:rPr>
  </w:style>
  <w:style w:type="paragraph" w:customStyle="1" w:styleId="165">
    <w:name w:val="reader-word-layer reader-word-s1-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6">
    <w:name w:val="Char Char6 Char Char Char Char Char Char Char Char Char Char Char Char Char Char Char Char Char Char Char Char"/>
    <w:basedOn w:val="1"/>
    <w:qFormat/>
    <w:uiPriority w:val="0"/>
    <w:rPr>
      <w:sz w:val="24"/>
      <w:szCs w:val="24"/>
    </w:rPr>
  </w:style>
  <w:style w:type="paragraph" w:customStyle="1" w:styleId="167">
    <w:name w:val="Char Char1 Char Char Char Char Char Char"/>
    <w:basedOn w:val="1"/>
    <w:qFormat/>
    <w:uiPriority w:val="0"/>
    <w:rPr>
      <w:szCs w:val="20"/>
    </w:rPr>
  </w:style>
  <w:style w:type="paragraph" w:customStyle="1" w:styleId="168">
    <w:name w:val="reader-word-layer reader-word-s1-2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9">
    <w:name w:val="reader-word-layer reader-word-s1-2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0">
    <w:name w:val="表文1"/>
    <w:basedOn w:val="1"/>
    <w:qFormat/>
    <w:uiPriority w:val="0"/>
    <w:pPr>
      <w:spacing w:beforeLines="50" w:afterLines="50" w:line="360" w:lineRule="auto"/>
    </w:pPr>
    <w:rPr>
      <w:rFonts w:ascii="宋体" w:hAnsi="宋体"/>
      <w:szCs w:val="20"/>
    </w:rPr>
  </w:style>
  <w:style w:type="paragraph" w:customStyle="1" w:styleId="171">
    <w:name w:val="默认段落字体 Para Char Char Char Char"/>
    <w:basedOn w:val="167"/>
    <w:next w:val="6"/>
    <w:qFormat/>
    <w:uiPriority w:val="0"/>
    <w:rPr>
      <w:sz w:val="24"/>
      <w:szCs w:val="24"/>
    </w:rPr>
  </w:style>
  <w:style w:type="paragraph" w:customStyle="1" w:styleId="172">
    <w:name w:val="正文2"/>
    <w:basedOn w:val="1"/>
    <w:qFormat/>
    <w:uiPriority w:val="0"/>
    <w:pPr>
      <w:adjustRightInd w:val="0"/>
      <w:snapToGrid w:val="0"/>
      <w:spacing w:line="440" w:lineRule="atLeast"/>
      <w:ind w:firstLine="510"/>
    </w:pPr>
    <w:rPr>
      <w:szCs w:val="20"/>
    </w:rPr>
  </w:style>
  <w:style w:type="paragraph" w:customStyle="1" w:styleId="173">
    <w:name w:val="reader-word-layer reader-word-s21-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4">
    <w:name w:val="reader-word-layer reader-word-s1-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5">
    <w:name w:val="标题3 Char Char Char Char"/>
    <w:basedOn w:val="1"/>
    <w:qFormat/>
    <w:uiPriority w:val="0"/>
    <w:pPr>
      <w:spacing w:afterLines="50" w:line="560" w:lineRule="exact"/>
    </w:pPr>
    <w:rPr>
      <w:rFonts w:eastAsia="黑体"/>
      <w:sz w:val="30"/>
      <w:szCs w:val="30"/>
    </w:rPr>
  </w:style>
  <w:style w:type="paragraph" w:customStyle="1" w:styleId="176">
    <w:name w:val="2"/>
    <w:basedOn w:val="1"/>
    <w:next w:val="1"/>
    <w:qFormat/>
    <w:uiPriority w:val="0"/>
    <w:pPr>
      <w:spacing w:before="240" w:line="440" w:lineRule="exact"/>
    </w:pPr>
    <w:rPr>
      <w:rFonts w:ascii="黑体" w:eastAsia="黑体"/>
      <w:sz w:val="24"/>
      <w:szCs w:val="28"/>
    </w:rPr>
  </w:style>
  <w:style w:type="paragraph" w:customStyle="1" w:styleId="177">
    <w:name w:val="reader-word-layer reader-word-s6-3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8">
    <w:name w:val="1"/>
    <w:basedOn w:val="1"/>
    <w:next w:val="7"/>
    <w:qFormat/>
    <w:uiPriority w:val="0"/>
    <w:pPr>
      <w:ind w:firstLine="420"/>
    </w:pPr>
    <w:rPr>
      <w:rFonts w:ascii="宋体"/>
      <w:sz w:val="26"/>
      <w:szCs w:val="20"/>
    </w:rPr>
  </w:style>
  <w:style w:type="paragraph" w:customStyle="1" w:styleId="179">
    <w:name w:val="reader-word-layer reader-word-s1-1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80">
    <w:name w:val="p16"/>
    <w:basedOn w:val="1"/>
    <w:qFormat/>
    <w:uiPriority w:val="0"/>
    <w:pPr>
      <w:widowControl/>
      <w:jc w:val="center"/>
    </w:pPr>
    <w:rPr>
      <w:kern w:val="0"/>
      <w:szCs w:val="21"/>
    </w:rPr>
  </w:style>
  <w:style w:type="paragraph" w:customStyle="1" w:styleId="181">
    <w:name w:val="reader-word-layer reader-word-s6-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82">
    <w:name w:val="reader-word-layer reader-word-s1-2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83">
    <w:name w:val="报告表正文"/>
    <w:basedOn w:val="1"/>
    <w:link w:val="200"/>
    <w:qFormat/>
    <w:uiPriority w:val="0"/>
    <w:pPr>
      <w:adjustRightInd w:val="0"/>
      <w:spacing w:line="312" w:lineRule="auto"/>
      <w:ind w:left="113" w:right="113" w:firstLine="482"/>
      <w:jc w:val="left"/>
    </w:pPr>
    <w:rPr>
      <w:kern w:val="0"/>
      <w:sz w:val="24"/>
      <w:szCs w:val="20"/>
    </w:rPr>
  </w:style>
  <w:style w:type="paragraph" w:customStyle="1" w:styleId="184">
    <w:name w:val="reader-word-layer reader-word-s6-1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85">
    <w:name w:val="reader-word-layer reader-word-s6-1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86">
    <w:name w:val="正文格式"/>
    <w:basedOn w:val="1"/>
    <w:qFormat/>
    <w:uiPriority w:val="0"/>
    <w:pPr>
      <w:ind w:firstLine="480" w:firstLineChars="200"/>
    </w:pPr>
    <w:rPr>
      <w:rFonts w:ascii="仿宋_GB2312" w:eastAsia="仿宋_GB2312"/>
      <w:b/>
      <w:bCs/>
      <w:color w:val="FF6600"/>
      <w:sz w:val="24"/>
      <w:szCs w:val="24"/>
    </w:rPr>
  </w:style>
  <w:style w:type="paragraph" w:customStyle="1" w:styleId="187">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88">
    <w:name w:val="Char Char Char Char Char Char Char Char2 Char"/>
    <w:basedOn w:val="1"/>
    <w:qFormat/>
    <w:uiPriority w:val="0"/>
    <w:pPr>
      <w:widowControl/>
      <w:adjustRightInd w:val="0"/>
      <w:spacing w:after="160" w:line="240" w:lineRule="exact"/>
      <w:jc w:val="left"/>
    </w:pPr>
    <w:rPr>
      <w:sz w:val="24"/>
      <w:szCs w:val="20"/>
    </w:rPr>
  </w:style>
  <w:style w:type="paragraph" w:customStyle="1" w:styleId="189">
    <w:name w:val="p23"/>
    <w:basedOn w:val="1"/>
    <w:qFormat/>
    <w:uiPriority w:val="0"/>
    <w:pPr>
      <w:widowControl/>
      <w:snapToGrid w:val="0"/>
      <w:spacing w:line="480" w:lineRule="atLeast"/>
      <w:ind w:firstLine="482"/>
    </w:pPr>
    <w:rPr>
      <w:kern w:val="0"/>
      <w:sz w:val="24"/>
      <w:szCs w:val="24"/>
    </w:rPr>
  </w:style>
  <w:style w:type="paragraph" w:customStyle="1" w:styleId="190">
    <w:name w:val="表格文字2"/>
    <w:basedOn w:val="1"/>
    <w:qFormat/>
    <w:uiPriority w:val="0"/>
    <w:pPr>
      <w:adjustRightInd w:val="0"/>
      <w:spacing w:before="60"/>
      <w:jc w:val="center"/>
      <w:textAlignment w:val="baseline"/>
    </w:pPr>
    <w:rPr>
      <w:rFonts w:ascii="宋体"/>
      <w:kern w:val="0"/>
      <w:sz w:val="24"/>
      <w:szCs w:val="20"/>
    </w:rPr>
  </w:style>
  <w:style w:type="paragraph" w:customStyle="1" w:styleId="191">
    <w:name w:val="reader-word-layer reader-word-s1-1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92">
    <w:name w:val="p21"/>
    <w:basedOn w:val="1"/>
    <w:qFormat/>
    <w:uiPriority w:val="0"/>
    <w:pPr>
      <w:widowControl/>
      <w:ind w:firstLine="420"/>
    </w:pPr>
    <w:rPr>
      <w:rFonts w:ascii="宋体" w:hAnsi="宋体" w:cs="宋体"/>
      <w:kern w:val="0"/>
      <w:sz w:val="26"/>
      <w:szCs w:val="26"/>
    </w:rPr>
  </w:style>
  <w:style w:type="character" w:customStyle="1" w:styleId="193">
    <w:name w:val="表格正文 Char Char"/>
    <w:link w:val="110"/>
    <w:qFormat/>
    <w:uiPriority w:val="0"/>
    <w:rPr>
      <w:kern w:val="2"/>
      <w:sz w:val="21"/>
    </w:rPr>
  </w:style>
  <w:style w:type="paragraph" w:customStyle="1" w:styleId="194">
    <w:name w:val="Table Paragraph"/>
    <w:basedOn w:val="1"/>
    <w:qFormat/>
    <w:uiPriority w:val="1"/>
    <w:pPr>
      <w:autoSpaceDE w:val="0"/>
      <w:autoSpaceDN w:val="0"/>
      <w:jc w:val="center"/>
    </w:pPr>
    <w:rPr>
      <w:rFonts w:ascii="Noto Sans CJK JP Regular" w:hAnsi="Noto Sans CJK JP Regular" w:eastAsia="Noto Sans CJK JP Regular" w:cs="Noto Sans CJK JP Regular"/>
      <w:kern w:val="0"/>
      <w:sz w:val="22"/>
      <w:lang w:eastAsia="en-US"/>
    </w:rPr>
  </w:style>
  <w:style w:type="paragraph" w:customStyle="1" w:styleId="195">
    <w:name w:val="表内容"/>
    <w:basedOn w:val="1"/>
    <w:next w:val="1"/>
    <w:qFormat/>
    <w:uiPriority w:val="0"/>
    <w:pPr>
      <w:spacing w:line="320" w:lineRule="exact"/>
      <w:jc w:val="center"/>
    </w:pPr>
    <w:rPr>
      <w:szCs w:val="20"/>
    </w:rPr>
  </w:style>
  <w:style w:type="character" w:customStyle="1" w:styleId="196">
    <w:name w:val="标题 3 Char"/>
    <w:link w:val="4"/>
    <w:semiHidden/>
    <w:qFormat/>
    <w:uiPriority w:val="9"/>
    <w:rPr>
      <w:b/>
      <w:bCs/>
      <w:kern w:val="2"/>
      <w:sz w:val="32"/>
      <w:szCs w:val="32"/>
    </w:rPr>
  </w:style>
  <w:style w:type="paragraph" w:customStyle="1" w:styleId="197">
    <w:name w:val="标2lcc"/>
    <w:basedOn w:val="1"/>
    <w:qFormat/>
    <w:uiPriority w:val="0"/>
    <w:pPr>
      <w:outlineLvl w:val="1"/>
    </w:pPr>
    <w:rPr>
      <w:b/>
      <w:kern w:val="0"/>
      <w:sz w:val="28"/>
      <w:szCs w:val="24"/>
    </w:rPr>
  </w:style>
  <w:style w:type="paragraph" w:customStyle="1" w:styleId="198">
    <w:name w:val="正文 首行缩进:  2 字符"/>
    <w:basedOn w:val="1"/>
    <w:qFormat/>
    <w:uiPriority w:val="99"/>
    <w:pPr>
      <w:ind w:firstLine="579" w:firstLineChars="200"/>
    </w:pPr>
    <w:rPr>
      <w:rFonts w:cs="宋体"/>
      <w:szCs w:val="20"/>
    </w:rPr>
  </w:style>
  <w:style w:type="character" w:customStyle="1" w:styleId="199">
    <w:name w:val="批注文字 Char1"/>
    <w:qFormat/>
    <w:locked/>
    <w:uiPriority w:val="99"/>
    <w:rPr>
      <w:szCs w:val="24"/>
    </w:rPr>
  </w:style>
  <w:style w:type="character" w:customStyle="1" w:styleId="200">
    <w:name w:val="报告表正文 Char"/>
    <w:link w:val="183"/>
    <w:qFormat/>
    <w:locked/>
    <w:uiPriority w:val="0"/>
    <w:rPr>
      <w:sz w:val="24"/>
    </w:rPr>
  </w:style>
  <w:style w:type="paragraph" w:customStyle="1" w:styleId="201">
    <w:name w:val="列出段落11"/>
    <w:basedOn w:val="1"/>
    <w:qFormat/>
    <w:uiPriority w:val="0"/>
    <w:pPr>
      <w:spacing w:line="520" w:lineRule="exact"/>
      <w:ind w:firstLine="420" w:firstLineChars="200"/>
    </w:pPr>
    <w:rPr>
      <w:rFonts w:ascii="Calibri" w:hAnsi="Calibri"/>
      <w:sz w:val="24"/>
    </w:rPr>
  </w:style>
  <w:style w:type="paragraph" w:customStyle="1" w:styleId="202">
    <w:name w:val="正文首行缩进 2 + Times New Roman"/>
    <w:basedOn w:val="1"/>
    <w:qFormat/>
    <w:uiPriority w:val="0"/>
    <w:pPr>
      <w:tabs>
        <w:tab w:val="left" w:pos="0"/>
        <w:tab w:val="left" w:pos="870"/>
        <w:tab w:val="left" w:pos="3150"/>
      </w:tabs>
      <w:autoSpaceDE w:val="0"/>
      <w:autoSpaceDN w:val="0"/>
      <w:spacing w:line="360" w:lineRule="auto"/>
      <w:ind w:firstLine="480" w:firstLineChars="200"/>
      <w:jc w:val="left"/>
    </w:pPr>
    <w:rPr>
      <w:kern w:val="0"/>
      <w:sz w:val="24"/>
      <w:szCs w:val="24"/>
    </w:rPr>
  </w:style>
  <w:style w:type="character" w:customStyle="1" w:styleId="203">
    <w:name w:val="正文文本缩进 Char"/>
    <w:link w:val="12"/>
    <w:qFormat/>
    <w:uiPriority w:val="0"/>
    <w:rPr>
      <w:kern w:val="2"/>
      <w:sz w:val="21"/>
      <w:szCs w:val="24"/>
    </w:rPr>
  </w:style>
  <w:style w:type="character" w:customStyle="1" w:styleId="204">
    <w:name w:val="正文首行缩进 2 Char"/>
    <w:basedOn w:val="203"/>
    <w:link w:val="19"/>
    <w:qFormat/>
    <w:uiPriority w:val="0"/>
    <w:rPr>
      <w:kern w:val="2"/>
      <w:sz w:val="21"/>
      <w:szCs w:val="24"/>
    </w:rPr>
  </w:style>
  <w:style w:type="character" w:customStyle="1" w:styleId="205">
    <w:name w:val="表头格式 Char"/>
    <w:link w:val="206"/>
    <w:qFormat/>
    <w:locked/>
    <w:uiPriority w:val="0"/>
    <w:rPr>
      <w:b/>
      <w:color w:val="000000"/>
      <w:sz w:val="24"/>
      <w:szCs w:val="24"/>
    </w:rPr>
  </w:style>
  <w:style w:type="paragraph" w:customStyle="1" w:styleId="206">
    <w:name w:val="表头格式"/>
    <w:basedOn w:val="1"/>
    <w:link w:val="205"/>
    <w:qFormat/>
    <w:uiPriority w:val="0"/>
    <w:pPr>
      <w:spacing w:line="480" w:lineRule="exact"/>
      <w:jc w:val="center"/>
    </w:pPr>
    <w:rPr>
      <w:b/>
      <w:color w:val="000000"/>
      <w:kern w:val="0"/>
      <w:sz w:val="24"/>
      <w:szCs w:val="24"/>
    </w:rPr>
  </w:style>
  <w:style w:type="character" w:customStyle="1" w:styleId="207">
    <w:name w:val="表格正文 Char"/>
    <w:qFormat/>
    <w:locked/>
    <w:uiPriority w:val="0"/>
    <w:rPr>
      <w:kern w:val="2"/>
      <w:sz w:val="21"/>
      <w:szCs w:val="24"/>
    </w:rPr>
  </w:style>
  <w:style w:type="paragraph" w:customStyle="1" w:styleId="208">
    <w:name w:val="报告 Char"/>
    <w:basedOn w:val="1"/>
    <w:qFormat/>
    <w:uiPriority w:val="0"/>
    <w:pPr>
      <w:adjustRightInd w:val="0"/>
      <w:spacing w:line="360" w:lineRule="auto"/>
      <w:ind w:firstLine="505" w:firstLineChars="200"/>
    </w:pPr>
    <w:rPr>
      <w:sz w:val="24"/>
      <w:szCs w:val="24"/>
    </w:rPr>
  </w:style>
  <w:style w:type="character" w:customStyle="1" w:styleId="209">
    <w:name w:val="Default Char Char"/>
    <w:link w:val="53"/>
    <w:qFormat/>
    <w:locked/>
    <w:uiPriority w:val="0"/>
    <w:rPr>
      <w:color w:val="000000"/>
      <w:sz w:val="24"/>
      <w:szCs w:val="24"/>
      <w:lang w:bidi="ar-SA"/>
    </w:rPr>
  </w:style>
  <w:style w:type="character" w:customStyle="1" w:styleId="210">
    <w:name w:val="表格内容 Char Char"/>
    <w:link w:val="211"/>
    <w:qFormat/>
    <w:locked/>
    <w:uiPriority w:val="0"/>
    <w:rPr>
      <w:rFonts w:ascii="宋体" w:hAnsi="宋体"/>
      <w:sz w:val="18"/>
    </w:rPr>
  </w:style>
  <w:style w:type="paragraph" w:customStyle="1" w:styleId="211">
    <w:name w:val="表格内容"/>
    <w:basedOn w:val="1"/>
    <w:link w:val="210"/>
    <w:qFormat/>
    <w:uiPriority w:val="0"/>
    <w:pPr>
      <w:tabs>
        <w:tab w:val="left" w:pos="1535"/>
        <w:tab w:val="left" w:pos="3105"/>
        <w:tab w:val="left" w:pos="4676"/>
        <w:tab w:val="left" w:pos="6247"/>
        <w:tab w:val="left" w:pos="7740"/>
        <w:tab w:val="left" w:pos="9288"/>
      </w:tabs>
      <w:snapToGrid w:val="0"/>
      <w:ind w:left="-25" w:leftChars="-12"/>
    </w:pPr>
    <w:rPr>
      <w:rFonts w:ascii="宋体" w:hAnsi="宋体"/>
      <w:kern w:val="0"/>
      <w:sz w:val="18"/>
      <w:szCs w:val="20"/>
    </w:rPr>
  </w:style>
  <w:style w:type="paragraph" w:customStyle="1" w:styleId="212">
    <w:name w:val="表格标题"/>
    <w:basedOn w:val="1"/>
    <w:qFormat/>
    <w:uiPriority w:val="0"/>
    <w:pPr>
      <w:spacing w:line="360" w:lineRule="auto"/>
      <w:jc w:val="center"/>
    </w:pPr>
    <w:rPr>
      <w:b/>
      <w:szCs w:val="20"/>
    </w:rPr>
  </w:style>
  <w:style w:type="paragraph" w:customStyle="1" w:styleId="213">
    <w:name w:val="样式 正文文本缩进 3 + 左侧:  2 字符"/>
    <w:basedOn w:val="27"/>
    <w:qFormat/>
    <w:uiPriority w:val="0"/>
    <w:pPr>
      <w:widowControl/>
      <w:spacing w:line="360" w:lineRule="auto"/>
      <w:ind w:left="0" w:leftChars="0" w:firstLine="200" w:firstLineChars="200"/>
      <w:jc w:val="left"/>
    </w:pPr>
    <w:rPr>
      <w:rFonts w:cs="PMingLiU"/>
      <w:kern w:val="0"/>
      <w:sz w:val="24"/>
      <w:szCs w:val="20"/>
    </w:rPr>
  </w:style>
  <w:style w:type="character" w:customStyle="1" w:styleId="214">
    <w:name w:val="表格内容--1.15 Char"/>
    <w:link w:val="215"/>
    <w:qFormat/>
    <w:locked/>
    <w:uiPriority w:val="0"/>
    <w:rPr>
      <w:color w:val="0D0D0D"/>
      <w:sz w:val="21"/>
      <w:szCs w:val="21"/>
    </w:rPr>
  </w:style>
  <w:style w:type="paragraph" w:customStyle="1" w:styleId="215">
    <w:name w:val="表格内容--1.15"/>
    <w:basedOn w:val="1"/>
    <w:link w:val="214"/>
    <w:qFormat/>
    <w:uiPriority w:val="0"/>
    <w:pPr>
      <w:tabs>
        <w:tab w:val="left" w:pos="567"/>
        <w:tab w:val="left" w:pos="1134"/>
        <w:tab w:val="right" w:leader="middleDot" w:pos="7938"/>
      </w:tabs>
      <w:spacing w:line="276" w:lineRule="auto"/>
      <w:jc w:val="center"/>
    </w:pPr>
    <w:rPr>
      <w:color w:val="0D0D0D"/>
      <w:kern w:val="0"/>
      <w:szCs w:val="21"/>
    </w:rPr>
  </w:style>
  <w:style w:type="character" w:customStyle="1" w:styleId="216">
    <w:name w:val="正文文本 (2)_"/>
    <w:link w:val="217"/>
    <w:qFormat/>
    <w:uiPriority w:val="99"/>
    <w:rPr>
      <w:rFonts w:ascii="微软雅黑" w:eastAsia="微软雅黑" w:cs="微软雅黑"/>
      <w:sz w:val="21"/>
      <w:szCs w:val="21"/>
      <w:shd w:val="clear" w:color="auto" w:fill="FFFFFF"/>
    </w:rPr>
  </w:style>
  <w:style w:type="paragraph" w:customStyle="1" w:styleId="217">
    <w:name w:val="正文文本 (2)1"/>
    <w:basedOn w:val="1"/>
    <w:link w:val="216"/>
    <w:qFormat/>
    <w:uiPriority w:val="99"/>
    <w:pPr>
      <w:shd w:val="clear" w:color="auto" w:fill="FFFFFF"/>
      <w:spacing w:before="60" w:line="413" w:lineRule="exact"/>
      <w:ind w:firstLine="300"/>
      <w:jc w:val="left"/>
    </w:pPr>
    <w:rPr>
      <w:rFonts w:ascii="微软雅黑" w:eastAsia="微软雅黑"/>
      <w:kern w:val="0"/>
      <w:szCs w:val="21"/>
    </w:rPr>
  </w:style>
  <w:style w:type="character" w:customStyle="1" w:styleId="218">
    <w:name w:val="表格字体 Char"/>
    <w:link w:val="219"/>
    <w:qFormat/>
    <w:uiPriority w:val="0"/>
    <w:rPr>
      <w:spacing w:val="-2"/>
      <w:kern w:val="28"/>
      <w:sz w:val="21"/>
    </w:rPr>
  </w:style>
  <w:style w:type="paragraph" w:customStyle="1" w:styleId="219">
    <w:name w:val="表格字体"/>
    <w:basedOn w:val="15"/>
    <w:link w:val="218"/>
    <w:qFormat/>
    <w:uiPriority w:val="0"/>
    <w:pPr>
      <w:adjustRightInd w:val="0"/>
      <w:snapToGrid w:val="0"/>
      <w:spacing w:before="120" w:line="400" w:lineRule="exact"/>
      <w:jc w:val="center"/>
      <w:textAlignment w:val="baseline"/>
    </w:pPr>
    <w:rPr>
      <w:rFonts w:ascii="Times New Roman" w:hAnsi="Times New Roman"/>
      <w:color w:val="auto"/>
      <w:spacing w:val="-2"/>
      <w:kern w:val="28"/>
      <w:sz w:val="21"/>
    </w:rPr>
  </w:style>
  <w:style w:type="character" w:customStyle="1" w:styleId="220">
    <w:name w:val="正文文本 Char"/>
    <w:link w:val="11"/>
    <w:qFormat/>
    <w:uiPriority w:val="0"/>
    <w:rPr>
      <w:kern w:val="2"/>
      <w:sz w:val="21"/>
      <w:szCs w:val="22"/>
    </w:rPr>
  </w:style>
  <w:style w:type="character" w:customStyle="1" w:styleId="221">
    <w:name w:val="正文首行缩进 Char"/>
    <w:basedOn w:val="220"/>
    <w:link w:val="36"/>
    <w:qFormat/>
    <w:uiPriority w:val="0"/>
    <w:rPr>
      <w:kern w:val="2"/>
      <w:sz w:val="21"/>
      <w:szCs w:val="22"/>
    </w:rPr>
  </w:style>
  <w:style w:type="paragraph" w:customStyle="1" w:styleId="222">
    <w:name w:val="图、表内容"/>
    <w:basedOn w:val="1"/>
    <w:qFormat/>
    <w:uiPriority w:val="0"/>
    <w:pPr>
      <w:adjustRightInd w:val="0"/>
      <w:snapToGrid w:val="0"/>
      <w:spacing w:line="360" w:lineRule="auto"/>
      <w:ind w:firstLine="640" w:firstLineChars="200"/>
      <w:jc w:val="center"/>
    </w:pPr>
    <w:rPr>
      <w:rFonts w:cs="宋体"/>
      <w:spacing w:val="-2"/>
      <w:kern w:val="0"/>
      <w:sz w:val="20"/>
      <w:szCs w:val="20"/>
    </w:rPr>
  </w:style>
  <w:style w:type="paragraph" w:customStyle="1" w:styleId="223">
    <w:name w:val="+正文"/>
    <w:basedOn w:val="1"/>
    <w:qFormat/>
    <w:uiPriority w:val="0"/>
    <w:pPr>
      <w:spacing w:line="360" w:lineRule="auto"/>
      <w:jc w:val="left"/>
    </w:pPr>
    <w:rPr>
      <w:rFonts w:cs="黑体"/>
      <w:sz w:val="24"/>
    </w:rPr>
  </w:style>
  <w:style w:type="table" w:customStyle="1" w:styleId="224">
    <w:name w:val="Table Normal"/>
    <w:semiHidden/>
    <w:unhideWhenUsed/>
    <w:qFormat/>
    <w:uiPriority w:val="2"/>
    <w:pPr>
      <w:widowControl w:val="0"/>
    </w:pPr>
    <w:rPr>
      <w:rFonts w:ascii="Calibri" w:hAnsi="Calibri"/>
      <w:sz w:val="22"/>
      <w:szCs w:val="22"/>
      <w:lang w:eastAsia="en-US"/>
    </w:rPr>
    <w:tblPr>
      <w:tblCellMar>
        <w:top w:w="0" w:type="dxa"/>
        <w:left w:w="0" w:type="dxa"/>
        <w:bottom w:w="0" w:type="dxa"/>
        <w:right w:w="0" w:type="dxa"/>
      </w:tblCellMar>
    </w:tblPr>
  </w:style>
  <w:style w:type="character" w:customStyle="1" w:styleId="225">
    <w:name w:val="表格 Char"/>
    <w:link w:val="162"/>
    <w:qFormat/>
    <w:locked/>
    <w:uiPriority w:val="0"/>
    <w:rPr>
      <w:kern w:val="2"/>
      <w:sz w:val="24"/>
      <w:szCs w:val="21"/>
    </w:rPr>
  </w:style>
  <w:style w:type="character" w:customStyle="1" w:styleId="226">
    <w:name w:val="S 正文 Char"/>
    <w:link w:val="227"/>
    <w:qFormat/>
    <w:locked/>
    <w:uiPriority w:val="0"/>
    <w:rPr>
      <w:sz w:val="24"/>
      <w:lang w:val="en-US" w:eastAsia="en-US" w:bidi="en-US"/>
    </w:rPr>
  </w:style>
  <w:style w:type="paragraph" w:customStyle="1" w:styleId="227">
    <w:name w:val="S 正文"/>
    <w:link w:val="226"/>
    <w:qFormat/>
    <w:uiPriority w:val="0"/>
    <w:pPr>
      <w:widowControl w:val="0"/>
      <w:adjustRightInd w:val="0"/>
      <w:snapToGrid w:val="0"/>
      <w:spacing w:line="360" w:lineRule="auto"/>
      <w:ind w:firstLine="480" w:firstLineChars="200"/>
    </w:pPr>
    <w:rPr>
      <w:rFonts w:ascii="Times New Roman" w:hAnsi="Times New Roman" w:eastAsia="宋体" w:cs="Times New Roman"/>
      <w:sz w:val="24"/>
      <w:lang w:val="en-US" w:eastAsia="en-US" w:bidi="en-US"/>
    </w:rPr>
  </w:style>
  <w:style w:type="character" w:customStyle="1" w:styleId="228">
    <w:name w:val="报告表正文 Char Char"/>
    <w:qFormat/>
    <w:locked/>
    <w:uiPriority w:val="0"/>
    <w:rPr>
      <w:sz w:val="24"/>
    </w:rPr>
  </w:style>
  <w:style w:type="paragraph" w:customStyle="1" w:styleId="229">
    <w:name w:val="1正文段落"/>
    <w:basedOn w:val="1"/>
    <w:link w:val="230"/>
    <w:qFormat/>
    <w:uiPriority w:val="0"/>
    <w:pPr>
      <w:spacing w:line="360" w:lineRule="auto"/>
      <w:ind w:firstLine="200" w:firstLineChars="200"/>
    </w:pPr>
    <w:rPr>
      <w:snapToGrid w:val="0"/>
      <w:kern w:val="0"/>
      <w:sz w:val="24"/>
      <w:szCs w:val="21"/>
    </w:rPr>
  </w:style>
  <w:style w:type="character" w:customStyle="1" w:styleId="230">
    <w:name w:val="1正文段落 Char"/>
    <w:link w:val="229"/>
    <w:qFormat/>
    <w:uiPriority w:val="0"/>
    <w:rPr>
      <w:rFonts w:cs="Times New Roman"/>
      <w:snapToGrid w:val="0"/>
      <w:sz w:val="24"/>
      <w:szCs w:val="21"/>
    </w:rPr>
  </w:style>
  <w:style w:type="paragraph" w:customStyle="1" w:styleId="231">
    <w:name w:val="Revision"/>
    <w:hidden/>
    <w:unhideWhenUsed/>
    <w:qFormat/>
    <w:uiPriority w:val="99"/>
    <w:rPr>
      <w:rFonts w:ascii="Times New Roman" w:hAnsi="Times New Roman" w:eastAsia="宋体" w:cs="Times New Roman"/>
      <w:kern w:val="2"/>
      <w:sz w:val="21"/>
      <w:szCs w:val="22"/>
      <w:lang w:val="en-US" w:eastAsia="zh-CN" w:bidi="ar-SA"/>
    </w:rPr>
  </w:style>
  <w:style w:type="character" w:customStyle="1" w:styleId="232">
    <w:name w:val="01正文 字符"/>
    <w:link w:val="233"/>
    <w:qFormat/>
    <w:locked/>
    <w:uiPriority w:val="0"/>
    <w:rPr>
      <w:kern w:val="2"/>
      <w:sz w:val="24"/>
      <w:szCs w:val="21"/>
    </w:rPr>
  </w:style>
  <w:style w:type="paragraph" w:customStyle="1" w:styleId="233">
    <w:name w:val="01正文"/>
    <w:basedOn w:val="1"/>
    <w:link w:val="232"/>
    <w:qFormat/>
    <w:uiPriority w:val="0"/>
    <w:pPr>
      <w:adjustRightInd w:val="0"/>
      <w:snapToGrid w:val="0"/>
      <w:spacing w:line="460" w:lineRule="exact"/>
      <w:ind w:firstLine="200" w:firstLineChars="200"/>
    </w:pPr>
    <w:rPr>
      <w:sz w:val="24"/>
      <w:szCs w:val="21"/>
    </w:rPr>
  </w:style>
  <w:style w:type="character" w:customStyle="1" w:styleId="234">
    <w:name w:val="普通(网站) Char"/>
    <w:link w:val="32"/>
    <w:qFormat/>
    <w:locked/>
    <w:uiPriority w:val="0"/>
    <w:rPr>
      <w:rFonts w:ascii="宋体" w:hAnsi="宋体" w:cs="宋体"/>
      <w:sz w:val="24"/>
      <w:szCs w:val="24"/>
    </w:rPr>
  </w:style>
  <w:style w:type="character" w:customStyle="1" w:styleId="235">
    <w:name w:val="表 Char"/>
    <w:link w:val="236"/>
    <w:qFormat/>
    <w:locked/>
    <w:uiPriority w:val="0"/>
    <w:rPr>
      <w:spacing w:val="2"/>
      <w:sz w:val="24"/>
    </w:rPr>
  </w:style>
  <w:style w:type="paragraph" w:customStyle="1" w:styleId="236">
    <w:name w:val="表"/>
    <w:basedOn w:val="1"/>
    <w:link w:val="235"/>
    <w:qFormat/>
    <w:uiPriority w:val="0"/>
    <w:pPr>
      <w:snapToGrid w:val="0"/>
      <w:jc w:val="center"/>
    </w:pPr>
    <w:rPr>
      <w:spacing w:val="2"/>
      <w:kern w:val="0"/>
      <w:sz w:val="24"/>
      <w:szCs w:val="20"/>
    </w:rPr>
  </w:style>
  <w:style w:type="character" w:customStyle="1" w:styleId="237">
    <w:name w:val="正文文本缩进 2 Char"/>
    <w:basedOn w:val="40"/>
    <w:link w:val="18"/>
    <w:qFormat/>
    <w:uiPriority w:val="0"/>
    <w:rPr>
      <w:kern w:val="2"/>
      <w:sz w:val="21"/>
      <w:szCs w:val="24"/>
    </w:rPr>
  </w:style>
  <w:style w:type="character" w:customStyle="1" w:styleId="238">
    <w:name w:val="表格内文字 Char"/>
    <w:link w:val="239"/>
    <w:qFormat/>
    <w:locked/>
    <w:uiPriority w:val="0"/>
    <w:rPr>
      <w:rFonts w:ascii="仿宋_GB2312" w:hAnsi="Calibri" w:eastAsia="仿宋_GB2312"/>
      <w:spacing w:val="4"/>
      <w:kern w:val="18"/>
      <w:sz w:val="24"/>
      <w:szCs w:val="24"/>
    </w:rPr>
  </w:style>
  <w:style w:type="paragraph" w:customStyle="1" w:styleId="239">
    <w:name w:val="表格内文字"/>
    <w:basedOn w:val="1"/>
    <w:link w:val="238"/>
    <w:qFormat/>
    <w:uiPriority w:val="0"/>
    <w:pPr>
      <w:tabs>
        <w:tab w:val="left" w:pos="0"/>
      </w:tabs>
      <w:adjustRightInd w:val="0"/>
      <w:snapToGrid w:val="0"/>
      <w:jc w:val="center"/>
    </w:pPr>
    <w:rPr>
      <w:rFonts w:ascii="仿宋_GB2312" w:hAnsi="Calibri" w:eastAsia="仿宋_GB2312"/>
      <w:spacing w:val="4"/>
      <w:kern w:val="18"/>
      <w:sz w:val="24"/>
      <w:szCs w:val="24"/>
    </w:rPr>
  </w:style>
  <w:style w:type="paragraph" w:customStyle="1" w:styleId="240">
    <w:name w:val="表格内容格式"/>
    <w:basedOn w:val="1"/>
    <w:qFormat/>
    <w:uiPriority w:val="0"/>
    <w:pPr>
      <w:adjustRightInd w:val="0"/>
      <w:snapToGrid w:val="0"/>
      <w:jc w:val="center"/>
    </w:pPr>
    <w:rPr>
      <w:kern w:val="0"/>
      <w:szCs w:val="21"/>
    </w:rPr>
  </w:style>
  <w:style w:type="character" w:customStyle="1" w:styleId="241">
    <w:name w:val="2 表格内容 Char"/>
    <w:link w:val="242"/>
    <w:qFormat/>
    <w:locked/>
    <w:uiPriority w:val="0"/>
    <w:rPr>
      <w:szCs w:val="21"/>
    </w:rPr>
  </w:style>
  <w:style w:type="paragraph" w:customStyle="1" w:styleId="242">
    <w:name w:val="2 表格内容"/>
    <w:basedOn w:val="1"/>
    <w:link w:val="241"/>
    <w:qFormat/>
    <w:uiPriority w:val="0"/>
    <w:pPr>
      <w:adjustRightInd w:val="0"/>
      <w:snapToGrid w:val="0"/>
      <w:spacing w:line="320" w:lineRule="exact"/>
      <w:jc w:val="center"/>
    </w:pPr>
    <w:rPr>
      <w:kern w:val="0"/>
      <w:sz w:val="20"/>
      <w:szCs w:val="21"/>
    </w:rPr>
  </w:style>
  <w:style w:type="character" w:customStyle="1" w:styleId="243">
    <w:name w:val="正文文本缩进 Char1"/>
    <w:basedOn w:val="40"/>
    <w:qFormat/>
    <w:locked/>
    <w:uiPriority w:val="0"/>
    <w:rPr>
      <w:kern w:val="2"/>
      <w:sz w:val="21"/>
      <w:szCs w:val="24"/>
    </w:rPr>
  </w:style>
  <w:style w:type="character" w:styleId="244">
    <w:name w:val="Placeholder Text"/>
    <w:basedOn w:val="40"/>
    <w:unhideWhenUsed/>
    <w:qFormat/>
    <w:uiPriority w:val="99"/>
    <w:rPr>
      <w:color w:val="808080"/>
    </w:rPr>
  </w:style>
  <w:style w:type="paragraph" w:customStyle="1" w:styleId="245">
    <w:name w:val="正文缩近"/>
    <w:basedOn w:val="1"/>
    <w:qFormat/>
    <w:uiPriority w:val="0"/>
    <w:pPr>
      <w:spacing w:line="360" w:lineRule="auto"/>
      <w:ind w:firstLine="560" w:firstLineChars="200"/>
    </w:pPr>
    <w:rPr>
      <w:rFonts w:ascii="宋体" w:hAnsi="宋体"/>
      <w:sz w:val="28"/>
      <w:szCs w:val="28"/>
    </w:rPr>
  </w:style>
  <w:style w:type="character" w:customStyle="1" w:styleId="246">
    <w:name w:val="fontstyle01"/>
    <w:qFormat/>
    <w:uiPriority w:val="0"/>
    <w:rPr>
      <w:rFonts w:hint="eastAsia" w:ascii="宋体" w:hAnsi="宋体" w:eastAsia="宋体"/>
      <w:color w:val="000000"/>
      <w:sz w:val="24"/>
      <w:szCs w:val="24"/>
    </w:rPr>
  </w:style>
  <w:style w:type="paragraph" w:customStyle="1" w:styleId="247">
    <w:name w:val="正文3"/>
    <w:qFormat/>
    <w:uiPriority w:val="0"/>
    <w:pPr>
      <w:jc w:val="both"/>
    </w:pPr>
    <w:rPr>
      <w:rFonts w:ascii="Times New Roman" w:hAnsi="Times New Roman" w:eastAsia="宋体" w:cs="Times New Roman"/>
      <w:kern w:val="2"/>
      <w:sz w:val="21"/>
      <w:szCs w:val="21"/>
      <w:lang w:val="en-US" w:eastAsia="zh-CN" w:bidi="ar-SA"/>
    </w:rPr>
  </w:style>
  <w:style w:type="paragraph" w:customStyle="1" w:styleId="248">
    <w:name w:val="表格正文（首行缩进）"/>
    <w:basedOn w:val="1"/>
    <w:semiHidden/>
    <w:qFormat/>
    <w:uiPriority w:val="0"/>
    <w:pPr>
      <w:spacing w:line="360" w:lineRule="exact"/>
      <w:ind w:firstLine="1446" w:firstLineChars="200"/>
    </w:pPr>
    <w:rPr>
      <w:rFonts w:ascii="Arial" w:hAnsi="Arial" w:cs="Arial"/>
      <w:color w:val="FF0000"/>
      <w:szCs w:val="21"/>
    </w:rPr>
  </w:style>
  <w:style w:type="paragraph" w:customStyle="1" w:styleId="249">
    <w:name w:val="表格五号居中"/>
    <w:basedOn w:val="1"/>
    <w:qFormat/>
    <w:uiPriority w:val="0"/>
    <w:pPr>
      <w:adjustRightInd/>
      <w:snapToGrid/>
      <w:spacing w:line="360" w:lineRule="exact"/>
      <w:jc w:val="center"/>
      <w:textAlignment w:val="center"/>
    </w:pPr>
    <w:rPr>
      <w:rFonts w:ascii="Arial" w:hAnsi="Arial" w:eastAsia="宋体" w:cs="Arial"/>
      <w:color w:val="FF0000"/>
    </w:rPr>
  </w:style>
  <w:style w:type="paragraph" w:customStyle="1" w:styleId="250">
    <w:name w:val="标题标黑小四首行缩进"/>
    <w:basedOn w:val="1"/>
    <w:qFormat/>
    <w:uiPriority w:val="0"/>
    <w:pPr>
      <w:adjustRightInd/>
      <w:spacing w:before="50" w:beforeLines="50" w:line="360" w:lineRule="auto"/>
      <w:ind w:firstLine="720" w:firstLineChars="200"/>
      <w:outlineLvl w:val="3"/>
    </w:pPr>
    <w:rPr>
      <w:rFonts w:ascii="Arial" w:hAnsi="Arial" w:eastAsia="宋体" w:cs="Arial"/>
      <w:b/>
      <w:color w:val="FF0000"/>
      <w:kern w:val="0"/>
      <w:sz w:val="24"/>
      <w:szCs w:val="20"/>
    </w:rPr>
  </w:style>
  <w:style w:type="paragraph" w:customStyle="1" w:styleId="251">
    <w:name w:val="表格正文小四首行缩进"/>
    <w:qFormat/>
    <w:uiPriority w:val="0"/>
    <w:pPr>
      <w:widowControl w:val="0"/>
      <w:spacing w:line="360" w:lineRule="auto"/>
      <w:ind w:firstLine="640" w:firstLineChars="200"/>
      <w:jc w:val="both"/>
    </w:pPr>
    <w:rPr>
      <w:rFonts w:ascii="Arial" w:hAnsi="Arial" w:eastAsia="宋体" w:cs="Arial"/>
      <w:color w:val="FF0000"/>
      <w:kern w:val="2"/>
      <w:sz w:val="24"/>
      <w:szCs w:val="24"/>
      <w:lang w:val="en-US" w:eastAsia="zh-CN" w:bidi="ar-SA"/>
    </w:rPr>
  </w:style>
  <w:style w:type="character" w:customStyle="1" w:styleId="252">
    <w:name w:val="font51"/>
    <w:basedOn w:val="40"/>
    <w:qFormat/>
    <w:uiPriority w:val="0"/>
    <w:rPr>
      <w:rFonts w:hint="default" w:ascii="Times New Roman" w:hAnsi="Times New Roman" w:cs="Times New Roman"/>
      <w:color w:val="000000"/>
      <w:sz w:val="21"/>
      <w:szCs w:val="21"/>
      <w:u w:val="none"/>
    </w:rPr>
  </w:style>
  <w:style w:type="table" w:customStyle="1" w:styleId="253">
    <w:name w:val="网格型1"/>
    <w:basedOn w:val="37"/>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cPr>
      <w:tcBorders>
        <w:top w:val="single" w:color="000000" w:sz="4" w:space="0"/>
        <w:left w:val="single" w:color="000000" w:sz="4" w:space="0"/>
        <w:bottom w:val="single" w:color="000000" w:sz="4" w:space="0"/>
        <w:right w:val="single" w:color="000000" w:sz="4" w:space="0"/>
      </w:tcBorders>
    </w:tcPr>
  </w:style>
  <w:style w:type="character" w:customStyle="1" w:styleId="254">
    <w:name w:val="正文文本 Char3"/>
    <w:basedOn w:val="40"/>
    <w:link w:val="11"/>
    <w:qFormat/>
    <w:uiPriority w:val="0"/>
    <w:rPr>
      <w:rFonts w:hint="default"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3" Type="http://schemas.openxmlformats.org/officeDocument/2006/relationships/fontTable" Target="fontTable.xml"/><Relationship Id="rId32" Type="http://schemas.openxmlformats.org/officeDocument/2006/relationships/customXml" Target="../customXml/item3.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0.png"/><Relationship Id="rId27" Type="http://schemas.openxmlformats.org/officeDocument/2006/relationships/image" Target="media/image19.jpe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jpe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ot="0" vertOverflow="overflow" horzOverflow="overflow" vert="horz" wrap="square" lIns="91440" tIns="45720" rIns="91440" bIns="45720" numCol="1" spcCol="0" rtlCol="0" fromWordArt="0" anchor="ctr" anchorCtr="0" forceAA="0" compatLnSpc="1">
        <a:noAutofit/>
      </a:bodyPr>
      <a:lstStyle/>
      <a:style>
        <a:lnRef idx="2">
          <a:schemeClr val="accent1">
            <a:lumMod val="75000"/>
          </a:schemeClr>
        </a:lnRef>
        <a:fillRef idx="1">
          <a:schemeClr val="accent1"/>
        </a:fillRef>
        <a:effectRef idx="0">
          <a:srgbClr val="FFFFFF"/>
        </a:effectRef>
        <a:fontRef idx="minor">
          <a:schemeClr val="lt1"/>
        </a:fontRef>
      </a:style>
    </a:spDef>
    <a:lnDef>
      <a:spPr/>
      <a:bodyPr/>
      <a:lstStyle/>
      <a:style>
        <a:lnRef idx="2">
          <a:schemeClr val="accent1"/>
        </a:lnRef>
        <a:fillRef idx="0">
          <a:srgbClr val="FFFFFF"/>
        </a:fillRef>
        <a:effectRef idx="0">
          <a:srgbClr val="FFFFFF"/>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tyleName="APA" SelectedStyle="\APA.XSL"/>
</file>

<file path=customXml/item3.xml><?xml version="1.0" encoding="utf-8"?>
<contractReview xmlns="http://schemas.wps.cn/vas-ai-hub/contract-review">
  <reviewItems>
    <reviewItem>
      <errorID>08f655cf-e699-43be-bc95-771286556e1f</errorID>
      <errorWord>危险物质</errorWord>
      <group>L1_Word</group>
      <groupName>字词问题</groupName>
      <ability>L2_Typo</ability>
      <abilityName>字词错误</abilityName>
      <candidateList>
        <item>危险物资</item>
      </candidateList>
      <explain/>
      <paraID>56A450D3</paraID>
      <start>3</start>
      <end>7</end>
      <status>unmodified</status>
      <modifiedWord/>
      <trackRevisions>false</trackRevisions>
    </reviewItem>
    <reviewItem>
      <errorID>d01da343-1ae8-427e-b50d-7e2637d8a0ff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18263AFA</paraID>
      <start>27</start>
      <end>28</end>
      <status>unmodified</status>
      <modifiedWord/>
      <trackRevisions>false</trackRevisions>
    </reviewItem>
    <reviewItem>
      <errorID>8f97f926-2025-4539-9f8b-1d0f4bedf2b5</errorID>
      <errorWord>[2024]91号</errorWord>
      <group>L1_Knowledge</group>
      <groupName>知识性问题</groupName>
      <ability>L2_Knowledge</ability>
      <abilityName>其他知识</abilityName>
      <candidateList>
        <item>〔2024〕91号</item>
      </candidateList>
      <explain>发文字号格式错误。</explain>
      <paraID>18263AFA</paraID>
      <start>42</start>
      <end>51</end>
      <status>unmodified</status>
      <modifiedWord/>
      <trackRevisions>false</trackRevisions>
    </reviewItem>
    <reviewItem>
      <errorID>acbaabc1-ac75-44ba-91c5-ad20870cd106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3C21D564</paraID>
      <start>19</start>
      <end>20</end>
      <status>unmodified</status>
      <modifiedWord/>
      <trackRevisions>false</trackRevisions>
    </reviewItem>
    <reviewItem>
      <errorID>71777b17-4f13-4e4c-b830-d0e572a8735d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24D7C38A</paraID>
      <start>24</start>
      <end>25</end>
      <status>unmodified</status>
      <modifiedWord/>
      <trackRevisions>false</trackRevisions>
    </reviewItem>
    <reviewItem>
      <errorID>7a93c13c-50c7-440d-8c07-46a16e53d15b</errorID>
      <errorWord>[2016]130号</errorWord>
      <group>L1_Knowledge</group>
      <groupName>知识性问题</groupName>
      <ability>L2_Knowledge</ability>
      <abilityName>其他知识</abilityName>
      <candidateList>
        <item>〔2016〕130号</item>
      </candidateList>
      <explain>发文字号格式错误。</explain>
      <paraID>24D7C38A</paraID>
      <start>39</start>
      <end>49</end>
      <status>unmodified</status>
      <modifiedWord/>
      <trackRevisions>false</trackRevisions>
    </reviewItem>
    <reviewItem>
      <errorID>dd3e8257-945c-480f-ae22-89a0a04b63d5</errorID>
      <errorWord>[2017]114号</errorWord>
      <group>L1_Knowledge</group>
      <groupName>知识性问题</groupName>
      <ability>L2_Knowledge</ability>
      <abilityName>其他知识</abilityName>
      <candidateList>
        <item>〔2017〕114号</item>
      </candidateList>
      <explain>发文字号格式错误。</explain>
      <paraID>31E8309F</paraID>
      <start>11</start>
      <end>21</end>
      <status>unmodified</status>
      <modifiedWord/>
      <trackRevisions>false</trackRevisions>
    </reviewItem>
    <reviewItem>
      <errorID>c37c675d-a2cd-4d52-b7fc-fd4ebe929e29</errorID>
      <errorWord>[2020]43号</errorWord>
      <group>L1_Knowledge</group>
      <groupName>知识性问题</groupName>
      <ability>L2_Knowledge</ability>
      <abilityName>其他知识</abilityName>
      <candidateList>
        <item>〔2020〕43号</item>
      </candidateList>
      <explain>发文字号格式错误。</explain>
      <paraID>48F87B8E</paraID>
      <start>44</start>
      <end>53</end>
      <status>unmodified</status>
      <modifiedWord/>
      <trackRevisions>false</trackRevisions>
    </reviewItem>
    <reviewItem>
      <errorID>5e4ba10b-7053-4e6a-87ad-d191a4c7e63d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14D393CC</paraID>
      <start>123</start>
      <end>124</end>
      <status>unmodified</status>
      <modifiedWord/>
      <trackRevisions>false</trackRevisions>
    </reviewItem>
    <reviewItem>
      <errorID>3c7422a7-0243-465b-8a0d-1441e9668a31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DFCEA0D</paraID>
      <start>17</start>
      <end>18</end>
      <status>unmodified</status>
      <modifiedWord/>
      <trackRevisions>false</trackRevisions>
    </reviewItem>
    <reviewItem>
      <errorID>4c5b56ae-1e13-48ce-ad75-0f885de3bd6a</errorID>
      <errorWord>-</errorWord>
      <group>L1_Format</group>
      <groupName>格式问题</groupName>
      <ability>L2_HalfPunc</ability>
      <abilityName>全半角检查</abilityName>
      <candidateList>
        <item>－</item>
      </candidateList>
      <explain>文本全半角错误。</explain>
      <paraID>2B9A5A97</paraID>
      <start>39</start>
      <end>40</end>
      <status>unmodified</status>
      <modifiedWord/>
      <trackRevisions>false</trackRevisions>
    </reviewItem>
    <reviewItem>
      <errorID>f1af307b-6e0c-44ba-8f28-4cd5a9959586</errorID>
      <errorWord>。</errorWord>
      <group>L1_Grammar</group>
      <groupName>语法问题</groupName>
      <ability>L2_Missing</ability>
      <abilityName>成分残缺</abilityName>
      <candidateList>
        <item>的建设。</item>
      </candidateList>
      <explain>句子中可能存在主谓宾、修饰语或者必要的词语残缺。</explain>
      <paraID> 5A214D8</paraID>
      <start>86</start>
      <end>87</end>
      <status>unmodified</status>
      <modifiedWord/>
      <trackRevisions>false</trackRevisions>
    </reviewItem>
    <reviewItem>
      <errorID>c7c869f2-1a58-4aad-8fe7-1b17b25bcc82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35CE7D42</paraID>
      <start>21</start>
      <end>24</end>
      <status>unmodified</status>
      <modifiedWord/>
      <trackRevisions>false</trackRevisions>
    </reviewItem>
    <reviewItem>
      <errorID>ee5eac6e-3a36-4bd3-a8d0-8bee8b4cbe01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35CE7D42</paraID>
      <start>40</start>
      <end>43</end>
      <status>unmodified</status>
      <modifiedWord/>
      <trackRevisions>false</trackRevisions>
    </reviewItem>
    <reviewItem>
      <errorID>4c1594a6-f825-482e-9ed5-e319beb9c54a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35CE7D42</paraID>
      <start>69</start>
      <end>72</end>
      <status>unmodified</status>
      <modifiedWord/>
      <trackRevisions>false</trackRevisions>
    </reviewItem>
    <reviewItem>
      <errorID>6aecdd86-db68-474b-a68d-047cce990ac6</errorID>
      <errorWord>材料中</errorWord>
      <group>L1_Word</group>
      <groupName>字词问题</groupName>
      <ability>L2_Typo</ability>
      <abilityName>字词错误</abilityName>
      <candidateList>
        <item>材料</item>
      </candidateList>
      <explain>〈名〉❶可以直接造成成品的东西，如建筑用的砖瓦、纺织用的棉纱等：建筑～｜做一套衣服，这点～不够。❷提供著作内容的事物：他打算写一部小说，正在搜集～。❸可供参考的事实：人事～。❹比喻适于做某种事情的人才：我五音不全，不是唱歌的～。</explain>
      <paraID>6595FF8F</paraID>
      <start>22</start>
      <end>25</end>
      <status>unmodified</status>
      <modifiedWord/>
      <trackRevisions>false</trackRevisions>
    </reviewItem>
    <reviewItem>
      <errorID>3961c74e-192e-49cb-8ae2-757a08156fb5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7AE46A53</paraID>
      <start>25</start>
      <end>28</end>
      <status>unmodified</status>
      <modifiedWord/>
      <trackRevisions>false</trackRevisions>
    </reviewItem>
    <reviewItem>
      <errorID>a28dbdee-7c1e-4d51-a8b9-a5710a51c4d7</errorID>
      <errorWord>(</errorWord>
      <group>L1_Format</group>
      <groupName>格式问题</groupName>
      <ability>L2_HalfPunc</ability>
      <abilityName>全半角检查</abilityName>
      <candidateList>
        <item>（</item>
      </candidateList>
      <explain>文本全半角错误。</explain>
      <paraID>7AE46A53</paraID>
      <start>36</start>
      <end>37</end>
      <status>unmodified</status>
      <modifiedWord/>
      <trackRevisions>false</trackRevisions>
    </reviewItem>
    <reviewItem>
      <errorID>cf46ae15-588f-4f29-aa9d-9554a9843453</errorID>
      <errorWord>)</errorWord>
      <group>L1_Format</group>
      <groupName>格式问题</groupName>
      <ability>L2_HalfPunc</ability>
      <abilityName>全半角检查</abilityName>
      <candidateList>
        <item>）</item>
      </candidateList>
      <explain>文本全半角错误。</explain>
      <paraID>7AE46A53</paraID>
      <start>43</start>
      <end>44</end>
      <status>unmodified</status>
      <modifiedWord/>
      <trackRevisions>false</trackRevisions>
    </reviewItem>
    <reviewItem>
      <errorID>8d7b800f-b1c3-463f-a05c-2c6387d2fe8e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7AE46A53</paraID>
      <start>44</start>
      <end>47</end>
      <status>unmodified</status>
      <modifiedWord/>
      <trackRevisions>false</trackRevisions>
    </reviewItem>
    <reviewItem>
      <errorID>00743e98-7342-47a2-8941-0eeeb0f0ce4e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7AE46A53</paraID>
      <start>73</start>
      <end>76</end>
      <status>unmodified</status>
      <modifiedWord/>
      <trackRevisions>false</trackRevisions>
    </reviewItem>
    <reviewItem>
      <errorID>c5524112-68a2-4037-85df-06be3e3fe752</errorID>
      <errorWord>完善的</errorWord>
      <group>L1_Word</group>
      <groupName>字词问题</groupName>
      <ability>L2_Typo</ability>
      <abilityName>字词错误</abilityName>
      <candidateList>
        <item>完善</item>
      </candidateList>
      <explain>❶〈形〉完备美好：设备～。❷〈动〉使完善：～管理制度。</explain>
      <paraID>1EBF3203</paraID>
      <start>6</start>
      <end>9</end>
      <status>unmodified</status>
      <modifiedWord/>
      <trackRevisions>false</trackRevisions>
    </reviewItem>
    <reviewItem>
      <errorID>b8e4a09b-b17d-44dc-86a7-8098108c67fb</errorID>
      <errorWord>(</errorWord>
      <group>L1_Format</group>
      <groupName>格式问题</groupName>
      <ability>L2_HalfPunc</ability>
      <abilityName>全半角检查</abilityName>
      <candidateList>
        <item>（</item>
      </candidateList>
      <explain>文本全半角错误。</explain>
      <paraID>3EC6AD4F</paraID>
      <start>58</start>
      <end>59</end>
      <status>unmodified</status>
      <modifiedWord/>
      <trackRevisions>false</trackRevisions>
    </reviewItem>
    <reviewItem>
      <errorID>cbcb1a45-9dce-4079-b341-983b4bedbaa3</errorID>
      <errorWord>[2022]2072号</errorWord>
      <group>L1_Knowledge</group>
      <groupName>知识性问题</groupName>
      <ability>L2_Knowledge</ability>
      <abilityName>其他知识</abilityName>
      <candidateList>
        <item>〔2022〕2072号</item>
      </candidateList>
      <explain>发文字号格式错误。</explain>
      <paraID>3EC6AD4F</paraID>
      <start>64</start>
      <end>75</end>
      <status>unmodified</status>
      <modifiedWord/>
      <trackRevisions>false</trackRevisions>
    </reviewItem>
    <reviewItem>
      <errorID>55a60d77-bdca-48d4-a04c-99e2d83e0c54</errorID>
      <errorWord>)</errorWord>
      <group>L1_Format</group>
      <groupName>格式问题</groupName>
      <ability>L2_HalfPunc</ability>
      <abilityName>全半角检查</abilityName>
      <candidateList>
        <item>）</item>
      </candidateList>
      <explain>文本全半角错误。</explain>
      <paraID>3EC6AD4F</paraID>
      <start>75</start>
      <end>76</end>
      <status>unmodified</status>
      <modifiedWord/>
      <trackRevisions>false</trackRevisions>
    </reviewItem>
    <reviewItem>
      <errorID>ed6dddfc-de65-43f2-abd4-f05b362a2039</errorID>
      <errorWord>[2022]2072号</errorWord>
      <group>L1_Knowledge</group>
      <groupName>知识性问题</groupName>
      <ability>L2_Knowledge</ability>
      <abilityName>其他知识</abilityName>
      <candidateList>
        <item>〔2022〕2072号</item>
      </candidateList>
      <explain>发文字号格式错误。</explain>
      <paraID>24538CAF</paraID>
      <start>9</start>
      <end>20</end>
      <status>unmodified</status>
      <modifiedWord/>
      <trackRevisions>false</trackRevisions>
    </reviewItem>
    <reviewItem>
      <errorID>73fd0c68-46fb-4831-bfdd-764bbefefdab</errorID>
      <errorWord>《</errorWord>
      <group>L1_Punc</group>
      <groupName>标点问题</groupName>
      <ability>L2_Punc</ability>
      <abilityName>标点符号检查</abilityName>
      <candidateList>
        <item>〔</item>
      </candidateList>
      <explain/>
      <paraID>4BFE0046</paraID>
      <start>5</start>
      <end>6</end>
      <status>unmodified</status>
      <modifiedWord/>
      <trackRevisions>false</trackRevisions>
    </reviewItem>
    <reviewItem>
      <errorID>8fdfb57a-7faa-45da-8108-8b65bc9d4c4b</errorID>
      <errorWord>》</errorWord>
      <group>L1_Punc</group>
      <groupName>标点问题</groupName>
      <ability>L2_Punc</ability>
      <abilityName>标点符号检查</abilityName>
      <candidateList>
        <item>〕</item>
      </candidateList>
      <explain/>
      <paraID>4BFE0046</paraID>
      <start>10</start>
      <end>11</end>
      <status>unmodified</status>
      <modifiedWord/>
      <trackRevisions>false</trackRevisions>
    </reviewItem>
    <reviewItem>
      <errorID>5537af6d-f9fc-44b3-8a89-852873eb47a4</errorID>
      <errorWord>(</errorWord>
      <group>L1_Format</group>
      <groupName>格式问题</groupName>
      <ability>L2_HalfPunc</ability>
      <abilityName>全半角检查</abilityName>
      <candidateList>
        <item>（</item>
      </candidateList>
      <explain>文本全半角错误。</explain>
      <paraID>5A361755</paraID>
      <start>19</start>
      <end>20</end>
      <status>unmodified</status>
      <modifiedWord/>
      <trackRevisions>false</trackRevisions>
    </reviewItem>
    <reviewItem>
      <errorID>8539a03e-3a5a-4aa3-b744-42a171c83007</errorID>
      <errorWord>)</errorWord>
      <group>L1_Format</group>
      <groupName>格式问题</groupName>
      <ability>L2_HalfPunc</ability>
      <abilityName>全半角检查</abilityName>
      <candidateList>
        <item>）</item>
      </candidateList>
      <explain>文本全半角错误。</explain>
      <paraID>5A361755</paraID>
      <start>21</start>
      <end>22</end>
      <status>unmodified</status>
      <modifiedWord/>
      <trackRevisions>false</trackRevisions>
    </reviewItem>
    <reviewItem>
      <errorID>77854fd8-84b1-4a7b-a565-7be7f078ecd6</errorID>
      <errorWord>《</errorWord>
      <group>L1_Punc</group>
      <groupName>标点问题</groupName>
      <ability>L2_Punc</ability>
      <abilityName>标点符号检查</abilityName>
      <candidateList/>
      <explain/>
      <paraID>5A361755</paraID>
      <start>24</start>
      <end>25</end>
      <status>unmodified</status>
      <modifiedWord/>
      <trackRevisions>false</trackRevisions>
    </reviewItem>
    <reviewItem>
      <errorID>e99fed29-894b-4741-8caa-59b759d8a984</errorID>
      <errorWord>(</errorWord>
      <group>L1_Format</group>
      <groupName>格式问题</groupName>
      <ability>L2_HalfPunc</ability>
      <abilityName>全半角检查</abilityName>
      <candidateList>
        <item>（</item>
      </candidateList>
      <explain>文本全半角错误。</explain>
      <paraID>5A361755</paraID>
      <start>35</start>
      <end>36</end>
      <status>unmodified</status>
      <modifiedWord/>
      <trackRevisions>false</trackRevisions>
    </reviewItem>
    <reviewItem>
      <errorID>59436744-260a-4432-af9a-95a9fedb6591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5A361755</paraID>
      <start>40</start>
      <end>41</end>
      <status>unmodified</status>
      <modifiedWord/>
      <trackRevisions>false</trackRevisions>
    </reviewItem>
    <reviewItem>
      <errorID>71148c33-4746-4980-8b4f-65f6e522b041</errorID>
      <errorWord>)</errorWord>
      <group>L1_Format</group>
      <groupName>格式问题</groupName>
      <ability>L2_HalfPunc</ability>
      <abilityName>全半角检查</abilityName>
      <candidateList>
        <item>）</item>
      </candidateList>
      <explain>文本全半角错误。</explain>
      <paraID>5A361755</paraID>
      <start>46</start>
      <end>47</end>
      <status>unmodified</status>
      <modifiedWord/>
      <trackRevisions>false</trackRevisions>
    </reviewItem>
    <reviewItem>
      <errorID>2f728dfc-e759-484b-af61-859f372bd913</errorID>
      <errorWord>法律、法规</errorWord>
      <group>L1_Word</group>
      <groupName>字词问题</groupName>
      <ability>L2_Typo</ability>
      <abilityName>字词错误</abilityName>
      <candidateList>
        <item>法律法规</item>
      </candidateList>
      <explain/>
      <paraID> F497F70</paraID>
      <start>106</start>
      <end>111</end>
      <status>unmodified</status>
      <modifiedWord/>
      <trackRevisions>false</trackRevisions>
    </reviewItem>
    <reviewItem>
      <errorID>1ddcd26a-0bd3-4c9a-afc1-95d551adb05d</errorID>
      <errorWord>法律、法规</errorWord>
      <group>L1_Word</group>
      <groupName>字词问题</groupName>
      <ability>L2_Typo</ability>
      <abilityName>字词错误</abilityName>
      <candidateList>
        <item>法律法规</item>
      </candidateList>
      <explain/>
      <paraID> 8A0B62B</paraID>
      <start>142</start>
      <end>147</end>
      <status>unmodified</status>
      <modifiedWord/>
      <trackRevisions>false</trackRevisions>
    </reviewItem>
    <reviewItem>
      <errorID>fcc9e476-21ed-4da7-88e2-f61c49acdfee</errorID>
      <errorWord>[2024]1号</errorWord>
      <group>L1_Knowledge</group>
      <groupName>知识性问题</groupName>
      <ability>L2_Knowledge</ability>
      <abilityName>其他知识</abilityName>
      <candidateList>
        <item>〔2024〕1号</item>
      </candidateList>
      <explain>发文字号格式错误。</explain>
      <paraID>30977439</paraID>
      <start>29</start>
      <end>37</end>
      <status>unmodified</status>
      <modifiedWord/>
      <trackRevisions>false</trackRevisions>
    </reviewItem>
    <reviewItem>
      <errorID>c9560d25-b38f-474f-a1f5-e981e4075e16</errorID>
      <errorWord>[2024]1号</errorWord>
      <group>L1_Knowledge</group>
      <groupName>知识性问题</groupName>
      <ability>L2_Knowledge</ability>
      <abilityName>其他知识</abilityName>
      <candidateList>
        <item>〔2024〕1号</item>
      </candidateList>
      <explain>发文字号格式错误。</explain>
      <paraID> 449E470</paraID>
      <start>7</start>
      <end>15</end>
      <status>unmodified</status>
      <modifiedWord/>
      <trackRevisions>false</trackRevisions>
    </reviewItem>
    <reviewItem>
      <errorID>c8699eae-5f54-4a34-9087-e590ff6937eb</errorID>
      <errorWord>为为</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5F01B82A</paraID>
      <start>14</start>
      <end>16</end>
      <status>unmodified</status>
      <modifiedWord/>
      <trackRevisions>false</trackRevisions>
    </reviewItem>
    <reviewItem>
      <errorID>d000240e-b774-4770-8fc9-b13280c10c74</errorID>
      <errorWord>70~75%</errorWord>
      <group>L1_Knowledge</group>
      <groupName>知识性问题</groupName>
      <ability>L2_Knowledge</ability>
      <abilityName>其他知识</abilityName>
      <candidateList>
        <item>70%～75%</item>
      </candidateList>
      <explain>1. “70~75%”中的单位“%”仅出现在后一个数字上，容易引起歧义；根据《现代汉语标点符号数字用法规范手册》，数字表示范围两边需要使用统一的格式。2. 根据标点国标 4.13 中的规则，数字、时间或地域连接符应使用（视觉上更长的）“—”或“～”。</explain>
      <paraID>5F01B82A</paraID>
      <start>65</start>
      <end>78</end>
      <status>modified</status>
      <modifiedWord>70%～75%</modifiedWord>
      <trackRevisions>true</trackRevisions>
    </reviewItem>
    <reviewItem>
      <errorID>c3f6af21-e35a-4c2e-ab6b-35352adac71f</errorID>
      <errorWord>30~40%</errorWord>
      <group>L1_Knowledge</group>
      <groupName>知识性问题</groupName>
      <ability>L2_Knowledge</ability>
      <abilityName>其他知识</abilityName>
      <candidateList>
        <item>30%～40%</item>
      </candidateList>
      <explain>1. “30~40%”中的单位“%”仅出现在后一个数字上，容易引起歧义；根据《现代汉语标点符号数字用法规范手册》，数字表示范围两边需要使用统一的格式。2. 根据标点国标 4.13 中的规则，数字、时间或地域连接符应使用（视觉上更长的）“—”或“～”。</explain>
      <paraID>5F01B82A</paraID>
      <start>85</start>
      <end>98</end>
      <status>modified</status>
      <modifiedWord>30%～40%</modifiedWord>
      <trackRevisions>true</trackRevisions>
    </reviewItem>
    <reviewItem>
      <errorID>6221d26a-4fd2-4d9c-a0d1-d03551076876</errorID>
      <errorWord>50~60%</errorWord>
      <group>L1_Knowledge</group>
      <groupName>知识性问题</groupName>
      <ability>L2_Knowledge</ability>
      <abilityName>其他知识</abilityName>
      <candidateList>
        <item>50%～60%</item>
      </candidateList>
      <explain>1. “50~60%”中的单位“%”仅出现在后一个数字上，容易引起歧义；根据《现代汉语标点符号数字用法规范手册》，数字表示范围两边需要使用统一的格式。2. 根据标点国标 4.13 中的规则，数字、时间或地域连接符应使用（视觉上更长的）“—”或“～”。</explain>
      <paraID>5F01B82A</paraID>
      <start>117</start>
      <end>130</end>
      <status>modified</status>
      <modifiedWord>50%～60%</modifiedWord>
      <trackRevisions>true</trackRevisions>
    </reviewItem>
    <reviewItem>
      <errorID>2e80678a-4e33-440e-b4c5-1299d1c9d526</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5F01B82A</paraID>
      <start>134</start>
      <end>147</end>
      <status>modified</status>
      <modifiedWord>10%～20%</modifiedWord>
      <trackRevisions>true</trackRevisions>
    </reviewItem>
    <reviewItem>
      <errorID>db3db623-799c-433a-bc74-bad26d6da369</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5F01B82A</paraID>
      <start>151</start>
      <end>162</end>
      <status>modified</status>
      <modifiedWord>5%～10%</modifiedWord>
      <trackRevisions>true</trackRevisions>
    </reviewItem>
    <reviewItem>
      <errorID>3907c557-24f4-412d-8a69-8b483007b728</errorID>
      <errorWord>明</errorWord>
      <group>L1_Word</group>
      <groupName>字词问题</groupName>
      <ability>L2_Typo</ability>
      <abilityName>字词错误</abilityName>
      <candidateList>
        <item>明书</item>
      </candidateList>
      <explain/>
      <paraID>314914D0</paraID>
      <start>154</start>
      <end>155</end>
      <status>unmodified</status>
      <modifiedWord/>
      <trackRevisions>false</trackRevisions>
    </reviewItem>
    <reviewItem>
      <errorID>5815c0d5-51d5-4de2-89be-a7ecba19f6d8</errorID>
      <errorWord>《中共中央、国务院</errorWord>
      <group>L1_Political</group>
      <groupName>政治性问题</groupName>
      <ability>L2_Unpolitical</ability>
      <abilityName>政治敏感错误</abilityName>
      <candidateList>
        <item>《中共中央 国务院</item>
      </candidateList>
      <explain/>
      <paraID>3E2DE292</paraID>
      <start>4</start>
      <end>13</end>
      <status>unmodified</status>
      <modifiedWord/>
      <trackRevisions>false</trackRevisions>
    </reviewItem>
    <reviewItem>
      <errorID>ee7a6b97-8eaa-4ca7-baee-78ac36ca89e1</errorID>
      <errorWord>《中共中央、国务院</errorWord>
      <group>L1_Political</group>
      <groupName>政治性问题</groupName>
      <ability>L2_Unpolitical</ability>
      <abilityName>政治敏感错误</abilityName>
      <candidateList>
        <item>《中共中央 国务院</item>
      </candidateList>
      <explain/>
      <paraID> A8E186A</paraID>
      <start>4</start>
      <end>13</end>
      <status>unmodified</status>
      <modifiedWord/>
      <trackRevisions>false</trackRevisions>
    </reviewItem>
    <reviewItem>
      <errorID>26b23a38-091d-4ebb-b111-e17aeeb02faa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B4D5469</paraID>
      <start>37</start>
      <end>40</end>
      <status>unmodified</status>
      <modifiedWord/>
      <trackRevisions>false</trackRevisions>
    </reviewItem>
    <reviewItem>
      <errorID>8a6b968e-a4f7-470f-8535-c19214e1cede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592926D0</paraID>
      <start>22</start>
      <end>25</end>
      <status>unmodified</status>
      <modifiedWord/>
      <trackRevisions>false</trackRevisions>
    </reviewItem>
    <reviewItem>
      <errorID>bd262cbb-e86e-4aea-a670-41860d0ac0e3</errorID>
      <errorWord>应</errorWord>
      <group>L1_Word</group>
      <groupName>字词问题</groupName>
      <ability>L2_Typo</ability>
      <abilityName>字词错误</abilityName>
      <candidateList>
        <item>应进</item>
      </candidateList>
      <explain/>
      <paraID>4594FE49</paraID>
      <start>64</start>
      <end>65</end>
      <status>unmodified</status>
      <modifiedWord/>
      <trackRevisions>false</trackRevisions>
    </reviewItem>
    <reviewItem>
      <errorID>470a7cf5-0f02-49be-bd9e-7dc02e365012</errorID>
      <errorWord>长江经济带战略</errorWord>
      <group>L1_Political</group>
      <groupName>政治性问题</groupName>
      <ability>L2_Keyword</ability>
      <abilityName>固定表述</abilityName>
      <candidateList>
        <item>长江经济带发展战略</item>
      </candidateList>
      <explain>词汇“长江经济带发展战略”在特定场景下为固定表述形式，请确认此处的“长江经济带战略”是否存在不当。</explain>
      <paraID>1FBCCF4D</paraID>
      <start>5</start>
      <end>12</end>
      <status>unmodified</status>
      <modifiedWord/>
      <trackRevisions>false</trackRevisions>
    </reviewItem>
    <reviewItem>
      <errorID>2618c0dc-a2be-4df5-9de9-3467a17ae71a</errorID>
      <errorWord>长江经济带战略</errorWord>
      <group>L1_Political</group>
      <groupName>政治性问题</groupName>
      <ability>L2_Keyword</ability>
      <abilityName>固定表述</abilityName>
      <candidateList>
        <item>长江经济带发展战略</item>
      </candidateList>
      <explain>词汇“长江经济带发展战略”在特定场景下为固定表述形式，请确认此处的“长江经济带战略”是否存在不当。</explain>
      <paraID>501119FB</paraID>
      <start>0</start>
      <end>7</end>
      <status>unmodified</status>
      <modifiedWord/>
      <trackRevisions>false</trackRevisions>
    </reviewItem>
    <reviewItem>
      <errorID>c12d8b74-0d67-4639-bbbd-aeb6c239a000</errorID>
      <errorWord>机制</errorWord>
      <group>L1_Word</group>
      <groupName>字词问题</groupName>
      <ability>L2_Typo</ability>
      <abilityName>字词错误</abilityName>
      <candidateList>
        <item>禁止</item>
      </candidateList>
      <explain/>
      <paraID> BB5C281</paraID>
      <start>115</start>
      <end>119</end>
      <status>modified</status>
      <modifiedWord>禁止</modifiedWord>
      <trackRevisions>true</trackRevisions>
    </reviewItem>
    <reviewItem>
      <errorID>6c93abf8-ee8c-4c4c-a1ad-a1aa275ba039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269F3FA</paraID>
      <start>142</start>
      <end>145</end>
      <status>unmodified</status>
      <modifiedWord/>
      <trackRevisions>false</trackRevisions>
    </reviewItem>
    <reviewItem>
      <errorID>9d0a75a0-d0e9-47d8-b82b-b4bb536a681c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5E7603B3</paraID>
      <start>181</start>
      <end>184</end>
      <status>unmodified</status>
      <modifiedWord/>
      <trackRevisions>false</trackRevisions>
    </reviewItem>
    <reviewItem>
      <errorID>3f29561c-e765-40b8-b92b-64fd720a1513</errorID>
      <errorWord>上线</errorWord>
      <group>L1_Word</group>
      <groupName>字词问题</groupName>
      <ability>L2_Typo</ability>
      <abilityName>字词错误</abilityName>
      <candidateList>
        <item>上限</item>
      </candidateList>
      <explain/>
      <paraID>5E0A98DC</paraID>
      <start>43</start>
      <end>45</end>
      <status>unmodified</status>
      <modifiedWord/>
      <trackRevisions>false</trackRevisions>
    </reviewItem>
    <reviewItem>
      <errorID>45272953-8379-4fb2-b40e-a3445c8fee3b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68723186</paraID>
      <start>19</start>
      <end>20</end>
      <status>unmodified</status>
      <modifiedWord/>
      <trackRevisions>false</trackRevisions>
    </reviewItem>
    <reviewItem>
      <errorID>e2806ede-d3ac-4890-9eb5-ddf9305de881</errorID>
      <errorWord>上线</errorWord>
      <group>L1_Word</group>
      <groupName>字词问题</groupName>
      <ability>L2_Typo</ability>
      <abilityName>字词错误</abilityName>
      <candidateList>
        <item>上限</item>
      </candidateList>
      <explain/>
      <paraID> 2BC8640</paraID>
      <start>60</start>
      <end>62</end>
      <status>unmodified</status>
      <modifiedWord/>
      <trackRevisions>false</trackRevisions>
    </reviewItem>
    <reviewItem>
      <errorID>7ec893d6-ebf8-401c-b7a3-3d21b66583ee</errorID>
      <errorWord>法律、法规</errorWord>
      <group>L1_Word</group>
      <groupName>字词问题</groupName>
      <ability>L2_Typo</ability>
      <abilityName>字词错误</abilityName>
      <candidateList>
        <item>法律法规</item>
      </candidateList>
      <explain/>
      <paraID>5FCC0F99</paraID>
      <start>108</start>
      <end>113</end>
      <status>unmodified</status>
      <modifiedWord/>
      <trackRevisions>false</trackRevisions>
    </reviewItem>
    <reviewItem>
      <errorID>c228636b-38a9-43ab-8624-d2a8d83a5abe</errorID>
      <errorWord>木质家具</errorWord>
      <group>L1_Word</group>
      <groupName>字词问题</groupName>
      <ability>L2_Typo</ability>
      <abilityName>字词错误</abilityName>
      <candidateList>
        <item>木制家具</item>
      </candidateList>
      <explain/>
      <paraID>55E18D28</paraID>
      <start>709</start>
      <end>713</end>
      <status>unmodified</status>
      <modifiedWord/>
      <trackRevisions>false</trackRevisions>
    </reviewItem>
    <reviewItem>
      <errorID>d008715e-1b97-4930-8169-e91496c9d771</errorID>
      <errorWord>（</errorWord>
      <group>L1_Punc</group>
      <groupName>标点问题</groupName>
      <ability>L2_Punc</ability>
      <abilityName>标点符号检查</abilityName>
      <candidateList/>
      <explain>同一形式括号套用。</explain>
      <paraID>23CB95A3</paraID>
      <start>46</start>
      <end>47</end>
      <status>unmodified</status>
      <modifiedWord/>
      <trackRevisions>false</trackRevisions>
    </reviewItem>
    <reviewItem>
      <errorID>980b5158-a424-4594-b8fe-2abe081753ab</errorID>
      <errorWord>）</errorWord>
      <group>L1_Punc</group>
      <groupName>标点问题</groupName>
      <ability>L2_Punc</ability>
      <abilityName>标点符号检查</abilityName>
      <candidateList/>
      <explain>同一形式括号套用。</explain>
      <paraID>23CB95A3</paraID>
      <start>51</start>
      <end>52</end>
      <status>unmodified</status>
      <modifiedWord/>
      <trackRevisions>false</trackRevisions>
    </reviewItem>
    <reviewItem>
      <errorID>706e0eb8-a549-43ad-a880-0f34e4be0e7e</errorID>
      <errorWord>[2021]7号</errorWord>
      <group>L1_Knowledge</group>
      <groupName>知识性问题</groupName>
      <ability>L2_Knowledge</ability>
      <abilityName>其他知识</abilityName>
      <candidateList>
        <item>〔2021〕7号</item>
      </candidateList>
      <explain>发文字号格式错误。</explain>
      <paraID>1FCF1931</paraID>
      <start>62</start>
      <end>70</end>
      <status>unmodified</status>
      <modifiedWord/>
      <trackRevisions>false</trackRevisions>
    </reviewItem>
    <reviewItem>
      <errorID>d25a44f5-05ee-45ae-ac20-8ae04130111c</errorID>
      <errorWord>安徽安徽</errorWord>
      <group>L1_Word</group>
      <groupName>字词问题</groupName>
      <ability>L2_Typo</ability>
      <abilityName>字词错误</abilityName>
      <candidateList>
        <item>安徽</item>
      </candidateList>
      <explain/>
      <paraID>336A159C</paraID>
      <start>45</start>
      <end>49</end>
      <status>unmodified</status>
      <modifiedWord/>
      <trackRevisions>false</trackRevisions>
    </reviewItem>
    <reviewItem>
      <errorID>6ad5f4b9-51dc-4452-81ca-7cb990e9da3c</errorID>
      <errorWord>镀铬</errorWord>
      <group>L1_Word</group>
      <groupName>字词问题</groupName>
      <ability>L2_Typo</ability>
      <abilityName>字词错误</abilityName>
      <candidateList>
        <item>镀</item>
      </candidateList>
      <explain/>
      <paraID>759F4924</paraID>
      <start>50</start>
      <end>52</end>
      <status>unmodified</status>
      <modifiedWord/>
      <trackRevisions>false</trackRevisions>
    </reviewItem>
    <reviewItem>
      <errorID>9e7fded9-97d8-4d1c-af3b-ecd4b15cb404</errorID>
      <errorWord>验</errorWord>
      <group>L1_Word</group>
      <groupName>字词问题</groupName>
      <ability>L2_Typo</ability>
      <abilityName>字词错误</abilityName>
      <candidateList>
        <item>验收</item>
      </candidateList>
      <explain/>
      <paraID>56F90289</paraID>
      <start>20</start>
      <end>21</end>
      <status>unmodified</status>
      <modifiedWord/>
      <trackRevisions>false</trackRevisions>
    </reviewItem>
    <reviewItem>
      <errorID>f050b6a3-74f7-4060-b80c-21e9f0723cbb</errorID>
      <errorWord>后由</errorWord>
      <group>L1_Word</group>
      <groupName>字词问题</groupName>
      <ability>L2_Typo</ability>
      <abilityName>字词错误</abilityName>
      <candidateList>
        <item>后</item>
      </candidateList>
      <explain>❶君主的妻子：皇～｜～妃。❷古代称君主：商之先～。❸（Hòu）〈名〉姓。</explain>
      <paraID>187C4F4F</paraID>
      <start>288</start>
      <end>290</end>
      <status>unmodified</status>
      <modifiedWord/>
      <trackRevisions>false</trackRevisions>
    </reviewItem>
    <reviewItem>
      <errorID>ba841418-2586-41b6-85a7-a7dde0fa4e26</errorID>
      <errorWord>通过经</errorWord>
      <group>L1_Word</group>
      <groupName>字词问题</groupName>
      <ability>L2_Typo</ability>
      <abilityName>字词错误</abilityName>
      <candidateList>
        <item>通过</item>
      </candidateList>
      <explain>❶（－∥－）〈动〉从一端或一侧到另一端或另一侧；穿过：电流～导线｜队伍～了沙漠｜路太窄，汽车不能～。❷（－∥－）〈动〉议案等经过法定人数的同意而成立：～决议｜该提案以四分之三的多数票获得～。❸〈介〉以人或事物为媒介或手段而达到某种目的：～老艺人收集民间故事｜～座谈会征询意见。❹〈动〉征求有关的人或组织的同意或核准：～组织｜～领导｜这问题要～群众，才能做出决定。</explain>
      <paraID>4B7D664A</paraID>
      <start>116</start>
      <end>119</end>
      <status>unmodified</status>
      <modifiedWord/>
      <trackRevisions>false</trackRevisions>
    </reviewItem>
    <reviewItem>
      <errorID>1608c7d4-65c2-420f-be11-0985ace6fbc8</errorID>
      <errorWord>-</errorWord>
      <group>L1_Format</group>
      <groupName>格式问题</groupName>
      <ability>L2_HalfPunc</ability>
      <abilityName>全半角检查</abilityName>
      <candidateList>
        <item>－</item>
      </candidateList>
      <explain>文本全半角错误。</explain>
      <paraID>11D59732</paraID>
      <start>13</start>
      <end>14</end>
      <status>unmodified</status>
      <modifiedWord/>
      <trackRevisions>false</trackRevisions>
    </reviewItem>
    <reviewItem>
      <errorID>31d8e371-a2cd-4011-9235-f0fbd41f34a4</errorID>
      <errorWord>-</errorWord>
      <group>L1_Format</group>
      <groupName>格式问题</groupName>
      <ability>L2_HalfPunc</ability>
      <abilityName>全半角检查</abilityName>
      <candidateList>
        <item>－</item>
      </candidateList>
      <explain>文本全半角错误。</explain>
      <paraID>2A930544</paraID>
      <start>13</start>
      <end>14</end>
      <status>unmodified</status>
      <modifiedWord/>
      <trackRevisions>false</trackRevisions>
    </reviewItem>
    <reviewItem>
      <errorID>d21362fb-20c2-42fc-ae8b-09bc6ea870a0</errorID>
      <errorWord>-</errorWord>
      <group>L1_Format</group>
      <groupName>格式问题</groupName>
      <ability>L2_HalfPunc</ability>
      <abilityName>全半角检查</abilityName>
      <candidateList>
        <item>－</item>
      </candidateList>
      <explain>文本全半角错误。</explain>
      <paraID>40AA85DF</paraID>
      <start>13</start>
      <end>14</end>
      <status>unmodified</status>
      <modifiedWord/>
      <trackRevisions>false</trackRevisions>
    </reviewItem>
    <reviewItem>
      <errorID>769840fe-39f6-4d5b-82cd-c91c72a1845e</errorID>
      <errorWord>(</errorWord>
      <group>L1_Format</group>
      <groupName>格式问题</groupName>
      <ability>L2_HalfPunc</ability>
      <abilityName>全半角检查</abilityName>
      <candidateList>
        <item>（</item>
      </candidateList>
      <explain>文本全半角错误。</explain>
      <paraID>3A464E1D</paraID>
      <start>4</start>
      <end>5</end>
      <status>unmodified</status>
      <modifiedWord/>
      <trackRevisions>false</trackRevisions>
    </reviewItem>
    <reviewItem>
      <errorID>38ea741b-8f1f-4a89-956b-0b847b7af1f2</errorID>
      <errorWord>)</errorWord>
      <group>L1_Format</group>
      <groupName>格式问题</groupName>
      <ability>L2_HalfPunc</ability>
      <abilityName>全半角检查</abilityName>
      <candidateList>
        <item>）</item>
      </candidateList>
      <explain>文本全半角错误。</explain>
      <paraID>3A464E1D</paraID>
      <start>7</start>
      <end>8</end>
      <status>unmodified</status>
      <modifiedWord/>
      <trackRevisions>false</trackRevisions>
    </reviewItem>
    <reviewItem>
      <errorID>b5f4a33b-2a0f-4fd8-847e-5c1750f5fab4</errorID>
      <errorWord>，</errorWord>
      <group>L1_Format</group>
      <groupName>格式问题</groupName>
      <ability>L2_HalfPunc</ability>
      <abilityName>全半角检查</abilityName>
      <candidateList>
        <item>,</item>
      </candidateList>
      <explain>文本全半角错误。</explain>
      <paraID>19D667AC</paraID>
      <start>2</start>
      <end>3</end>
      <status>unmodified</status>
      <modifiedWord/>
      <trackRevisions>false</trackRevisions>
    </reviewItem>
    <reviewItem>
      <errorID>0b7706d7-e836-4b8a-9dbb-63823e731aa0</errorID>
      <errorWord>，</errorWord>
      <group>L1_Format</group>
      <groupName>格式问题</groupName>
      <ability>L2_HalfPunc</ability>
      <abilityName>全半角检查</abilityName>
      <candidateList>
        <item>,</item>
      </candidateList>
      <explain>文本全半角错误。</explain>
      <paraID>19D667AC</paraID>
      <start>5</start>
      <end>6</end>
      <status>unmodified</status>
      <modifiedWord/>
      <trackRevisions>false</trackRevisions>
    </reviewItem>
    <reviewItem>
      <errorID>266ae4a4-22ba-47ba-a6d9-8120fd01a59d</errorID>
      <errorWord>(</errorWord>
      <group>L1_Format</group>
      <groupName>格式问题</groupName>
      <ability>L2_HalfPunc</ability>
      <abilityName>全半角检查</abilityName>
      <candidateList>
        <item>（</item>
      </candidateList>
      <explain>文本全半角错误。</explain>
      <paraID>3D2D1509</paraID>
      <start>2</start>
      <end>3</end>
      <status>unmodified</status>
      <modifiedWord/>
      <trackRevisions>false</trackRevisions>
    </reviewItem>
    <reviewItem>
      <errorID>86997f5d-5be8-48c4-823b-6fefd8259681</errorID>
      <errorWord>)</errorWord>
      <group>L1_Format</group>
      <groupName>格式问题</groupName>
      <ability>L2_HalfPunc</ability>
      <abilityName>全半角检查</abilityName>
      <candidateList>
        <item>）</item>
      </candidateList>
      <explain>文本全半角错误。</explain>
      <paraID>3D2D1509</paraID>
      <start>5</start>
      <end>6</end>
      <status>unmodified</status>
      <modifiedWord/>
      <trackRevisions>false</trackRevisions>
    </reviewItem>
    <reviewItem>
      <errorID>e29564db-a7ae-47fb-8ca7-8092004131b5</errorID>
      <errorWord>&gt;</errorWord>
      <group>L1_Punc</group>
      <groupName>标点问题</groupName>
      <ability>L2_Punc</ability>
      <abilityName>标点符号检查</abilityName>
      <candidateList/>
      <explain/>
      <paraID>7036FE19</paraID>
      <start>0</start>
      <end>1</end>
      <status>unmodified</status>
      <modifiedWord/>
      <trackRevisions>false</trackRevisions>
    </reviewItem>
    <reviewItem>
      <errorID>0295c5ee-08f1-47f8-94a8-f0533a129228</errorID>
      <errorWord>&gt;</errorWord>
      <group>L1_Punc</group>
      <groupName>标点问题</groupName>
      <ability>L2_Punc</ability>
      <abilityName>标点符号检查</abilityName>
      <candidateList/>
      <explain/>
      <paraID>15058950</paraID>
      <start>0</start>
      <end>1</end>
      <status>unmodified</status>
      <modifiedWord/>
      <trackRevisions>false</trackRevisions>
    </reviewItem>
    <reviewItem>
      <errorID>ca8c6c20-c6d1-4bbc-9314-9fdc122b488a</errorID>
      <errorWord>&gt;</errorWord>
      <group>L1_Punc</group>
      <groupName>标点问题</groupName>
      <ability>L2_Punc</ability>
      <abilityName>标点符号检查</abilityName>
      <candidateList/>
      <explain/>
      <paraID>27F5E5DD</paraID>
      <start>0</start>
      <end>1</end>
      <status>unmodified</status>
      <modifiedWord/>
      <trackRevisions>false</trackRevisions>
    </reviewItem>
    <reviewItem>
      <errorID>9ae599ae-7be7-43f8-b18d-1726706e5825</errorID>
      <errorWord>&gt;</errorWord>
      <group>L1_Punc</group>
      <groupName>标点问题</groupName>
      <ability>L2_Punc</ability>
      <abilityName>标点符号检查</abilityName>
      <candidateList/>
      <explain/>
      <paraID>13397528</paraID>
      <start>0</start>
      <end>1</end>
      <status>unmodified</status>
      <modifiedWord/>
      <trackRevisions>false</trackRevisions>
    </reviewItem>
    <reviewItem>
      <errorID>696485dc-d8c9-4388-9a94-1b121f65bb0d</errorID>
      <errorWord>-</errorWord>
      <group>L1_Format</group>
      <groupName>格式问题</groupName>
      <ability>L2_HalfPunc</ability>
      <abilityName>全半角检查</abilityName>
      <candidateList>
        <item>－</item>
      </candidateList>
      <explain>文本全半角错误。</explain>
      <paraID> 8794FE0</paraID>
      <start>8</start>
      <end>9</end>
      <status>unmodified</status>
      <modifiedWord/>
      <trackRevisions>false</trackRevisions>
    </reviewItem>
    <reviewItem>
      <errorID>60ddc09f-127e-42bc-8a2a-9b721e94665c</errorID>
      <errorWord>（</errorWord>
      <group>L1_Format</group>
      <groupName>格式问题</groupName>
      <ability>L2_HalfPunc</ability>
      <abilityName>全半角检查</abilityName>
      <candidateList>
        <item>(</item>
      </candidateList>
      <explain>文本全半角错误。</explain>
      <paraID>60E7D9FA</paraID>
      <start>4</start>
      <end>5</end>
      <status>unmodified</status>
      <modifiedWord/>
      <trackRevisions>false</trackRevisions>
    </reviewItem>
    <reviewItem>
      <errorID>0b723f82-64c2-4538-9218-575ba822f0ba</errorID>
      <errorWord>）</errorWord>
      <group>L1_Format</group>
      <groupName>格式问题</groupName>
      <ability>L2_HalfPunc</ability>
      <abilityName>全半角检查</abilityName>
      <candidateList>
        <item>)</item>
      </candidateList>
      <explain>文本全半角错误。</explain>
      <paraID>60E7D9FA</paraID>
      <start>14</start>
      <end>15</end>
      <status>unmodified</status>
      <modifiedWord/>
      <trackRevisions>false</trackRevisions>
    </reviewItem>
    <reviewItem>
      <errorID>a0246955-a716-4b27-8819-70d81b4981f2</errorID>
      <errorWord>-</errorWord>
      <group>L1_Format</group>
      <groupName>格式问题</groupName>
      <ability>L2_HalfPunc</ability>
      <abilityName>全半角检查</abilityName>
      <candidateList>
        <item>－</item>
      </candidateList>
      <explain>文本全半角错误。</explain>
      <paraID>5CFF3F82</paraID>
      <start>8</start>
      <end>9</end>
      <status>unmodified</status>
      <modifiedWord/>
      <trackRevisions>false</trackRevisions>
    </reviewItem>
    <reviewItem>
      <errorID>90210b39-17da-4ae1-ad27-b5e2648f4f36</errorID>
      <errorWord>70~75%</errorWord>
      <group>L1_Knowledge</group>
      <groupName>知识性问题</groupName>
      <ability>L2_Knowledge</ability>
      <abilityName>其他知识</abilityName>
      <candidateList>
        <item>70%～75%</item>
      </candidateList>
      <explain>1. “70~75%”中的单位“%”仅出现在后一个数字上，容易引起歧义；根据《现代汉语标点符号数字用法规范手册》，数字表示范围两边需要使用统一的格式。2. 根据标点国标 4.13 中的规则，数字、时间或地域连接符应使用（视觉上更长的）“—”或“～”。</explain>
      <paraID>4315415D</paraID>
      <start>64</start>
      <end>77</end>
      <status>modified</status>
      <modifiedWord>70%～75%</modifiedWord>
      <trackRevisions>true</trackRevisions>
    </reviewItem>
    <reviewItem>
      <errorID>7753a2ad-4919-47cc-adc8-12f222844a1e</errorID>
      <errorWord>30~40%</errorWord>
      <group>L1_Knowledge</group>
      <groupName>知识性问题</groupName>
      <ability>L2_Knowledge</ability>
      <abilityName>其他知识</abilityName>
      <candidateList>
        <item>30%～40%</item>
      </candidateList>
      <explain>1. “30~40%”中的单位“%”仅出现在后一个数字上，容易引起歧义；根据《现代汉语标点符号数字用法规范手册》，数字表示范围两边需要使用统一的格式。2. 根据标点国标 4.13 中的规则，数字、时间或地域连接符应使用（视觉上更长的）“—”或“～”。</explain>
      <paraID>4315415D</paraID>
      <start>84</start>
      <end>97</end>
      <status>modified</status>
      <modifiedWord>30%～40%</modifiedWord>
      <trackRevisions>true</trackRevisions>
    </reviewItem>
    <reviewItem>
      <errorID>72fa5cf4-7998-4ac8-ae92-e87618b348ef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D410A4</paraID>
      <start>0</start>
      <end>2</end>
      <status>unmodified</status>
      <modifiedWord/>
      <trackRevisions>false</trackRevisions>
    </reviewItem>
    <reviewItem>
      <errorID>39c2a65a-c4e5-46c1-866a-70c3f068424a</errorID>
      <errorWord>闪电</errorWord>
      <group>L1_Word</group>
      <groupName>字词问题</groupName>
      <ability>L2_Typo</ability>
      <abilityName>字词错误</abilityName>
      <candidateList>
        <item>闪点</item>
      </candidateList>
      <explain/>
      <paraID>4B2A1641</paraID>
      <start>39</start>
      <end>43</end>
      <status>modified</status>
      <modifiedWord>闪点</modifiedWord>
      <trackRevisions>true</trackRevisions>
    </reviewItem>
    <reviewItem>
      <errorID>eb49758f-ee3d-4e42-bfc6-a9ca35a67375</errorID>
      <errorWord>50~60%</errorWord>
      <group>L1_Knowledge</group>
      <groupName>知识性问题</groupName>
      <ability>L2_Knowledge</ability>
      <abilityName>其他知识</abilityName>
      <candidateList>
        <item>50%～60%</item>
      </candidateList>
      <explain>1. “50~60%”中的单位“%”仅出现在后一个数字上，容易引起歧义；根据《现代汉语标点符号数字用法规范手册》，数字表示范围两边需要使用统一的格式。2. 根据标点国标 4.13 中的规则，数字、时间或地域连接符应使用（视觉上更长的）“—”或“～”。</explain>
      <paraID>4B2A1641</paraID>
      <start>63</start>
      <end>76</end>
      <status>modified</status>
      <modifiedWord>50%～60%</modifiedWord>
      <trackRevisions>true</trackRevisions>
    </reviewItem>
    <reviewItem>
      <errorID>6478aa32-f61e-4635-af26-21b11f03760a</errorID>
      <errorWord>20~30%</errorWord>
      <group>L1_Knowledge</group>
      <groupName>知识性问题</groupName>
      <ability>L2_Knowledge</ability>
      <abilityName>其他知识</abilityName>
      <candidateList>
        <item>20%～30%</item>
      </candidateList>
      <explain>1. “20~30%”中的单位“%”仅出现在后一个数字上，容易引起歧义；根据《现代汉语标点符号数字用法规范手册》，数字表示范围两边需要使用统一的格式。2. 根据标点国标 4.13 中的规则，数字、时间或地域连接符应使用（视觉上更长的）“—”或“～”。</explain>
      <paraID>4B2A1641</paraID>
      <start>80</start>
      <end>93</end>
      <status>modified</status>
      <modifiedWord>20%～30%</modifiedWord>
      <trackRevisions>true</trackRevisions>
    </reviewItem>
    <reviewItem>
      <errorID>902c3551-885c-48a9-9381-431b8b0681a2</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4B2A1641</paraID>
      <start>97</start>
      <end>110</end>
      <status>modified</status>
      <modifiedWord>10%～20%</modifiedWord>
      <trackRevisions>true</trackRevisions>
    </reviewItem>
    <reviewItem>
      <errorID>3e0df133-ba30-4889-a9f2-b6c80182b287</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4B2A1641</paraID>
      <start>114</start>
      <end>125</end>
      <status>modified</status>
      <modifiedWord>5%～10%</modifiedWord>
      <trackRevisions>true</trackRevisions>
    </reviewItem>
    <reviewItem>
      <errorID>d64e0c8f-7684-414a-9c54-0fd303ee701d</errorID>
      <errorWord>25～30%</errorWord>
      <group>L1_Knowledge</group>
      <groupName>知识性问题</groupName>
      <ability>L2_Knowledge</ability>
      <abilityName>其他知识</abilityName>
      <candidateList>
        <item>25%～30%</item>
      </candidateList>
      <explain>1. “25～30%”中的单位“%”仅出现在后一个数字上，容易引起歧义；根据《现代汉语标点符号数字用法规范手册》，数字表示范围两边需要使用统一的格式。2. 根据标点国标 4.13 中的规则，数字、时间或地域连接符应使用（视觉上更长的）“—”或“～”。</explain>
      <paraID>77719BBA</paraID>
      <start>11</start>
      <end>24</end>
      <status>modified</status>
      <modifiedWord>25%～30%</modifiedWord>
      <trackRevisions>true</trackRevisions>
    </reviewItem>
    <reviewItem>
      <errorID>0cd94d64-8dd0-4f4d-928f-bf3ef3b5ce9c</errorID>
      <errorWord>20～32%</errorWord>
      <group>L1_Knowledge</group>
      <groupName>知识性问题</groupName>
      <ability>L2_Knowledge</ability>
      <abilityName>其他知识</abilityName>
      <candidateList>
        <item>20%～32%</item>
      </candidateList>
      <explain>1. “20～32%”中的单位“%”仅出现在后一个数字上，容易引起歧义；根据《现代汉语标点符号数字用法规范手册》，数字表示范围两边需要使用统一的格式。2. 根据标点国标 4.13 中的规则，数字、时间或地域连接符应使用（视觉上更长的）“—”或“～”。</explain>
      <paraID>77719BBA</paraID>
      <start>31</start>
      <end>44</end>
      <status>modified</status>
      <modifiedWord>20%～32%</modifiedWord>
      <trackRevisions>true</trackRevisions>
    </reviewItem>
    <reviewItem>
      <errorID>d6a99a9d-78a1-435a-9c4d-773d43545f3e</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22FDA346</paraID>
      <start>11</start>
      <end>22</end>
      <status>modified</status>
      <modifiedWord>5%—10%</modifiedWord>
      <trackRevisions>true</trackRevisions>
    </reviewItem>
    <reviewItem>
      <errorID>48a92050-91fc-4655-b2ad-f2a986259d02</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22FDA346</paraID>
      <start>29</start>
      <end>40</end>
      <status>modified</status>
      <modifiedWord>5%—10%</modifiedWord>
      <trackRevisions>true</trackRevisions>
    </reviewItem>
    <reviewItem>
      <errorID>1592ffef-64e0-44bc-b91a-cf4f3513beb9</errorID>
      <errorWord>1-10%</errorWord>
      <group>L1_Knowledge</group>
      <groupName>知识性问题</groupName>
      <ability>L2_Knowledge</ability>
      <abilityName>其他知识</abilityName>
      <candidateList>
        <item>1%—10%</item>
      </candidateList>
      <explain>1. “1-10%”中的单位“%”仅出现在后一个数字上，容易引起歧义；根据《现代汉语标点符号数字用法规范手册》，数字表示范围两边需要使用统一的格式。2. 根据标点国标 4.13 中的规则，数字、时间或地域连接符应使用（视觉上更长的）“—”或“～”。</explain>
      <paraID>22FDA346</paraID>
      <start>47</start>
      <end>58</end>
      <status>modified</status>
      <modifiedWord>1%—10%</modifiedWord>
      <trackRevisions>true</trackRevisions>
    </reviewItem>
    <reviewItem>
      <errorID>85a0c1f2-388f-4af3-b35a-f152bbc9c503</errorID>
      <errorWord>1-3%</errorWord>
      <group>L1_Knowledge</group>
      <groupName>知识性问题</groupName>
      <ability>L2_Knowledge</ability>
      <abilityName>其他知识</abilityName>
      <candidateList>
        <item>1%—3%</item>
      </candidateList>
      <explain>1. “1-3%”中的单位“%”仅出现在后一个数字上，容易引起歧义；根据《现代汉语标点符号数字用法规范手册》，数字表示范围两边需要使用统一的格式。2. 根据标点国标 4.13 中的规则，数字、时间或地域连接符应使用（视觉上更长的）“—”或“～”。</explain>
      <paraID>22FDA346</paraID>
      <start>65</start>
      <end>74</end>
      <status>modified</status>
      <modifiedWord>1%—3%</modifiedWord>
      <trackRevisions>true</trackRevisions>
    </reviewItem>
    <reviewItem>
      <errorID>ba39630d-7d3b-4fd9-813c-0b1abc2ce376</errorID>
      <errorWord>1-10%</errorWord>
      <group>L1_Knowledge</group>
      <groupName>知识性问题</groupName>
      <ability>L2_Knowledge</ability>
      <abilityName>其他知识</abilityName>
      <candidateList>
        <item>1%—10%</item>
      </candidateList>
      <explain>1. “1-10%”中的单位“%”仅出现在后一个数字上，容易引起歧义；根据《现代汉语标点符号数字用法规范手册》，数字表示范围两边需要使用统一的格式。2. 根据标点国标 4.13 中的规则，数字、时间或地域连接符应使用（视觉上更长的）“—”或“～”。</explain>
      <paraID>22FDA346</paraID>
      <start>81</start>
      <end>92</end>
      <status>modified</status>
      <modifiedWord>1%—10%</modifiedWord>
      <trackRevisions>true</trackRevisions>
    </reviewItem>
    <reviewItem>
      <errorID>449a6249-00f6-451a-b3b2-c6e1332484cd</errorID>
      <errorWord>：</errorWord>
      <group>L1_Format</group>
      <groupName>格式问题</groupName>
      <ability>L2_HalfPunc</ability>
      <abilityName>全半角检查</abilityName>
      <candidateList>
        <item>:</item>
      </candidateList>
      <explain>文本全半角错误。</explain>
      <paraID>5D36A225</paraID>
      <start>59</start>
      <end>60</end>
      <status>unmodified</status>
      <modifiedWord/>
      <trackRevisions>false</trackRevisions>
    </reviewItem>
    <reviewItem>
      <errorID>9b133c8f-ee2e-44e2-b0e5-51a4ac3791c3</errorID>
      <errorWord>4.59~15.4%</errorWord>
      <group>L1_Knowledge</group>
      <groupName>知识性问题</groupName>
      <ability>L2_Knowledge</ability>
      <abilityName>其他知识</abilityName>
      <candidateList>
        <item>4.59%～15.4%</item>
      </candidateList>
      <explain>1. “4.59~15.4%”中的单位“%”仅出现在后一个数字上，容易引起歧义；根据《现代汉语标点符号数字用法规范手册》，数字表示范围两边需要使用统一的格式。2. 根据标点国标 4.13 中的规则，数字、时间或地域连接符应使用（视觉上更长的）“—”或“～”。</explain>
      <paraID> 26BF45D</paraID>
      <start>72</start>
      <end>93</end>
      <status>modified</status>
      <modifiedWord>4.59%～15.4%</modifiedWord>
      <trackRevisions>true</trackRevisions>
    </reviewItem>
    <reviewItem>
      <errorID>a1177fba-578c-4957-a541-12e486bfb9e5</errorID>
      <errorWord>70~75%</errorWord>
      <group>L1_Knowledge</group>
      <groupName>知识性问题</groupName>
      <ability>L2_Knowledge</ability>
      <abilityName>其他知识</abilityName>
      <candidateList>
        <item>70%～75%</item>
      </candidateList>
      <explain>1. “70~75%”中的单位“%”仅出现在后一个数字上，容易引起歧义；根据《现代汉语标点符号数字用法规范手册》，数字表示范围两边需要使用统一的格式。2. 根据标点国标 4.13 中的规则，数字、时间或地域连接符应使用（视觉上更长的）“—”或“～”。</explain>
      <paraID>333B6D9E</paraID>
      <start>69</start>
      <end>82</end>
      <status>modified</status>
      <modifiedWord>70%～75%</modifiedWord>
      <trackRevisions>true</trackRevisions>
    </reviewItem>
    <reviewItem>
      <errorID>a12c68dd-6cc6-4050-9e1b-e974fe58faef</errorID>
      <errorWord>30~40%</errorWord>
      <group>L1_Knowledge</group>
      <groupName>知识性问题</groupName>
      <ability>L2_Knowledge</ability>
      <abilityName>其他知识</abilityName>
      <candidateList>
        <item>30%～40%</item>
      </candidateList>
      <explain>1. “30~40%”中的单位“%”仅出现在后一个数字上，容易引起歧义；根据《现代汉语标点符号数字用法规范手册》，数字表示范围两边需要使用统一的格式。2. 根据标点国标 4.13 中的规则，数字、时间或地域连接符应使用（视觉上更长的）“—”或“～”。</explain>
      <paraID>333B6D9E</paraID>
      <start>89</start>
      <end>102</end>
      <status>modified</status>
      <modifiedWord>30%～40%</modifiedWord>
      <trackRevisions>true</trackRevisions>
    </reviewItem>
    <reviewItem>
      <errorID>b7ce3c22-a8a9-4fb3-8883-0e8a2b77574c</errorID>
      <errorWord>50~60%</errorWord>
      <group>L1_Knowledge</group>
      <groupName>知识性问题</groupName>
      <ability>L2_Knowledge</ability>
      <abilityName>其他知识</abilityName>
      <candidateList>
        <item>50%～60%</item>
      </candidateList>
      <explain>1. “50~60%”中的单位“%”仅出现在后一个数字上，容易引起歧义；根据《现代汉语标点符号数字用法规范手册》，数字表示范围两边需要使用统一的格式。2. 根据标点国标 4.13 中的规则，数字、时间或地域连接符应使用（视觉上更长的）“—”或“～”。</explain>
      <paraID>333B6D9E</paraID>
      <start>123</start>
      <end>136</end>
      <status>modified</status>
      <modifiedWord>50%～60%</modifiedWord>
      <trackRevisions>true</trackRevisions>
    </reviewItem>
    <reviewItem>
      <errorID>0d69a1e6-77c1-4746-9fe6-dad2f5575522</errorID>
      <errorWord>20~30%</errorWord>
      <group>L1_Knowledge</group>
      <groupName>知识性问题</groupName>
      <ability>L2_Knowledge</ability>
      <abilityName>其他知识</abilityName>
      <candidateList>
        <item>20%～30%</item>
      </candidateList>
      <explain>1. “20~30%”中的单位“%”仅出现在后一个数字上，容易引起歧义；根据《现代汉语标点符号数字用法规范手册》，数字表示范围两边需要使用统一的格式。2. 根据标点国标 4.13 中的规则，数字、时间或地域连接符应使用（视觉上更长的）“—”或“～”。</explain>
      <paraID>333B6D9E</paraID>
      <start>140</start>
      <end>153</end>
      <status>modified</status>
      <modifiedWord>20%～30%</modifiedWord>
      <trackRevisions>true</trackRevisions>
    </reviewItem>
    <reviewItem>
      <errorID>f96e9bf9-e07d-413e-8a53-cd545d2dceed</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333B6D9E</paraID>
      <start>157</start>
      <end>170</end>
      <status>modified</status>
      <modifiedWord>10%～20%</modifiedWord>
      <trackRevisions>true</trackRevisions>
    </reviewItem>
    <reviewItem>
      <errorID>b7475965-3657-4abb-9370-5a3760862cec</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333B6D9E</paraID>
      <start>174</start>
      <end>185</end>
      <status>modified</status>
      <modifiedWord>5%～10%</modifiedWord>
      <trackRevisions>true</trackRevisions>
    </reviewItem>
    <reviewItem>
      <errorID>82621cd9-8eca-4faf-b06b-f85e30802f50</errorID>
      <errorWord>（</errorWord>
      <group>L1_Format</group>
      <groupName>格式问题</groupName>
      <ability>L2_HalfPunc</ability>
      <abilityName>全半角检查</abilityName>
      <candidateList>
        <item>(</item>
      </candidateList>
      <explain>文本全半角错误。</explain>
      <paraID>20840833</paraID>
      <start>12</start>
      <end>13</end>
      <status>unmodified</status>
      <modifiedWord/>
      <trackRevisions>false</trackRevisions>
    </reviewItem>
    <reviewItem>
      <errorID>ce4666ad-2f91-4ebc-85b6-0c11b1ff0f8f</errorID>
      <errorWord>）</errorWord>
      <group>L1_Format</group>
      <groupName>格式问题</groupName>
      <ability>L2_HalfPunc</ability>
      <abilityName>全半角检查</abilityName>
      <candidateList>
        <item>)</item>
      </candidateList>
      <explain>文本全半角错误。</explain>
      <paraID>20840833</paraID>
      <start>17</start>
      <end>18</end>
      <status>unmodified</status>
      <modifiedWord/>
      <trackRevisions>false</trackRevisions>
    </reviewItem>
    <reviewItem>
      <errorID>4b11eb8e-fa95-4e36-8427-b4da65d6abc0</errorID>
      <errorWord>组份</errorWord>
      <group>L1_Word</group>
      <groupName>字词问题</groupName>
      <ability>L2_Variant</ability>
      <abilityName>异形词</abilityName>
      <candidateList>
        <item>组分</item>
      </candidateList>
      <explain>词汇[组份]的规范词形写作[组分]。</explain>
      <paraID>20AD5951</paraID>
      <start>18</start>
      <end>20</end>
      <status>unmodified</status>
      <modifiedWord/>
      <trackRevisions>false</trackRevisions>
    </reviewItem>
    <reviewItem>
      <errorID>56249e83-d3d7-4a75-87a0-dac05ef3b78d</errorID>
      <errorWord>组份</errorWord>
      <group>L1_Word</group>
      <groupName>字词问题</groupName>
      <ability>L2_Variant</ability>
      <abilityName>异形词</abilityName>
      <candidateList>
        <item>组分</item>
      </candidateList>
      <explain>词汇[组份]的规范词形写作[组分]。</explain>
      <paraID>20AD5951</paraID>
      <start>38</start>
      <end>40</end>
      <status>unmodified</status>
      <modifiedWord/>
      <trackRevisions>false</trackRevisions>
    </reviewItem>
    <reviewItem>
      <errorID>069255f4-330b-4feb-acfd-76adac641ced</errorID>
      <errorWord>组份</errorWord>
      <group>L1_Word</group>
      <groupName>字词问题</groupName>
      <ability>L2_Variant</ability>
      <abilityName>异形词</abilityName>
      <candidateList>
        <item>组分</item>
      </candidateList>
      <explain>词汇[组份]的规范词形写作[组分]。</explain>
      <paraID>20AD5951</paraID>
      <start>61</start>
      <end>63</end>
      <status>unmodified</status>
      <modifiedWord/>
      <trackRevisions>false</trackRevisions>
    </reviewItem>
    <reviewItem>
      <errorID>929374ac-1588-48ce-ba3c-97ea46bc5b1c</errorID>
      <errorWord>即用状态</errorWord>
      <group>L1_Knowledge</group>
      <groupName>知识性问题</groupName>
      <ability>L2_Term</ability>
      <abilityName>专业术语</abilityName>
      <candidateList>
        <item>备用状态</item>
      </candidateList>
      <explain/>
      <paraID>20AD5951</paraID>
      <start>73</start>
      <end>77</end>
      <status>unmodified</status>
      <modifiedWord/>
      <trackRevisions>false</trackRevisions>
    </reviewItem>
    <reviewItem>
      <errorID>7f079481-6953-4296-bd1e-a3c9692f687c</errorID>
      <errorWord>组份</errorWord>
      <group>L1_Word</group>
      <groupName>字词问题</groupName>
      <ability>L2_Variant</ability>
      <abilityName>异形词</abilityName>
      <candidateList>
        <item>组分</item>
      </candidateList>
      <explain>词汇[组份]的规范词形写作[组分]。</explain>
      <paraID>31797771</paraID>
      <start>23</start>
      <end>25</end>
      <status>unmodified</status>
      <modifiedWord/>
      <trackRevisions>false</trackRevisions>
    </reviewItem>
    <reviewItem>
      <errorID>57277494-fb85-4e4f-b0d2-2ae17a03f5f5</errorID>
      <errorWord>入口出</errorWord>
      <group>L1_Word</group>
      <groupName>字词问题</groupName>
      <ability>L2_Typo</ability>
      <abilityName>字词错误</abilityName>
      <candidateList>
        <item>入口处</item>
      </candidateList>
      <explain/>
      <paraID>360D5EB0</paraID>
      <start>221</start>
      <end>227</end>
      <status>modified</status>
      <modifiedWord>入口处</modifiedWord>
      <trackRevisions>true</trackRevisions>
    </reviewItem>
    <reviewItem>
      <errorID>e53065d5-1114-4923-9bd3-d2a8c3fc717c</errorID>
      <errorWord>涂</errorWord>
      <group>L1_Word</group>
      <groupName>字词问题</groupName>
      <ability>L2_Typo</ability>
      <abilityName>字词错误</abilityName>
      <candidateList>
        <item>涂生</item>
      </candidateList>
      <explain/>
      <paraID>68664423</paraID>
      <start>43</start>
      <end>44</end>
      <status>unmodified</status>
      <modifiedWord/>
      <trackRevisions>false</trackRevisions>
    </reviewItem>
    <reviewItem>
      <errorID>c5ac4411-b303-4632-bf17-ddf3848f7980</errorID>
      <errorWord>箱</errorWord>
      <group>L1_Word</group>
      <groupName>字词问题</groupName>
      <ability>L2_Typo</ability>
      <abilityName>字词错误</abilityName>
      <candidateList>
        <item>厢</item>
      </candidateList>
      <explain>存在发音相同字词的误用。</explain>
      <paraID>559227C0</paraID>
      <start>20</start>
      <end>22</end>
      <status>modified</status>
      <modifiedWord>厢</modifiedWord>
      <trackRevisions>true</trackRevisions>
    </reviewItem>
    <reviewItem>
      <errorID>61256e75-76c2-4acf-9bd3-624103c1819f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1038482D</paraID>
      <start>157</start>
      <end>158</end>
      <status>unmodified</status>
      <modifiedWord/>
      <trackRevisions>false</trackRevisions>
    </reviewItem>
    <reviewItem>
      <errorID>14f49961-249e-4849-b191-8d430595aefa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1038482D</paraID>
      <start>183</start>
      <end>184</end>
      <status>unmodified</status>
      <modifiedWord/>
      <trackRevisions>false</trackRevisions>
    </reviewItem>
    <reviewItem>
      <errorID>7305518c-51cd-472a-8bd8-756cbb53bdcd</errorID>
      <errorWord>（</errorWord>
      <group>L1_Format</group>
      <groupName>格式问题</groupName>
      <ability>L2_HalfPunc</ability>
      <abilityName>全半角检查</abilityName>
      <candidateList>
        <item>(</item>
      </candidateList>
      <explain>文本全半角错误。</explain>
      <paraID>32C0DB6F</paraID>
      <start>11</start>
      <end>12</end>
      <status>unmodified</status>
      <modifiedWord/>
      <trackRevisions>false</trackRevisions>
    </reviewItem>
    <reviewItem>
      <errorID>047b6770-0a74-47f4-8ef3-d7e3070894fb</errorID>
      <errorWord>）</errorWord>
      <group>L1_Format</group>
      <groupName>格式问题</groupName>
      <ability>L2_HalfPunc</ability>
      <abilityName>全半角检查</abilityName>
      <candidateList>
        <item>)</item>
      </candidateList>
      <explain>文本全半角错误。</explain>
      <paraID>32C0DB6F</paraID>
      <start>15</start>
      <end>16</end>
      <status>unmodified</status>
      <modifiedWord/>
      <trackRevisions>false</trackRevisions>
    </reviewItem>
    <reviewItem>
      <errorID>bccc583d-1e45-45a3-8dc2-dc32a63d9fff</errorID>
      <errorWord>（</errorWord>
      <group>L1_Format</group>
      <groupName>格式问题</groupName>
      <ability>L2_HalfPunc</ability>
      <abilityName>全半角检查</abilityName>
      <candidateList>
        <item>(</item>
      </candidateList>
      <explain>文本全半角错误。</explain>
      <paraID>59AA6640</paraID>
      <start>12</start>
      <end>13</end>
      <status>unmodified</status>
      <modifiedWord/>
      <trackRevisions>false</trackRevisions>
    </reviewItem>
    <reviewItem>
      <errorID>4e4800eb-448b-42c6-b473-4ef074ece0bc</errorID>
      <errorWord>）</errorWord>
      <group>L1_Format</group>
      <groupName>格式问题</groupName>
      <ability>L2_HalfPunc</ability>
      <abilityName>全半角检查</abilityName>
      <candidateList>
        <item>)</item>
      </candidateList>
      <explain>文本全半角错误。</explain>
      <paraID>59AA6640</paraID>
      <start>16</start>
      <end>17</end>
      <status>unmodified</status>
      <modifiedWord/>
      <trackRevisions>false</trackRevisions>
    </reviewItem>
    <reviewItem>
      <errorID>6cc811b5-4654-411f-b2c7-6f1458e5a95d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1584AD5F</paraID>
      <start>117</start>
      <end>118</end>
      <status>unmodified</status>
      <modifiedWord/>
      <trackRevisions>false</trackRevisions>
    </reviewItem>
    <reviewItem>
      <errorID>636aed53-73ff-4ad2-9e7d-19a9d4af07e9</errorID>
      <errorWord>、等</errorWord>
      <group>L1_Punc</group>
      <groupName>标点问题</groupName>
      <ability>L2_Punc</ability>
      <abilityName>标点符号检查</abilityName>
      <candidateList>
        <item>等</item>
      </candidateList>
      <explain>“及”“和”“等”连词前不宜使用顿号，建议删除（或使用逗号）。</explain>
      <paraID>4C901D47</paraID>
      <start>15</start>
      <end>17</end>
      <status>unmodified</status>
      <modifiedWord/>
      <trackRevisions>false</trackRevisions>
    </reviewItem>
    <reviewItem>
      <errorID>25cabf91-248d-423a-b5ac-87f3b81bb29d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4C901D47</paraID>
      <start>34</start>
      <end>35</end>
      <status>unmodified</status>
      <modifiedWord/>
      <trackRevisions>false</trackRevisions>
    </reviewItem>
    <reviewItem>
      <errorID>dfb31561-2271-47ba-89db-620204413f54</errorID>
      <errorWord>,</errorWord>
      <group>L1_Format</group>
      <groupName>格式问题</groupName>
      <ability>L2_HalfPunc</ability>
      <abilityName>全半角检查</abilityName>
      <candidateList>
        <item>，</item>
      </candidateList>
      <explain>文本全半角错误。</explain>
      <paraID> 36A4822</paraID>
      <start>93</start>
      <end>94</end>
      <status>unmodified</status>
      <modifiedWord/>
      <trackRevisions>false</trackRevisions>
    </reviewItem>
    <reviewItem>
      <errorID>e0afd97a-16df-4232-ad3a-87d9a424d1b8</errorID>
      <errorWord>份</errorWord>
      <group>L1_Word</group>
      <groupName>字词问题</groupName>
      <ability>L2_Typo</ability>
      <abilityName>字词错误</abilityName>
      <candidateList>
        <item>分</item>
      </candidateList>
      <explain>存在发音相同字词的误用。</explain>
      <paraID> CA7FD8C</paraID>
      <start>122</start>
      <end>123</end>
      <status>unmodified</status>
      <modifiedWord/>
      <trackRevisions>false</trackRevisions>
    </reviewItem>
    <reviewItem>
      <errorID>6e3f1f13-1110-42c1-a5a5-bdba0ac75fbe</errorID>
      <errorWord>监测方法</errorWord>
      <group>L1_Word</group>
      <groupName>字词问题</groupName>
      <ability>L2_Typo</ability>
      <abilityName>字词错误</abilityName>
      <candidateList>
        <item>检测方法</item>
      </candidateList>
      <explain/>
      <paraID> CA7FD8C</paraID>
      <start>327</start>
      <end>331</end>
      <status>unmodified</status>
      <modifiedWord/>
      <trackRevisions>false</trackRevisions>
    </reviewItem>
    <reviewItem>
      <errorID>6888c945-25f1-45ab-ab31-d1b95837f279</errorID>
      <errorWord>料</errorWord>
      <group>L1_Word</group>
      <groupName>字词问题</groupName>
      <ability>L2_Typo</ability>
      <abilityName>字词错误</abilityName>
      <candidateList>
        <item>料在</item>
      </candidateList>
      <explain/>
      <paraID> CA7FD8C</paraID>
      <start>414</start>
      <end>415</end>
      <status>unmodified</status>
      <modifiedWord/>
      <trackRevisions>false</trackRevisions>
    </reviewItem>
    <reviewItem>
      <errorID>2406d80c-c216-49c0-80b3-e481a064aff5</errorID>
      <errorWord>喷粉</errorWord>
      <group>L1_Word</group>
      <groupName>字词问题</groupName>
      <ability>L2_Typo</ability>
      <abilityName>字词错误</abilityName>
      <candidateList>
        <item>喷洒</item>
      </candidateList>
      <explain>〈动〉喷射散落（多用于液体）：～农药。</explain>
      <paraID>58332DAF</paraID>
      <start>0</start>
      <end>2</end>
      <status>unmodified</status>
      <modifiedWord/>
      <trackRevisions>false</trackRevisions>
    </reviewItem>
    <reviewItem>
      <errorID>6585eb9c-1441-48c5-9a1e-bc99f08b8896</errorID>
      <errorWord>份</errorWord>
      <group>L1_Word</group>
      <groupName>字词问题</groupName>
      <ability>L2_Typo</ability>
      <abilityName>字词错误</abilityName>
      <candidateList>
        <item>分</item>
      </candidateList>
      <explain>存在发音相同字词的误用。</explain>
      <paraID>6F6D2866</paraID>
      <start>2</start>
      <end>3</end>
      <status>unmodified</status>
      <modifiedWord/>
      <trackRevisions>false</trackRevisions>
    </reviewItem>
    <reviewItem>
      <errorID>a1a3d0a6-30a4-4b75-beb9-9da2cae31137</errorID>
      <errorWord>[2019]14号</errorWord>
      <group>L1_Knowledge</group>
      <groupName>知识性问题</groupName>
      <ability>L2_Knowledge</ability>
      <abilityName>其他知识</abilityName>
      <candidateList>
        <item>〔2019〕14号</item>
      </candidateList>
      <explain>发文字号格式错误。</explain>
      <paraID>6231A5E7</paraID>
      <start>63</start>
      <end>72</end>
      <status>unmodified</status>
      <modifiedWord/>
      <trackRevisions>false</trackRevisions>
    </reviewItem>
    <reviewItem>
      <errorID>0422bd23-f7ec-439f-b079-8d19349d07ae</errorID>
      <errorWord>&lt;</errorWord>
      <group>L1_Format</group>
      <groupName>格式问题</groupName>
      <ability>L2_HalfPunc</ability>
      <abilityName>全半角检查</abilityName>
      <candidateList>
        <item>〈</item>
      </candidateList>
      <explain>文本全半角错误。</explain>
      <paraID>6231A5E7</paraID>
      <start>81</start>
      <end>82</end>
      <status>unmodified</status>
      <modifiedWord/>
      <trackRevisions>false</trackRevisions>
    </reviewItem>
    <reviewItem>
      <errorID>80b870c6-46ea-4d30-9b09-7777c6f73b2d</errorID>
      <errorWord>&gt;</errorWord>
      <group>L1_Format</group>
      <groupName>格式问题</groupName>
      <ability>L2_HalfPunc</ability>
      <abilityName>全半角检查</abilityName>
      <candidateList>
        <item>〉</item>
      </candidateList>
      <explain>文本全半角错误。</explain>
      <paraID>6231A5E7</paraID>
      <start>125</start>
      <end>126</end>
      <status>unmodified</status>
      <modifiedWord/>
      <trackRevisions>false</trackRevisions>
    </reviewItem>
    <reviewItem>
      <errorID>b9b2f245-05b4-4c47-902b-ab5d3f3d1dd3</errorID>
      <errorWord>2023年09月28日</errorWord>
      <group>L1_Knowledge</group>
      <groupName>知识性问题</groupName>
      <ability>L2_Time</ability>
      <abilityName>日期时间</abilityName>
      <candidateList>
        <item>2023年9月28日</item>
      </candidateList>
      <explain>根据日常书写习惯，月份一般会省略前导零。</explain>
      <paraID>29243D28</paraID>
      <start>0</start>
      <end>21</end>
      <status>modified</status>
      <modifiedWord>2023年9月28日</modifiedWord>
      <trackRevisions>true</trackRevisions>
    </reviewItem>
    <reviewItem>
      <errorID>f5e84cdc-524a-4444-99e4-e0c35b16a044</errorID>
      <errorWord>[2019]14号</errorWord>
      <group>L1_Knowledge</group>
      <groupName>知识性问题</groupName>
      <ability>L2_Knowledge</ability>
      <abilityName>其他知识</abilityName>
      <candidateList>
        <item>〔2019〕14号</item>
      </candidateList>
      <explain>发文字号格式错误。</explain>
      <paraID> 84BEE9E</paraID>
      <start>3</start>
      <end>12</end>
      <status>unmodified</status>
      <modifiedWord/>
      <trackRevisions>false</trackRevisions>
    </reviewItem>
    <reviewItem>
      <errorID>6a6f3bfe-705c-45ba-a7a2-01b188ffa44e</errorID>
      <errorWord>首次月</errorWord>
      <group>L1_Word</group>
      <groupName>字词问题</groupName>
      <ability>L2_Typo</ability>
      <abilityName>字词错误</abilityName>
      <candidateList>
        <item>首次</item>
      </candidateList>
      <explain/>
      <paraID>4C947AA9</paraID>
      <start>10</start>
      <end>13</end>
      <status>unmodified</status>
      <modifiedWord/>
      <trackRevisions>false</trackRevisions>
    </reviewItem>
    <reviewItem>
      <errorID>01eef8ad-7222-4be6-b3e6-3a2a203a3d7d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322C87AF</paraID>
      <start>30</start>
      <end>31</end>
      <status>unmodified</status>
      <modifiedWord/>
      <trackRevisions>false</trackRevisions>
    </reviewItem>
    <reviewItem>
      <errorID>e45b5276-a190-4b9a-bb78-753f34aa7e09</errorID>
      <errorWord>＜</errorWord>
      <group>L1_Format</group>
      <groupName>格式问题</groupName>
      <ability>L2_HalfPunc</ability>
      <abilityName>全半角检查</abilityName>
      <candidateList>
        <item>&lt;</item>
      </candidateList>
      <explain>文本全半角错误。</explain>
      <paraID>261AE85C</paraID>
      <start>0</start>
      <end>1</end>
      <status>unmodified</status>
      <modifiedWord/>
      <trackRevisions>false</trackRevisions>
    </reviewItem>
    <reviewItem>
      <errorID>60905d4e-ec40-4d05-abbc-24c9ad5c078f</errorID>
      <errorWord>＜</errorWord>
      <group>L1_Format</group>
      <groupName>格式问题</groupName>
      <ability>L2_HalfPunc</ability>
      <abilityName>全半角检查</abilityName>
      <candidateList>
        <item>&lt;</item>
      </candidateList>
      <explain>文本全半角错误。</explain>
      <paraID>574245A2</paraID>
      <start>0</start>
      <end>1</end>
      <status>unmodified</status>
      <modifiedWord/>
      <trackRevisions>false</trackRevisions>
    </reviewItem>
    <reviewItem>
      <errorID>f00d763e-a28a-458a-b3ac-33f0b424e363</errorID>
      <errorWord>＜</errorWord>
      <group>L1_Format</group>
      <groupName>格式问题</groupName>
      <ability>L2_HalfPunc</ability>
      <abilityName>全半角检查</abilityName>
      <candidateList>
        <item>&lt;</item>
      </candidateList>
      <explain>文本全半角错误。</explain>
      <paraID>1AB9A433</paraID>
      <start>0</start>
      <end>1</end>
      <status>unmodified</status>
      <modifiedWord/>
      <trackRevisions>false</trackRevisions>
    </reviewItem>
    <reviewItem>
      <errorID>4855bdf4-7e0f-4050-b638-95527e78f488</errorID>
      <errorWord>＜</errorWord>
      <group>L1_Format</group>
      <groupName>格式问题</groupName>
      <ability>L2_HalfPunc</ability>
      <abilityName>全半角检查</abilityName>
      <candidateList>
        <item>&lt;</item>
      </candidateList>
      <explain>文本全半角错误。</explain>
      <paraID>176262FD</paraID>
      <start>0</start>
      <end>1</end>
      <status>unmodified</status>
      <modifiedWord/>
      <trackRevisions>false</trackRevisions>
    </reviewItem>
    <reviewItem>
      <errorID>30449364-f1b6-49fd-b44d-9f245c131473</errorID>
      <errorWord>＜</errorWord>
      <group>L1_Format</group>
      <groupName>格式问题</groupName>
      <ability>L2_HalfPunc</ability>
      <abilityName>全半角检查</abilityName>
      <candidateList>
        <item>&lt;</item>
      </candidateList>
      <explain>文本全半角错误。</explain>
      <paraID>4CA56141</paraID>
      <start>0</start>
      <end>1</end>
      <status>unmodified</status>
      <modifiedWord/>
      <trackRevisions>false</trackRevisions>
    </reviewItem>
    <reviewItem>
      <errorID>10729fb6-1f0e-41d8-b1a5-e0d51f741d5c</errorID>
      <errorWord>＜</errorWord>
      <group>L1_Format</group>
      <groupName>格式问题</groupName>
      <ability>L2_HalfPunc</ability>
      <abilityName>全半角检查</abilityName>
      <candidateList>
        <item>&lt;</item>
      </candidateList>
      <explain>文本全半角错误。</explain>
      <paraID>59E07654</paraID>
      <start>0</start>
      <end>1</end>
      <status>unmodified</status>
      <modifiedWord/>
      <trackRevisions>false</trackRevisions>
    </reviewItem>
    <reviewItem>
      <errorID>198d3ae6-0f63-4c83-ac9c-6a1f90bf4b43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1EF442E1</paraID>
      <start>30</start>
      <end>31</end>
      <status>unmodified</status>
      <modifiedWord/>
      <trackRevisions>false</trackRevisions>
    </reviewItem>
    <reviewItem>
      <errorID>aaaf20d6-9cb8-4c33-accb-8c7e941be9dc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1EF442E1</paraID>
      <start>49</start>
      <end>50</end>
      <status>unmodified</status>
      <modifiedWord/>
      <trackRevisions>false</trackRevisions>
    </reviewItem>
    <reviewItem>
      <errorID>88a7cf42-e744-445d-a66a-f856adc28af3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3C3B87D7</paraID>
      <start>30</start>
      <end>31</end>
      <status>unmodified</status>
      <modifiedWord/>
      <trackRevisions>false</trackRevisions>
    </reviewItem>
    <reviewItem>
      <errorID>007d892a-ebf6-41be-a51e-9a8a6377c815</errorID>
      <errorWord>＜</errorWord>
      <group>L1_Format</group>
      <groupName>格式问题</groupName>
      <ability>L2_HalfPunc</ability>
      <abilityName>全半角检查</abilityName>
      <candidateList>
        <item>&lt;</item>
      </candidateList>
      <explain>文本全半角错误。</explain>
      <paraID>2D96EA5A</paraID>
      <start>0</start>
      <end>1</end>
      <status>unmodified</status>
      <modifiedWord/>
      <trackRevisions>false</trackRevisions>
    </reviewItem>
    <reviewItem>
      <errorID>d9624e0a-b1b7-440d-8644-09b019f404f3</errorID>
      <errorWord>＜</errorWord>
      <group>L1_Format</group>
      <groupName>格式问题</groupName>
      <ability>L2_HalfPunc</ability>
      <abilityName>全半角检查</abilityName>
      <candidateList>
        <item>&lt;</item>
      </candidateList>
      <explain>文本全半角错误。</explain>
      <paraID>4D0737EE</paraID>
      <start>0</start>
      <end>1</end>
      <status>unmodified</status>
      <modifiedWord/>
      <trackRevisions>false</trackRevisions>
    </reviewItem>
    <reviewItem>
      <errorID>6594b671-f602-44d5-b519-27e854a75fa5</errorID>
      <errorWord>＜</errorWord>
      <group>L1_Format</group>
      <groupName>格式问题</groupName>
      <ability>L2_HalfPunc</ability>
      <abilityName>全半角检查</abilityName>
      <candidateList>
        <item>&lt;</item>
      </candidateList>
      <explain>文本全半角错误。</explain>
      <paraID>73EB6E08</paraID>
      <start>0</start>
      <end>1</end>
      <status>unmodified</status>
      <modifiedWord/>
      <trackRevisions>false</trackRevisions>
    </reviewItem>
    <reviewItem>
      <errorID>6b14127d-f858-47e1-ac87-fa9cceb93d2a</errorID>
      <errorWord>＜</errorWord>
      <group>L1_Format</group>
      <groupName>格式问题</groupName>
      <ability>L2_HalfPunc</ability>
      <abilityName>全半角检查</abilityName>
      <candidateList>
        <item>&lt;</item>
      </candidateList>
      <explain>文本全半角错误。</explain>
      <paraID>26991DF0</paraID>
      <start>0</start>
      <end>1</end>
      <status>unmodified</status>
      <modifiedWord/>
      <trackRevisions>false</trackRevisions>
    </reviewItem>
    <reviewItem>
      <errorID>5b536013-fc6e-4281-b721-9fbd0bd7ce2b</errorID>
      <errorWord>＜</errorWord>
      <group>L1_Format</group>
      <groupName>格式问题</groupName>
      <ability>L2_HalfPunc</ability>
      <abilityName>全半角检查</abilityName>
      <candidateList>
        <item>&lt;</item>
      </candidateList>
      <explain>文本全半角错误。</explain>
      <paraID>6B228D8D</paraID>
      <start>0</start>
      <end>1</end>
      <status>unmodified</status>
      <modifiedWord/>
      <trackRevisions>false</trackRevisions>
    </reviewItem>
    <reviewItem>
      <errorID>33a87854-ad58-454c-b9ea-0c98de007732</errorID>
      <errorWord>＜</errorWord>
      <group>L1_Format</group>
      <groupName>格式问题</groupName>
      <ability>L2_HalfPunc</ability>
      <abilityName>全半角检查</abilityName>
      <candidateList>
        <item>&lt;</item>
      </candidateList>
      <explain>文本全半角错误。</explain>
      <paraID>4945C57F</paraID>
      <start>0</start>
      <end>1</end>
      <status>unmodified</status>
      <modifiedWord/>
      <trackRevisions>false</trackRevisions>
    </reviewItem>
    <reviewItem>
      <errorID>16eb233a-dc16-4d66-a077-77479cefa2ff</errorID>
      <errorWord>＜</errorWord>
      <group>L1_Format</group>
      <groupName>格式问题</groupName>
      <ability>L2_HalfPunc</ability>
      <abilityName>全半角检查</abilityName>
      <candidateList>
        <item>&lt;</item>
      </candidateList>
      <explain>文本全半角错误。</explain>
      <paraID> 441F86A</paraID>
      <start>0</start>
      <end>1</end>
      <status>unmodified</status>
      <modifiedWord/>
      <trackRevisions>false</trackRevisions>
    </reviewItem>
    <reviewItem>
      <errorID>5cb1da56-021e-4503-8990-001a30ef5813</errorID>
      <errorWord>＜</errorWord>
      <group>L1_Format</group>
      <groupName>格式问题</groupName>
      <ability>L2_HalfPunc</ability>
      <abilityName>全半角检查</abilityName>
      <candidateList>
        <item>&lt;</item>
      </candidateList>
      <explain>文本全半角错误。</explain>
      <paraID>1B170AA1</paraID>
      <start>0</start>
      <end>1</end>
      <status>unmodified</status>
      <modifiedWord/>
      <trackRevisions>false</trackRevisions>
    </reviewItem>
    <reviewItem>
      <errorID>d1432118-45d2-4ed1-baff-1adc6a174b72</errorID>
      <errorWord>＜</errorWord>
      <group>L1_Format</group>
      <groupName>格式问题</groupName>
      <ability>L2_HalfPunc</ability>
      <abilityName>全半角检查</abilityName>
      <candidateList>
        <item>&lt;</item>
      </candidateList>
      <explain>文本全半角错误。</explain>
      <paraID>16FFDF67</paraID>
      <start>0</start>
      <end>1</end>
      <status>unmodified</status>
      <modifiedWord/>
      <trackRevisions>false</trackRevisions>
    </reviewItem>
    <reviewItem>
      <errorID>91e7c3c5-78ca-4332-99bb-31c007a20550</errorID>
      <errorWord>＜</errorWord>
      <group>L1_Format</group>
      <groupName>格式问题</groupName>
      <ability>L2_HalfPunc</ability>
      <abilityName>全半角检查</abilityName>
      <candidateList>
        <item>&lt;</item>
      </candidateList>
      <explain>文本全半角错误。</explain>
      <paraID>2C4C92FD</paraID>
      <start>0</start>
      <end>1</end>
      <status>unmodified</status>
      <modifiedWord/>
      <trackRevisions>false</trackRevisions>
    </reviewItem>
    <reviewItem>
      <errorID>8345636c-0963-4b46-b135-c9b89ae74432</errorID>
      <errorWord>＜</errorWord>
      <group>L1_Format</group>
      <groupName>格式问题</groupName>
      <ability>L2_HalfPunc</ability>
      <abilityName>全半角检查</abilityName>
      <candidateList>
        <item>&lt;</item>
      </candidateList>
      <explain>文本全半角错误。</explain>
      <paraID>57ACDB31</paraID>
      <start>0</start>
      <end>1</end>
      <status>unmodified</status>
      <modifiedWord/>
      <trackRevisions>false</trackRevisions>
    </reviewItem>
    <reviewItem>
      <errorID>4e892a67-2b5f-4378-9042-f168d37b2b19</errorID>
      <errorWord>＜</errorWord>
      <group>L1_Format</group>
      <groupName>格式问题</groupName>
      <ability>L2_HalfPunc</ability>
      <abilityName>全半角检查</abilityName>
      <candidateList>
        <item>&lt;</item>
      </candidateList>
      <explain>文本全半角错误。</explain>
      <paraID>28BFCE91</paraID>
      <start>0</start>
      <end>1</end>
      <status>unmodified</status>
      <modifiedWord/>
      <trackRevisions>false</trackRevisions>
    </reviewItem>
    <reviewItem>
      <errorID>7144c75a-76d6-455e-aded-2243d31b7f52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16EF6BDF</paraID>
      <start>30</start>
      <end>31</end>
      <status>unmodified</status>
      <modifiedWord/>
      <trackRevisions>false</trackRevisions>
    </reviewItem>
    <reviewItem>
      <errorID>7beaea22-44a4-46c5-ba22-ad9379a464ce</errorID>
      <errorWord>：</errorWord>
      <group>L1_Format</group>
      <groupName>格式问题</groupName>
      <ability>L2_HalfPunc</ability>
      <abilityName>全半角检查</abilityName>
      <candidateList>
        <item>:</item>
      </candidateList>
      <explain>文本全半角错误。</explain>
      <paraID>5DFE743B</paraID>
      <start>5</start>
      <end>6</end>
      <status>unmodified</status>
      <modifiedWord/>
      <trackRevisions>false</trackRevisions>
    </reviewItem>
    <reviewItem>
      <errorID>bae1a664-5b72-4fa4-b416-26a0ef9d02de</errorID>
      <errorWord>：</errorWord>
      <group>L1_Format</group>
      <groupName>格式问题</groupName>
      <ability>L2_HalfPunc</ability>
      <abilityName>全半角检查</abilityName>
      <candidateList>
        <item>:</item>
      </candidateList>
      <explain>文本全半角错误。</explain>
      <paraID>5DFE743B</paraID>
      <start>11</start>
      <end>12</end>
      <status>unmodified</status>
      <modifiedWord/>
      <trackRevisions>false</trackRevisions>
    </reviewItem>
    <reviewItem>
      <errorID>cf8875df-fbce-4765-8dc8-f6288f1c4cee</errorID>
      <errorWord>：</errorWord>
      <group>L1_Format</group>
      <groupName>格式问题</groupName>
      <ability>L2_HalfPunc</ability>
      <abilityName>全半角检查</abilityName>
      <candidateList>
        <item>:</item>
      </candidateList>
      <explain>文本全半角错误。</explain>
      <paraID>21302420</paraID>
      <start>5</start>
      <end>6</end>
      <status>unmodified</status>
      <modifiedWord/>
      <trackRevisions>false</trackRevisions>
    </reviewItem>
    <reviewItem>
      <errorID>112b38d0-4e30-4c86-8579-cb1a85576fd5</errorID>
      <errorWord>：</errorWord>
      <group>L1_Format</group>
      <groupName>格式问题</groupName>
      <ability>L2_HalfPunc</ability>
      <abilityName>全半角检查</abilityName>
      <candidateList>
        <item>:</item>
      </candidateList>
      <explain>文本全半角错误。</explain>
      <paraID>21302420</paraID>
      <start>11</start>
      <end>12</end>
      <status>unmodified</status>
      <modifiedWord/>
      <trackRevisions>false</trackRevisions>
    </reviewItem>
    <reviewItem>
      <errorID>f6483193-169c-41a4-8448-9113b7801cb1</errorID>
      <errorWord>：</errorWord>
      <group>L1_Format</group>
      <groupName>格式问题</groupName>
      <ability>L2_HalfPunc</ability>
      <abilityName>全半角检查</abilityName>
      <candidateList>
        <item>:</item>
      </candidateList>
      <explain>文本全半角错误。</explain>
      <paraID>7D7A5873</paraID>
      <start>5</start>
      <end>6</end>
      <status>unmodified</status>
      <modifiedWord/>
      <trackRevisions>false</trackRevisions>
    </reviewItem>
    <reviewItem>
      <errorID>6fec9329-1375-42ca-8bb3-a3b096a7ad42</errorID>
      <errorWord>：</errorWord>
      <group>L1_Format</group>
      <groupName>格式问题</groupName>
      <ability>L2_HalfPunc</ability>
      <abilityName>全半角检查</abilityName>
      <candidateList>
        <item>:</item>
      </candidateList>
      <explain>文本全半角错误。</explain>
      <paraID>7D7A5873</paraID>
      <start>11</start>
      <end>12</end>
      <status>unmodified</status>
      <modifiedWord/>
      <trackRevisions>false</trackRevisions>
    </reviewItem>
    <reviewItem>
      <errorID>a4ef45f5-3043-43fa-9df3-64bb9c698958</errorID>
      <errorWord>：</errorWord>
      <group>L1_Format</group>
      <groupName>格式问题</groupName>
      <ability>L2_HalfPunc</ability>
      <abilityName>全半角检查</abilityName>
      <candidateList>
        <item>:</item>
      </candidateList>
      <explain>文本全半角错误。</explain>
      <paraID>3C596FCE</paraID>
      <start>5</start>
      <end>6</end>
      <status>unmodified</status>
      <modifiedWord/>
      <trackRevisions>false</trackRevisions>
    </reviewItem>
    <reviewItem>
      <errorID>4f0b61c4-0865-4201-8552-f3e7dd036573</errorID>
      <errorWord>：</errorWord>
      <group>L1_Format</group>
      <groupName>格式问题</groupName>
      <ability>L2_HalfPunc</ability>
      <abilityName>全半角检查</abilityName>
      <candidateList>
        <item>:</item>
      </candidateList>
      <explain>文本全半角错误。</explain>
      <paraID>3C596FCE</paraID>
      <start>11</start>
      <end>12</end>
      <status>unmodified</status>
      <modifiedWord/>
      <trackRevisions>false</trackRevisions>
    </reviewItem>
    <reviewItem>
      <errorID>974cb201-4efd-463f-be9f-eca7d58e78f7</errorID>
      <errorWord>（</errorWord>
      <group>L1_Punc</group>
      <groupName>标点问题</groupName>
      <ability>L2_Punc</ability>
      <abilityName>标点符号检查</abilityName>
      <candidateList/>
      <explain>同一形式括号套用。</explain>
      <paraID>60BE72FF</paraID>
      <start>62</start>
      <end>63</end>
      <status>unmodified</status>
      <modifiedWord/>
      <trackRevisions>false</trackRevisions>
    </reviewItem>
    <reviewItem>
      <errorID>621f4920-cfe0-4f23-a61c-34d91188257b</errorID>
      <errorWord>）</errorWord>
      <group>L1_Punc</group>
      <groupName>标点问题</groupName>
      <ability>L2_Punc</ability>
      <abilityName>标点符号检查</abilityName>
      <candidateList/>
      <explain>同一形式括号套用。</explain>
      <paraID>60BE72FF</paraID>
      <start>64</start>
      <end>65</end>
      <status>unmodified</status>
      <modifiedWord/>
      <trackRevisions>false</trackRevisions>
    </reviewItem>
    <reviewItem>
      <errorID>c90fab31-7e3d-4db0-820f-c09fa3b4f4e8</errorID>
      <errorWord>（</errorWord>
      <group>L1_Punc</group>
      <groupName>标点问题</groupName>
      <ability>L2_Punc</ability>
      <abilityName>标点符号检查</abilityName>
      <candidateList/>
      <explain>同一形式括号套用。</explain>
      <paraID>60BE72FF</paraID>
      <start>73</start>
      <end>74</end>
      <status>unmodified</status>
      <modifiedWord/>
      <trackRevisions>false</trackRevisions>
    </reviewItem>
    <reviewItem>
      <errorID>4147070b-bf13-4844-aa61-7e7ecd2bee06</errorID>
      <errorWord>）</errorWord>
      <group>L1_Punc</group>
      <groupName>标点问题</groupName>
      <ability>L2_Punc</ability>
      <abilityName>标点符号检查</abilityName>
      <candidateList/>
      <explain>同一形式括号套用。</explain>
      <paraID>60BE72FF</paraID>
      <start>75</start>
      <end>76</end>
      <status>unmodified</status>
      <modifiedWord/>
      <trackRevisions>false</trackRevisions>
    </reviewItem>
    <reviewItem>
      <errorID>c142c3b9-6fe3-4510-a13c-25ce8639e53a</errorID>
      <errorWord>：；</errorWord>
      <group>L1_Punc</group>
      <groupName>标点问题</groupName>
      <ability>L2_Punc</ability>
      <abilityName>标点符号检查</abilityName>
      <candidateList>
        <item>：</item>
      </candidateList>
      <explain/>
      <paraID>1764164E</paraID>
      <start>40</start>
      <end>42</end>
      <status>unmodified</status>
      <modifiedWord/>
      <trackRevisions>false</trackRevisions>
    </reviewItem>
    <reviewItem>
      <errorID>c0ed56a2-c80c-49a6-bdbe-919ba136bf25</errorID>
      <errorWord>再次重新</errorWord>
      <group>L1_Word</group>
      <groupName>字词问题</groupName>
      <ability>L2_Typo</ability>
      <abilityName>字词错误</abilityName>
      <candidateList>
        <item>重新</item>
      </candidateList>
      <explain>〈副〉❶再一次：～抄写一遍｜他～来到战斗过的地方。❷表示从头另行开始（变更方式或内容）：～部署｜～做人。</explain>
      <paraID>1764164E</paraID>
      <start>329</start>
      <end>333</end>
      <status>unmodified</status>
      <modifiedWord/>
      <trackRevisions>false</trackRevisions>
    </reviewItem>
    <reviewItem>
      <errorID>18f4f5f9-199f-4cce-b7fb-72a9258d65d2</errorID>
      <errorWord>信</errorWord>
      <group>L1_Word</group>
      <groupName>字词问题</groupName>
      <ability>L2_Typo</ability>
      <abilityName>字词错误</abilityName>
      <candidateList>
        <item>信和</item>
      </candidateList>
      <explain/>
      <paraID>5305B992</paraID>
      <start>18</start>
      <end>19</end>
      <status>unmodified</status>
      <modifiedWord/>
      <trackRevisions>false</trackRevisions>
    </reviewItem>
    <reviewItem>
      <errorID>a5b1b935-4c0b-43bf-891a-ec7e3f87e00f</errorID>
      <errorWord>年</errorWord>
      <group>L1_Word</group>
      <groupName>字词问题</groupName>
      <ability>L2_Typo</ability>
      <abilityName>字词错误</abilityName>
      <candidateList>
        <item>年度</item>
      </candidateList>
      <explain/>
      <paraID>477B4051</paraID>
      <start>0</start>
      <end>1</end>
      <status>unmodified</status>
      <modifiedWord/>
      <trackRevisions>false</trackRevisions>
    </reviewItem>
    <reviewItem>
      <errorID>87e71832-8e3e-4113-b8dd-8235261f71cc</errorID>
      <errorWord>（</errorWord>
      <group>L1_Format</group>
      <groupName>格式问题</groupName>
      <ability>L2_HalfPunc</ability>
      <abilityName>全半角检查</abilityName>
      <candidateList>
        <item>(</item>
      </candidateList>
      <explain>文本全半角错误。</explain>
      <paraID>62F70F63</paraID>
      <start>0</start>
      <end>1</end>
      <status>unmodified</status>
      <modifiedWord/>
      <trackRevisions>false</trackRevisions>
    </reviewItem>
    <reviewItem>
      <errorID>d14c281b-5ae2-47b0-ad63-f291b552ce47</errorID>
      <errorWord>）</errorWord>
      <group>L1_Format</group>
      <groupName>格式问题</groupName>
      <ability>L2_HalfPunc</ability>
      <abilityName>全半角检查</abilityName>
      <candidateList>
        <item>)</item>
      </candidateList>
      <explain>文本全半角错误。</explain>
      <paraID>62F70F63</paraID>
      <start>6</start>
      <end>7</end>
      <status>unmodified</status>
      <modifiedWord/>
      <trackRevisions>false</trackRevisions>
    </reviewItem>
    <reviewItem>
      <errorID>f048b4be-82e8-4d7c-a591-2717e489cff5</errorID>
      <errorWord>（</errorWord>
      <group>L1_Format</group>
      <groupName>格式问题</groupName>
      <ability>L2_HalfPunc</ability>
      <abilityName>全半角检查</abilityName>
      <candidateList>
        <item>(</item>
      </candidateList>
      <explain>文本全半角错误。</explain>
      <paraID> 478AF51</paraID>
      <start>0</start>
      <end>1</end>
      <status>unmodified</status>
      <modifiedWord/>
      <trackRevisions>false</trackRevisions>
    </reviewItem>
    <reviewItem>
      <errorID>684cdc2e-d13e-42b1-9e66-16507ad571ea</errorID>
      <errorWord>）</errorWord>
      <group>L1_Format</group>
      <groupName>格式问题</groupName>
      <ability>L2_HalfPunc</ability>
      <abilityName>全半角检查</abilityName>
      <candidateList>
        <item>)</item>
      </candidateList>
      <explain>文本全半角错误。</explain>
      <paraID> 478AF51</paraID>
      <start>6</start>
      <end>7</end>
      <status>unmodified</status>
      <modifiedWord/>
      <trackRevisions>false</trackRevisions>
    </reviewItem>
    <reviewItem>
      <errorID>70ba2e5d-ba8e-4ccb-846b-c6bdb81568c8</errorID>
      <errorWord>程</errorWord>
      <group>L1_Word</group>
      <groupName>字词问题</groupName>
      <ability>L2_Typo</ability>
      <abilityName>字词错误</abilityName>
      <candidateList>
        <item>程中</item>
      </candidateList>
      <explain/>
      <paraID>42D21D2E</paraID>
      <start>10</start>
      <end>11</end>
      <status>unmodified</status>
      <modifiedWord/>
      <trackRevisions>false</trackRevisions>
    </reviewItem>
    <reviewItem>
      <errorID>ee16bb1a-9ff4-48e6-a814-54ebdc980836</errorID>
      <errorWord>(</errorWord>
      <group>L1_Format</group>
      <groupName>格式问题</groupName>
      <ability>L2_HalfPunc</ability>
      <abilityName>全半角检查</abilityName>
      <candidateList>
        <item>（</item>
      </candidateList>
      <explain>文本全半角错误。</explain>
      <paraID>5D231846</paraID>
      <start>98</start>
      <end>99</end>
      <status>unmodified</status>
      <modifiedWord/>
      <trackRevisions>false</trackRevisions>
    </reviewItem>
    <reviewItem>
      <errorID>ee67200b-e469-4707-8682-e0df3e2eb48c</errorID>
      <errorWord>)</errorWord>
      <group>L1_Format</group>
      <groupName>格式问题</groupName>
      <ability>L2_HalfPunc</ability>
      <abilityName>全半角检查</abilityName>
      <candidateList>
        <item>）</item>
      </candidateList>
      <explain>文本全半角错误。</explain>
      <paraID>5D231846</paraID>
      <start>110</start>
      <end>111</end>
      <status>unmodified</status>
      <modifiedWord/>
      <trackRevisions>false</trackRevisions>
    </reviewItem>
    <reviewItem>
      <errorID>5b2ae0ac-4cd7-4148-a0b3-779f3d6a3d54</errorID>
      <errorWord>（</errorWord>
      <group>L1_Punc</group>
      <groupName>标点问题</groupName>
      <ability>L2_Punc</ability>
      <abilityName>标点符号检查</abilityName>
      <candidateList>
        <item/>
      </candidateList>
      <explain>同一形式括号套用。</explain>
      <paraID>26D8058C</paraID>
      <start>54</start>
      <end>55</end>
      <status>unmodified</status>
      <modifiedWord/>
      <trackRevisions>false</trackRevisions>
    </reviewItem>
    <reviewItem>
      <errorID>2051d0e0-91cd-4bad-8169-c34f3aafc576</errorID>
      <errorWord>(</errorWord>
      <group>L1_Punc</group>
      <groupName>标点问题</groupName>
      <ability>L2_Punc</ability>
      <abilityName>标点符号检查</abilityName>
      <candidateList/>
      <explain>同一形式括号套用。</explain>
      <paraID>26D8058C</paraID>
      <start>62</start>
      <end>63</end>
      <status>unmodified</status>
      <modifiedWord/>
      <trackRevisions>false</trackRevisions>
    </reviewItem>
    <reviewItem>
      <errorID>f7fbaa28-5311-451a-baa3-7bd65a8b665e</errorID>
      <errorWord>)</errorWord>
      <group>L1_Punc</group>
      <groupName>标点问题</groupName>
      <ability>L2_Punc</ability>
      <abilityName>标点符号检查</abilityName>
      <candidateList/>
      <explain>同一形式括号套用。</explain>
      <paraID>26D8058C</paraID>
      <start>64</start>
      <end>65</end>
      <status>unmodified</status>
      <modifiedWord/>
      <trackRevisions>false</trackRevisions>
    </reviewItem>
    <reviewItem>
      <errorID>fd22892c-5518-4ec1-92ff-54254f073369</errorID>
      <errorWord>(</errorWord>
      <group>L1_Punc</group>
      <groupName>标点问题</groupName>
      <ability>L2_Punc</ability>
      <abilityName>标点符号检查</abilityName>
      <candidateList/>
      <explain>同一形式括号套用。</explain>
      <paraID>26D8058C</paraID>
      <start>73</start>
      <end>74</end>
      <status>unmodified</status>
      <modifiedWord/>
      <trackRevisions>false</trackRevisions>
    </reviewItem>
    <reviewItem>
      <errorID>2c41485e-8c38-4dec-a272-07cc704f05c1</errorID>
      <errorWord>)</errorWord>
      <group>L1_Punc</group>
      <groupName>标点问题</groupName>
      <ability>L2_Punc</ability>
      <abilityName>标点符号检查</abilityName>
      <candidateList/>
      <explain>同一形式括号套用。</explain>
      <paraID>26D8058C</paraID>
      <start>75</start>
      <end>76</end>
      <status>unmodified</status>
      <modifiedWord/>
      <trackRevisions>false</trackRevisions>
    </reviewItem>
    <reviewItem>
      <errorID>953db7df-91a2-416d-8126-26e77c875b00</errorID>
      <errorWord>）</errorWord>
      <group>L1_Punc</group>
      <groupName>标点问题</groupName>
      <ability>L2_Punc</ability>
      <abilityName>标点符号检查</abilityName>
      <candidateList/>
      <explain>同一形式括号套用。</explain>
      <paraID>26D8058C</paraID>
      <start>76</start>
      <end>77</end>
      <status>unmodified</status>
      <modifiedWord/>
      <trackRevisions>false</trackRevisions>
    </reviewItem>
    <reviewItem>
      <errorID>3f939c01-6655-4bf2-bf5f-1c58dacc11e5</errorID>
      <errorWord>》（试行）</errorWord>
      <group>L1_Word</group>
      <groupName>字词问题</groupName>
      <ability>L2_Typo</ability>
      <abilityName>字词错误</abilityName>
      <candidateList>
        <item>（试行）》</item>
      </candidateList>
      <explain/>
      <paraID>4BA73CF2</paraID>
      <start>27</start>
      <end>37</end>
      <status>modified</status>
      <modifiedWord>（试行）》</modifiedWord>
      <trackRevisions>true</trackRevisions>
    </reviewItem>
    <reviewItem>
      <errorID>75ea6826-8fa4-4189-8ab9-7dd0f55679f6</errorID>
      <errorWord>（</errorWord>
      <group>L1_Format</group>
      <groupName>格式问题</groupName>
      <ability>L2_HalfPunc</ability>
      <abilityName>全半角检查</abilityName>
      <candidateList>
        <item>(</item>
      </candidateList>
      <explain>文本全半角错误。</explain>
      <paraID>2C4F5DD0</paraID>
      <start>0</start>
      <end>1</end>
      <status>unmodified</status>
      <modifiedWord/>
      <trackRevisions>false</trackRevisions>
    </reviewItem>
    <reviewItem>
      <errorID>9c73db98-286c-4142-ac62-fd04178a697b</errorID>
      <errorWord>）</errorWord>
      <group>L1_Format</group>
      <groupName>格式问题</groupName>
      <ability>L2_HalfPunc</ability>
      <abilityName>全半角检查</abilityName>
      <candidateList>
        <item>)</item>
      </candidateList>
      <explain>文本全半角错误。</explain>
      <paraID>2C4F5DD0</paraID>
      <start>4</start>
      <end>5</end>
      <status>unmodified</status>
      <modifiedWord/>
      <trackRevisions>false</trackRevisions>
    </reviewItem>
    <reviewItem>
      <errorID>ab7f4029-ebfa-4408-b8a8-61d5243f4636</errorID>
      <errorWord>（</errorWord>
      <group>L1_Format</group>
      <groupName>格式问题</groupName>
      <ability>L2_HalfPunc</ability>
      <abilityName>全半角检查</abilityName>
      <candidateList>
        <item>(</item>
      </candidateList>
      <explain>文本全半角错误。</explain>
      <paraID> BEE2ED8</paraID>
      <start>0</start>
      <end>1</end>
      <status>unmodified</status>
      <modifiedWord/>
      <trackRevisions>false</trackRevisions>
    </reviewItem>
    <reviewItem>
      <errorID>73ace065-591c-4aab-8d61-291dff08e5a4</errorID>
      <errorWord>）</errorWord>
      <group>L1_Format</group>
      <groupName>格式问题</groupName>
      <ability>L2_HalfPunc</ability>
      <abilityName>全半角检查</abilityName>
      <candidateList>
        <item>)</item>
      </candidateList>
      <explain>文本全半角错误。</explain>
      <paraID> BEE2ED8</paraID>
      <start>2</start>
      <end>3</end>
      <status>unmodified</status>
      <modifiedWord/>
      <trackRevisions>false</trackRevisions>
    </reviewItem>
    <reviewItem>
      <errorID>3a0890a7-65c3-4f31-9007-5618d8d0ca76</errorID>
      <errorWord>，</errorWord>
      <group>L1_Format</group>
      <groupName>格式问题</groupName>
      <ability>L2_HalfPunc</ability>
      <abilityName>全半角检查</abilityName>
      <candidateList>
        <item>,</item>
      </candidateList>
      <explain>文本全半角错误。</explain>
      <paraID>2D7116F1</paraID>
      <start>3</start>
      <end>4</end>
      <status>unmodified</status>
      <modifiedWord/>
      <trackRevisions>false</trackRevisions>
    </reviewItem>
    <reviewItem>
      <errorID>b53f43a0-0855-418c-a682-e4b450eac458</errorID>
      <errorWord>-</errorWord>
      <group>L1_Format</group>
      <groupName>格式问题</groupName>
      <ability>L2_HalfPunc</ability>
      <abilityName>全半角检查</abilityName>
      <candidateList>
        <item>－</item>
      </candidateList>
      <explain>文本全半角错误。</explain>
      <paraID>363EA7AE</paraID>
      <start>155</start>
      <end>156</end>
      <status>unmodified</status>
      <modifiedWord/>
      <trackRevisions>false</trackRevisions>
    </reviewItem>
    <reviewItem>
      <errorID>f30700b5-e37e-465a-afd8-e7188180a616</errorID>
      <errorWord>（</errorWord>
      <group>L1_Format</group>
      <groupName>格式问题</groupName>
      <ability>L2_HalfPunc</ability>
      <abilityName>全半角检查</abilityName>
      <candidateList>
        <item>(</item>
      </candidateList>
      <explain>文本全半角错误。</explain>
      <paraID>220C40BE</paraID>
      <start>0</start>
      <end>1</end>
      <status>unmodified</status>
      <modifiedWord/>
      <trackRevisions>false</trackRevisions>
    </reviewItem>
    <reviewItem>
      <errorID>f10c681c-4ff1-42c6-952e-03a6e038c951</errorID>
      <errorWord>）</errorWord>
      <group>L1_Format</group>
      <groupName>格式问题</groupName>
      <ability>L2_HalfPunc</ability>
      <abilityName>全半角检查</abilityName>
      <candidateList>
        <item>)</item>
      </candidateList>
      <explain>文本全半角错误。</explain>
      <paraID>220C40BE</paraID>
      <start>15</start>
      <end>16</end>
      <status>unmodified</status>
      <modifiedWord/>
      <trackRevisions>false</trackRevisions>
    </reviewItem>
    <reviewItem>
      <errorID>110c62a0-6009-4cbf-af1f-b2de4466a479</errorID>
      <errorWord>（</errorWord>
      <group>L1_Format</group>
      <groupName>格式问题</groupName>
      <ability>L2_HalfPunc</ability>
      <abilityName>全半角检查</abilityName>
      <candidateList>
        <item>(</item>
      </candidateList>
      <explain>文本全半角错误。</explain>
      <paraID>2E439497</paraID>
      <start>1</start>
      <end>2</end>
      <status>unmodified</status>
      <modifiedWord/>
      <trackRevisions>false</trackRevisions>
    </reviewItem>
    <reviewItem>
      <errorID>6b7de9a1-ad92-4f35-bb13-3034d2dd7ce7</errorID>
      <errorWord>）</errorWord>
      <group>L1_Format</group>
      <groupName>格式问题</groupName>
      <ability>L2_HalfPunc</ability>
      <abilityName>全半角检查</abilityName>
      <candidateList>
        <item>)</item>
      </candidateList>
      <explain>文本全半角错误。</explain>
      <paraID>2E439497</paraID>
      <start>3</start>
      <end>4</end>
      <status>unmodified</status>
      <modifiedWord/>
      <trackRevisions>false</trackRevisions>
    </reviewItem>
    <reviewItem>
      <errorID>96594d11-a61b-452c-a130-6a9c7cd75759</errorID>
      <errorWord>（</errorWord>
      <group>L1_Format</group>
      <groupName>格式问题</groupName>
      <ability>L2_HalfPunc</ability>
      <abilityName>全半角检查</abilityName>
      <candidateList>
        <item>(</item>
      </candidateList>
      <explain>文本全半角错误。</explain>
      <paraID>25AD4C99</paraID>
      <start>1</start>
      <end>2</end>
      <status>unmodified</status>
      <modifiedWord/>
      <trackRevisions>false</trackRevisions>
    </reviewItem>
    <reviewItem>
      <errorID>aa54308e-3b32-4919-aad4-2b6b1c62522f</errorID>
      <errorWord>）</errorWord>
      <group>L1_Format</group>
      <groupName>格式问题</groupName>
      <ability>L2_HalfPunc</ability>
      <abilityName>全半角检查</abilityName>
      <candidateList>
        <item>)</item>
      </candidateList>
      <explain>文本全半角错误。</explain>
      <paraID>25AD4C99</paraID>
      <start>3</start>
      <end>4</end>
      <status>unmodified</status>
      <modifiedWord/>
      <trackRevisions>false</trackRevisions>
    </reviewItem>
    <reviewItem>
      <errorID>c881c2b7-6bd7-44c6-b22f-57d034047bf8</errorID>
      <errorWord>[2017]19号</errorWord>
      <group>L1_Knowledge</group>
      <groupName>知识性问题</groupName>
      <ability>L2_Knowledge</ability>
      <abilityName>其他知识</abilityName>
      <candidateList>
        <item>〔2017〕19号</item>
      </candidateList>
      <explain>发文字号格式错误。</explain>
      <paraID> C2CFCA0</paraID>
      <start>45</start>
      <end>54</end>
      <status>unmodified</status>
      <modifiedWord/>
      <trackRevisions>false</trackRevisions>
    </reviewItem>
    <reviewItem>
      <errorID>f2d33454-e58e-48d9-95e1-b02eb3901ead</errorID>
      <errorWord>生活废水</errorWord>
      <group>L1_Knowledge</group>
      <groupName>知识性问题</groupName>
      <ability>L2_Term</ability>
      <abilityName>专业术语</abilityName>
      <candidateList>
        <item>生活污水</item>
      </candidateList>
      <explain/>
      <paraID>273501D7</paraID>
      <start>6</start>
      <end>14</end>
      <status>modified</status>
      <modifiedWord>生活污水</modifiedWord>
      <trackRevisions>true</trackRevisions>
    </reviewItem>
    <reviewItem>
      <errorID>d6b447b6-2f6b-4962-bca7-b9ba8869b277</errorID>
      <errorWord>喷粉</errorWord>
      <group>L1_Word</group>
      <groupName>字词问题</groupName>
      <ability>L2_Typo</ability>
      <abilityName>字词错误</abilityName>
      <candidateList>
        <item>喷洒</item>
      </candidateList>
      <explain>〈动〉喷射散落（多用于液体）：～农药。</explain>
      <paraID>2ECD51CD</paraID>
      <start>2</start>
      <end>4</end>
      <status>unmodified</status>
      <modifiedWord/>
      <trackRevisions>false</trackRevisions>
    </reviewItem>
    <reviewItem>
      <errorID>96515e4d-f4d0-4329-922d-f85f18cd3523</errorID>
      <errorWord>喷粉</errorWord>
      <group>L1_Word</group>
      <groupName>字词问题</groupName>
      <ability>L2_Typo</ability>
      <abilityName>字词错误</abilityName>
      <candidateList>
        <item>喷洒</item>
      </candidateList>
      <explain>〈动〉喷射散落（多用于液体）：～农药。</explain>
      <paraID>7CE15B40</paraID>
      <start>0</start>
      <end>2</end>
      <status>unmodified</status>
      <modifiedWord/>
      <trackRevisions>false</trackRevisions>
    </reviewItem>
    <reviewItem>
      <errorID>4ea92280-8f94-45e1-81dd-045a06beb53b</errorID>
      <errorWord>份</errorWord>
      <group>L1_Word</group>
      <groupName>字词问题</groupName>
      <ability>L2_Typo</ability>
      <abilityName>字词错误</abilityName>
      <candidateList>
        <item>分</item>
      </candidateList>
      <explain>存在发音相同字词的误用。</explain>
      <paraID>532945D3</paraID>
      <start>47</start>
      <end>48</end>
      <status>unmodified</status>
      <modifiedWord/>
      <trackRevisions>false</trackRevisions>
    </reviewItem>
    <reviewItem>
      <errorID>367ac2e5-6581-4a84-98a1-dd44b9773658</errorID>
      <errorWord>：</errorWord>
      <group>L1_Format</group>
      <groupName>格式问题</groupName>
      <ability>L2_HalfPunc</ability>
      <abilityName>全半角检查</abilityName>
      <candidateList>
        <item>:</item>
      </candidateList>
      <explain>文本全半角错误。</explain>
      <paraID>11E0B291</paraID>
      <start>4</start>
      <end>5</end>
      <status>unmodified</status>
      <modifiedWord/>
      <trackRevisions>false</trackRevisions>
    </reviewItem>
    <reviewItem>
      <errorID>82aea5ed-54d5-4d11-a1d2-e9cd674bdfec</errorID>
      <errorWord>：</errorWord>
      <group>L1_Format</group>
      <groupName>格式问题</groupName>
      <ability>L2_HalfPunc</ability>
      <abilityName>全半角检查</abilityName>
      <candidateList>
        <item>:</item>
      </candidateList>
      <explain>文本全半角错误。</explain>
      <paraID>1124D085</paraID>
      <start>4</start>
      <end>5</end>
      <status>unmodified</status>
      <modifiedWord/>
      <trackRevisions>false</trackRevisions>
    </reviewItem>
    <reviewItem>
      <errorID>23b7f978-c3be-467e-8d86-2bcaaac7cdb7</errorID>
      <errorWord>：</errorWord>
      <group>L1_Format</group>
      <groupName>格式问题</groupName>
      <ability>L2_HalfPunc</ability>
      <abilityName>全半角检查</abilityName>
      <candidateList>
        <item>:</item>
      </candidateList>
      <explain>文本全半角错误。</explain>
      <paraID>226EDBA8</paraID>
      <start>4</start>
      <end>5</end>
      <status>unmodified</status>
      <modifiedWord/>
      <trackRevisions>false</trackRevisions>
    </reviewItem>
    <reviewItem>
      <errorID>78df5b87-9168-43f9-a53e-58d1790e703b</errorID>
      <errorWord>：</errorWord>
      <group>L1_Format</group>
      <groupName>格式问题</groupName>
      <ability>L2_HalfPunc</ability>
      <abilityName>全半角检查</abilityName>
      <candidateList>
        <item>:</item>
      </candidateList>
      <explain>文本全半角错误。</explain>
      <paraID>2CB1D6BF</paraID>
      <start>4</start>
      <end>5</end>
      <status>unmodified</status>
      <modifiedWord/>
      <trackRevisions>false</trackRevisions>
    </reviewItem>
    <reviewItem>
      <errorID>e64411ad-3da5-4b06-b747-1c975d8ec575</errorID>
      <errorWord>：</errorWord>
      <group>L1_Format</group>
      <groupName>格式问题</groupName>
      <ability>L2_HalfPunc</ability>
      <abilityName>全半角检查</abilityName>
      <candidateList>
        <item>:</item>
      </candidateList>
      <explain>文本全半角错误。</explain>
      <paraID>3C1838E2</paraID>
      <start>4</start>
      <end>5</end>
      <status>unmodified</status>
      <modifiedWord/>
      <trackRevisions>false</trackRevisions>
    </reviewItem>
    <reviewItem>
      <errorID>49393ac4-8b13-4a54-a09d-225059698277</errorID>
      <errorWord>：</errorWord>
      <group>L1_Format</group>
      <groupName>格式问题</groupName>
      <ability>L2_HalfPunc</ability>
      <abilityName>全半角检查</abilityName>
      <candidateList>
        <item>:</item>
      </candidateList>
      <explain>文本全半角错误。</explain>
      <paraID>4403152F</paraID>
      <start>4</start>
      <end>5</end>
      <status>unmodified</status>
      <modifiedWord/>
      <trackRevisions>false</trackRevisions>
    </reviewItem>
    <reviewItem>
      <errorID>401bb674-e68e-41b4-bb4f-be468c236009</errorID>
      <errorWord>-</errorWord>
      <group>L1_Format</group>
      <groupName>格式问题</groupName>
      <ability>L2_HalfPunc</ability>
      <abilityName>全半角检查</abilityName>
      <candidateList>
        <item>－</item>
      </candidateList>
      <explain>文本全半角错误。</explain>
      <paraID>1E9A9880</paraID>
      <start>2</start>
      <end>3</end>
      <status>unmodified</status>
      <modifiedWord/>
      <trackRevisions>false</trackRevisions>
    </reviewItem>
    <reviewItem>
      <errorID>ed7f8f1b-bb86-407c-ad72-b55d591dacfd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21680FBE</paraID>
      <start>104</start>
      <end>105</end>
      <status>unmodified</status>
      <modifiedWord/>
      <trackRevisions>false</trackRevisions>
    </reviewItem>
    <reviewItem>
      <errorID>4226cf1d-9bc5-4810-9605-dd6a3750b00f</errorID>
      <errorWord>”</errorWord>
      <group>L1_Punc</group>
      <groupName>标点问题</groupName>
      <ability>L2_Punc</ability>
      <abilityName>标点符号检查</abilityName>
      <candidateList/>
      <explain/>
      <paraID>5642EE6F</paraID>
      <start>81</start>
      <end>82</end>
      <status>unmodified</status>
      <modifiedWord/>
      <trackRevisions>false</trackRevisions>
    </reviewItem>
    <reviewItem>
      <errorID>c93fa4b0-5906-4437-9f52-c46de773758b</errorID>
      <errorWord>规范中</errorWord>
      <group>L1_Word</group>
      <groupName>字词问题</groupName>
      <ability>L2_Typo</ability>
      <abilityName>字词错误</abilityName>
      <candidateList>
        <item>规范</item>
      </candidateList>
      <explain>❶〈名〉约定俗成或明文规定的标准：语音～｜道德～。❷〈形〉合乎规范：这个词的用法不～。❸〈动〉使合乎规范：用新的社会道德来～人们的行为。</explain>
      <paraID>5C910DB1</paraID>
      <start>0</start>
      <end>3</end>
      <status>unmodified</status>
      <modifiedWord/>
      <trackRevisions>false</trackRevisions>
    </reviewItem>
    <reviewItem>
      <errorID>d671b98e-5a44-4c0e-aab3-2dd0c012c60f</errorID>
      <errorWord>是否是</errorWord>
      <group>L1_Word</group>
      <groupName>字词问题</groupName>
      <ability>L2_Typo</ability>
      <abilityName>字词错误</abilityName>
      <candidateList>
        <item>是不是</item>
      </candidateList>
      <explain/>
      <paraID>4FA35CB7</paraID>
      <start>0</start>
      <end>3</end>
      <status>unmodified</status>
      <modifiedWord/>
      <trackRevisions>false</trackRevisions>
    </reviewItem>
    <reviewItem>
      <errorID>46c0fd30-c717-46ef-879a-8398d1d3a93a</errorID>
      <errorWord>-</errorWord>
      <group>L1_Format</group>
      <groupName>格式问题</groupName>
      <ability>L2_HalfPunc</ability>
      <abilityName>全半角检查</abilityName>
      <candidateList>
        <item>－</item>
      </candidateList>
      <explain>文本全半角错误。</explain>
      <paraID>45BE17FD</paraID>
      <start>20</start>
      <end>21</end>
      <status>unmodified</status>
      <modifiedWord/>
      <trackRevisions>false</trackRevisions>
    </reviewItem>
    <reviewItem>
      <errorID>bba503c0-28f9-4aab-9c0f-bc7efc35a3a8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5911A97D</paraID>
      <start>102</start>
      <end>105</end>
      <status>unmodified</status>
      <modifiedWord/>
      <trackRevisions>false</trackRevisions>
    </reviewItem>
    <reviewItem>
      <errorID>b28d782a-4422-489f-92af-c4a00ca872f6</errorID>
      <errorWord>~</errorWord>
      <group>L1_Format</group>
      <groupName>格式问题</groupName>
      <ability>L2_HalfPunc</ability>
      <abilityName>全半角检查</abilityName>
      <candidateList>
        <item>～</item>
      </candidateList>
      <explain>文本全半角错误。</explain>
      <paraID>181B34F3</paraID>
      <start>125</start>
      <end>126</end>
      <status>unmodified</status>
      <modifiedWord/>
      <trackRevisions>false</trackRevisions>
    </reviewItem>
    <reviewItem>
      <errorID>2684b3ef-4d53-4a7c-b8d1-c0e3b2da1087</errorID>
      <errorWord>~</errorWord>
      <group>L1_Format</group>
      <groupName>格式问题</groupName>
      <ability>L2_HalfPunc</ability>
      <abilityName>全半角检查</abilityName>
      <candidateList>
        <item>～</item>
      </candidateList>
      <explain>文本全半角错误。</explain>
      <paraID>78E65924</paraID>
      <start>87</start>
      <end>88</end>
      <status>unmodified</status>
      <modifiedWord/>
      <trackRevisions>false</trackRevisions>
    </reviewItem>
    <reviewItem>
      <errorID>a0eaf4e3-dc94-425e-a797-204f98286d64</errorID>
      <errorWord>，按</errorWord>
      <group>L1_Word</group>
      <groupName>字词问题</groupName>
      <ability>L2_Typo</ability>
      <abilityName>字词错误</abilityName>
      <candidateList>
        <item>，</item>
      </candidateList>
      <explain/>
      <paraID>78E65924</paraID>
      <start>262</start>
      <end>264</end>
      <status>unmodified</status>
      <modifiedWord/>
      <trackRevisions>false</trackRevisions>
    </reviewItem>
    <reviewItem>
      <errorID>181d70b2-635c-4c84-abdf-fbee9b87b95e</errorID>
      <errorWord>，</errorWord>
      <group>L1_Word</group>
      <groupName>字词问题</groupName>
      <ability>L2_Typo</ability>
      <abilityName>字词错误</abilityName>
      <candidateList>
        <item>，在</item>
      </candidateList>
      <explain/>
      <paraID>20BB0132</paraID>
      <start>59</start>
      <end>60</end>
      <status>unmodified</status>
      <modifiedWord/>
      <trackRevisions>false</trackRevisions>
    </reviewItem>
    <reviewItem>
      <errorID>c87e8ce0-45d5-4793-a505-20b0852d91f2</errorID>
      <errorWord>（</errorWord>
      <group>L1_Format</group>
      <groupName>格式问题</groupName>
      <ability>L2_HalfPunc</ability>
      <abilityName>全半角检查</abilityName>
      <candidateList>
        <item>(</item>
      </candidateList>
      <explain>文本全半角错误。</explain>
      <paraID>68798629</paraID>
      <start>0</start>
      <end>1</end>
      <status>unmodified</status>
      <modifiedWord/>
      <trackRevisions>false</trackRevisions>
    </reviewItem>
    <reviewItem>
      <errorID>e98cd683-d10d-4ddb-a647-a79d9dd216a8</errorID>
      <errorWord>）</errorWord>
      <group>L1_Format</group>
      <groupName>格式问题</groupName>
      <ability>L2_HalfPunc</ability>
      <abilityName>全半角检查</abilityName>
      <candidateList>
        <item>)</item>
      </candidateList>
      <explain>文本全半角错误。</explain>
      <paraID>68798629</paraID>
      <start>4</start>
      <end>5</end>
      <status>unmodified</status>
      <modifiedWord/>
      <trackRevisions>false</trackRevisions>
    </reviewItem>
    <reviewItem>
      <errorID>8f01e463-1120-4b7d-ad41-0fef6908d9ca</errorID>
      <errorWord>（</errorWord>
      <group>L1_Format</group>
      <groupName>格式问题</groupName>
      <ability>L2_HalfPunc</ability>
      <abilityName>全半角检查</abilityName>
      <candidateList>
        <item>(</item>
      </candidateList>
      <explain>文本全半角错误。</explain>
      <paraID>25564203</paraID>
      <start>0</start>
      <end>1</end>
      <status>unmodified</status>
      <modifiedWord/>
      <trackRevisions>false</trackRevisions>
    </reviewItem>
    <reviewItem>
      <errorID>f304fb6e-34f0-46af-89db-a777e8177f1c</errorID>
      <errorWord>）</errorWord>
      <group>L1_Format</group>
      <groupName>格式问题</groupName>
      <ability>L2_HalfPunc</ability>
      <abilityName>全半角检查</abilityName>
      <candidateList>
        <item>)</item>
      </candidateList>
      <explain>文本全半角错误。</explain>
      <paraID>25564203</paraID>
      <start>4</start>
      <end>5</end>
      <status>unmodified</status>
      <modifiedWord/>
      <trackRevisions>false</trackRevisions>
    </reviewItem>
    <reviewItem>
      <errorID>41a640e9-d9c6-4d11-b48f-c9b4110c0318</errorID>
      <errorWord>（</errorWord>
      <group>L1_Format</group>
      <groupName>格式问题</groupName>
      <ability>L2_HalfPunc</ability>
      <abilityName>全半角检查</abilityName>
      <candidateList>
        <item>(</item>
      </candidateList>
      <explain>文本全半角错误。</explain>
      <paraID>36129A38</paraID>
      <start>0</start>
      <end>1</end>
      <status>unmodified</status>
      <modifiedWord/>
      <trackRevisions>false</trackRevisions>
    </reviewItem>
    <reviewItem>
      <errorID>6bb2a8e0-2a5d-4337-9d78-aeb6364ad18d</errorID>
      <errorWord>）</errorWord>
      <group>L1_Format</group>
      <groupName>格式问题</groupName>
      <ability>L2_HalfPunc</ability>
      <abilityName>全半角检查</abilityName>
      <candidateList>
        <item>)</item>
      </candidateList>
      <explain>文本全半角错误。</explain>
      <paraID>36129A38</paraID>
      <start>4</start>
      <end>5</end>
      <status>unmodified</status>
      <modifiedWord/>
      <trackRevisions>false</trackRevisions>
    </reviewItem>
    <reviewItem>
      <errorID>d105dd19-13c7-4e3c-ab5d-7b5b5008a94d</errorID>
      <errorWord>（</errorWord>
      <group>L1_Format</group>
      <groupName>格式问题</groupName>
      <ability>L2_HalfPunc</ability>
      <abilityName>全半角检查</abilityName>
      <candidateList>
        <item>(</item>
      </candidateList>
      <explain>文本全半角错误。</explain>
      <paraID>3009DE11</paraID>
      <start>0</start>
      <end>1</end>
      <status>unmodified</status>
      <modifiedWord/>
      <trackRevisions>false</trackRevisions>
    </reviewItem>
    <reviewItem>
      <errorID>7f42d1ca-9389-401d-8444-1f69badd1369</errorID>
      <errorWord>）</errorWord>
      <group>L1_Format</group>
      <groupName>格式问题</groupName>
      <ability>L2_HalfPunc</ability>
      <abilityName>全半角检查</abilityName>
      <candidateList>
        <item>)</item>
      </candidateList>
      <explain>文本全半角错误。</explain>
      <paraID>3009DE11</paraID>
      <start>4</start>
      <end>5</end>
      <status>unmodified</status>
      <modifiedWord/>
      <trackRevisions>false</trackRevisions>
    </reviewItem>
    <reviewItem>
      <errorID>66e4213b-433c-40cf-a73a-054a10f32b0e</errorID>
      <errorWord>（</errorWord>
      <group>L1_Format</group>
      <groupName>格式问题</groupName>
      <ability>L2_HalfPunc</ability>
      <abilityName>全半角检查</abilityName>
      <candidateList>
        <item>(</item>
      </candidateList>
      <explain>文本全半角错误。</explain>
      <paraID>2D60182F</paraID>
      <start>0</start>
      <end>1</end>
      <status>unmodified</status>
      <modifiedWord/>
      <trackRevisions>false</trackRevisions>
    </reviewItem>
    <reviewItem>
      <errorID>f8bc3b43-e5db-41ac-8bb1-f5b53b107407</errorID>
      <errorWord>）</errorWord>
      <group>L1_Format</group>
      <groupName>格式问题</groupName>
      <ability>L2_HalfPunc</ability>
      <abilityName>全半角检查</abilityName>
      <candidateList>
        <item>)</item>
      </candidateList>
      <explain>文本全半角错误。</explain>
      <paraID>2D60182F</paraID>
      <start>6</start>
      <end>7</end>
      <status>unmodified</status>
      <modifiedWord/>
      <trackRevisions>false</trackRevisions>
    </reviewItem>
    <reviewItem>
      <errorID>6fd2c698-433f-45dd-8df5-61a2f443f5a0</errorID>
      <errorWord>（</errorWord>
      <group>L1_Format</group>
      <groupName>格式问题</groupName>
      <ability>L2_HalfPunc</ability>
      <abilityName>全半角检查</abilityName>
      <candidateList>
        <item>(</item>
      </candidateList>
      <explain>文本全半角错误。</explain>
      <paraID>76FA3CEB</paraID>
      <start>0</start>
      <end>1</end>
      <status>unmodified</status>
      <modifiedWord/>
      <trackRevisions>false</trackRevisions>
    </reviewItem>
    <reviewItem>
      <errorID>fe70a627-40a4-4f82-b463-751adf544657</errorID>
      <errorWord>）</errorWord>
      <group>L1_Format</group>
      <groupName>格式问题</groupName>
      <ability>L2_HalfPunc</ability>
      <abilityName>全半角检查</abilityName>
      <candidateList>
        <item>)</item>
      </candidateList>
      <explain>文本全半角错误。</explain>
      <paraID>76FA3CEB</paraID>
      <start>7</start>
      <end>8</end>
      <status>unmodified</status>
      <modifiedWord/>
      <trackRevisions>false</trackRevisions>
    </reviewItem>
    <reviewItem>
      <errorID>aff4e5cf-a8e7-4913-8f08-ed04fc4c75ee</errorID>
      <errorWord>（</errorWord>
      <group>L1_Format</group>
      <groupName>格式问题</groupName>
      <ability>L2_HalfPunc</ability>
      <abilityName>全半角检查</abilityName>
      <candidateList>
        <item>(</item>
      </candidateList>
      <explain>文本全半角错误。</explain>
      <paraID>19ABC34D</paraID>
      <start>0</start>
      <end>1</end>
      <status>unmodified</status>
      <modifiedWord/>
      <trackRevisions>false</trackRevisions>
    </reviewItem>
    <reviewItem>
      <errorID>398ad3e7-9da1-4a6d-8e59-c830e2b070a6</errorID>
      <errorWord>）</errorWord>
      <group>L1_Format</group>
      <groupName>格式问题</groupName>
      <ability>L2_HalfPunc</ability>
      <abilityName>全半角检查</abilityName>
      <candidateList>
        <item>)</item>
      </candidateList>
      <explain>文本全半角错误。</explain>
      <paraID>19ABC34D</paraID>
      <start>7</start>
      <end>8</end>
      <status>unmodified</status>
      <modifiedWord/>
      <trackRevisions>false</trackRevisions>
    </reviewItem>
    <reviewItem>
      <errorID>a4425b5b-4a9c-409d-81df-daa02a090823</errorID>
      <errorWord>（</errorWord>
      <group>L1_Format</group>
      <groupName>格式问题</groupName>
      <ability>L2_HalfPunc</ability>
      <abilityName>全半角检查</abilityName>
      <candidateList>
        <item>(</item>
      </candidateList>
      <explain>文本全半角错误。</explain>
      <paraID>5AF6BACC</paraID>
      <start>0</start>
      <end>1</end>
      <status>unmodified</status>
      <modifiedWord/>
      <trackRevisions>false</trackRevisions>
    </reviewItem>
    <reviewItem>
      <errorID>80db8b7f-3c13-4635-bac0-23296b7b59aa</errorID>
      <errorWord>）</errorWord>
      <group>L1_Format</group>
      <groupName>格式问题</groupName>
      <ability>L2_HalfPunc</ability>
      <abilityName>全半角检查</abilityName>
      <candidateList>
        <item>)</item>
      </candidateList>
      <explain>文本全半角错误。</explain>
      <paraID>5AF6BACC</paraID>
      <start>10</start>
      <end>11</end>
      <status>unmodified</status>
      <modifiedWord/>
      <trackRevisions>false</trackRevisions>
    </reviewItem>
    <reviewItem>
      <errorID>6c9f161d-62c6-4a13-b66f-61b92087cae0</errorID>
      <errorWord>（</errorWord>
      <group>L1_Format</group>
      <groupName>格式问题</groupName>
      <ability>L2_HalfPunc</ability>
      <abilityName>全半角检查</abilityName>
      <candidateList>
        <item>(</item>
      </candidateList>
      <explain>文本全半角错误。</explain>
      <paraID>1123974C</paraID>
      <start>0</start>
      <end>1</end>
      <status>unmodified</status>
      <modifiedWord/>
      <trackRevisions>false</trackRevisions>
    </reviewItem>
    <reviewItem>
      <errorID>1645e257-0da9-4756-af34-3ab3b4db1164</errorID>
      <errorWord>）</errorWord>
      <group>L1_Format</group>
      <groupName>格式问题</groupName>
      <ability>L2_HalfPunc</ability>
      <abilityName>全半角检查</abilityName>
      <candidateList>
        <item>)</item>
      </candidateList>
      <explain>文本全半角错误。</explain>
      <paraID>1123974C</paraID>
      <start>7</start>
      <end>8</end>
      <status>unmodified</status>
      <modifiedWord/>
      <trackRevisions>false</trackRevisions>
    </reviewItem>
    <reviewItem>
      <errorID>9290d65f-923e-42ec-a232-668ecfd5aab6</errorID>
      <errorWord>（</errorWord>
      <group>L1_Format</group>
      <groupName>格式问题</groupName>
      <ability>L2_HalfPunc</ability>
      <abilityName>全半角检查</abilityName>
      <candidateList>
        <item>(</item>
      </candidateList>
      <explain>文本全半角错误。</explain>
      <paraID>21FF1B75</paraID>
      <start>0</start>
      <end>1</end>
      <status>unmodified</status>
      <modifiedWord/>
      <trackRevisions>false</trackRevisions>
    </reviewItem>
    <reviewItem>
      <errorID>f18a32bd-a3dd-4399-9eca-78d849b6731e</errorID>
      <errorWord>）</errorWord>
      <group>L1_Format</group>
      <groupName>格式问题</groupName>
      <ability>L2_HalfPunc</ability>
      <abilityName>全半角检查</abilityName>
      <candidateList>
        <item>)</item>
      </candidateList>
      <explain>文本全半角错误。</explain>
      <paraID>21FF1B75</paraID>
      <start>10</start>
      <end>11</end>
      <status>unmodified</status>
      <modifiedWord/>
      <trackRevisions>false</trackRevisions>
    </reviewItem>
    <reviewItem>
      <errorID>a0e9ecfb-73ec-4165-91af-179f7589bb3c</errorID>
      <errorWord>（</errorWord>
      <group>L1_Format</group>
      <groupName>格式问题</groupName>
      <ability>L2_HalfPunc</ability>
      <abilityName>全半角检查</abilityName>
      <candidateList>
        <item>(</item>
      </candidateList>
      <explain>文本全半角错误。</explain>
      <paraID>1E127C05</paraID>
      <start>0</start>
      <end>1</end>
      <status>unmodified</status>
      <modifiedWord/>
      <trackRevisions>false</trackRevisions>
    </reviewItem>
    <reviewItem>
      <errorID>60a89163-5a56-4b24-a14a-7808134ddcb0</errorID>
      <errorWord>）</errorWord>
      <group>L1_Format</group>
      <groupName>格式问题</groupName>
      <ability>L2_HalfPunc</ability>
      <abilityName>全半角检查</abilityName>
      <candidateList>
        <item>)</item>
      </candidateList>
      <explain>文本全半角错误。</explain>
      <paraID>1E127C05</paraID>
      <start>7</start>
      <end>8</end>
      <status>unmodified</status>
      <modifiedWord/>
      <trackRevisions>false</trackRevisions>
    </reviewItem>
    <reviewItem>
      <errorID>4ef5bf72-bb05-4b90-bf8f-f9ce6ac881cd</errorID>
      <errorWord>（</errorWord>
      <group>L1_Format</group>
      <groupName>格式问题</groupName>
      <ability>L2_HalfPunc</ability>
      <abilityName>全半角检查</abilityName>
      <candidateList>
        <item>(</item>
      </candidateList>
      <explain>文本全半角错误。</explain>
      <paraID>63C1230B</paraID>
      <start>6</start>
      <end>7</end>
      <status>unmodified</status>
      <modifiedWord/>
      <trackRevisions>false</trackRevisions>
    </reviewItem>
    <reviewItem>
      <errorID>a575d207-532b-4aa1-bf6c-005b34a39b3a</errorID>
      <errorWord>）</errorWord>
      <group>L1_Format</group>
      <groupName>格式问题</groupName>
      <ability>L2_HalfPunc</ability>
      <abilityName>全半角检查</abilityName>
      <candidateList>
        <item>)</item>
      </candidateList>
      <explain>文本全半角错误。</explain>
      <paraID>63C1230B</paraID>
      <start>17</start>
      <end>18</end>
      <status>unmodified</status>
      <modifiedWord/>
      <trackRevisions>false</trackRevisions>
    </reviewItem>
    <reviewItem>
      <errorID>7fa78f52-4617-4a28-bbb6-4607c3bdac84</errorID>
      <errorWord>（</errorWord>
      <group>L1_Format</group>
      <groupName>格式问题</groupName>
      <ability>L2_HalfPunc</ability>
      <abilityName>全半角检查</abilityName>
      <candidateList>
        <item>(</item>
      </candidateList>
      <explain>文本全半角错误。</explain>
      <paraID>1FBCA8E2</paraID>
      <start>0</start>
      <end>1</end>
      <status>unmodified</status>
      <modifiedWord/>
      <trackRevisions>false</trackRevisions>
    </reviewItem>
    <reviewItem>
      <errorID>e2e26b66-eadc-4cf8-8ad1-2d09a995127a</errorID>
      <errorWord>）</errorWord>
      <group>L1_Format</group>
      <groupName>格式问题</groupName>
      <ability>L2_HalfPunc</ability>
      <abilityName>全半角检查</abilityName>
      <candidateList>
        <item>)</item>
      </candidateList>
      <explain>文本全半角错误。</explain>
      <paraID>1FBCA8E2</paraID>
      <start>4</start>
      <end>5</end>
      <status>unmodified</status>
      <modifiedWord/>
      <trackRevisions>false</trackRevisions>
    </reviewItem>
    <reviewItem>
      <errorID>34526e8a-fa53-4ccc-85db-a03338468c46</errorID>
      <errorWord>冲击型</errorWord>
      <group>L1_Word</group>
      <groupName>字词问题</groupName>
      <ability>L2_Typo</ability>
      <abilityName>字词错误</abilityName>
      <candidateList>
        <item>冲击性</item>
      </candidateList>
      <explain/>
      <paraID>7C2A56B4</paraID>
      <start>19</start>
      <end>25</end>
      <status>modified</status>
      <modifiedWord>冲击性</modifiedWord>
      <trackRevisions>true</trackRevisions>
    </reviewItem>
    <reviewItem>
      <errorID>58dff229-3495-4cbc-a28e-95cc9d9ac0c7</errorID>
      <errorWord>（</errorWord>
      <group>L1_Format</group>
      <groupName>格式问题</groupName>
      <ability>L2_HalfPunc</ability>
      <abilityName>全半角检查</abilityName>
      <candidateList>
        <item>(</item>
      </candidateList>
      <explain>文本全半角错误。</explain>
      <paraID>479E6750</paraID>
      <start>0</start>
      <end>1</end>
      <status>unmodified</status>
      <modifiedWord/>
      <trackRevisions>false</trackRevisions>
    </reviewItem>
    <reviewItem>
      <errorID>d26d1d66-ef1a-48d4-bc7d-e9f9b823d7a2</errorID>
      <errorWord>）</errorWord>
      <group>L1_Format</group>
      <groupName>格式问题</groupName>
      <ability>L2_HalfPunc</ability>
      <abilityName>全半角检查</abilityName>
      <candidateList>
        <item>)</item>
      </candidateList>
      <explain>文本全半角错误。</explain>
      <paraID>479E6750</paraID>
      <start>4</start>
      <end>5</end>
      <status>unmodified</status>
      <modifiedWord/>
      <trackRevisions>false</trackRevisions>
    </reviewItem>
    <reviewItem>
      <errorID>006c8e07-43db-4297-b2cd-3c0375779eb8</errorID>
      <errorWord>（</errorWord>
      <group>L1_Format</group>
      <groupName>格式问题</groupName>
      <ability>L2_HalfPunc</ability>
      <abilityName>全半角检查</abilityName>
      <candidateList>
        <item>(</item>
      </candidateList>
      <explain>文本全半角错误。</explain>
      <paraID>33D38A4D</paraID>
      <start>0</start>
      <end>1</end>
      <status>unmodified</status>
      <modifiedWord/>
      <trackRevisions>false</trackRevisions>
    </reviewItem>
    <reviewItem>
      <errorID>b5fa9918-6d9a-4694-8fb8-5fc4cb203d88</errorID>
      <errorWord>）</errorWord>
      <group>L1_Format</group>
      <groupName>格式问题</groupName>
      <ability>L2_HalfPunc</ability>
      <abilityName>全半角检查</abilityName>
      <candidateList>
        <item>)</item>
      </candidateList>
      <explain>文本全半角错误。</explain>
      <paraID>33D38A4D</paraID>
      <start>4</start>
      <end>5</end>
      <status>unmodified</status>
      <modifiedWord/>
      <trackRevisions>false</trackRevisions>
    </reviewItem>
    <reviewItem>
      <errorID>65a4c1bd-a9ac-45c1-bc18-b512091f1c60</errorID>
      <errorWord>反应及</errorWord>
      <group>L1_Word</group>
      <groupName>字词问题</groupName>
      <ability>L2_Typo</ability>
      <abilityName>字词错误</abilityName>
      <candidateList>
        <item>反应剂</item>
      </candidateList>
      <explain/>
      <paraID>692B773D</paraID>
      <start>108</start>
      <end>111</end>
      <status>unmodified</status>
      <modifiedWord/>
      <trackRevisions>false</trackRevisions>
    </reviewItem>
    <reviewItem>
      <errorID>6f8d1b50-574b-42ce-88a5-5aeb8ab9ed84</errorID>
      <errorWord>进入到</errorWord>
      <group>L1_Word</group>
      <groupName>字词问题</groupName>
      <ability>L2_Typo</ability>
      <abilityName>字词错误</abilityName>
      <candidateList>
        <item>进入</item>
      </candidateList>
      <explain>〈动〉支进到某个范围或某个时期里：～学校｜～新阶段◇～角色。</explain>
      <paraID>7E1ED5F6</paraID>
      <start>110</start>
      <end>115</end>
      <status>modified</status>
      <modifiedWord>进入</modifiedWord>
      <trackRevisions>true</trackRevisions>
    </reviewItem>
    <reviewItem>
      <errorID>aa831459-df37-4a9b-b09a-bfbc14ebfca5</errorID>
      <errorWord>水旋系统</errorWord>
      <group>L1_Knowledge</group>
      <groupName>知识性问题</groupName>
      <ability>L2_Term</ability>
      <abilityName>专业术语</abilityName>
      <candidateList>
        <item>水管系统</item>
      </candidateList>
      <explain/>
      <paraID>49EDFC8C</paraID>
      <start>25</start>
      <end>29</end>
      <status>unmodified</status>
      <modifiedWord/>
      <trackRevisions>false</trackRevisions>
    </reviewItem>
    <reviewItem>
      <errorID>ac41c77c-2554-405e-953d-2085f909a5bc</errorID>
      <errorWord>约为</errorWord>
      <group>L1_Word</group>
      <groupName>字词问题</groupName>
      <ability>L2_Typo</ability>
      <abilityName>字词错误</abilityName>
      <candidateList>
        <item>约</item>
      </candidateList>
      <explain/>
      <paraID>363D8B0E</paraID>
      <start>56</start>
      <end>59</end>
      <status>modified</status>
      <modifiedWord>约</modifiedWord>
      <trackRevisions>true</trackRevisions>
    </reviewItem>
    <reviewItem>
      <errorID>41b39d0e-48fd-4fa1-b1f4-f0135fd614f1</errorID>
      <errorWord>监测中</errorWord>
      <group>L1_Word</group>
      <groupName>字词问题</groupName>
      <ability>L2_Typo</ability>
      <abilityName>字词错误</abilityName>
      <candidateList>
        <item>监测</item>
      </candidateList>
      <explain/>
      <paraID>58537D2E</paraID>
      <start>71</start>
      <end>74</end>
      <status>unmodified</status>
      <modifiedWord/>
      <trackRevisions>false</trackRevisions>
    </reviewItem>
    <reviewItem>
      <errorID>209767d2-58ba-4edc-afa9-629f6cda4840</errorID>
      <errorWord>（</errorWord>
      <group>L1_Format</group>
      <groupName>格式问题</groupName>
      <ability>L2_HalfPunc</ability>
      <abilityName>全半角检查</abilityName>
      <candidateList>
        <item>(</item>
      </candidateList>
      <explain>文本全半角错误。</explain>
      <paraID>5392F7B5</paraID>
      <start>0</start>
      <end>1</end>
      <status>unmodified</status>
      <modifiedWord/>
      <trackRevisions>false</trackRevisions>
    </reviewItem>
    <reviewItem>
      <errorID>44fca115-41d8-4433-8e17-8664b6c7d16b</errorID>
      <errorWord>）</errorWord>
      <group>L1_Format</group>
      <groupName>格式问题</groupName>
      <ability>L2_HalfPunc</ability>
      <abilityName>全半角检查</abilityName>
      <candidateList>
        <item>)</item>
      </candidateList>
      <explain>文本全半角错误。</explain>
      <paraID>5392F7B5</paraID>
      <start>6</start>
      <end>7</end>
      <status>unmodified</status>
      <modifiedWord/>
      <trackRevisions>false</trackRevisions>
    </reviewItem>
    <reviewItem>
      <errorID>1b675701-14e5-4b9c-beed-cdc2696cbcc6</errorID>
      <errorWord>源源</errorWord>
      <group>L1_Word</group>
      <groupName>字词问题</groupName>
      <ability>L2_Typo</ability>
      <abilityName>字词错误</abilityName>
      <candidateList>
        <item>源</item>
      </candidateList>
      <explain/>
      <paraID> E0DDD65</paraID>
      <start>1</start>
      <end>3</end>
      <status>unmodified</status>
      <modifiedWord/>
      <trackRevisions>false</trackRevisions>
    </reviewItem>
    <reviewItem>
      <errorID>557b624e-3460-47c9-9222-1f3b73f01663</errorID>
      <errorWord>源源</errorWord>
      <group>L1_Word</group>
      <groupName>字词问题</groupName>
      <ability>L2_Typo</ability>
      <abilityName>字词错误</abilityName>
      <candidateList>
        <item>源</item>
      </candidateList>
      <explain/>
      <paraID>232EF8B2</paraID>
      <start>1</start>
      <end>3</end>
      <status>unmodified</status>
      <modifiedWord/>
      <trackRevisions>false</trackRevisions>
    </reviewItem>
    <reviewItem>
      <errorID>79b7e732-c677-48f0-a448-f919650913db</errorID>
      <errorWord>（</errorWord>
      <group>L1_Format</group>
      <groupName>格式问题</groupName>
      <ability>L2_HalfPunc</ability>
      <abilityName>全半角检查</abilityName>
      <candidateList>
        <item>(</item>
      </candidateList>
      <explain>文本全半角错误。</explain>
      <paraID>726D9D4B</paraID>
      <start>3</start>
      <end>4</end>
      <status>unmodified</status>
      <modifiedWord/>
      <trackRevisions>false</trackRevisions>
    </reviewItem>
    <reviewItem>
      <errorID>c774b6ed-161a-492c-ba34-4e25720b2b75</errorID>
      <errorWord>）</errorWord>
      <group>L1_Format</group>
      <groupName>格式问题</groupName>
      <ability>L2_HalfPunc</ability>
      <abilityName>全半角检查</abilityName>
      <candidateList>
        <item>)</item>
      </candidateList>
      <explain>文本全半角错误。</explain>
      <paraID>726D9D4B</paraID>
      <start>5</start>
      <end>6</end>
      <status>unmodified</status>
      <modifiedWord/>
      <trackRevisions>false</trackRevisions>
    </reviewItem>
    <reviewItem>
      <errorID>ff85dc4a-e4ea-4c55-a177-7b879a4082be</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6C716321</paraID>
      <start>7</start>
      <end>8</end>
      <status>unmodified</status>
      <modifiedWord/>
      <trackRevisions>false</trackRevisions>
    </reviewItem>
    <reviewItem>
      <errorID>eaf23389-1466-430a-9952-13a04d9068bb</errorID>
      <errorWord>（</errorWord>
      <group>L1_Punc</group>
      <groupName>标点问题</groupName>
      <ability>L2_Punc</ability>
      <abilityName>标点符号检查</abilityName>
      <candidateList/>
      <explain>同一形式括号套用。</explain>
      <paraID>127AFBAA</paraID>
      <start>58</start>
      <end>59</end>
      <status>unmodified</status>
      <modifiedWord/>
      <trackRevisions>false</trackRevisions>
    </reviewItem>
    <reviewItem>
      <errorID>dde24ed7-22ea-450e-a117-7d037e44a2d2</errorID>
      <errorWord>）</errorWord>
      <group>L1_Punc</group>
      <groupName>标点问题</groupName>
      <ability>L2_Punc</ability>
      <abilityName>标点符号检查</abilityName>
      <candidateList/>
      <explain>同一形式括号套用。</explain>
      <paraID>127AFBAA</paraID>
      <start>60</start>
      <end>61</end>
      <status>unmodified</status>
      <modifiedWord/>
      <trackRevisions>false</trackRevisions>
    </reviewItem>
    <reviewItem>
      <errorID>f9737f8a-56f8-4204-a6e2-5c6edd428cdc</errorID>
      <errorWord>（</errorWord>
      <group>L1_Punc</group>
      <groupName>标点问题</groupName>
      <ability>L2_Punc</ability>
      <abilityName>标点符号检查</abilityName>
      <candidateList/>
      <explain>同一形式括号套用。</explain>
      <paraID>127AFBAA</paraID>
      <start>69</start>
      <end>70</end>
      <status>unmodified</status>
      <modifiedWord/>
      <trackRevisions>false</trackRevisions>
    </reviewItem>
    <reviewItem>
      <errorID>19e2550a-5028-4693-a38f-037a62a185af</errorID>
      <errorWord>）</errorWord>
      <group>L1_Punc</group>
      <groupName>标点问题</groupName>
      <ability>L2_Punc</ability>
      <abilityName>标点符号检查</abilityName>
      <candidateList/>
      <explain>同一形式括号套用。</explain>
      <paraID>127AFBAA</paraID>
      <start>71</start>
      <end>72</end>
      <status>unmodified</status>
      <modifiedWord/>
      <trackRevisions>false</trackRevisions>
    </reviewItem>
    <reviewItem>
      <errorID>c0d2dd76-fcc6-48d1-a654-342b39714afc</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4F9D78FD</paraID>
      <start>20</start>
      <end>21</end>
      <status>unmodified</status>
      <modifiedWord/>
      <trackRevisions>false</trackRevisions>
    </reviewItem>
    <reviewItem>
      <errorID>177eabeb-fe89-4adf-ad85-be46fe99b07e</errorID>
      <errorWord>劳动定</errorWord>
      <group>L1_Word</group>
      <groupName>字词问题</groupName>
      <ability>L2_Typo</ability>
      <abilityName>字词错误</abilityName>
      <candidateList>
        <item>劳动人</item>
      </candidateList>
      <explain/>
      <paraID>63498B3E</paraID>
      <start>9</start>
      <end>12</end>
      <status>unmodified</status>
      <modifiedWord/>
      <trackRevisions>false</trackRevisions>
    </reviewItem>
    <reviewItem>
      <errorID>ba343059-cb2f-46a9-a247-ef18a3c9e6d1</errorID>
      <errorWord>中的</errorWord>
      <group>L1_Word</group>
      <groupName>字词问题</groupName>
      <ability>L2_Typo</ability>
      <abilityName>字词错误</abilityName>
      <candidateList>
        <item>中</item>
      </candidateList>
      <explain>〈动〉❶正对上；恰好合上：～选｜猜～了｜三枪都打～了目标。❷受到；遭受：～毒｜～暑｜胳膊上～了一枪。</explain>
      <paraID>63498B3E</paraID>
      <start>29</start>
      <end>31</end>
      <status>unmodified</status>
      <modifiedWord/>
      <trackRevisions>false</trackRevisions>
    </reviewItem>
    <reviewItem>
      <errorID>269f2769-96c9-4afc-a38a-f74c07f991ad</errorID>
      <errorWord>（</errorWord>
      <group>L1_Punc</group>
      <groupName>标点问题</groupName>
      <ability>L2_Punc</ability>
      <abilityName>标点符号检查</abilityName>
      <candidateList/>
      <explain>同一形式括号套用。</explain>
      <paraID>6CACFBFB</paraID>
      <start>65</start>
      <end>66</end>
      <status>unmodified</status>
      <modifiedWord/>
      <trackRevisions>false</trackRevisions>
    </reviewItem>
    <reviewItem>
      <errorID>c3634964-1c81-409d-b394-9c7bcc4786a7</errorID>
      <errorWord>）</errorWord>
      <group>L1_Punc</group>
      <groupName>标点问题</groupName>
      <ability>L2_Punc</ability>
      <abilityName>标点符号检查</abilityName>
      <candidateList/>
      <explain>同一形式括号套用。</explain>
      <paraID>6CACFBFB</paraID>
      <start>67</start>
      <end>68</end>
      <status>unmodified</status>
      <modifiedWord/>
      <trackRevisions>false</trackRevisions>
    </reviewItem>
    <reviewItem>
      <errorID>f0c6b2a8-e2df-4e47-9316-95ce298f84a6</errorID>
      <errorWord>（</errorWord>
      <group>L1_Punc</group>
      <groupName>标点问题</groupName>
      <ability>L2_Punc</ability>
      <abilityName>标点符号检查</abilityName>
      <candidateList/>
      <explain>同一形式括号套用。</explain>
      <paraID>6CACFBFB</paraID>
      <start>75</start>
      <end>76</end>
      <status>unmodified</status>
      <modifiedWord/>
      <trackRevisions>false</trackRevisions>
    </reviewItem>
    <reviewItem>
      <errorID>92d477da-c509-4ea6-b73f-df2a44b3e3f8</errorID>
      <errorWord>）</errorWord>
      <group>L1_Punc</group>
      <groupName>标点问题</groupName>
      <ability>L2_Punc</ability>
      <abilityName>标点符号检查</abilityName>
      <candidateList/>
      <explain>同一形式括号套用。</explain>
      <paraID>6CACFBFB</paraID>
      <start>83</start>
      <end>84</end>
      <status>unmodified</status>
      <modifiedWord/>
      <trackRevisions>false</trackRevisions>
    </reviewItem>
    <reviewItem>
      <errorID>37c10a24-66cd-4884-8cad-e7b8cabfbe76</errorID>
      <errorWord>（</errorWord>
      <group>L1_Punc</group>
      <groupName>标点问题</groupName>
      <ability>L2_Punc</ability>
      <abilityName>标点符号检查</abilityName>
      <candidateList/>
      <explain>同一形式括号套用。</explain>
      <paraID>6CACFBFB</paraID>
      <start>124</start>
      <end>125</end>
      <status>unmodified</status>
      <modifiedWord/>
      <trackRevisions>false</trackRevisions>
    </reviewItem>
    <reviewItem>
      <errorID>af26a373-d18a-4b75-ae66-aef40d77f9f5</errorID>
      <errorWord>（</errorWord>
      <group>L1_Punc</group>
      <groupName>标点问题</groupName>
      <ability>L2_Punc</ability>
      <abilityName>标点符号检查</abilityName>
      <candidateList/>
      <explain>同一形式括号套用。</explain>
      <paraID>6CACFBFB</paraID>
      <start>133</start>
      <end>134</end>
      <status>unmodified</status>
      <modifiedWord/>
      <trackRevisions>false</trackRevisions>
    </reviewItem>
    <reviewItem>
      <errorID>03d4144f-f004-4626-a351-ba98790e9fe1</errorID>
      <errorWord>）</errorWord>
      <group>L1_Punc</group>
      <groupName>标点问题</groupName>
      <ability>L2_Punc</ability>
      <abilityName>标点符号检查</abilityName>
      <candidateList/>
      <explain>同一形式括号套用。</explain>
      <paraID>6CACFBFB</paraID>
      <start>135</start>
      <end>136</end>
      <status>unmodified</status>
      <modifiedWord/>
      <trackRevisions>false</trackRevisions>
    </reviewItem>
    <reviewItem>
      <errorID>098d5a27-6fc4-4f64-ad7d-07eceb46ee96</errorID>
      <errorWord>（</errorWord>
      <group>L1_Punc</group>
      <groupName>标点问题</groupName>
      <ability>L2_Punc</ability>
      <abilityName>标点符号检查</abilityName>
      <candidateList/>
      <explain>同一形式括号套用。</explain>
      <paraID>6CACFBFB</paraID>
      <start>139</start>
      <end>140</end>
      <status>unmodified</status>
      <modifiedWord/>
      <trackRevisions>false</trackRevisions>
    </reviewItem>
    <reviewItem>
      <errorID>3b03eab2-993a-404f-9309-0deb38edde5c</errorID>
      <errorWord>）</errorWord>
      <group>L1_Punc</group>
      <groupName>标点问题</groupName>
      <ability>L2_Punc</ability>
      <abilityName>标点符号检查</abilityName>
      <candidateList/>
      <explain>同一形式括号套用。</explain>
      <paraID>6CACFBFB</paraID>
      <start>141</start>
      <end>142</end>
      <status>unmodified</status>
      <modifiedWord/>
      <trackRevisions>false</trackRevisions>
    </reviewItem>
    <reviewItem>
      <errorID>52c179ef-84f8-4fdc-8977-1e18c15e13ec</errorID>
      <errorWord>化学抛光</errorWord>
      <group>L1_Knowledge</group>
      <groupName>知识性问题</groupName>
      <ability>L2_Term</ability>
      <abilityName>专业术语</abilityName>
      <candidateList>
        <item>化学拋光</item>
      </candidateList>
      <explain/>
      <paraID>6CACFBFB</paraID>
      <start>156</start>
      <end>160</end>
      <status>unmodified</status>
      <modifiedWord/>
      <trackRevisions>false</trackRevisions>
    </reviewItem>
    <reviewItem>
      <errorID>1042700f-5fd3-4022-b656-48ba65ad9064</errorID>
      <errorWord>（</errorWord>
      <group>L1_Punc</group>
      <groupName>标点问题</groupName>
      <ability>L2_Punc</ability>
      <abilityName>标点符号检查</abilityName>
      <candidateList/>
      <explain>同一形式括号套用。</explain>
      <paraID>6CACFBFB</paraID>
      <start>209</start>
      <end>210</end>
      <status>unmodified</status>
      <modifiedWord/>
      <trackRevisions>false</trackRevisions>
    </reviewItem>
    <reviewItem>
      <errorID>5240efcb-663d-46ac-9296-8e6937bab717</errorID>
      <errorWord>）</errorWord>
      <group>L1_Punc</group>
      <groupName>标点问题</groupName>
      <ability>L2_Punc</ability>
      <abilityName>标点符号检查</abilityName>
      <candidateList/>
      <explain>同一形式括号套用。</explain>
      <paraID>6CACFBFB</paraID>
      <start>212</start>
      <end>213</end>
      <status>unmodified</status>
      <modifiedWord/>
      <trackRevisions>false</trackRevisions>
    </reviewItem>
    <reviewItem>
      <errorID>884ab2ca-9315-46b1-9383-804a12511b6a</errorID>
      <errorWord>（</errorWord>
      <group>L1_Punc</group>
      <groupName>标点问题</groupName>
      <ability>L2_Punc</ability>
      <abilityName>标点符号检查</abilityName>
      <candidateList/>
      <explain>同一形式括号套用。</explain>
      <paraID>30271470</paraID>
      <start>61</start>
      <end>62</end>
      <status>unmodified</status>
      <modifiedWord/>
      <trackRevisions>false</trackRevisions>
    </reviewItem>
    <reviewItem>
      <errorID>80ade9cc-8348-405e-8c96-7d4a98cdea76</errorID>
      <errorWord>）</errorWord>
      <group>L1_Punc</group>
      <groupName>标点问题</groupName>
      <ability>L2_Punc</ability>
      <abilityName>标点符号检查</abilityName>
      <candidateList/>
      <explain>同一形式括号套用。</explain>
      <paraID>30271470</paraID>
      <start>68</start>
      <end>69</end>
      <status>unmodified</status>
      <modifiedWord/>
      <trackRevisions>false</trackRevisions>
    </reviewItem>
    <reviewItem>
      <errorID>ffb53ffa-bde4-4963-b03c-c8dcf483bebe</errorID>
      <errorWord>中</errorWord>
      <group>L1_Word</group>
      <groupName>字词问题</groupName>
      <ability>L2_Typo</ability>
      <abilityName>字词错误</abilityName>
      <candidateList>
        <item>中通</item>
      </candidateList>
      <explain/>
      <paraID>30271470</paraID>
      <start>83</start>
      <end>84</end>
      <status>unmodified</status>
      <modifiedWord/>
      <trackRevisions>false</trackRevisions>
    </reviewItem>
    <reviewItem>
      <errorID>37901620-81f3-4d18-beec-30c42939ea6d</errorID>
      <errorWord>、以及</errorWord>
      <group>L1_Punc</group>
      <groupName>标点问题</groupName>
      <ability>L2_Punc</ability>
      <abilityName>标点符号检查</abilityName>
      <candidateList>
        <item>，以及</item>
      </candidateList>
      <explain>连接词前后不宜使用顿号，建议使用逗号。</explain>
      <paraID>30271470</paraID>
      <start>97</start>
      <end>100</end>
      <status>unmodified</status>
      <modifiedWord/>
      <trackRevisions>false</trackRevisions>
    </reviewItem>
    <reviewItem>
      <errorID>3e1d2362-3695-4c96-92e8-082681183e61</errorID>
      <errorWord>暂存间</errorWord>
      <group>L1_Word</group>
      <groupName>字词问题</groupName>
      <ability>L2_Typo</ability>
      <abilityName>字词错误</abilityName>
      <candidateList>
        <item>暂存</item>
      </candidateList>
      <explain/>
      <paraID>4ED2B5BA</paraID>
      <start>132</start>
      <end>135</end>
      <status>unmodified</status>
      <modifiedWord/>
      <trackRevisions>false</trackRevisions>
    </reviewItem>
    <reviewItem>
      <errorID>0c81f734-0fc6-4d80-9dca-372a3954b3b4</errorID>
      <errorWord>（</errorWord>
      <group>L1_Punc</group>
      <groupName>标点问题</groupName>
      <ability>L2_Punc</ability>
      <abilityName>标点符号检查</abilityName>
      <candidateList/>
      <explain>同一形式括号套用。</explain>
      <paraID>396A4E89</paraID>
      <start>63</start>
      <end>64</end>
      <status>unmodified</status>
      <modifiedWord/>
      <trackRevisions>false</trackRevisions>
    </reviewItem>
    <reviewItem>
      <errorID>831cc9ac-e6e0-4eea-9068-9e48d0b0420b</errorID>
      <errorWord>）</errorWord>
      <group>L1_Punc</group>
      <groupName>标点问题</groupName>
      <ability>L2_Punc</ability>
      <abilityName>标点符号检查</abilityName>
      <candidateList/>
      <explain>同一形式括号套用。</explain>
      <paraID>396A4E89</paraID>
      <start>70</start>
      <end>71</end>
      <status>unmodified</status>
      <modifiedWord/>
      <trackRevisions>false</trackRevisions>
    </reviewItem>
    <reviewItem>
      <errorID>73d018fb-7fcb-4087-b6e8-fbbe54ea81e6</errorID>
      <errorWord>、以及</errorWord>
      <group>L1_Punc</group>
      <groupName>标点问题</groupName>
      <ability>L2_Punc</ability>
      <abilityName>标点符号检查</abilityName>
      <candidateList>
        <item>，以及</item>
      </candidateList>
      <explain>连接词前后不宜使用顿号，建议使用逗号。</explain>
      <paraID>396A4E89</paraID>
      <start>99</start>
      <end>102</end>
      <status>unmodified</status>
      <modifiedWord/>
      <trackRevisions>false</trackRevisions>
    </reviewItem>
    <reviewItem>
      <errorID>87608e26-003d-4ae7-9c8d-162886d4cd14</errorID>
      <errorWord>~</errorWord>
      <group>L1_Format</group>
      <groupName>格式问题</groupName>
      <ability>L2_HalfPunc</ability>
      <abilityName>全半角检查</abilityName>
      <candidateList>
        <item>～</item>
      </candidateList>
      <explain>文本全半角错误。</explain>
      <paraID>507C2044</paraID>
      <start>125</start>
      <end>126</end>
      <status>unmodified</status>
      <modifiedWord/>
      <trackRevisions>false</trackRevisions>
    </reviewItem>
    <reviewItem>
      <errorID>cbba590e-d6db-4478-9e4e-aa080f63b3b2</errorID>
      <errorWord>~</errorWord>
      <group>L1_Format</group>
      <groupName>格式问题</groupName>
      <ability>L2_HalfPunc</ability>
      <abilityName>全半角检查</abilityName>
      <candidateList>
        <item>～</item>
      </candidateList>
      <explain>文本全半角错误。</explain>
      <paraID>715CE0D0</paraID>
      <start>87</start>
      <end>88</end>
      <status>unmodified</status>
      <modifiedWord/>
      <trackRevisions>false</trackRevisions>
    </reviewItem>
    <reviewItem>
      <errorID>0200c3b7-2f13-44f6-acde-1e614aabe31a</errorID>
      <errorWord>，按</errorWord>
      <group>L1_Word</group>
      <groupName>字词问题</groupName>
      <ability>L2_Typo</ability>
      <abilityName>字词错误</abilityName>
      <candidateList>
        <item>，</item>
      </candidateList>
      <explain/>
      <paraID>715CE0D0</paraID>
      <start>262</start>
      <end>264</end>
      <status>unmodified</status>
      <modifiedWord/>
      <trackRevisions>false</trackRevisions>
    </reviewItem>
    <reviewItem>
      <errorID>454a166a-085a-42ef-be6f-84810bc21e5d</errorID>
      <errorWord>暂存间</errorWord>
      <group>L1_Word</group>
      <groupName>字词问题</groupName>
      <ability>L2_Typo</ability>
      <abilityName>字词错误</abilityName>
      <candidateList>
        <item>暂存</item>
      </candidateList>
      <explain/>
      <paraID>5C360C99</paraID>
      <start>25</start>
      <end>28</end>
      <status>unmodified</status>
      <modifiedWord/>
      <trackRevisions>false</trackRevisions>
    </reviewItem>
    <reviewItem>
      <errorID>ad00905f-103c-413d-85e3-9c259491e44e</errorID>
      <errorWord>暂存间</errorWord>
      <group>L1_Word</group>
      <groupName>字词问题</groupName>
      <ability>L2_Typo</ability>
      <abilityName>字词错误</abilityName>
      <candidateList>
        <item>暂存</item>
      </candidateList>
      <explain/>
      <paraID> DC7CA6B</paraID>
      <start>25</start>
      <end>28</end>
      <status>unmodified</status>
      <modifiedWord/>
      <trackRevisions>false</trackRevisions>
    </reviewItem>
    <reviewItem>
      <errorID>4ebbe765-d43e-41c6-96e4-6c371b97e2a9</errorID>
      <errorWord>，</errorWord>
      <group>L1_Format</group>
      <groupName>格式问题</groupName>
      <ability>L2_HalfPunc</ability>
      <abilityName>全半角检查</abilityName>
      <candidateList>
        <item>, </item>
      </candidateList>
      <explain>文本全半角错误。</explain>
      <paraID>3EB48E7D</paraID>
      <start>1</start>
      <end>2</end>
      <status>unmodified</status>
      <modifiedWord/>
      <trackRevisions>false</trackRevisions>
    </reviewItem>
    <reviewItem>
      <errorID>7c002418-c985-40d5-9869-03f4671d48df</errorID>
      <errorWord>，</errorWord>
      <group>L1_Format</group>
      <groupName>格式问题</groupName>
      <ability>L2_HalfPunc</ability>
      <abilityName>全半角检查</abilityName>
      <candidateList>
        <item>, </item>
      </candidateList>
      <explain>文本全半角错误。</explain>
      <paraID>53604458</paraID>
      <start>1</start>
      <end>2</end>
      <status>unmodified</status>
      <modifiedWord/>
      <trackRevisions>false</trackRevisions>
    </reviewItem>
    <reviewItem>
      <errorID>ffefe0c8-df38-410b-a456-5fce6dd99f5c</errorID>
      <errorWord>，</errorWord>
      <group>L1_Format</group>
      <groupName>格式问题</groupName>
      <ability>L2_HalfPunc</ability>
      <abilityName>全半角检查</abilityName>
      <candidateList>
        <item>, </item>
      </candidateList>
      <explain>文本全半角错误。</explain>
      <paraID>5CC8F7AE</paraID>
      <start>1</start>
      <end>2</end>
      <status>unmodified</status>
      <modifiedWord/>
      <trackRevisions>false</trackRevisions>
    </reviewItem>
    <reviewItem>
      <errorID>0db9d50c-5f20-4217-914e-5d3855299327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3D1266BB</paraID>
      <start>0</start>
      <end>2</end>
      <status>unmodified</status>
      <modifiedWord/>
      <trackRevisions>false</trackRevisions>
    </reviewItem>
    <reviewItem>
      <errorID>f81c3872-0a12-4cff-8c35-e0dad7e86c56</errorID>
      <errorWord>储存时</errorWord>
      <group>L1_Word</group>
      <groupName>字词问题</groupName>
      <ability>L2_Typo</ability>
      <abilityName>字词错误</abilityName>
      <candidateList>
        <item>储存室</item>
      </candidateList>
      <explain/>
      <paraID>71CE13F7</paraID>
      <start>41</start>
      <end>44</end>
      <status>unmodified</status>
      <modifiedWord/>
      <trackRevisions>false</trackRevisions>
    </reviewItem>
    <reviewItem>
      <errorID>2f6cf891-d8ae-43da-b13c-a47a46f014fd</errorID>
      <errorWord>裙脚</errorWord>
      <group>L1_Word</group>
      <groupName>字词问题</groupName>
      <ability>L2_Typo</ability>
      <abilityName>字词错误</abilityName>
      <candidateList>
        <item>裙角</item>
      </candidateList>
      <explain/>
      <paraID>207DC37A</paraID>
      <start>6</start>
      <end>8</end>
      <status>unmodified</status>
      <modifiedWord/>
      <trackRevisions>false</trackRevisions>
    </reviewItem>
    <reviewItem>
      <errorID>624b2b1c-26dc-4e6e-9e77-1394adbff7b6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5586FE3</paraID>
      <start>118</start>
      <end>119</end>
      <status>unmodified</status>
      <modifiedWord/>
      <trackRevisions>false</trackRevisions>
    </reviewItem>
    <reviewItem>
      <errorID>79c6ee3f-b4f3-498b-9c0e-5d790c98d0fa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5586FE3</paraID>
      <start>157</start>
      <end>158</end>
      <status>unmodified</status>
      <modifiedWord/>
      <trackRevisions>false</trackRevisions>
    </reviewItem>
    <reviewItem>
      <errorID>774cbc5f-73d2-47c4-b2da-14f08299f712</errorID>
      <errorWord>程</errorWord>
      <group>L1_Word</group>
      <groupName>字词问题</groupName>
      <ability>L2_Typo</ability>
      <abilityName>字词错误</abilityName>
      <candidateList>
        <item>程中</item>
      </candidateList>
      <explain/>
      <paraID>38B4191D</paraID>
      <start>8</start>
      <end>9</end>
      <status>unmodified</status>
      <modifiedWord/>
      <trackRevisions>false</trackRevisions>
    </reviewItem>
    <reviewItem>
      <errorID>b813ae07-f492-4559-bf93-5a1e747dbe84</errorID>
      <errorWord>按其</errorWord>
      <group>L1_Word</group>
      <groupName>字词问题</groupName>
      <ability>L2_Typo</ability>
      <abilityName>字词错误</abilityName>
      <candidateList>
        <item>按</item>
      </candidateList>
      <explain>（案）àn❶〈书〉考查；核对：有原文可～。❷（编者、作者等）加按语：编者～。</explain>
      <paraID>38B4191D</paraID>
      <start>27</start>
      <end>29</end>
      <status>unmodified</status>
      <modifiedWord/>
      <trackRevisions>false</trackRevisions>
    </reviewItem>
    <reviewItem>
      <errorID>5c242414-a4bd-4714-abe0-2dd2d1217045</errorID>
      <errorWord>接受</errorWord>
      <group>L1_Word</group>
      <groupName>字词问题</groupName>
      <ability>L2_Typo</ability>
      <abilityName>字词错误</abilityName>
      <candidateList>
        <item>接收</item>
      </candidateList>
      <explain>存在发音相同字词的误用。</explain>
      <paraID>783D28AB</paraID>
      <start>87</start>
      <end>89</end>
      <status>unmodified</status>
      <modifiedWord/>
      <trackRevisions>false</trackRevisions>
    </reviewItem>
    <reviewItem>
      <errorID>50fe0953-0649-46cd-8b9e-4098a455ae01</errorID>
      <errorWord>最小程度</errorWord>
      <group>L1_Word</group>
      <groupName>字词问题</groupName>
      <ability>L2_Typo</ability>
      <abilityName>字词错误</abilityName>
      <candidateList>
        <item>最低程度</item>
      </candidateList>
      <explain/>
      <paraID>28D506E0</paraID>
      <start>85</start>
      <end>89</end>
      <status>unmodified</status>
      <modifiedWord/>
      <trackRevisions>false</trackRevisions>
    </reviewItem>
    <reviewItem>
      <errorID>31a73189-821b-41ac-8cd4-9d760c863b68</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7AC1A7A8</paraID>
      <start>3</start>
      <end>4</end>
      <status>unmodified</status>
      <modifiedWord/>
      <trackRevisions>false</trackRevisions>
    </reviewItem>
    <reviewItem>
      <errorID>83d44544-305c-4bac-8775-79eb1e892851</errorID>
      <errorWord>以下的</errorWord>
      <group>L1_Word</group>
      <groupName>字词问题</groupName>
      <ability>L2_Typo</ability>
      <abilityName>字词错误</abilityName>
      <candidateList>
        <item>以下</item>
      </candidateList>
      <explain/>
      <paraID>7AC1A7A8</paraID>
      <start>40</start>
      <end>43</end>
      <status>unmodified</status>
      <modifiedWord/>
      <trackRevisions>false</trackRevisions>
    </reviewItem>
    <reviewItem>
      <errorID>7601261d-c2e6-4ffe-9a2b-d9df02269685</errorID>
      <errorWord>符合</errorWord>
      <group>L1_Word</group>
      <groupName>字词问题</groupName>
      <ability>L2_Typo</ability>
      <abilityName>字词错误</abilityName>
      <candidateList>
        <item>复合</item>
      </candidateList>
      <explain/>
      <paraID>36AE7036</paraID>
      <start>53</start>
      <end>55</end>
      <status>unmodified</status>
      <modifiedWord/>
      <trackRevisions>false</trackRevisions>
    </reviewItem>
    <reviewItem>
      <errorID>11e6798d-ff74-4f1a-a3f7-162f6eb06465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36BA4286</paraID>
      <start>94</start>
      <end>95</end>
      <status>unmodified</status>
      <modifiedWord/>
      <trackRevisions>false</trackRevisions>
    </reviewItem>
    <reviewItem>
      <errorID>e8d56635-d1e0-455a-b629-efb38537bc06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36BA4286</paraID>
      <start>133</start>
      <end>134</end>
      <status>unmodified</status>
      <modifiedWord/>
      <trackRevisions>false</trackRevisions>
    </reviewItem>
    <reviewItem>
      <errorID>cb9ed3c1-cf19-4288-b67b-d41952291741</errorID>
      <errorWord>混凝土防渗并</errorWord>
      <group>L1_Knowledge</group>
      <groupName>知识性问题</groupName>
      <ability>L2_Term</ability>
      <abilityName>专业术语</abilityName>
      <candidateList>
        <item>混凝土防渗墙</item>
      </candidateList>
      <explain/>
      <paraID>36BA4286</paraID>
      <start>236</start>
      <end>242</end>
      <status>unmodified</status>
      <modifiedWord/>
      <trackRevisions>false</trackRevisions>
    </reviewItem>
    <reviewItem>
      <errorID>0e3c1556-4f38-4440-817c-013e05e8f545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7DC5D32C</paraID>
      <start>0</start>
      <end>2</end>
      <status>unmodified</status>
      <modifiedWord/>
      <trackRevisions>false</trackRevisions>
    </reviewItem>
    <reviewItem>
      <errorID>a46b0bcc-7672-428c-a317-e077bd54f0fb</errorID>
      <errorWord>，…，</errorWord>
      <group>L1_Punc</group>
      <groupName>标点问题</groupName>
      <ability>L2_Punc</ability>
      <abilityName>标点符号检查</abilityName>
      <candidateList>
        <item>，</item>
      </candidateList>
      <explain/>
      <paraID>7976BD9C</paraID>
      <start>8</start>
      <end>11</end>
      <status>unmodified</status>
      <modifiedWord/>
      <trackRevisions>false</trackRevisions>
    </reviewItem>
    <reviewItem>
      <errorID>b1c708c2-7bd0-4a6c-8a80-65bad33e8011</errorID>
      <errorWord>，…，</errorWord>
      <group>L1_Punc</group>
      <groupName>标点问题</groupName>
      <ability>L2_Punc</ability>
      <abilityName>标点符号检查</abilityName>
      <candidateList>
        <item>，</item>
      </candidateList>
      <explain/>
      <paraID>315128B7</paraID>
      <start>5</start>
      <end>8</end>
      <status>unmodified</status>
      <modifiedWord/>
      <trackRevisions>false</trackRevisions>
    </reviewItem>
    <reviewItem>
      <errorID>8f461c9c-4ec7-471f-897d-d88b5659d386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5B0B51B3</paraID>
      <start>0</start>
      <end>2</end>
      <status>unmodified</status>
      <modifiedWord/>
      <trackRevisions>false</trackRevisions>
    </reviewItem>
    <reviewItem>
      <errorID>51ab5991-7987-4206-aefe-cf45b1b1c877</errorID>
      <errorWord>70~75%</errorWord>
      <group>L1_Knowledge</group>
      <groupName>知识性问题</groupName>
      <ability>L2_Knowledge</ability>
      <abilityName>其他知识</abilityName>
      <candidateList>
        <item>70%～75%</item>
      </candidateList>
      <explain>1. “70~75%”中的单位“%”仅出现在后一个数字上，容易引起歧义；根据《现代汉语标点符号数字用法规范手册》，数字表示范围两边需要使用统一的格式。2. 根据标点国标 4.13 中的规则，数字、时间或地域连接符应使用（视觉上更长的）“—”或“～”。</explain>
      <paraID>1713CFAB</paraID>
      <start>15</start>
      <end>28</end>
      <status>modified</status>
      <modifiedWord>70%～75%</modifiedWord>
      <trackRevisions>true</trackRevisions>
    </reviewItem>
    <reviewItem>
      <errorID>abf40ade-be9e-44f3-9630-33789f4710ee</errorID>
      <errorWord>30~40%</errorWord>
      <group>L1_Knowledge</group>
      <groupName>知识性问题</groupName>
      <ability>L2_Knowledge</ability>
      <abilityName>其他知识</abilityName>
      <candidateList>
        <item>30%～40%</item>
      </candidateList>
      <explain>1. “30~40%”中的单位“%”仅出现在后一个数字上，容易引起歧义；根据《现代汉语标点符号数字用法规范手册》，数字表示范围两边需要使用统一的格式。2. 根据标点国标 4.13 中的规则，数字、时间或地域连接符应使用（视觉上更长的）“—”或“～”。</explain>
      <paraID>1713CFAB</paraID>
      <start>35</start>
      <end>48</end>
      <status>modified</status>
      <modifiedWord>30%～40%</modifiedWord>
      <trackRevisions>true</trackRevisions>
    </reviewItem>
    <reviewItem>
      <errorID>bc3a2422-7db5-4f73-af24-268b578d26b7</errorID>
      <errorWord>50~60%</errorWord>
      <group>L1_Knowledge</group>
      <groupName>知识性问题</groupName>
      <ability>L2_Knowledge</ability>
      <abilityName>其他知识</abilityName>
      <candidateList>
        <item>50%～60%</item>
      </candidateList>
      <explain>1. “50~60%”中的单位“%”仅出现在后一个数字上，容易引起歧义；根据《现代汉语标点符号数字用法规范手册》，数字表示范围两边需要使用统一的格式。2. 根据标点国标 4.13 中的规则，数字、时间或地域连接符应使用（视觉上更长的）“—”或“～”。</explain>
      <paraID>77CB0BF7</paraID>
      <start>11</start>
      <end>24</end>
      <status>modified</status>
      <modifiedWord>50%～60%</modifiedWord>
      <trackRevisions>true</trackRevisions>
    </reviewItem>
    <reviewItem>
      <errorID>d9670618-4ea9-4139-af0d-adcfc5ac7f27</errorID>
      <errorWord>20~30%</errorWord>
      <group>L1_Knowledge</group>
      <groupName>知识性问题</groupName>
      <ability>L2_Knowledge</ability>
      <abilityName>其他知识</abilityName>
      <candidateList>
        <item>20%～30%</item>
      </candidateList>
      <explain>1. “20~30%”中的单位“%”仅出现在后一个数字上，容易引起歧义；根据《现代汉语标点符号数字用法规范手册》，数字表示范围两边需要使用统一的格式。2. 根据标点国标 4.13 中的规则，数字、时间或地域连接符应使用（视觉上更长的）“—”或“～”。</explain>
      <paraID>77CB0BF7</paraID>
      <start>28</start>
      <end>41</end>
      <status>modified</status>
      <modifiedWord>20%～30%</modifiedWord>
      <trackRevisions>true</trackRevisions>
    </reviewItem>
    <reviewItem>
      <errorID>4ae8ec22-efdf-42ad-bca9-34676aa5d590</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77CB0BF7</paraID>
      <start>45</start>
      <end>58</end>
      <status>modified</status>
      <modifiedWord>10%～20%</modifiedWord>
      <trackRevisions>true</trackRevisions>
    </reviewItem>
    <reviewItem>
      <errorID>291f9091-31ea-4698-9299-d5758c23e9d1</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77CB0BF7</paraID>
      <start>62</start>
      <end>73</end>
      <status>modified</status>
      <modifiedWord>5%～10%</modifiedWord>
      <trackRevisions>true</trackRevisions>
    </reviewItem>
    <reviewItem>
      <errorID>2cac3d72-e4fc-4dce-a921-69566431df5b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6F86F152</paraID>
      <start>59</start>
      <end>60</end>
      <status>unmodified</status>
      <modifiedWord/>
      <trackRevisions>false</trackRevisions>
    </reviewItem>
    <reviewItem>
      <errorID>7bbe5fc7-13b7-4f8c-8552-8301785b8e9c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55BA4A42</paraID>
      <start>0</start>
      <end>2</end>
      <status>unmodified</status>
      <modifiedWord/>
      <trackRevisions>false</trackRevisions>
    </reviewItem>
    <reviewItem>
      <errorID>7646e647-5ebd-4422-a26d-b213314a1cf4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346D912B</paraID>
      <start>0</start>
      <end>2</end>
      <status>unmodified</status>
      <modifiedWord/>
      <trackRevisions>false</trackRevisions>
    </reviewItem>
    <reviewItem>
      <errorID>f305d606-81c9-41fd-b5bf-989327e2457a</errorID>
      <errorWord>(</errorWord>
      <group>L1_Format</group>
      <groupName>格式问题</groupName>
      <ability>L2_HalfPunc</ability>
      <abilityName>全半角检查</abilityName>
      <candidateList>
        <item>（</item>
      </candidateList>
      <explain>文本全半角错误。</explain>
      <paraID>4FD3F56C</paraID>
      <start>33</start>
      <end>34</end>
      <status>unmodified</status>
      <modifiedWord/>
      <trackRevisions>false</trackRevisions>
    </reviewItem>
    <reviewItem>
      <errorID>26a00e3e-bc20-45f3-accd-8f2165a5e02d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4FD3F56C</paraID>
      <start>41</start>
      <end>42</end>
      <status>unmodified</status>
      <modifiedWord/>
      <trackRevisions>false</trackRevisions>
    </reviewItem>
    <reviewItem>
      <errorID>6605dfe4-5303-417b-8147-e978dd07b267</errorID>
      <errorWord>(</errorWord>
      <group>L1_Format</group>
      <groupName>格式问题</groupName>
      <ability>L2_HalfPunc</ability>
      <abilityName>全半角检查</abilityName>
      <candidateList>
        <item>（</item>
      </candidateList>
      <explain>文本全半角错误。</explain>
      <paraID>4FD3F56C</paraID>
      <start>95</start>
      <end>96</end>
      <status>unmodified</status>
      <modifiedWord/>
      <trackRevisions>false</trackRevisions>
    </reviewItem>
    <reviewItem>
      <errorID>84b8c71a-f559-44ca-baff-4cfedc7d17e7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4FD3F56C</paraID>
      <start>103</start>
      <end>104</end>
      <status>unmodified</status>
      <modifiedWord/>
      <trackRevisions>false</trackRevisions>
    </reviewItem>
    <reviewItem>
      <errorID>a3f6fd62-1f47-4486-864c-c484203ca24f</errorID>
      <errorWord>置</errorWord>
      <group>L1_Word</group>
      <groupName>字词问题</groupName>
      <ability>L2_Typo</ability>
      <abilityName>字词错误</abilityName>
      <candidateList>
        <item>置在</item>
      </candidateList>
      <explain/>
      <paraID>11ADD619</paraID>
      <start>26</start>
      <end>27</end>
      <status>unmodified</status>
      <modifiedWord/>
      <trackRevisions>false</trackRevisions>
    </reviewItem>
    <reviewItem>
      <errorID>b097e829-3d0d-44f4-9c8e-26159a1fc9c6</errorID>
      <errorWord>下</errorWord>
      <group>L1_Word</group>
      <groupName>字词问题</groupName>
      <ability>L2_Typo</ability>
      <abilityName>字词错误</abilityName>
      <candidateList>
        <item>的</item>
      </candidateList>
      <explain>存在字形相近字词的误用。</explain>
      <paraID> A2C2F8A</paraID>
      <start>37</start>
      <end>38</end>
      <status>unmodified</status>
      <modifiedWord/>
      <trackRevisions>false</trackRevisions>
    </reviewItem>
    <reviewItem>
      <errorID>c3cb3738-0f1d-4414-a9c7-e0bac2c223d5</errorID>
      <errorWord>(</errorWord>
      <group>L1_Format</group>
      <groupName>格式问题</groupName>
      <ability>L2_HalfPunc</ability>
      <abilityName>全半角检查</abilityName>
      <candidateList>
        <item>（</item>
      </candidateList>
      <explain>文本全半角错误。</explain>
      <paraID>455CF5D3</paraID>
      <start>32</start>
      <end>33</end>
      <status>unmodified</status>
      <modifiedWord/>
      <trackRevisions>false</trackRevisions>
    </reviewItem>
    <reviewItem>
      <errorID>1c7e9bc3-642f-4281-a39e-87c0e444453f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455CF5D3</paraID>
      <start>40</start>
      <end>41</end>
      <status>unmodified</status>
      <modifiedWord/>
      <trackRevisions>false</trackRevisions>
    </reviewItem>
    <reviewItem>
      <errorID>e384da4f-c6e7-49d7-9722-26aca2349f13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E32E7B1</paraID>
      <start>0</start>
      <end>2</end>
      <status>unmodified</status>
      <modifiedWord/>
      <trackRevisions>false</trackRevisions>
    </reviewItem>
    <reviewItem>
      <errorID>3bc5345e-0657-4713-a577-72db09890e11</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4408766</paraID>
      <start>57</start>
      <end>58</end>
      <status>unmodified</status>
      <modifiedWord/>
      <trackRevisions>false</trackRevisions>
    </reviewItem>
    <reviewItem>
      <errorID>9f0d0518-db12-4de8-878e-c626a85747ad</errorID>
      <errorWord>接收</errorWord>
      <group>L1_Word</group>
      <groupName>字词问题</groupName>
      <ability>L2_Typo</ability>
      <abilityName>字词错误</abilityName>
      <candidateList>
        <item>接受</item>
      </candidateList>
      <explain>〈动〉❶收取（给予的东西）：～礼品｜～捐款。❷对事物容纳而不拒绝：～任务｜～考验｜～教训｜虚心～批评。</explain>
      <paraID> 4408766</paraID>
      <start>155</start>
      <end>159</end>
      <status>modified</status>
      <modifiedWord>接受</modifiedWord>
      <trackRevisions>true</trackRevisions>
    </reviewItem>
    <reviewItem>
      <errorID>8022a5de-a1a3-487d-aa43-1b8d65a46b60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72F55EF4</paraID>
      <start>0</start>
      <end>2</end>
      <status>unmodified</status>
      <modifiedWord/>
      <trackRevisions>false</trackRevisions>
    </reviewItem>
    <reviewItem>
      <errorID>7ab047a4-7889-458f-a3c0-c68d6690f247</errorID>
      <errorWord>效</errorWord>
      <group>L1_Word</group>
      <groupName>字词问题</groupName>
      <ability>L2_Typo</ability>
      <abilityName>字词错误</abilityName>
      <candidateList>
        <item>效的</item>
      </candidateList>
      <explain/>
      <paraID>38C9F77F</paraID>
      <start>74</start>
      <end>75</end>
      <status>unmodified</status>
      <modifiedWord/>
      <trackRevisions>false</trackRevisions>
    </reviewItem>
    <reviewItem>
      <errorID>481edb99-b20d-48fe-a5c0-0a003265e5ec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45EA8859</paraID>
      <start>0</start>
      <end>2</end>
      <status>unmodified</status>
      <modifiedWord/>
      <trackRevisions>false</trackRevisions>
    </reviewItem>
    <reviewItem>
      <errorID>3fd3f01a-7c11-436c-918c-bcc126e4d888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74248678</paraID>
      <start>0</start>
      <end>2</end>
      <status>unmodified</status>
      <modifiedWord/>
      <trackRevisions>false</trackRevisions>
    </reviewItem>
    <reviewItem>
      <errorID>1b86759f-b9b4-4399-89dd-279e623564f0</errorID>
      <errorWord>境境</errorWord>
      <group>L1_Word</group>
      <groupName>字词问题</groupName>
      <ability>L2_Typo</ability>
      <abilityName>字词错误</abilityName>
      <candidateList>
        <item>境</item>
      </candidateList>
      <explain/>
      <paraID>61CB9F36</paraID>
      <start>85</start>
      <end>87</end>
      <status>unmodified</status>
      <modifiedWord/>
      <trackRevisions>false</trackRevisions>
    </reviewItem>
    <reviewItem>
      <errorID>c4fbe93a-7490-44e4-b835-fc637294f89f</errorID>
      <errorWord>黏土</errorWord>
      <group>L1_Word</group>
      <groupName>字词问题</groupName>
      <ability>L2_Typo</ability>
      <abilityName>字词错误</abilityName>
      <candidateList>
        <item>粘土</item>
      </candidateList>
      <explain/>
      <paraID>7FEF9A5E</paraID>
      <start>49</start>
      <end>51</end>
      <status>unmodified</status>
      <modifiedWord/>
      <trackRevisions>false</trackRevisions>
    </reviewItem>
    <reviewItem>
      <errorID>99d27f06-064d-43a5-b686-c23c52ac781d</errorID>
      <errorWord>等等</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6D29C2C0</paraID>
      <start>40</start>
      <end>42</end>
      <status>unmodified</status>
      <modifiedWord/>
      <trackRevisions>false</trackRevisions>
    </reviewItem>
    <reviewItem>
      <errorID>7450f1b4-5554-48c9-a5f5-3d850326f630</errorID>
      <errorWord>其它涉及</errorWord>
      <group>L1_Word</group>
      <groupName>字词问题</groupName>
      <ability>L2_Alias</ability>
      <abilityName>也作/曾用词</abilityName>
      <candidateList>
        <item>其他涉及</item>
      </candidateList>
      <explain>词汇[其它涉及]为不规范表述或旧称，其规范书面表述为[其他涉及]。</explain>
      <paraID>20F15900</paraID>
      <start>15</start>
      <end>19</end>
      <status>unmodified</status>
      <modifiedWord/>
      <trackRevisions>false</trackRevisions>
    </reviewItem>
    <reviewItem>
      <errorID>2aa25500-46de-4bf4-92de-389abce0309d</errorID>
      <errorWord>再行</errorWord>
      <group>L1_Word</group>
      <groupName>字词问题</groupName>
      <ability>L2_Typo</ability>
      <abilityName>字词错误</abilityName>
      <candidateList>
        <item>再</item>
      </candidateList>
      <explain>❶〈副〉a）表示又一次（有时专指第二次）：～版｜～接～厉｜一而～，～而三｜学习，学习，～学习。注意表示已经重复的动作用“又”，表示将要重复的动作用“再”，如：这部书前几天我又读了一遍，以后有时间我还要～读一遍。b）表示更加：高点儿，～高点儿｜～多一点儿就好了。c）表示如果继续下去就会怎样：学习～不努力，就得留级了｜离开车只剩半个钟头了，～不走可赶不上了。</explain>
      <paraID>20F15900</paraID>
      <start>76</start>
      <end>78</end>
      <status>unmodified</status>
      <modifiedWord/>
      <trackRevisions>false</trackRevisions>
    </reviewItem>
    <reviewItem>
      <errorID>8e215b55-58f9-418c-8006-ab3e34a8c6fa</errorID>
      <errorWord>》</errorWord>
      <group>L1_Word</group>
      <groupName>字词问题</groupName>
      <ability>L2_Typo</ability>
      <abilityName>字词错误</abilityName>
      <candidateList>
        <item>》等</item>
      </candidateList>
      <explain/>
      <paraID>7B211365</paraID>
      <start>49</start>
      <end>50</end>
      <status>unmodified</status>
      <modifiedWord/>
      <trackRevisions>false</trackRevisions>
    </reviewItem>
    <reviewItem>
      <errorID>38aa2807-1104-40d1-891f-87d0a6ef1248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155BD476</paraID>
      <start>6</start>
      <end>7</end>
      <status>unmodified</status>
      <modifiedWord/>
      <trackRevisions>false</trackRevisions>
    </reviewItem>
    <reviewItem>
      <errorID>8079ec29-c2e5-492c-9808-510b1a976250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14CDEC9</paraID>
      <start>6</start>
      <end>7</end>
      <status>unmodified</status>
      <modifiedWord/>
      <trackRevisions>false</trackRevisions>
    </reviewItem>
    <reviewItem>
      <errorID>8d8ea283-c676-4d3e-ac53-2e4f7bf75acb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7B4F4ED1</paraID>
      <start>7</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FA2248-CCB2-43B9-8EB8-8F5D4F2F60B2}">
  <ds:schemaRefs/>
</ds:datastoreItem>
</file>

<file path=customXml/itemProps3.xml><?xml version="1.0" encoding="utf-8"?>
<ds:datastoreItem xmlns:ds="http://schemas.openxmlformats.org/officeDocument/2006/customXml" ds:itemID="{e43715a2-d6e9-4df7-a1d5-4f3462f8ecc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111</Pages>
  <Words>130</Words>
  <Characters>153</Characters>
  <Lines>488</Lines>
  <Paragraphs>137</Paragraphs>
  <TotalTime>4</TotalTime>
  <ScaleCrop>false</ScaleCrop>
  <LinksUpToDate>false</LinksUpToDate>
  <CharactersWithSpaces>153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2024-12-25T14:48:00Z</dcterms:created>
  <dc:creator>微软用户</dc:creator>
  <cp:lastModifiedBy>qzuser</cp:lastModifiedBy>
  <cp:lastPrinted>2024-12-18T16:06:00Z</cp:lastPrinted>
  <dcterms:modified xsi:type="dcterms:W3CDTF">2026-09-14T07:32:59Z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eyJoZGlkIjoiYjk4MTdlNWRmMDY1YmUzMzBkNjM5MTYwYTA5NDliYmQiLCJ1c2VySWQiOiIzMDkxMDk3NTcifQ==</vt:lpwstr>
  </property>
  <property fmtid="{D5CDD505-2E9C-101B-9397-08002B2CF9AE}" pid="4" name="ICV">
    <vt:lpwstr>C3C2C03772E64B32B37021FABD9AAE7F_13</vt:lpwstr>
  </property>
</Properties>
</file>