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1CC330">
      <w:pPr>
        <w:spacing w:line="200" w:lineRule="exact"/>
        <w:jc w:val="right"/>
        <w:rPr>
          <w:rFonts w:ascii="华文楷体" w:hAnsi="华文楷体" w:eastAsia="华文楷体"/>
          <w:b/>
          <w:position w:val="18"/>
          <w:sz w:val="28"/>
          <w:szCs w:val="28"/>
        </w:rPr>
      </w:pPr>
    </w:p>
    <w:p w14:paraId="2F41104D">
      <w:pPr>
        <w:spacing w:line="200" w:lineRule="exact"/>
        <w:jc w:val="right"/>
        <w:rPr>
          <w:rFonts w:ascii="华文楷体" w:hAnsi="华文楷体" w:eastAsia="华文楷体"/>
          <w:b/>
          <w:position w:val="18"/>
          <w:sz w:val="28"/>
          <w:szCs w:val="28"/>
        </w:rPr>
      </w:pPr>
    </w:p>
    <w:p w14:paraId="313936D6">
      <w:pPr>
        <w:spacing w:line="200" w:lineRule="exact"/>
        <w:jc w:val="right"/>
        <w:rPr>
          <w:rFonts w:ascii="华文楷体" w:hAnsi="华文楷体" w:eastAsia="华文楷体"/>
          <w:b/>
          <w:position w:val="18"/>
          <w:sz w:val="28"/>
          <w:szCs w:val="28"/>
        </w:rPr>
      </w:pPr>
    </w:p>
    <w:p w14:paraId="73E727CE">
      <w:pPr>
        <w:spacing w:line="200" w:lineRule="exact"/>
        <w:jc w:val="right"/>
        <w:rPr>
          <w:rFonts w:ascii="华文楷体" w:hAnsi="华文楷体" w:eastAsia="华文楷体"/>
          <w:b/>
          <w:position w:val="18"/>
          <w:sz w:val="28"/>
          <w:szCs w:val="28"/>
        </w:rPr>
      </w:pPr>
    </w:p>
    <w:p w14:paraId="294F6E07">
      <w:pPr>
        <w:pStyle w:val="4"/>
        <w:spacing w:line="550" w:lineRule="exact"/>
        <w:rPr>
          <w:rFonts w:ascii="微软雅黑" w:hAnsi="仿宋" w:eastAsia="微软雅黑"/>
          <w:b w:val="0"/>
          <w:szCs w:val="44"/>
        </w:rPr>
      </w:pPr>
    </w:p>
    <w:p w14:paraId="35AF07B0">
      <w:pPr>
        <w:pStyle w:val="4"/>
        <w:spacing w:line="550" w:lineRule="exact"/>
        <w:rPr>
          <w:rFonts w:ascii="微软雅黑" w:hAnsi="仿宋" w:eastAsia="微软雅黑"/>
          <w:b w:val="0"/>
          <w:szCs w:val="44"/>
        </w:rPr>
      </w:pPr>
      <w:bookmarkStart w:id="0" w:name="_GoBack"/>
      <w:bookmarkEnd w:id="0"/>
    </w:p>
    <w:p w14:paraId="1DC2E1B9">
      <w:pPr>
        <w:pStyle w:val="4"/>
        <w:spacing w:line="550" w:lineRule="exact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</w:p>
    <w:p w14:paraId="0210C1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jc w:val="center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凤环审复〔2026〕23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号</w:t>
      </w:r>
    </w:p>
    <w:p w14:paraId="0856C07A">
      <w:pPr>
        <w:keepNext w:val="0"/>
        <w:keepLines w:val="0"/>
        <w:pageBreakBefore w:val="0"/>
        <w:kinsoku/>
        <w:overflowPunct/>
        <w:bidi w:val="0"/>
        <w:snapToGrid w:val="0"/>
        <w:spacing w:line="560" w:lineRule="exact"/>
        <w:ind w:left="0"/>
        <w:jc w:val="both"/>
        <w:textAlignment w:val="auto"/>
        <w:rPr>
          <w:rFonts w:hint="default" w:ascii="Times New Roman" w:hAnsi="Times New Roman" w:eastAsia="Arial Unicode MS" w:cs="Times New Roman"/>
          <w:color w:val="auto"/>
          <w:sz w:val="44"/>
          <w:szCs w:val="44"/>
        </w:rPr>
      </w:pPr>
    </w:p>
    <w:p w14:paraId="0FC01236">
      <w:pPr>
        <w:keepNext w:val="0"/>
        <w:keepLines w:val="0"/>
        <w:pageBreakBefore w:val="0"/>
        <w:kinsoku/>
        <w:overflowPunct/>
        <w:bidi w:val="0"/>
        <w:snapToGrid w:val="0"/>
        <w:spacing w:line="560" w:lineRule="exact"/>
        <w:ind w:left="0"/>
        <w:jc w:val="center"/>
        <w:textAlignment w:val="auto"/>
        <w:rPr>
          <w:rFonts w:hint="eastAsia" w:ascii="方正公文小标宋" w:hAnsi="方正公文小标宋" w:eastAsia="方正公文小标宋" w:cs="方正公文小标宋"/>
          <w:color w:val="auto"/>
          <w:sz w:val="44"/>
          <w:szCs w:val="44"/>
        </w:rPr>
      </w:pPr>
    </w:p>
    <w:p w14:paraId="676EEC0F">
      <w:pPr>
        <w:keepNext w:val="0"/>
        <w:keepLines w:val="0"/>
        <w:pageBreakBefore w:val="0"/>
        <w:kinsoku/>
        <w:overflowPunct/>
        <w:bidi w:val="0"/>
        <w:snapToGrid w:val="0"/>
        <w:spacing w:line="56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eastAsia="zh-CN"/>
        </w:rPr>
        <w:t>张集煤矿地面水文观测孔补套工程项目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生态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</w:rPr>
        <w:t>环境影响报告表的批复</w:t>
      </w:r>
    </w:p>
    <w:p w14:paraId="37BD0DF8">
      <w:pPr>
        <w:keepNext w:val="0"/>
        <w:keepLines w:val="0"/>
        <w:pageBreakBefore w:val="0"/>
        <w:kinsoku/>
        <w:overflowPunct/>
        <w:bidi w:val="0"/>
        <w:spacing w:line="560" w:lineRule="exact"/>
        <w:ind w:left="0"/>
        <w:jc w:val="center"/>
        <w:textAlignment w:val="auto"/>
        <w:rPr>
          <w:rFonts w:hint="default" w:ascii="Times New Roman" w:hAnsi="Times New Roman" w:eastAsia="Arial Unicode MS" w:cs="Times New Roman"/>
          <w:bCs/>
          <w:sz w:val="44"/>
          <w:szCs w:val="44"/>
        </w:rPr>
      </w:pPr>
    </w:p>
    <w:p w14:paraId="57879EF1">
      <w:pPr>
        <w:keepNext w:val="0"/>
        <w:keepLines w:val="0"/>
        <w:pageBreakBefore w:val="0"/>
        <w:widowControl w:val="0"/>
        <w:kinsoku/>
        <w:overflowPunct/>
        <w:autoSpaceDE/>
        <w:autoSpaceDN/>
        <w:bidi w:val="0"/>
        <w:adjustRightInd/>
        <w:snapToGrid/>
        <w:spacing w:line="560" w:lineRule="exact"/>
        <w:ind w:left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淮南矿业（集团）有限责任公司张集煤矿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 xml:space="preserve"> ：</w:t>
      </w:r>
    </w:p>
    <w:p w14:paraId="6B9D97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你公司报送《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张集煤矿地面水文观测孔补套工程项目生态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环境影响报告表》（以下简称《报告表》）收悉，经审查研究后批复如下：</w:t>
      </w:r>
    </w:p>
    <w:p w14:paraId="4F66A5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在全面落实环评文件提出的各项污染防治措施、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生态保护措施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和风险防范措施的前提下，结合专家审查意见，原则同意该项目按照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安徽思科环境系统工程技术有限公司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编制的《报告表》及本审批意见要求进行建设。</w:t>
      </w:r>
    </w:p>
    <w:p w14:paraId="48382545"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560" w:lineRule="exact"/>
        <w:ind w:left="0"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一、项目概况</w:t>
      </w:r>
    </w:p>
    <w:p w14:paraId="7E5295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张集煤矿地面水文观测孔补套工程项目位于凤台县岳张集镇，项目总投资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1630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万元，其中环保投资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万元，占总投资的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%。项目建设规模及内容包括：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本工程共设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计2个施工场地，设计水文孔9个，钻探总工程量9316m，1#场地设计5个水文长观孔(分别命名为东一O2、东一C3Ⅲ、东一C3Ⅱ、东一C3Ⅰ、东一SY孔），设计钻探工程量4945m，设计抽水试验5次；2#场地设计水4个文孔(分别命名为西三下O2、西三下C3Ⅲ、西三下C3Ⅰ、西三下SY孔）设计钻探工程量4371m，设计抽水试验4次。工程施工内容包括钻探、取芯、测井、抽水试验、土工试验、技术分析和总结等。</w:t>
      </w:r>
    </w:p>
    <w:p w14:paraId="3B5AB3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本项目已经淮南市凤台县发展和改革委员会备案，项目代码：2604-340421-04-05-767944。未经同意不得擅自改变建设内容、工艺、规模和选址等。若工程建设发生重大变动，必须严格依照《中华人民共和国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生态环境法典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》的有关规定办理相关手续。</w:t>
      </w:r>
    </w:p>
    <w:p w14:paraId="6344ED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污染防治措施要求</w:t>
      </w:r>
    </w:p>
    <w:p w14:paraId="2E2E76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为保护区域环境质量不因本项目建设而降低，项目设计、建设和运行必须做到以下要求：</w:t>
      </w:r>
    </w:p>
    <w:p w14:paraId="52F40F0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大气污染控制措施。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项目施工期严格按照《淮南市打赢蓝天保卫战三年行动计划实施方案》、《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淮南市扬尘污染防治条例</w:t>
      </w:r>
      <w:r>
        <w:rPr>
          <w:rFonts w:hint="eastAsia" w:ascii="仿宋_GB2312" w:hAnsi="仿宋_GB2312" w:eastAsia="仿宋_GB2312" w:cs="仿宋_GB2312"/>
          <w:sz w:val="32"/>
          <w:szCs w:val="32"/>
        </w:rPr>
        <w:t>》和《淮南市建设工程文明施工管理办法》要求做好扬尘污染防治措施，落实“六个百分百”。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施工扬尘采取洒水抑制措施；施工物料输送及堆场采取篷布遮盖，对施工车辆和机械加强管理，选用环保型施工机械设备，减少机械尾气对周边环境的影响。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施工期扬尘执行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安徽省地方标准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《施工场地颗粒物排放标准》（DB34/4811—2024）中的限值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要求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项目运营期无废气产生。</w:t>
      </w:r>
    </w:p>
    <w:p w14:paraId="0D5A89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（二）水污染防治措施。</w:t>
      </w:r>
      <w:r>
        <w:rPr>
          <w:rFonts w:hint="eastAsia" w:ascii="仿宋_GB2312" w:hAnsi="仿宋_GB2312" w:eastAsia="仿宋_GB2312" w:cs="仿宋_GB2312"/>
          <w:sz w:val="32"/>
          <w:szCs w:val="32"/>
        </w:rPr>
        <w:t>职工生活污水经临时建设的化粪池预处理后，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定期用吸污车运送至张集煤矿生活污水处理站处理</w:t>
      </w:r>
      <w:r>
        <w:rPr>
          <w:rFonts w:hint="eastAsia" w:ascii="仿宋_GB2312" w:hAnsi="仿宋_GB2312" w:eastAsia="仿宋_GB2312" w:cs="仿宋_GB2312"/>
          <w:sz w:val="32"/>
          <w:szCs w:val="32"/>
        </w:rPr>
        <w:t>。钻井泥浆经振动筛、除砂器处理后大部分可循环利用，少部分因性能不合格而会被废弃进入废浆池中作为固废处置，无钻井废水产生。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车辆冲洗废水经沉淀池处理后循环利用。</w:t>
      </w:r>
    </w:p>
    <w:p w14:paraId="1AAE43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（三）噪声污染防治措施。</w:t>
      </w:r>
      <w:r>
        <w:rPr>
          <w:rFonts w:hint="eastAsia" w:ascii="仿宋_GB2312" w:hAnsi="仿宋_GB2312" w:eastAsia="仿宋_GB2312" w:cs="仿宋_GB2312"/>
          <w:sz w:val="32"/>
          <w:szCs w:val="32"/>
        </w:rPr>
        <w:t>合理安排施工时间，选用低噪设备，车辆限速禁鸣，设备进行定期保养和维护，确保其处于良好工作状态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C9979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（四）固废污染防治措施。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生活垃圾集中收集后交由当地环卫部门统一清运处理。废泥浆暂存于废浆池中，施工完成后交第三方公司综合利用。振动筛、除砂器筛出的岩屑暂存于场地砂池中，自然干化交第三方公司综合利用。废包装袋交由第三方公司进行综合利用。施工期产生的废润滑油、废含油抹布手套等暂存于施工现场的危废暂存间，定期交有资质单位处置。</w:t>
      </w:r>
    </w:p>
    <w:p w14:paraId="584560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（五）生态环境保护措施。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项目施工</w:t>
      </w:r>
      <w:r>
        <w:rPr>
          <w:rFonts w:hint="eastAsia" w:ascii="仿宋_GB2312" w:hAnsi="仿宋_GB2312" w:eastAsia="仿宋_GB2312" w:cs="仿宋_GB2312"/>
          <w:sz w:val="32"/>
          <w:szCs w:val="32"/>
        </w:rPr>
        <w:t>严格控制施工活动范围，减少项目占地影响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施工时做好水土保持防护措施，以防雨水冲刷造成水土流失。施工结束后，按照已批复的土地复垦方案进行土地复垦，恢复场地原状。</w:t>
      </w:r>
    </w:p>
    <w:p w14:paraId="3E9C30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（六）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项目应加强环境保护管理，落实环境保护的各项应急措施及制度，加强风险管理，有关本项目环境影响减缓措施，按《报告表》要求及专家函审意见认真落实。</w:t>
      </w:r>
    </w:p>
    <w:p w14:paraId="4EC9F9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三、环境管理要求</w:t>
      </w:r>
    </w:p>
    <w:p w14:paraId="567120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项目建设不得占用生态红线，需符合国土规划、安全、消防等部门要求。项目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建设过程中应严格执行环境保护“三同时”制度。项目竣工后，建设单位应当按照国务院生态环境行政主管部门规定的标准和程序，对配套建设的环境保护设施进行验收。</w:t>
      </w:r>
    </w:p>
    <w:p w14:paraId="440A0C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四、环评执行标准</w:t>
      </w:r>
    </w:p>
    <w:p w14:paraId="085332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1.环境空气及废气排放</w:t>
      </w:r>
    </w:p>
    <w:p w14:paraId="136555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环境空气质量执行《环境空气质量标准》（GB3095-20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 w:val="32"/>
          <w:szCs w:val="32"/>
        </w:rPr>
        <w:t>）中二级标准。</w:t>
      </w:r>
    </w:p>
    <w:p w14:paraId="5F28741A">
      <w:pPr>
        <w:widowControl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施工扬尘等无组织粉尘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执行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安徽省地方标准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《施工场地颗粒物排放标准》（DB34/4811—2024）中厂界大气污染物无组织监控浓度限值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要求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49F74E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2.地表水和污水排放</w:t>
      </w:r>
    </w:p>
    <w:p w14:paraId="58953E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项目所在区域主要地表水体为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西淝河</w:t>
      </w:r>
      <w:r>
        <w:rPr>
          <w:rFonts w:hint="eastAsia" w:ascii="仿宋_GB2312" w:hAnsi="仿宋_GB2312" w:eastAsia="仿宋_GB2312" w:cs="仿宋_GB2312"/>
          <w:sz w:val="32"/>
          <w:szCs w:val="32"/>
        </w:rPr>
        <w:t>，执行《地表水环境质量标准》（GB3838-2002）中的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Ⅲ</w:t>
      </w:r>
      <w:r>
        <w:rPr>
          <w:rFonts w:hint="eastAsia" w:ascii="仿宋_GB2312" w:hAnsi="仿宋_GB2312" w:eastAsia="仿宋_GB2312" w:cs="仿宋_GB2312"/>
          <w:sz w:val="32"/>
          <w:szCs w:val="32"/>
        </w:rPr>
        <w:t>类水质标准。</w:t>
      </w:r>
    </w:p>
    <w:p w14:paraId="72835E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项目施工期生产废水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循环</w:t>
      </w:r>
      <w:r>
        <w:rPr>
          <w:rFonts w:hint="eastAsia" w:ascii="仿宋_GB2312" w:hAnsi="仿宋_GB2312" w:eastAsia="仿宋_GB2312" w:cs="仿宋_GB2312"/>
          <w:sz w:val="32"/>
          <w:szCs w:val="32"/>
        </w:rPr>
        <w:t>利用不外排，施工期人员生活污水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排入张集煤矿生活污水处理站处理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3324C4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3.声环境及噪声排放</w:t>
      </w:r>
    </w:p>
    <w:p w14:paraId="41E771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360" w:lineRule="auto"/>
        <w:ind w:firstLine="624" w:firstLineChars="200"/>
        <w:rPr>
          <w:rFonts w:ascii="仿宋_GB2312" w:hAnsi="仿宋_GB2312" w:eastAsia="仿宋_GB2312" w:cs="仿宋_GB2312"/>
          <w:spacing w:val="-4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区域声环境执行《声环境质量标准》（GB3096-2008）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</w:rPr>
        <w:t>类标准。</w:t>
      </w:r>
    </w:p>
    <w:p w14:paraId="167BC1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项目施工期噪声执行《建筑施工噪声排放标准》（GB12523-20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sz w:val="32"/>
          <w:szCs w:val="32"/>
        </w:rPr>
        <w:t>）。</w:t>
      </w:r>
    </w:p>
    <w:p w14:paraId="48E11C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4.固体废弃物</w:t>
      </w:r>
    </w:p>
    <w:p w14:paraId="73ED8A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施工期强化固废在产生、收集、贮运各环节的管理，一般工业固废做到综合利用和及时清运，危险废物委托有资质的单位处置。一般工业固废贮存过程应满足相应防渗漏、防雨淋、防扬尘等环境保护要求。危险固废执行《危险废物贮存污染控制标准》（GB18597-2023）。</w:t>
      </w:r>
    </w:p>
    <w:p w14:paraId="67B5E3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如有环境功能区划调整、新标准制定实施等情况，按照要求执行新标准。</w:t>
      </w:r>
    </w:p>
    <w:tbl>
      <w:tblPr>
        <w:tblStyle w:val="14"/>
        <w:tblpPr w:leftFromText="180" w:rightFromText="180" w:vertAnchor="text" w:horzAnchor="page" w:tblpX="1570" w:tblpY="8308"/>
        <w:tblW w:w="97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04"/>
      </w:tblGrid>
      <w:tr w14:paraId="0F7D4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970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6D7FF6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rPr>
                <w:rFonts w:ascii="仿宋" w:hAnsi="仿宋" w:eastAsia="仿宋"/>
                <w:spacing w:val="-6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0"/>
                <w:sz w:val="28"/>
                <w:szCs w:val="28"/>
              </w:rPr>
              <w:t>抄送：</w:t>
            </w:r>
            <w:r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</w:rPr>
              <w:t>凤台生态环境保护综合行政执法大队，</w:t>
            </w:r>
            <w:r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  <w:lang w:eastAsia="zh-CN"/>
              </w:rPr>
              <w:t>安徽思科环境系统工程技术有限公司</w:t>
            </w:r>
            <w:r>
              <w:rPr>
                <w:rFonts w:hint="eastAsia" w:ascii="仿宋_GB2312" w:hAnsi="仿宋_GB2312" w:eastAsia="仿宋_GB2312" w:cs="仿宋_GB2312"/>
                <w:spacing w:val="0"/>
                <w:sz w:val="28"/>
                <w:szCs w:val="28"/>
              </w:rPr>
              <w:t>。</w:t>
            </w:r>
          </w:p>
        </w:tc>
      </w:tr>
      <w:tr w14:paraId="7C6A6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970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279B5F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/>
              <w:spacing w:line="56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  <w:t xml:space="preserve">淮南市凤台县生态环境分局         </w:t>
            </w: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  <w:t xml:space="preserve"> 202</w:t>
            </w: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  <w:t>月</w:t>
            </w: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  <w:lang w:val="en-US" w:eastAsia="zh-CN"/>
              </w:rPr>
              <w:t>28</w:t>
            </w:r>
            <w:r>
              <w:rPr>
                <w:rFonts w:hint="eastAsia" w:ascii="仿宋_GB2312" w:hAnsi="仿宋_GB2312" w:eastAsia="仿宋_GB2312" w:cs="仿宋_GB2312"/>
                <w:spacing w:val="-6"/>
                <w:sz w:val="28"/>
                <w:szCs w:val="28"/>
              </w:rPr>
              <w:t>日印发</w:t>
            </w:r>
          </w:p>
        </w:tc>
      </w:tr>
    </w:tbl>
    <w:p w14:paraId="4EF036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</w:t>
      </w:r>
      <w:r>
        <w:rPr>
          <w:rFonts w:hint="eastAsia" w:ascii="仿宋_GB2312" w:hAnsi="仿宋_GB2312" w:eastAsia="仿宋_GB2312" w:cs="仿宋_GB2312"/>
          <w:sz w:val="32"/>
          <w:szCs w:val="32"/>
        </w:rPr>
        <w:t>请凤台生态环境保护综合行政执法大队做好工程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施工期</w:t>
      </w:r>
      <w:r>
        <w:rPr>
          <w:rFonts w:hint="eastAsia" w:ascii="仿宋_GB2312" w:hAnsi="仿宋_GB2312" w:eastAsia="仿宋_GB2312" w:cs="仿宋_GB2312"/>
          <w:sz w:val="32"/>
          <w:szCs w:val="32"/>
        </w:rPr>
        <w:t>环保监管工作。</w:t>
      </w:r>
    </w:p>
    <w:p w14:paraId="1EA7EE23">
      <w:pPr>
        <w:pStyle w:val="9"/>
        <w:wordWrap w:val="0"/>
        <w:jc w:val="right"/>
        <w:rPr>
          <w:rFonts w:hint="default" w:eastAsia="仿宋_GB2312"/>
          <w:b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</w:p>
    <w:p w14:paraId="3BB447A6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rPr>
          <w:rFonts w:hint="default"/>
          <w:lang w:val="en-US" w:eastAsia="zh-CN"/>
        </w:rPr>
      </w:pPr>
    </w:p>
    <w:p w14:paraId="42EB3B26">
      <w:pPr>
        <w:rPr>
          <w:rFonts w:hint="default"/>
          <w:lang w:val="en-US" w:eastAsia="zh-CN"/>
        </w:rPr>
      </w:pPr>
    </w:p>
    <w:p w14:paraId="7BCCD368">
      <w:pPr>
        <w:rPr>
          <w:rFonts w:hint="default"/>
          <w:lang w:val="en-US" w:eastAsia="zh-CN"/>
        </w:rPr>
      </w:pPr>
    </w:p>
    <w:p w14:paraId="468A08CF">
      <w:pPr>
        <w:rPr>
          <w:rFonts w:hint="default"/>
          <w:lang w:val="en-US" w:eastAsia="zh-CN"/>
        </w:rPr>
      </w:pPr>
    </w:p>
    <w:p w14:paraId="414420C2">
      <w:pPr>
        <w:rPr>
          <w:rFonts w:hint="default"/>
          <w:lang w:val="en-US" w:eastAsia="zh-CN"/>
        </w:rPr>
      </w:pPr>
    </w:p>
    <w:p w14:paraId="79C4111A">
      <w:pPr>
        <w:bidi w:val="0"/>
        <w:rPr>
          <w:rFonts w:hint="default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p w14:paraId="39BC8B84">
      <w:pPr>
        <w:bidi w:val="0"/>
        <w:rPr>
          <w:rFonts w:hint="default"/>
          <w:lang w:val="en-US" w:eastAsia="zh-CN"/>
        </w:rPr>
      </w:pPr>
    </w:p>
    <w:p w14:paraId="4E3D8DC5">
      <w:pPr>
        <w:bidi w:val="0"/>
        <w:rPr>
          <w:rFonts w:hint="default"/>
          <w:lang w:val="en-US" w:eastAsia="zh-CN"/>
        </w:rPr>
      </w:pPr>
    </w:p>
    <w:p w14:paraId="0F4B0A82">
      <w:pPr>
        <w:bidi w:val="0"/>
        <w:rPr>
          <w:rFonts w:hint="default"/>
          <w:lang w:val="en-US" w:eastAsia="zh-CN"/>
        </w:rPr>
      </w:pPr>
    </w:p>
    <w:p w14:paraId="1E6EEF80">
      <w:pPr>
        <w:bidi w:val="0"/>
        <w:rPr>
          <w:rFonts w:hint="default"/>
          <w:lang w:val="en-US" w:eastAsia="zh-CN"/>
        </w:rPr>
      </w:pPr>
    </w:p>
    <w:p w14:paraId="4114EDEA">
      <w:pPr>
        <w:bidi w:val="0"/>
        <w:rPr>
          <w:rFonts w:hint="default"/>
          <w:lang w:val="en-US" w:eastAsia="zh-CN"/>
        </w:rPr>
      </w:pPr>
    </w:p>
    <w:p w14:paraId="75C8EC3A">
      <w:pPr>
        <w:bidi w:val="0"/>
        <w:rPr>
          <w:rFonts w:hint="default"/>
          <w:lang w:val="en-US" w:eastAsia="zh-CN"/>
        </w:rPr>
      </w:pPr>
    </w:p>
    <w:p w14:paraId="4C8CB775">
      <w:pPr>
        <w:bidi w:val="0"/>
        <w:rPr>
          <w:rFonts w:hint="default"/>
          <w:lang w:val="en-US" w:eastAsia="zh-CN"/>
        </w:rPr>
      </w:pPr>
    </w:p>
    <w:p w14:paraId="3A9217B0">
      <w:pPr>
        <w:bidi w:val="0"/>
        <w:rPr>
          <w:rFonts w:hint="default"/>
          <w:lang w:val="en-US" w:eastAsia="zh-CN"/>
        </w:rPr>
      </w:pPr>
    </w:p>
    <w:p w14:paraId="6960B563">
      <w:pPr>
        <w:bidi w:val="0"/>
        <w:rPr>
          <w:rFonts w:hint="default"/>
          <w:lang w:val="en-US" w:eastAsia="zh-CN"/>
        </w:rPr>
      </w:pPr>
    </w:p>
    <w:p w14:paraId="639C6ABB">
      <w:pPr>
        <w:bidi w:val="0"/>
        <w:rPr>
          <w:rFonts w:hint="default"/>
          <w:lang w:val="en-US" w:eastAsia="zh-CN"/>
        </w:rPr>
      </w:pPr>
    </w:p>
    <w:p w14:paraId="56FF027D">
      <w:pPr>
        <w:bidi w:val="0"/>
        <w:rPr>
          <w:rFonts w:hint="default"/>
          <w:lang w:val="en-US" w:eastAsia="zh-CN"/>
        </w:rPr>
      </w:pPr>
    </w:p>
    <w:p w14:paraId="4264EBB5">
      <w:pPr>
        <w:bidi w:val="0"/>
        <w:rPr>
          <w:rFonts w:hint="default"/>
          <w:lang w:val="en-US" w:eastAsia="zh-CN"/>
        </w:rPr>
      </w:pPr>
    </w:p>
    <w:p w14:paraId="28DF3165">
      <w:pPr>
        <w:tabs>
          <w:tab w:val="left" w:pos="3657"/>
        </w:tabs>
        <w:bidi w:val="0"/>
        <w:jc w:val="left"/>
        <w:rPr>
          <w:rFonts w:hint="default"/>
          <w:lang w:val="en-US" w:eastAsia="zh-CN"/>
        </w:rPr>
      </w:pPr>
    </w:p>
    <w:sectPr>
      <w:footerReference r:id="rId3" w:type="default"/>
      <w:footerReference r:id="rId4" w:type="even"/>
      <w:pgSz w:w="11907" w:h="16839"/>
      <w:pgMar w:top="1440" w:right="1689" w:bottom="1440" w:left="1689" w:header="851" w:footer="992" w:gutter="0"/>
      <w:pgNumType w:fmt="numberInDash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8F751EE-615D-427F-8BF1-84F47A2D08AE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C0EAA9DF-C8F0-4D60-89A9-AEEA37C1240F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3" w:fontKey="{157708B1-B036-44A8-9432-0B08BB9718F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EC491CC1-A6D3-41EE-9E48-E3258BB8170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6199DC95-87D0-4D7D-8B94-13E375044429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  <w:embedRegular r:id="rId6" w:fontKey="{91B4B317-C3BC-4950-8EDE-D9762894B4D2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7" w:fontKey="{F9045AE7-8394-4506-9589-B5952F0C3D8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8" w:fontKey="{B6220231-1114-4512-B0FD-F9D5F81B4E59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PSEMBED143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PSEMBED144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146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WPSEMBED145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9" w:fontKey="{979D6101-B132-493B-9CCD-5D4B89637648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0" w:fontKey="{1F7384F9-CADD-46A1-9BD9-D9CDC0E0595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E5D20E">
    <w:pPr>
      <w:pStyle w:val="10"/>
      <w:ind w:right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945064">
                          <w:pPr>
                            <w:pStyle w:val="10"/>
                            <w:rPr>
                              <w:rStyle w:val="16"/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16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16"/>
                              <w:sz w:val="28"/>
                              <w:szCs w:val="28"/>
                            </w:rPr>
                            <w:t>- 3 -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bl05M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K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m5dOT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2945064">
                    <w:pPr>
                      <w:pStyle w:val="10"/>
                      <w:rPr>
                        <w:rStyle w:val="16"/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6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6"/>
                        <w:sz w:val="28"/>
                        <w:szCs w:val="28"/>
                      </w:rPr>
                      <w:t>- 3 -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3746A1">
    <w:pPr>
      <w:pStyle w:val="10"/>
      <w:framePr w:wrap="around" w:vAnchor="text" w:hAnchor="margin" w:xAlign="outside" w:y="1"/>
      <w:rPr>
        <w:rStyle w:val="16"/>
      </w:rPr>
    </w:pPr>
    <w:r>
      <w:fldChar w:fldCharType="begin"/>
    </w:r>
    <w:r>
      <w:rPr>
        <w:rStyle w:val="16"/>
      </w:rPr>
      <w:instrText xml:space="preserve">PAGE  </w:instrText>
    </w:r>
    <w:r>
      <w:fldChar w:fldCharType="end"/>
    </w:r>
  </w:p>
  <w:p w14:paraId="66685DA7">
    <w:pPr>
      <w:pStyle w:val="10"/>
      <w:ind w:right="360" w:firstLine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8FE44F"/>
    <w:multiLevelType w:val="singleLevel"/>
    <w:tmpl w:val="158FE44F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hkY2UxYmYxYmM2YjgyNmE1NDg3MWU5YTM2NWQzZTIifQ=="/>
  </w:docVars>
  <w:rsids>
    <w:rsidRoot w:val="10E70222"/>
    <w:rsid w:val="00061E73"/>
    <w:rsid w:val="000F0FF9"/>
    <w:rsid w:val="00216B1D"/>
    <w:rsid w:val="00272E71"/>
    <w:rsid w:val="0036310F"/>
    <w:rsid w:val="003B6FB9"/>
    <w:rsid w:val="00504D68"/>
    <w:rsid w:val="00676C39"/>
    <w:rsid w:val="00A1709A"/>
    <w:rsid w:val="00BE2447"/>
    <w:rsid w:val="00DC6DF3"/>
    <w:rsid w:val="0408076C"/>
    <w:rsid w:val="04B65ADA"/>
    <w:rsid w:val="06E459EB"/>
    <w:rsid w:val="09247745"/>
    <w:rsid w:val="09B857B3"/>
    <w:rsid w:val="0A7D0E84"/>
    <w:rsid w:val="0BA517FB"/>
    <w:rsid w:val="0FC501BA"/>
    <w:rsid w:val="10E70222"/>
    <w:rsid w:val="13500DEF"/>
    <w:rsid w:val="155C7C48"/>
    <w:rsid w:val="155D3CC2"/>
    <w:rsid w:val="156E47C8"/>
    <w:rsid w:val="161F6860"/>
    <w:rsid w:val="17400CEC"/>
    <w:rsid w:val="191C4C03"/>
    <w:rsid w:val="19AE153C"/>
    <w:rsid w:val="1BBD770F"/>
    <w:rsid w:val="1C3F5ECF"/>
    <w:rsid w:val="1EE156E4"/>
    <w:rsid w:val="1F755D06"/>
    <w:rsid w:val="227D76DE"/>
    <w:rsid w:val="242E1C8E"/>
    <w:rsid w:val="255E1EFF"/>
    <w:rsid w:val="26E46EBB"/>
    <w:rsid w:val="2B167179"/>
    <w:rsid w:val="2B5F7D5B"/>
    <w:rsid w:val="2B736928"/>
    <w:rsid w:val="2F307A16"/>
    <w:rsid w:val="30685E6D"/>
    <w:rsid w:val="316246C6"/>
    <w:rsid w:val="37FB387F"/>
    <w:rsid w:val="38865408"/>
    <w:rsid w:val="416854D1"/>
    <w:rsid w:val="428508D7"/>
    <w:rsid w:val="46132D66"/>
    <w:rsid w:val="48FC450D"/>
    <w:rsid w:val="49276339"/>
    <w:rsid w:val="4A253068"/>
    <w:rsid w:val="4A965EF0"/>
    <w:rsid w:val="4B8042BF"/>
    <w:rsid w:val="4D615A77"/>
    <w:rsid w:val="51E967FD"/>
    <w:rsid w:val="52B1178A"/>
    <w:rsid w:val="548829A3"/>
    <w:rsid w:val="560B3A5A"/>
    <w:rsid w:val="56D47168"/>
    <w:rsid w:val="56DE116E"/>
    <w:rsid w:val="5A0538B4"/>
    <w:rsid w:val="5B2111A4"/>
    <w:rsid w:val="5B3F23E8"/>
    <w:rsid w:val="5BAD6C03"/>
    <w:rsid w:val="5CD5160A"/>
    <w:rsid w:val="5DF74124"/>
    <w:rsid w:val="5F144902"/>
    <w:rsid w:val="62E21FE6"/>
    <w:rsid w:val="640F5BE7"/>
    <w:rsid w:val="65CB05DE"/>
    <w:rsid w:val="699E6DD9"/>
    <w:rsid w:val="6C680EFD"/>
    <w:rsid w:val="6D105BD5"/>
    <w:rsid w:val="6EC93BB7"/>
    <w:rsid w:val="6F8756C9"/>
    <w:rsid w:val="72816D3C"/>
    <w:rsid w:val="73B55BC0"/>
    <w:rsid w:val="75C868A6"/>
    <w:rsid w:val="773447DB"/>
    <w:rsid w:val="77636E38"/>
    <w:rsid w:val="787A14AE"/>
    <w:rsid w:val="7E582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autoRedefine/>
    <w:qFormat/>
    <w:uiPriority w:val="0"/>
    <w:pPr>
      <w:keepNext/>
      <w:spacing w:line="380" w:lineRule="exact"/>
      <w:ind w:left="-113" w:right="-113"/>
      <w:jc w:val="center"/>
      <w:outlineLvl w:val="3"/>
    </w:pPr>
    <w:rPr>
      <w:rFonts w:ascii="宋体" w:hAnsi="宋体"/>
      <w:b/>
      <w:spacing w:val="-10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autoRedefine/>
    <w:semiHidden/>
    <w:qFormat/>
    <w:uiPriority w:val="0"/>
    <w:pPr>
      <w:jc w:val="left"/>
    </w:pPr>
    <w:rPr>
      <w:kern w:val="0"/>
      <w:sz w:val="24"/>
      <w:szCs w:val="20"/>
    </w:rPr>
  </w:style>
  <w:style w:type="paragraph" w:styleId="4">
    <w:name w:val="Body Text"/>
    <w:basedOn w:val="1"/>
    <w:next w:val="5"/>
    <w:autoRedefine/>
    <w:qFormat/>
    <w:uiPriority w:val="0"/>
    <w:pPr>
      <w:jc w:val="center"/>
    </w:pPr>
    <w:rPr>
      <w:b/>
      <w:bCs/>
      <w:sz w:val="44"/>
    </w:rPr>
  </w:style>
  <w:style w:type="paragraph" w:customStyle="1" w:styleId="5">
    <w:name w:val="xl27"/>
    <w:basedOn w:val="1"/>
    <w:next w:val="6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/>
      <w:sz w:val="20"/>
    </w:rPr>
  </w:style>
  <w:style w:type="paragraph" w:customStyle="1" w:styleId="6">
    <w:name w:val="A正文"/>
    <w:qFormat/>
    <w:uiPriority w:val="0"/>
    <w:pPr>
      <w:spacing w:line="360" w:lineRule="auto"/>
      <w:ind w:firstLine="200" w:firstLineChars="200"/>
      <w:contextualSpacing/>
    </w:pPr>
    <w:rPr>
      <w:rFonts w:ascii="Times New Roman" w:hAnsi="Times New Roman" w:eastAsia="宋体" w:cs="Times New Roman"/>
      <w:sz w:val="24"/>
      <w:szCs w:val="22"/>
      <w:lang w:val="en-US" w:eastAsia="en-US" w:bidi="en-US"/>
    </w:rPr>
  </w:style>
  <w:style w:type="paragraph" w:styleId="7">
    <w:name w:val="Body Text Indent"/>
    <w:basedOn w:val="1"/>
    <w:next w:val="8"/>
    <w:autoRedefine/>
    <w:qFormat/>
    <w:uiPriority w:val="0"/>
    <w:pPr>
      <w:spacing w:line="560" w:lineRule="exact"/>
      <w:ind w:firstLine="567"/>
    </w:pPr>
    <w:rPr>
      <w:rFonts w:ascii="宋体" w:hAnsi="宋体"/>
      <w:sz w:val="28"/>
    </w:rPr>
  </w:style>
  <w:style w:type="paragraph" w:customStyle="1" w:styleId="8">
    <w:name w:val="样式 正文文本缩进 + 行距: 1.5 倍行距"/>
    <w:basedOn w:val="7"/>
    <w:autoRedefine/>
    <w:qFormat/>
    <w:uiPriority w:val="0"/>
    <w:pPr>
      <w:spacing w:after="120"/>
      <w:ind w:left="90" w:leftChars="32" w:firstLine="560"/>
    </w:pPr>
    <w:rPr>
      <w:rFonts w:ascii="Times New Roman" w:hAnsi="Times New Roman"/>
    </w:rPr>
  </w:style>
  <w:style w:type="paragraph" w:styleId="9">
    <w:name w:val="Plain Text"/>
    <w:basedOn w:val="1"/>
    <w:autoRedefine/>
    <w:qFormat/>
    <w:uiPriority w:val="0"/>
    <w:rPr>
      <w:rFonts w:ascii="宋体" w:hAnsi="Courier New"/>
      <w:szCs w:val="21"/>
    </w:rPr>
  </w:style>
  <w:style w:type="paragraph" w:styleId="10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Body Text First Indent 2"/>
    <w:basedOn w:val="7"/>
    <w:next w:val="1"/>
    <w:autoRedefine/>
    <w:qFormat/>
    <w:uiPriority w:val="0"/>
    <w:pPr>
      <w:spacing w:after="120" w:line="240" w:lineRule="auto"/>
      <w:ind w:left="420" w:leftChars="200" w:firstLine="420"/>
    </w:pPr>
    <w:rPr>
      <w:sz w:val="21"/>
    </w:rPr>
  </w:style>
  <w:style w:type="character" w:styleId="16">
    <w:name w:val="page number"/>
    <w:basedOn w:val="15"/>
    <w:autoRedefine/>
    <w:qFormat/>
    <w:uiPriority w:val="0"/>
  </w:style>
  <w:style w:type="character" w:styleId="17">
    <w:name w:val="annotation reference"/>
    <w:autoRedefine/>
    <w:semiHidden/>
    <w:qFormat/>
    <w:uiPriority w:val="0"/>
    <w:rPr>
      <w:sz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5</Pages>
  <Words>1962</Words>
  <Characters>2111</Characters>
  <Lines>18</Lines>
  <Paragraphs>5</Paragraphs>
  <TotalTime>57</TotalTime>
  <ScaleCrop>false</ScaleCrop>
  <LinksUpToDate>false</LinksUpToDate>
  <CharactersWithSpaces>2139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2020-10-29T10:40:00Z</dcterms:created>
  <dc:creator>雨文如月</dc:creator>
  <cp:lastModifiedBy>qzuser</cp:lastModifiedBy>
  <cp:lastPrinted>2026-09-28T00:09:42Z</cp:lastPrinted>
  <dcterms:modified xsi:type="dcterms:W3CDTF">2026-09-28T00:49:16Z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6A7B28C0C0014D92AC8F1A6DBC80E7AA_13</vt:lpwstr>
  </property>
  <property fmtid="{D5CDD505-2E9C-101B-9397-08002B2CF9AE}" pid="4" name="KSOTemplateDocerSaveRecord">
    <vt:lpwstr>eyJoZGlkIjoiYjk4MTdlNWRmMDY1YmUzMzBkNjM5MTYwYTA5NDliYmQiLCJ1c2VySWQiOiIzMDkxMDk3NTcifQ==</vt:lpwstr>
  </property>
</Properties>
</file>