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26F26C">
      <w:pPr>
        <w:rPr>
          <w:rFonts w:eastAsia="仿宋_GB2312"/>
          <w:color w:val="auto"/>
          <w:sz w:val="36"/>
          <w:szCs w:val="36"/>
          <w:highlight w:val="none"/>
        </w:rPr>
      </w:pPr>
      <w:bookmarkStart w:id="0" w:name="_Hlk57883707"/>
    </w:p>
    <w:p w14:paraId="47F1B4D8">
      <w:pPr>
        <w:adjustRightInd w:val="0"/>
        <w:snapToGrid w:val="0"/>
        <w:jc w:val="center"/>
        <w:outlineLvl w:val="0"/>
        <w:rPr>
          <w:bCs/>
          <w:color w:val="auto"/>
          <w:sz w:val="60"/>
          <w:szCs w:val="60"/>
          <w:highlight w:val="none"/>
        </w:rPr>
      </w:pPr>
      <w:r>
        <w:rPr>
          <w:bCs/>
          <w:color w:val="auto"/>
          <w:sz w:val="60"/>
          <w:szCs w:val="60"/>
          <w:highlight w:val="none"/>
        </w:rPr>
        <w:t>建设项目</w:t>
      </w:r>
      <w:r>
        <w:rPr>
          <w:rFonts w:hint="eastAsia"/>
          <w:bCs/>
          <w:color w:val="auto"/>
          <w:sz w:val="60"/>
          <w:szCs w:val="60"/>
          <w:highlight w:val="none"/>
          <w:lang w:val="en-US" w:eastAsia="zh-CN"/>
        </w:rPr>
        <w:t>生态</w:t>
      </w:r>
      <w:r>
        <w:rPr>
          <w:bCs/>
          <w:color w:val="auto"/>
          <w:sz w:val="60"/>
          <w:szCs w:val="60"/>
          <w:highlight w:val="none"/>
        </w:rPr>
        <w:t>环境影响报告表</w:t>
      </w:r>
    </w:p>
    <w:p w14:paraId="7ABF100E">
      <w:pPr>
        <w:adjustRightInd w:val="0"/>
        <w:snapToGrid w:val="0"/>
        <w:spacing w:before="192" w:beforeLines="80"/>
        <w:jc w:val="center"/>
        <w:rPr>
          <w:bCs/>
          <w:color w:val="auto"/>
          <w:sz w:val="48"/>
          <w:szCs w:val="48"/>
          <w:highlight w:val="none"/>
        </w:rPr>
      </w:pPr>
      <w:r>
        <w:rPr>
          <w:bCs/>
          <w:color w:val="auto"/>
          <w:sz w:val="48"/>
          <w:szCs w:val="48"/>
          <w:highlight w:val="none"/>
        </w:rPr>
        <w:t>（生态影响类）</w:t>
      </w:r>
    </w:p>
    <w:p w14:paraId="5580444E">
      <w:pPr>
        <w:rPr>
          <w:rFonts w:eastAsia="仿宋_GB2312"/>
          <w:color w:val="auto"/>
          <w:sz w:val="36"/>
          <w:szCs w:val="36"/>
          <w:highlight w:val="none"/>
        </w:rPr>
      </w:pPr>
    </w:p>
    <w:p w14:paraId="18ABAD53">
      <w:pPr>
        <w:pStyle w:val="52"/>
        <w:rPr>
          <w:rFonts w:ascii="Times New Roman" w:hAnsi="Times New Roman"/>
          <w:color w:val="auto"/>
          <w:highlight w:val="none"/>
        </w:rPr>
      </w:pPr>
    </w:p>
    <w:bookmarkEnd w:id="0"/>
    <w:p w14:paraId="57D2910A">
      <w:pPr>
        <w:rPr>
          <w:color w:val="auto"/>
          <w:highlight w:val="none"/>
        </w:rPr>
      </w:pPr>
      <w:bookmarkStart w:id="1" w:name="_Hlk57883728"/>
    </w:p>
    <w:p w14:paraId="33EDFBA5">
      <w:pPr>
        <w:jc w:val="center"/>
        <w:rPr>
          <w:rFonts w:eastAsia="仿宋"/>
          <w:color w:val="auto"/>
          <w:sz w:val="52"/>
          <w:szCs w:val="52"/>
          <w:highlight w:val="none"/>
        </w:rPr>
      </w:pPr>
    </w:p>
    <w:p w14:paraId="21461326">
      <w:pPr>
        <w:ind w:firstLine="1040"/>
        <w:rPr>
          <w:rFonts w:eastAsia="仿宋"/>
          <w:color w:val="auto"/>
          <w:sz w:val="44"/>
          <w:szCs w:val="44"/>
          <w:highlight w:val="none"/>
        </w:rPr>
      </w:pPr>
    </w:p>
    <w:p w14:paraId="38B7F541">
      <w:pPr>
        <w:ind w:firstLine="1040"/>
        <w:rPr>
          <w:rFonts w:eastAsia="仿宋"/>
          <w:color w:val="auto"/>
          <w:sz w:val="44"/>
          <w:szCs w:val="44"/>
          <w:highlight w:val="none"/>
        </w:rPr>
      </w:pPr>
    </w:p>
    <w:p w14:paraId="688D45CD">
      <w:pPr>
        <w:ind w:firstLine="1040"/>
        <w:rPr>
          <w:rFonts w:eastAsia="仿宋"/>
          <w:color w:val="auto"/>
          <w:sz w:val="44"/>
          <w:szCs w:val="44"/>
          <w:highlight w:val="none"/>
        </w:rPr>
      </w:pPr>
    </w:p>
    <w:p w14:paraId="287C50AA">
      <w:pPr>
        <w:ind w:firstLine="1040"/>
        <w:rPr>
          <w:rFonts w:eastAsia="仿宋"/>
          <w:color w:val="auto"/>
          <w:sz w:val="44"/>
          <w:szCs w:val="44"/>
          <w:highlight w:val="none"/>
        </w:rPr>
      </w:pPr>
    </w:p>
    <w:bookmarkEnd w:id="1"/>
    <w:p w14:paraId="18A3326A">
      <w:pPr>
        <w:spacing w:before="120" w:beforeLines="50" w:line="360" w:lineRule="auto"/>
        <w:ind w:left="2096" w:leftChars="284" w:hanging="1500" w:hangingChars="500"/>
        <w:rPr>
          <w:rFonts w:hint="default" w:eastAsia="宋体"/>
          <w:color w:val="auto"/>
          <w:sz w:val="30"/>
          <w:szCs w:val="30"/>
          <w:highlight w:val="none"/>
          <w:u w:val="single"/>
          <w:lang w:val="en-US" w:eastAsia="zh-CN"/>
        </w:rPr>
      </w:pPr>
      <w:r>
        <w:rPr>
          <w:color w:val="auto"/>
          <w:sz w:val="30"/>
          <w:szCs w:val="30"/>
          <w:highlight w:val="none"/>
        </w:rPr>
        <w:t>项目名称：</w:t>
      </w:r>
      <w:bookmarkStart w:id="2" w:name="_Hlk35255316"/>
      <w:r>
        <w:rPr>
          <w:rFonts w:hint="eastAsia"/>
          <w:color w:val="auto"/>
          <w:sz w:val="30"/>
          <w:szCs w:val="30"/>
          <w:highlight w:val="none"/>
          <w:u w:val="single"/>
        </w:rPr>
        <w:t>新集</w:t>
      </w:r>
      <w:r>
        <w:rPr>
          <w:rFonts w:hint="eastAsia"/>
          <w:color w:val="auto"/>
          <w:sz w:val="30"/>
          <w:szCs w:val="30"/>
          <w:highlight w:val="none"/>
          <w:u w:val="single"/>
          <w:lang w:val="en-US" w:eastAsia="zh-CN"/>
        </w:rPr>
        <w:t>一</w:t>
      </w:r>
      <w:r>
        <w:rPr>
          <w:rFonts w:hint="eastAsia"/>
          <w:color w:val="auto"/>
          <w:sz w:val="30"/>
          <w:szCs w:val="30"/>
          <w:highlight w:val="none"/>
          <w:u w:val="single"/>
        </w:rPr>
        <w:t>矿</w:t>
      </w:r>
      <w:r>
        <w:rPr>
          <w:rFonts w:hint="eastAsia"/>
          <w:color w:val="auto"/>
          <w:sz w:val="30"/>
          <w:szCs w:val="30"/>
          <w:highlight w:val="none"/>
          <w:u w:val="single"/>
          <w:lang w:val="en-US" w:eastAsia="zh-CN"/>
        </w:rPr>
        <w:t>覆岩离层注浆减沉控沉绿色开采</w:t>
      </w:r>
      <w:r>
        <w:rPr>
          <w:rFonts w:hint="eastAsia"/>
          <w:color w:val="auto"/>
          <w:sz w:val="30"/>
          <w:szCs w:val="30"/>
          <w:highlight w:val="none"/>
          <w:u w:val="single"/>
        </w:rPr>
        <w:t>治理工程</w:t>
      </w:r>
      <w:bookmarkEnd w:id="2"/>
    </w:p>
    <w:p w14:paraId="10A647BB">
      <w:pPr>
        <w:spacing w:before="120" w:beforeLines="50" w:line="360" w:lineRule="auto"/>
        <w:ind w:left="2096" w:leftChars="284" w:hanging="1500" w:hangingChars="500"/>
        <w:rPr>
          <w:rFonts w:hint="default" w:eastAsia="宋体"/>
          <w:color w:val="auto"/>
          <w:sz w:val="30"/>
          <w:szCs w:val="30"/>
          <w:highlight w:val="none"/>
          <w:u w:val="single"/>
          <w:lang w:val="en-US" w:eastAsia="zh-CN"/>
        </w:rPr>
      </w:pPr>
      <w:r>
        <w:rPr>
          <w:color w:val="auto"/>
          <w:sz w:val="30"/>
          <w:szCs w:val="30"/>
          <w:highlight w:val="none"/>
        </w:rPr>
        <w:t>建设单位（盖章）：</w:t>
      </w:r>
      <w:r>
        <w:rPr>
          <w:rFonts w:hint="eastAsia"/>
          <w:color w:val="auto"/>
          <w:sz w:val="30"/>
          <w:szCs w:val="30"/>
          <w:highlight w:val="none"/>
          <w:u w:val="single"/>
        </w:rPr>
        <w:t>中</w:t>
      </w:r>
      <w:r>
        <w:rPr>
          <w:rFonts w:hint="eastAsia"/>
          <w:color w:val="auto"/>
          <w:sz w:val="30"/>
          <w:szCs w:val="30"/>
          <w:highlight w:val="none"/>
          <w:u w:val="single"/>
          <w:lang w:val="en-US" w:eastAsia="zh-CN"/>
        </w:rPr>
        <w:t xml:space="preserve">煤新集能源股份有限公司新集一矿    </w:t>
      </w:r>
    </w:p>
    <w:p w14:paraId="3ACFA838">
      <w:pPr>
        <w:spacing w:before="120" w:beforeLines="50" w:line="360" w:lineRule="auto"/>
        <w:ind w:firstLine="600" w:firstLineChars="200"/>
        <w:rPr>
          <w:color w:val="auto"/>
          <w:sz w:val="30"/>
          <w:szCs w:val="30"/>
          <w:highlight w:val="none"/>
        </w:rPr>
      </w:pPr>
      <w:r>
        <w:rPr>
          <w:color w:val="auto"/>
          <w:sz w:val="30"/>
          <w:szCs w:val="30"/>
          <w:highlight w:val="none"/>
        </w:rPr>
        <w:t>编制日期：</w:t>
      </w:r>
      <w:r>
        <w:rPr>
          <w:color w:val="auto"/>
          <w:sz w:val="30"/>
          <w:szCs w:val="30"/>
          <w:highlight w:val="none"/>
          <w:u w:val="single"/>
        </w:rPr>
        <w:t xml:space="preserve">               二</w:t>
      </w:r>
      <w:r>
        <w:rPr>
          <w:rFonts w:hint="eastAsia"/>
          <w:color w:val="auto"/>
          <w:sz w:val="30"/>
          <w:szCs w:val="30"/>
          <w:highlight w:val="none"/>
          <w:u w:val="single"/>
        </w:rPr>
        <w:t>〇</w:t>
      </w:r>
      <w:r>
        <w:rPr>
          <w:color w:val="auto"/>
          <w:sz w:val="30"/>
          <w:szCs w:val="30"/>
          <w:highlight w:val="none"/>
          <w:u w:val="single"/>
        </w:rPr>
        <w:t>二六年</w:t>
      </w:r>
      <w:r>
        <w:rPr>
          <w:rFonts w:hint="eastAsia"/>
          <w:color w:val="auto"/>
          <w:sz w:val="30"/>
          <w:szCs w:val="30"/>
          <w:highlight w:val="none"/>
          <w:u w:val="single"/>
          <w:lang w:val="en-US" w:eastAsia="zh-CN"/>
        </w:rPr>
        <w:t>十</w:t>
      </w:r>
      <w:r>
        <w:rPr>
          <w:color w:val="auto"/>
          <w:sz w:val="30"/>
          <w:szCs w:val="30"/>
          <w:highlight w:val="none"/>
          <w:u w:val="single"/>
        </w:rPr>
        <w:t xml:space="preserve">月  </w:t>
      </w:r>
      <w:r>
        <w:rPr>
          <w:color w:val="auto"/>
          <w:spacing w:val="-1"/>
          <w:sz w:val="28"/>
          <w:szCs w:val="28"/>
          <w:highlight w:val="none"/>
          <w:u w:val="single"/>
        </w:rPr>
        <w:t xml:space="preserve">              </w:t>
      </w:r>
    </w:p>
    <w:p w14:paraId="2378D242">
      <w:pPr>
        <w:adjustRightInd w:val="0"/>
        <w:snapToGrid w:val="0"/>
        <w:spacing w:line="288" w:lineRule="auto"/>
        <w:ind w:firstLine="1040"/>
        <w:jc w:val="center"/>
        <w:rPr>
          <w:color w:val="auto"/>
          <w:sz w:val="36"/>
          <w:szCs w:val="36"/>
          <w:highlight w:val="none"/>
        </w:rPr>
      </w:pPr>
    </w:p>
    <w:p w14:paraId="0696E22B">
      <w:pPr>
        <w:adjustRightInd w:val="0"/>
        <w:snapToGrid w:val="0"/>
        <w:spacing w:line="288" w:lineRule="auto"/>
        <w:ind w:firstLine="1040"/>
        <w:jc w:val="center"/>
        <w:rPr>
          <w:color w:val="auto"/>
          <w:sz w:val="36"/>
          <w:szCs w:val="36"/>
          <w:highlight w:val="none"/>
        </w:rPr>
      </w:pPr>
    </w:p>
    <w:p w14:paraId="3033518D">
      <w:pPr>
        <w:adjustRightInd w:val="0"/>
        <w:snapToGrid w:val="0"/>
        <w:spacing w:line="288" w:lineRule="auto"/>
        <w:ind w:firstLine="1040"/>
        <w:jc w:val="center"/>
        <w:rPr>
          <w:color w:val="auto"/>
          <w:sz w:val="36"/>
          <w:szCs w:val="36"/>
          <w:highlight w:val="none"/>
        </w:rPr>
      </w:pPr>
    </w:p>
    <w:p w14:paraId="0E45C0A9">
      <w:pPr>
        <w:adjustRightInd w:val="0"/>
        <w:snapToGrid w:val="0"/>
        <w:spacing w:line="288" w:lineRule="auto"/>
        <w:ind w:firstLine="1040"/>
        <w:jc w:val="center"/>
        <w:rPr>
          <w:color w:val="auto"/>
          <w:sz w:val="36"/>
          <w:szCs w:val="36"/>
          <w:highlight w:val="none"/>
        </w:rPr>
      </w:pPr>
    </w:p>
    <w:p w14:paraId="7B151351">
      <w:pPr>
        <w:adjustRightInd w:val="0"/>
        <w:snapToGrid w:val="0"/>
        <w:spacing w:line="288" w:lineRule="auto"/>
        <w:ind w:firstLine="1040"/>
        <w:rPr>
          <w:color w:val="auto"/>
          <w:sz w:val="36"/>
          <w:szCs w:val="36"/>
          <w:highlight w:val="none"/>
        </w:rPr>
      </w:pPr>
    </w:p>
    <w:p w14:paraId="219D9874">
      <w:pPr>
        <w:adjustRightInd w:val="0"/>
        <w:snapToGrid w:val="0"/>
        <w:spacing w:line="288" w:lineRule="auto"/>
        <w:ind w:firstLine="1040"/>
        <w:rPr>
          <w:color w:val="auto"/>
          <w:sz w:val="36"/>
          <w:szCs w:val="36"/>
          <w:highlight w:val="none"/>
        </w:rPr>
      </w:pPr>
    </w:p>
    <w:p w14:paraId="239BCE69">
      <w:pPr>
        <w:adjustRightInd w:val="0"/>
        <w:snapToGrid w:val="0"/>
        <w:spacing w:line="288" w:lineRule="auto"/>
        <w:ind w:firstLine="1040"/>
        <w:rPr>
          <w:color w:val="auto"/>
          <w:sz w:val="36"/>
          <w:szCs w:val="36"/>
          <w:highlight w:val="none"/>
        </w:rPr>
      </w:pPr>
    </w:p>
    <w:p w14:paraId="7D2FFC02">
      <w:pPr>
        <w:adjustRightInd w:val="0"/>
        <w:snapToGrid w:val="0"/>
        <w:spacing w:line="288" w:lineRule="auto"/>
        <w:jc w:val="center"/>
        <w:rPr>
          <w:color w:val="auto"/>
          <w:sz w:val="36"/>
          <w:szCs w:val="36"/>
          <w:highlight w:val="none"/>
        </w:rPr>
      </w:pPr>
      <w:r>
        <w:rPr>
          <w:color w:val="auto"/>
          <w:sz w:val="36"/>
          <w:szCs w:val="36"/>
          <w:highlight w:val="none"/>
        </w:rPr>
        <w:t>中华人民共和国生态环境部制</w:t>
      </w:r>
    </w:p>
    <w:p w14:paraId="6085D9D4">
      <w:pPr>
        <w:adjustRightInd w:val="0"/>
        <w:snapToGrid w:val="0"/>
        <w:spacing w:line="288" w:lineRule="auto"/>
        <w:jc w:val="center"/>
        <w:rPr>
          <w:rFonts w:ascii="Times New Roman" w:hAnsi="Times New Roman" w:eastAsia="黑体"/>
          <w:snapToGrid w:val="0"/>
          <w:color w:val="auto"/>
          <w:sz w:val="30"/>
          <w:szCs w:val="30"/>
          <w:highlight w:val="none"/>
        </w:rPr>
        <w:sectPr>
          <w:footerReference r:id="rId3"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3F4E7D94">
      <w:pPr>
        <w:adjustRightInd w:val="0"/>
        <w:snapToGrid w:val="0"/>
        <w:spacing w:line="288" w:lineRule="auto"/>
        <w:jc w:val="center"/>
        <w:rPr>
          <w:rFonts w:ascii="Times New Roman" w:hAnsi="Times New Roman" w:eastAsia="黑体"/>
          <w:snapToGrid w:val="0"/>
          <w:color w:val="auto"/>
          <w:sz w:val="30"/>
          <w:szCs w:val="30"/>
          <w:highlight w:val="none"/>
        </w:rPr>
      </w:pPr>
    </w:p>
    <w:p w14:paraId="26425480">
      <w:pPr>
        <w:adjustRightInd w:val="0"/>
        <w:snapToGrid w:val="0"/>
        <w:spacing w:line="288" w:lineRule="auto"/>
        <w:jc w:val="center"/>
        <w:rPr>
          <w:rFonts w:ascii="Times New Roman" w:hAnsi="Times New Roman" w:eastAsia="黑体"/>
          <w:snapToGrid w:val="0"/>
          <w:color w:val="auto"/>
          <w:sz w:val="30"/>
          <w:szCs w:val="30"/>
          <w:highlight w:val="none"/>
        </w:rPr>
        <w:sectPr>
          <w:footerReference r:id="rId4"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5646B76D">
      <w:pPr>
        <w:keepNext w:val="0"/>
        <w:keepLines w:val="0"/>
        <w:pageBreakBefore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b/>
          <w:bCs/>
          <w:sz w:val="32"/>
          <w:szCs w:val="32"/>
        </w:rPr>
      </w:pPr>
      <w:r>
        <w:rPr>
          <w:rFonts w:ascii="宋体" w:hAnsi="宋体" w:eastAsia="宋体"/>
          <w:b/>
          <w:bCs/>
          <w:sz w:val="32"/>
          <w:szCs w:val="32"/>
        </w:rPr>
        <w:t>目录</w:t>
      </w:r>
    </w:p>
    <w:p w14:paraId="029D3A25">
      <w:pPr>
        <w:pStyle w:val="21"/>
        <w:keepNext w:val="0"/>
        <w:keepLines w:val="0"/>
        <w:pageBreakBefore w:val="0"/>
        <w:tabs>
          <w:tab w:val="right" w:leader="dot" w:pos="9072"/>
        </w:tabs>
        <w:kinsoku/>
        <w:wordWrap/>
        <w:overflowPunct/>
        <w:topLinePunct w:val="0"/>
        <w:autoSpaceDE/>
        <w:autoSpaceDN/>
        <w:bidi w:val="0"/>
        <w:adjustRightInd/>
        <w:snapToGrid/>
        <w:spacing w:line="360" w:lineRule="auto"/>
        <w:textAlignment w:val="auto"/>
        <w:rPr>
          <w:sz w:val="24"/>
          <w:szCs w:val="24"/>
        </w:rPr>
      </w:pPr>
      <w:r>
        <w:rPr>
          <w:color w:val="auto"/>
          <w:sz w:val="24"/>
          <w:szCs w:val="24"/>
        </w:rPr>
        <w:fldChar w:fldCharType="begin"/>
      </w:r>
      <w:r>
        <w:rPr>
          <w:color w:val="auto"/>
          <w:sz w:val="24"/>
          <w:szCs w:val="24"/>
        </w:rPr>
        <w:instrText xml:space="preserve">TOC \o "1-1" \h \u </w:instrText>
      </w:r>
      <w:r>
        <w:rPr>
          <w:color w:val="auto"/>
          <w:sz w:val="24"/>
          <w:szCs w:val="24"/>
        </w:rPr>
        <w:fldChar w:fldCharType="separate"/>
      </w:r>
      <w:r>
        <w:rPr>
          <w:color w:val="auto"/>
          <w:sz w:val="24"/>
          <w:szCs w:val="24"/>
        </w:rPr>
        <w:fldChar w:fldCharType="begin"/>
      </w:r>
      <w:r>
        <w:rPr>
          <w:sz w:val="24"/>
          <w:szCs w:val="24"/>
        </w:rPr>
        <w:instrText xml:space="preserve"> HYPERLINK \l _Toc23183 </w:instrText>
      </w:r>
      <w:r>
        <w:rPr>
          <w:sz w:val="24"/>
          <w:szCs w:val="24"/>
        </w:rPr>
        <w:fldChar w:fldCharType="separate"/>
      </w:r>
      <w:r>
        <w:rPr>
          <w:rFonts w:hint="eastAsia" w:ascii="Times New Roman" w:hAnsi="Times New Roman" w:eastAsia="宋体" w:cs="Times New Roman"/>
          <w:bCs/>
          <w:snapToGrid w:val="0"/>
          <w:kern w:val="0"/>
          <w:sz w:val="24"/>
          <w:szCs w:val="24"/>
          <w:lang w:val="en-US" w:eastAsia="zh-CN" w:bidi="ar-SA"/>
        </w:rPr>
        <w:t>一、建设项目基本情况</w:t>
      </w:r>
      <w:r>
        <w:rPr>
          <w:sz w:val="24"/>
          <w:szCs w:val="24"/>
        </w:rPr>
        <w:tab/>
      </w:r>
      <w:r>
        <w:rPr>
          <w:rFonts w:hint="eastAsia"/>
          <w:sz w:val="24"/>
          <w:szCs w:val="24"/>
          <w:lang w:val="en-US" w:eastAsia="zh-CN"/>
        </w:rPr>
        <w:t>1</w:t>
      </w:r>
      <w:r>
        <w:rPr>
          <w:color w:val="auto"/>
          <w:sz w:val="24"/>
          <w:szCs w:val="24"/>
        </w:rPr>
        <w:fldChar w:fldCharType="end"/>
      </w:r>
    </w:p>
    <w:p w14:paraId="4A460194">
      <w:pPr>
        <w:pStyle w:val="21"/>
        <w:keepNext w:val="0"/>
        <w:keepLines w:val="0"/>
        <w:pageBreakBefore w:val="0"/>
        <w:tabs>
          <w:tab w:val="right" w:leader="dot" w:pos="9072"/>
        </w:tabs>
        <w:kinsoku/>
        <w:wordWrap/>
        <w:overflowPunct/>
        <w:topLinePunct w:val="0"/>
        <w:autoSpaceDE/>
        <w:autoSpaceDN/>
        <w:bidi w:val="0"/>
        <w:adjustRightInd/>
        <w:snapToGrid/>
        <w:spacing w:line="360" w:lineRule="auto"/>
        <w:textAlignment w:val="auto"/>
        <w:rPr>
          <w:rFonts w:hint="eastAsia" w:eastAsia="宋体"/>
          <w:sz w:val="24"/>
          <w:szCs w:val="24"/>
          <w:lang w:val="en-US" w:eastAsia="zh-CN"/>
        </w:rPr>
      </w:pPr>
      <w:r>
        <w:rPr>
          <w:color w:val="auto"/>
          <w:sz w:val="24"/>
          <w:szCs w:val="24"/>
        </w:rPr>
        <w:fldChar w:fldCharType="begin"/>
      </w:r>
      <w:r>
        <w:rPr>
          <w:sz w:val="24"/>
          <w:szCs w:val="24"/>
        </w:rPr>
        <w:instrText xml:space="preserve"> HYPERLINK \l _Toc31413 </w:instrText>
      </w:r>
      <w:r>
        <w:rPr>
          <w:sz w:val="24"/>
          <w:szCs w:val="24"/>
        </w:rPr>
        <w:fldChar w:fldCharType="separate"/>
      </w:r>
      <w:r>
        <w:rPr>
          <w:rFonts w:hint="eastAsia"/>
          <w:sz w:val="24"/>
          <w:szCs w:val="24"/>
          <w:lang w:val="en-US" w:eastAsia="zh-CN"/>
        </w:rPr>
        <w:t>二、建设内容</w:t>
      </w:r>
      <w:r>
        <w:rPr>
          <w:sz w:val="24"/>
          <w:szCs w:val="24"/>
        </w:rPr>
        <w:tab/>
      </w:r>
      <w:r>
        <w:rPr>
          <w:rFonts w:hint="eastAsia"/>
          <w:sz w:val="24"/>
          <w:szCs w:val="24"/>
          <w:lang w:val="en-US" w:eastAsia="zh-CN"/>
        </w:rPr>
        <w:t>1</w:t>
      </w:r>
      <w:r>
        <w:rPr>
          <w:color w:val="auto"/>
          <w:sz w:val="24"/>
          <w:szCs w:val="24"/>
        </w:rPr>
        <w:fldChar w:fldCharType="end"/>
      </w:r>
      <w:r>
        <w:rPr>
          <w:rFonts w:hint="eastAsia"/>
          <w:color w:val="auto"/>
          <w:sz w:val="24"/>
          <w:szCs w:val="24"/>
          <w:lang w:val="en-US" w:eastAsia="zh-CN"/>
        </w:rPr>
        <w:t>9</w:t>
      </w:r>
    </w:p>
    <w:p w14:paraId="01B8F0F6">
      <w:pPr>
        <w:pStyle w:val="21"/>
        <w:keepNext w:val="0"/>
        <w:keepLines w:val="0"/>
        <w:pageBreakBefore w:val="0"/>
        <w:tabs>
          <w:tab w:val="right" w:leader="dot" w:pos="9072"/>
        </w:tabs>
        <w:kinsoku/>
        <w:wordWrap/>
        <w:overflowPunct/>
        <w:topLinePunct w:val="0"/>
        <w:autoSpaceDE/>
        <w:autoSpaceDN/>
        <w:bidi w:val="0"/>
        <w:adjustRightInd/>
        <w:snapToGrid/>
        <w:spacing w:line="360" w:lineRule="auto"/>
        <w:textAlignment w:val="auto"/>
        <w:rPr>
          <w:rFonts w:hint="default" w:eastAsia="宋体"/>
          <w:sz w:val="24"/>
          <w:szCs w:val="24"/>
          <w:lang w:val="en-US" w:eastAsia="zh-CN"/>
        </w:rPr>
      </w:pPr>
      <w:r>
        <w:rPr>
          <w:color w:val="auto"/>
          <w:sz w:val="24"/>
          <w:szCs w:val="24"/>
        </w:rPr>
        <w:fldChar w:fldCharType="begin"/>
      </w:r>
      <w:r>
        <w:rPr>
          <w:sz w:val="24"/>
          <w:szCs w:val="24"/>
        </w:rPr>
        <w:instrText xml:space="preserve"> HYPERLINK \l _Toc11359 </w:instrText>
      </w:r>
      <w:r>
        <w:rPr>
          <w:sz w:val="24"/>
          <w:szCs w:val="24"/>
        </w:rPr>
        <w:fldChar w:fldCharType="separate"/>
      </w:r>
      <w:r>
        <w:rPr>
          <w:rFonts w:hint="default"/>
          <w:sz w:val="24"/>
          <w:szCs w:val="24"/>
        </w:rPr>
        <w:t>三、</w:t>
      </w:r>
      <w:r>
        <w:rPr>
          <w:rFonts w:hint="eastAsia"/>
          <w:sz w:val="24"/>
          <w:szCs w:val="24"/>
          <w:lang w:val="en-US" w:eastAsia="zh-CN"/>
        </w:rPr>
        <w:t>生态</w:t>
      </w:r>
      <w:r>
        <w:rPr>
          <w:rFonts w:hint="default"/>
          <w:sz w:val="24"/>
          <w:szCs w:val="24"/>
        </w:rPr>
        <w:t>环境现状、保护目标及评价标准</w:t>
      </w:r>
      <w:r>
        <w:rPr>
          <w:sz w:val="24"/>
          <w:szCs w:val="24"/>
        </w:rPr>
        <w:tab/>
      </w:r>
      <w:r>
        <w:rPr>
          <w:color w:val="auto"/>
          <w:sz w:val="24"/>
          <w:szCs w:val="24"/>
        </w:rPr>
        <w:fldChar w:fldCharType="end"/>
      </w:r>
      <w:r>
        <w:rPr>
          <w:rFonts w:hint="eastAsia"/>
          <w:color w:val="auto"/>
          <w:sz w:val="24"/>
          <w:szCs w:val="24"/>
          <w:lang w:val="en-US" w:eastAsia="zh-CN"/>
        </w:rPr>
        <w:t>49</w:t>
      </w:r>
    </w:p>
    <w:p w14:paraId="0E800C00">
      <w:pPr>
        <w:pStyle w:val="21"/>
        <w:keepNext w:val="0"/>
        <w:keepLines w:val="0"/>
        <w:pageBreakBefore w:val="0"/>
        <w:tabs>
          <w:tab w:val="right" w:leader="dot" w:pos="9072"/>
        </w:tabs>
        <w:kinsoku/>
        <w:wordWrap/>
        <w:overflowPunct/>
        <w:topLinePunct w:val="0"/>
        <w:autoSpaceDE/>
        <w:autoSpaceDN/>
        <w:bidi w:val="0"/>
        <w:adjustRightInd/>
        <w:snapToGrid/>
        <w:spacing w:line="360" w:lineRule="auto"/>
        <w:textAlignment w:val="auto"/>
        <w:rPr>
          <w:rFonts w:hint="default" w:eastAsia="宋体"/>
          <w:sz w:val="24"/>
          <w:szCs w:val="24"/>
          <w:lang w:val="en-US" w:eastAsia="zh-CN"/>
        </w:rPr>
      </w:pPr>
      <w:r>
        <w:rPr>
          <w:color w:val="auto"/>
          <w:sz w:val="24"/>
          <w:szCs w:val="24"/>
        </w:rPr>
        <w:fldChar w:fldCharType="begin"/>
      </w:r>
      <w:r>
        <w:rPr>
          <w:sz w:val="24"/>
          <w:szCs w:val="24"/>
        </w:rPr>
        <w:instrText xml:space="preserve"> HYPERLINK \l _Toc22723 </w:instrText>
      </w:r>
      <w:r>
        <w:rPr>
          <w:sz w:val="24"/>
          <w:szCs w:val="24"/>
        </w:rPr>
        <w:fldChar w:fldCharType="separate"/>
      </w:r>
      <w:r>
        <w:rPr>
          <w:rFonts w:hint="default"/>
          <w:sz w:val="24"/>
          <w:szCs w:val="24"/>
        </w:rPr>
        <w:t>四、</w:t>
      </w:r>
      <w:r>
        <w:rPr>
          <w:rFonts w:hint="eastAsia"/>
          <w:sz w:val="24"/>
          <w:szCs w:val="24"/>
          <w:lang w:val="en-US" w:eastAsia="zh-CN"/>
        </w:rPr>
        <w:t>生态环境影响分析</w:t>
      </w:r>
      <w:r>
        <w:rPr>
          <w:sz w:val="24"/>
          <w:szCs w:val="24"/>
        </w:rPr>
        <w:tab/>
      </w:r>
      <w:r>
        <w:rPr>
          <w:color w:val="auto"/>
          <w:sz w:val="24"/>
          <w:szCs w:val="24"/>
        </w:rPr>
        <w:fldChar w:fldCharType="end"/>
      </w:r>
      <w:r>
        <w:rPr>
          <w:rFonts w:hint="eastAsia"/>
          <w:color w:val="auto"/>
          <w:sz w:val="24"/>
          <w:szCs w:val="24"/>
          <w:lang w:val="en-US" w:eastAsia="zh-CN"/>
        </w:rPr>
        <w:t>64</w:t>
      </w:r>
    </w:p>
    <w:p w14:paraId="3497A8A8">
      <w:pPr>
        <w:pStyle w:val="21"/>
        <w:keepNext w:val="0"/>
        <w:keepLines w:val="0"/>
        <w:pageBreakBefore w:val="0"/>
        <w:tabs>
          <w:tab w:val="right" w:leader="dot" w:pos="9072"/>
        </w:tabs>
        <w:kinsoku/>
        <w:wordWrap/>
        <w:overflowPunct/>
        <w:topLinePunct w:val="0"/>
        <w:autoSpaceDE/>
        <w:autoSpaceDN/>
        <w:bidi w:val="0"/>
        <w:adjustRightInd/>
        <w:snapToGrid/>
        <w:spacing w:line="360" w:lineRule="auto"/>
        <w:textAlignment w:val="auto"/>
        <w:rPr>
          <w:rFonts w:hint="eastAsia" w:eastAsia="宋体"/>
          <w:sz w:val="24"/>
          <w:szCs w:val="24"/>
          <w:lang w:val="en-US" w:eastAsia="zh-CN"/>
        </w:rPr>
      </w:pPr>
      <w:r>
        <w:rPr>
          <w:color w:val="auto"/>
          <w:sz w:val="24"/>
          <w:szCs w:val="24"/>
        </w:rPr>
        <w:fldChar w:fldCharType="begin"/>
      </w:r>
      <w:r>
        <w:rPr>
          <w:sz w:val="24"/>
          <w:szCs w:val="24"/>
        </w:rPr>
        <w:instrText xml:space="preserve"> HYPERLINK \l _Toc26721 </w:instrText>
      </w:r>
      <w:r>
        <w:rPr>
          <w:sz w:val="24"/>
          <w:szCs w:val="24"/>
        </w:rPr>
        <w:fldChar w:fldCharType="separate"/>
      </w:r>
      <w:r>
        <w:rPr>
          <w:rFonts w:hint="default"/>
          <w:sz w:val="24"/>
          <w:szCs w:val="24"/>
          <w:highlight w:val="none"/>
        </w:rPr>
        <w:t>五、</w:t>
      </w:r>
      <w:r>
        <w:rPr>
          <w:rFonts w:hint="eastAsia"/>
          <w:sz w:val="24"/>
          <w:szCs w:val="24"/>
          <w:highlight w:val="none"/>
          <w:lang w:val="en-US" w:eastAsia="zh-CN"/>
        </w:rPr>
        <w:t>主要生态环境保护措施</w:t>
      </w:r>
      <w:r>
        <w:rPr>
          <w:sz w:val="24"/>
          <w:szCs w:val="24"/>
        </w:rPr>
        <w:tab/>
      </w:r>
      <w:r>
        <w:rPr>
          <w:rFonts w:hint="eastAsia"/>
          <w:sz w:val="24"/>
          <w:szCs w:val="24"/>
          <w:lang w:val="en-US" w:eastAsia="zh-CN"/>
        </w:rPr>
        <w:t>8</w:t>
      </w:r>
      <w:r>
        <w:rPr>
          <w:color w:val="auto"/>
          <w:sz w:val="24"/>
          <w:szCs w:val="24"/>
        </w:rPr>
        <w:fldChar w:fldCharType="end"/>
      </w:r>
      <w:r>
        <w:rPr>
          <w:rFonts w:hint="eastAsia"/>
          <w:color w:val="auto"/>
          <w:sz w:val="24"/>
          <w:szCs w:val="24"/>
          <w:lang w:val="en-US" w:eastAsia="zh-CN"/>
        </w:rPr>
        <w:t>7</w:t>
      </w:r>
    </w:p>
    <w:p w14:paraId="61AA18B1">
      <w:pPr>
        <w:pStyle w:val="21"/>
        <w:keepNext w:val="0"/>
        <w:keepLines w:val="0"/>
        <w:pageBreakBefore w:val="0"/>
        <w:tabs>
          <w:tab w:val="right" w:leader="dot" w:pos="9072"/>
        </w:tabs>
        <w:kinsoku/>
        <w:wordWrap/>
        <w:overflowPunct/>
        <w:topLinePunct w:val="0"/>
        <w:autoSpaceDE/>
        <w:autoSpaceDN/>
        <w:bidi w:val="0"/>
        <w:adjustRightInd/>
        <w:snapToGrid/>
        <w:spacing w:line="360" w:lineRule="auto"/>
        <w:textAlignment w:val="auto"/>
        <w:rPr>
          <w:rFonts w:hint="default"/>
          <w:color w:val="auto"/>
          <w:sz w:val="24"/>
          <w:szCs w:val="24"/>
          <w:lang w:val="en-US" w:eastAsia="zh-CN"/>
        </w:rPr>
      </w:pPr>
      <w:r>
        <w:rPr>
          <w:color w:val="auto"/>
          <w:sz w:val="24"/>
          <w:szCs w:val="24"/>
        </w:rPr>
        <w:fldChar w:fldCharType="begin"/>
      </w:r>
      <w:r>
        <w:rPr>
          <w:sz w:val="24"/>
          <w:szCs w:val="24"/>
        </w:rPr>
        <w:instrText xml:space="preserve"> HYPERLINK \l _Toc12374 </w:instrText>
      </w:r>
      <w:r>
        <w:rPr>
          <w:sz w:val="24"/>
          <w:szCs w:val="24"/>
        </w:rPr>
        <w:fldChar w:fldCharType="separate"/>
      </w:r>
      <w:r>
        <w:rPr>
          <w:rFonts w:hint="eastAsia"/>
          <w:sz w:val="24"/>
          <w:szCs w:val="24"/>
          <w:highlight w:val="none"/>
          <w:lang w:val="en-US" w:eastAsia="zh-CN"/>
        </w:rPr>
        <w:t>六、生态环境保护措施监督检查清单</w:t>
      </w:r>
      <w:r>
        <w:rPr>
          <w:sz w:val="24"/>
          <w:szCs w:val="24"/>
        </w:rPr>
        <w:tab/>
      </w:r>
      <w:r>
        <w:rPr>
          <w:color w:val="auto"/>
          <w:sz w:val="24"/>
          <w:szCs w:val="24"/>
        </w:rPr>
        <w:fldChar w:fldCharType="end"/>
      </w:r>
      <w:r>
        <w:rPr>
          <w:rFonts w:hint="eastAsia"/>
          <w:color w:val="auto"/>
          <w:sz w:val="24"/>
          <w:szCs w:val="24"/>
          <w:lang w:val="en-US" w:eastAsia="zh-CN"/>
        </w:rPr>
        <w:t>106</w:t>
      </w:r>
    </w:p>
    <w:p w14:paraId="0B9DC5F5">
      <w:pPr>
        <w:pStyle w:val="21"/>
        <w:keepNext w:val="0"/>
        <w:keepLines w:val="0"/>
        <w:pageBreakBefore w:val="0"/>
        <w:tabs>
          <w:tab w:val="right" w:leader="dot" w:pos="9072"/>
        </w:tabs>
        <w:kinsoku/>
        <w:wordWrap/>
        <w:overflowPunct/>
        <w:topLinePunct w:val="0"/>
        <w:autoSpaceDE/>
        <w:autoSpaceDN/>
        <w:bidi w:val="0"/>
        <w:adjustRightInd/>
        <w:snapToGrid/>
        <w:spacing w:line="360" w:lineRule="auto"/>
        <w:textAlignment w:val="auto"/>
        <w:rPr>
          <w:rFonts w:hint="default"/>
          <w:color w:val="auto"/>
          <w:sz w:val="24"/>
          <w:szCs w:val="24"/>
          <w:lang w:val="en-US" w:eastAsia="zh-CN"/>
        </w:rPr>
      </w:pPr>
      <w:r>
        <w:rPr>
          <w:color w:val="auto"/>
          <w:sz w:val="24"/>
          <w:szCs w:val="24"/>
        </w:rPr>
        <w:fldChar w:fldCharType="begin"/>
      </w:r>
      <w:r>
        <w:rPr>
          <w:sz w:val="24"/>
          <w:szCs w:val="24"/>
        </w:rPr>
        <w:instrText xml:space="preserve"> HYPERLINK \l _Toc12374 </w:instrText>
      </w:r>
      <w:r>
        <w:rPr>
          <w:sz w:val="24"/>
          <w:szCs w:val="24"/>
        </w:rPr>
        <w:fldChar w:fldCharType="separate"/>
      </w:r>
      <w:r>
        <w:rPr>
          <w:rFonts w:hint="eastAsia"/>
          <w:sz w:val="24"/>
          <w:szCs w:val="24"/>
          <w:lang w:val="en-US" w:eastAsia="zh-CN"/>
        </w:rPr>
        <w:t>七</w:t>
      </w:r>
      <w:r>
        <w:rPr>
          <w:rFonts w:hint="eastAsia"/>
          <w:sz w:val="24"/>
          <w:szCs w:val="24"/>
          <w:highlight w:val="none"/>
          <w:lang w:val="en-US" w:eastAsia="zh-CN"/>
        </w:rPr>
        <w:t>、结论</w:t>
      </w:r>
      <w:r>
        <w:rPr>
          <w:sz w:val="24"/>
          <w:szCs w:val="24"/>
        </w:rPr>
        <w:tab/>
      </w:r>
      <w:r>
        <w:rPr>
          <w:color w:val="auto"/>
          <w:sz w:val="24"/>
          <w:szCs w:val="24"/>
        </w:rPr>
        <w:fldChar w:fldCharType="end"/>
      </w:r>
      <w:r>
        <w:rPr>
          <w:rFonts w:hint="eastAsia"/>
          <w:color w:val="auto"/>
          <w:sz w:val="24"/>
          <w:szCs w:val="24"/>
          <w:lang w:val="en-US" w:eastAsia="zh-CN"/>
        </w:rPr>
        <w:t>108</w:t>
      </w:r>
    </w:p>
    <w:p w14:paraId="0B74B9B0">
      <w:pPr>
        <w:pStyle w:val="21"/>
        <w:keepNext w:val="0"/>
        <w:keepLines w:val="0"/>
        <w:pageBreakBefore w:val="0"/>
        <w:tabs>
          <w:tab w:val="right" w:leader="dot" w:pos="9072"/>
        </w:tabs>
        <w:kinsoku/>
        <w:wordWrap/>
        <w:overflowPunct/>
        <w:topLinePunct w:val="0"/>
        <w:autoSpaceDE/>
        <w:autoSpaceDN/>
        <w:bidi w:val="0"/>
        <w:adjustRightInd/>
        <w:snapToGrid/>
        <w:spacing w:line="360" w:lineRule="auto"/>
        <w:textAlignment w:val="auto"/>
        <w:rPr>
          <w:rFonts w:hint="default" w:eastAsia="宋体"/>
          <w:sz w:val="24"/>
          <w:szCs w:val="24"/>
          <w:lang w:val="en-US" w:eastAsia="zh-CN"/>
        </w:rPr>
      </w:pPr>
    </w:p>
    <w:p w14:paraId="3032C8C9">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outlineLvl w:val="0"/>
        <w:rPr>
          <w:color w:val="auto"/>
          <w:sz w:val="24"/>
          <w:szCs w:val="24"/>
        </w:rPr>
      </w:pPr>
      <w:r>
        <w:rPr>
          <w:color w:val="auto"/>
          <w:sz w:val="24"/>
          <w:szCs w:val="24"/>
        </w:rPr>
        <w:fldChar w:fldCharType="end"/>
      </w:r>
    </w:p>
    <w:p w14:paraId="13D589F3">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outlineLvl w:val="0"/>
        <w:rPr>
          <w:color w:val="auto"/>
          <w:sz w:val="24"/>
          <w:szCs w:val="24"/>
        </w:rPr>
      </w:pPr>
    </w:p>
    <w:p w14:paraId="6874AC43">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outlineLvl w:val="0"/>
        <w:rPr>
          <w:color w:val="auto"/>
          <w:sz w:val="24"/>
          <w:szCs w:val="24"/>
        </w:rPr>
      </w:pPr>
    </w:p>
    <w:p w14:paraId="0CCEE007">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outlineLvl w:val="0"/>
        <w:rPr>
          <w:color w:val="auto"/>
          <w:sz w:val="24"/>
          <w:szCs w:val="24"/>
        </w:rPr>
      </w:pPr>
    </w:p>
    <w:p w14:paraId="04CBB2F9">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outlineLvl w:val="0"/>
        <w:rPr>
          <w:color w:val="auto"/>
          <w:sz w:val="24"/>
          <w:szCs w:val="24"/>
        </w:rPr>
      </w:pPr>
    </w:p>
    <w:p w14:paraId="1DA01735">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outlineLvl w:val="0"/>
        <w:rPr>
          <w:color w:val="auto"/>
          <w:sz w:val="24"/>
          <w:szCs w:val="24"/>
        </w:rPr>
      </w:pPr>
    </w:p>
    <w:p w14:paraId="136BFFF6">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outlineLvl w:val="0"/>
        <w:rPr>
          <w:color w:val="auto"/>
          <w:sz w:val="24"/>
          <w:szCs w:val="24"/>
        </w:rPr>
      </w:pPr>
    </w:p>
    <w:p w14:paraId="54012E86">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outlineLvl w:val="0"/>
        <w:rPr>
          <w:color w:val="auto"/>
          <w:sz w:val="24"/>
          <w:szCs w:val="24"/>
        </w:rPr>
      </w:pPr>
    </w:p>
    <w:p w14:paraId="0D69AFE0">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outlineLvl w:val="0"/>
        <w:rPr>
          <w:color w:val="auto"/>
          <w:sz w:val="24"/>
          <w:szCs w:val="24"/>
        </w:rPr>
      </w:pPr>
    </w:p>
    <w:p w14:paraId="71E1A9EC">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outlineLvl w:val="0"/>
        <w:rPr>
          <w:color w:val="auto"/>
          <w:sz w:val="24"/>
          <w:szCs w:val="24"/>
        </w:rPr>
      </w:pPr>
    </w:p>
    <w:p w14:paraId="6497AC6E">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outlineLvl w:val="0"/>
        <w:rPr>
          <w:color w:val="auto"/>
          <w:sz w:val="24"/>
          <w:szCs w:val="24"/>
        </w:rPr>
      </w:pPr>
    </w:p>
    <w:p w14:paraId="22BEE098">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outlineLvl w:val="0"/>
        <w:rPr>
          <w:color w:val="auto"/>
          <w:sz w:val="24"/>
          <w:szCs w:val="24"/>
        </w:rPr>
      </w:pPr>
    </w:p>
    <w:p w14:paraId="1FE2D00F">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outlineLvl w:val="0"/>
        <w:rPr>
          <w:color w:val="auto"/>
          <w:sz w:val="24"/>
          <w:szCs w:val="24"/>
        </w:rPr>
      </w:pPr>
    </w:p>
    <w:p w14:paraId="2F5CA3D9">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outlineLvl w:val="0"/>
        <w:rPr>
          <w:color w:val="auto"/>
          <w:sz w:val="24"/>
          <w:szCs w:val="24"/>
        </w:rPr>
      </w:pPr>
    </w:p>
    <w:p w14:paraId="04F31BCD">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outlineLvl w:val="0"/>
        <w:rPr>
          <w:color w:val="auto"/>
          <w:sz w:val="24"/>
          <w:szCs w:val="24"/>
        </w:rPr>
      </w:pPr>
    </w:p>
    <w:p w14:paraId="0DF74544">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outlineLvl w:val="0"/>
        <w:rPr>
          <w:color w:val="auto"/>
          <w:sz w:val="24"/>
          <w:szCs w:val="24"/>
        </w:rPr>
      </w:pPr>
    </w:p>
    <w:p w14:paraId="2E79D17D">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outlineLvl w:val="0"/>
        <w:rPr>
          <w:color w:val="auto"/>
          <w:sz w:val="24"/>
          <w:szCs w:val="24"/>
        </w:rPr>
      </w:pPr>
    </w:p>
    <w:p w14:paraId="0F2A53A8">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outlineLvl w:val="0"/>
        <w:rPr>
          <w:color w:val="auto"/>
          <w:sz w:val="24"/>
          <w:szCs w:val="24"/>
        </w:rPr>
      </w:pPr>
    </w:p>
    <w:p w14:paraId="1EA887C7">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outlineLvl w:val="0"/>
        <w:rPr>
          <w:color w:val="auto"/>
          <w:sz w:val="24"/>
          <w:szCs w:val="24"/>
        </w:rPr>
      </w:pPr>
    </w:p>
    <w:p w14:paraId="317A9BC0">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outlineLvl w:val="0"/>
        <w:rPr>
          <w:color w:val="auto"/>
          <w:sz w:val="24"/>
          <w:szCs w:val="24"/>
        </w:rPr>
      </w:pPr>
    </w:p>
    <w:p w14:paraId="590CC464">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outlineLvl w:val="0"/>
        <w:rPr>
          <w:color w:val="auto"/>
          <w:sz w:val="24"/>
          <w:szCs w:val="24"/>
        </w:rPr>
      </w:pPr>
    </w:p>
    <w:p w14:paraId="16206237">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outlineLvl w:val="0"/>
        <w:rPr>
          <w:color w:val="auto"/>
          <w:sz w:val="24"/>
          <w:szCs w:val="24"/>
          <w:lang w:val="en-US" w:eastAsia="zh-CN"/>
        </w:rPr>
      </w:pPr>
    </w:p>
    <w:p w14:paraId="4E5B545E">
      <w:pPr>
        <w:pStyle w:val="2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0"/>
        <w:rPr>
          <w:rFonts w:hint="default" w:ascii="Times New Roman" w:hAnsi="Times New Roman" w:eastAsia="宋体" w:cs="Times New Roman"/>
          <w:b/>
          <w:bCs/>
          <w:color w:val="auto"/>
          <w:kern w:val="2"/>
          <w:sz w:val="24"/>
          <w:szCs w:val="24"/>
          <w:lang w:val="en-US" w:eastAsia="zh-CN" w:bidi="ar-SA"/>
        </w:rPr>
        <w:sectPr>
          <w:footerReference r:id="rId5" w:type="default"/>
          <w:pgSz w:w="11906" w:h="16838"/>
          <w:pgMar w:top="1417" w:right="1417" w:bottom="1417" w:left="136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22F4664B">
      <w:pPr>
        <w:adjustRightInd w:val="0"/>
        <w:snapToGrid w:val="0"/>
        <w:spacing w:line="288" w:lineRule="auto"/>
        <w:jc w:val="center"/>
        <w:rPr>
          <w:rFonts w:ascii="Times New Roman" w:hAnsi="Times New Roman" w:eastAsia="黑体"/>
          <w:snapToGrid w:val="0"/>
          <w:color w:val="auto"/>
          <w:sz w:val="30"/>
          <w:szCs w:val="30"/>
          <w:highlight w:val="none"/>
        </w:rPr>
      </w:pPr>
      <w:r>
        <w:rPr>
          <w:rFonts w:ascii="Times New Roman" w:hAnsi="Times New Roman" w:eastAsia="黑体"/>
          <w:snapToGrid w:val="0"/>
          <w:color w:val="auto"/>
          <w:sz w:val="30"/>
          <w:szCs w:val="30"/>
          <w:highlight w:val="none"/>
        </w:rPr>
        <w:t>一、建设项目基本情况</w:t>
      </w:r>
    </w:p>
    <w:tbl>
      <w:tblPr>
        <w:tblStyle w:val="29"/>
        <w:tblW w:w="8853" w:type="dxa"/>
        <w:tblInd w:w="17"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721"/>
        <w:gridCol w:w="2039"/>
        <w:gridCol w:w="2488"/>
        <w:gridCol w:w="3605"/>
      </w:tblGrid>
      <w:tr w14:paraId="2135D6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721" w:type="dxa"/>
            <w:noWrap w:val="0"/>
            <w:tcMar>
              <w:top w:w="16" w:type="dxa"/>
              <w:left w:w="16" w:type="dxa"/>
              <w:right w:w="16" w:type="dxa"/>
            </w:tcMar>
            <w:vAlign w:val="center"/>
          </w:tcPr>
          <w:p w14:paraId="4F7B5990">
            <w:pPr>
              <w:adjustRightInd w:val="0"/>
              <w:snapToGrid w:val="0"/>
              <w:jc w:val="center"/>
              <w:rPr>
                <w:color w:val="auto"/>
                <w:sz w:val="24"/>
                <w:highlight w:val="none"/>
              </w:rPr>
            </w:pPr>
            <w:r>
              <w:rPr>
                <w:color w:val="auto"/>
                <w:sz w:val="24"/>
                <w:highlight w:val="none"/>
              </w:rPr>
              <w:t>建设项目名称</w:t>
            </w:r>
          </w:p>
        </w:tc>
        <w:tc>
          <w:tcPr>
            <w:tcW w:w="8132" w:type="dxa"/>
            <w:gridSpan w:val="3"/>
            <w:noWrap w:val="0"/>
            <w:vAlign w:val="center"/>
          </w:tcPr>
          <w:p w14:paraId="08994A7D">
            <w:pPr>
              <w:adjustRightInd w:val="0"/>
              <w:snapToGrid w:val="0"/>
              <w:jc w:val="center"/>
              <w:rPr>
                <w:color w:val="auto"/>
                <w:sz w:val="24"/>
                <w:highlight w:val="none"/>
              </w:rPr>
            </w:pPr>
            <w:r>
              <w:rPr>
                <w:rFonts w:hint="eastAsia" w:ascii="Times New Roman" w:hAnsi="Times New Roman" w:eastAsia="宋体" w:cs="Times New Roman"/>
                <w:color w:val="auto"/>
                <w:sz w:val="24"/>
                <w:highlight w:val="none"/>
                <w:lang w:val="en-US" w:eastAsia="zh-CN"/>
              </w:rPr>
              <w:t>新集</w:t>
            </w:r>
            <w:r>
              <w:rPr>
                <w:rFonts w:hint="eastAsia" w:cs="Times New Roman"/>
                <w:color w:val="auto"/>
                <w:sz w:val="24"/>
                <w:highlight w:val="none"/>
                <w:lang w:val="en-US" w:eastAsia="zh-CN"/>
              </w:rPr>
              <w:t>一矿覆岩离层注浆减沉孔沉绿色开采治理</w:t>
            </w:r>
            <w:r>
              <w:rPr>
                <w:rFonts w:hint="eastAsia" w:ascii="Times New Roman" w:hAnsi="Times New Roman" w:eastAsia="宋体" w:cs="Times New Roman"/>
                <w:color w:val="auto"/>
                <w:sz w:val="24"/>
                <w:highlight w:val="none"/>
                <w:lang w:val="en-US" w:eastAsia="zh-CN"/>
              </w:rPr>
              <w:t>工程</w:t>
            </w:r>
          </w:p>
        </w:tc>
      </w:tr>
      <w:tr w14:paraId="2C6E50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53" w:hRule="atLeast"/>
        </w:trPr>
        <w:tc>
          <w:tcPr>
            <w:tcW w:w="721" w:type="dxa"/>
            <w:noWrap w:val="0"/>
            <w:tcMar>
              <w:top w:w="16" w:type="dxa"/>
              <w:left w:w="16" w:type="dxa"/>
              <w:right w:w="16" w:type="dxa"/>
            </w:tcMar>
            <w:vAlign w:val="center"/>
          </w:tcPr>
          <w:p w14:paraId="3CA3C6E2">
            <w:pPr>
              <w:adjustRightInd w:val="0"/>
              <w:snapToGrid w:val="0"/>
              <w:jc w:val="center"/>
              <w:rPr>
                <w:color w:val="auto"/>
                <w:sz w:val="24"/>
                <w:highlight w:val="none"/>
              </w:rPr>
            </w:pPr>
            <w:r>
              <w:rPr>
                <w:color w:val="auto"/>
                <w:sz w:val="24"/>
                <w:highlight w:val="none"/>
              </w:rPr>
              <w:t>项目代码</w:t>
            </w:r>
          </w:p>
        </w:tc>
        <w:tc>
          <w:tcPr>
            <w:tcW w:w="8132" w:type="dxa"/>
            <w:gridSpan w:val="3"/>
            <w:noWrap w:val="0"/>
            <w:vAlign w:val="center"/>
          </w:tcPr>
          <w:p w14:paraId="6436CB09">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2604-340421-04-01-126681</w:t>
            </w:r>
          </w:p>
        </w:tc>
      </w:tr>
      <w:tr w14:paraId="10BB0C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721" w:type="dxa"/>
            <w:noWrap w:val="0"/>
            <w:tcMar>
              <w:top w:w="16" w:type="dxa"/>
              <w:left w:w="16" w:type="dxa"/>
              <w:right w:w="16" w:type="dxa"/>
            </w:tcMar>
            <w:vAlign w:val="center"/>
          </w:tcPr>
          <w:p w14:paraId="6042C828">
            <w:pPr>
              <w:adjustRightInd w:val="0"/>
              <w:snapToGrid w:val="0"/>
              <w:jc w:val="center"/>
              <w:rPr>
                <w:color w:val="auto"/>
                <w:sz w:val="24"/>
                <w:highlight w:val="none"/>
              </w:rPr>
            </w:pPr>
            <w:r>
              <w:rPr>
                <w:color w:val="auto"/>
                <w:sz w:val="24"/>
                <w:highlight w:val="none"/>
              </w:rPr>
              <w:t>建设单位联系人</w:t>
            </w:r>
          </w:p>
        </w:tc>
        <w:tc>
          <w:tcPr>
            <w:tcW w:w="2039" w:type="dxa"/>
            <w:noWrap w:val="0"/>
            <w:vAlign w:val="center"/>
          </w:tcPr>
          <w:p w14:paraId="4DE1B41B">
            <w:pPr>
              <w:adjustRightInd w:val="0"/>
              <w:snapToGrid w:val="0"/>
              <w:jc w:val="center"/>
              <w:rPr>
                <w:rFonts w:hint="default" w:eastAsia="宋体"/>
                <w:color w:val="auto"/>
                <w:sz w:val="24"/>
                <w:highlight w:val="none"/>
                <w:lang w:val="en-US" w:eastAsia="zh-CN"/>
              </w:rPr>
            </w:pPr>
          </w:p>
        </w:tc>
        <w:tc>
          <w:tcPr>
            <w:tcW w:w="2488" w:type="dxa"/>
            <w:noWrap w:val="0"/>
            <w:vAlign w:val="center"/>
          </w:tcPr>
          <w:p w14:paraId="6766C070">
            <w:pPr>
              <w:tabs>
                <w:tab w:val="center" w:pos="1210"/>
                <w:tab w:val="right" w:pos="2301"/>
              </w:tabs>
              <w:adjustRightInd w:val="0"/>
              <w:snapToGrid w:val="0"/>
              <w:jc w:val="center"/>
              <w:rPr>
                <w:rFonts w:hint="eastAsia"/>
                <w:color w:val="auto"/>
                <w:sz w:val="24"/>
                <w:highlight w:val="none"/>
              </w:rPr>
            </w:pPr>
            <w:r>
              <w:rPr>
                <w:color w:val="auto"/>
                <w:sz w:val="24"/>
                <w:highlight w:val="none"/>
              </w:rPr>
              <w:t>联系方式</w:t>
            </w:r>
          </w:p>
        </w:tc>
        <w:tc>
          <w:tcPr>
            <w:tcW w:w="3605" w:type="dxa"/>
            <w:noWrap w:val="0"/>
            <w:vAlign w:val="center"/>
          </w:tcPr>
          <w:p w14:paraId="2040838F">
            <w:pPr>
              <w:adjustRightInd w:val="0"/>
              <w:snapToGrid w:val="0"/>
              <w:jc w:val="center"/>
              <w:rPr>
                <w:rFonts w:hint="default" w:eastAsia="宋体"/>
                <w:color w:val="auto"/>
                <w:sz w:val="24"/>
                <w:highlight w:val="none"/>
                <w:lang w:val="en-US" w:eastAsia="zh-CN"/>
              </w:rPr>
            </w:pPr>
            <w:bookmarkStart w:id="18" w:name="_GoBack"/>
            <w:bookmarkEnd w:id="18"/>
          </w:p>
        </w:tc>
      </w:tr>
      <w:tr w14:paraId="0B7395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721" w:type="dxa"/>
            <w:noWrap w:val="0"/>
            <w:tcMar>
              <w:top w:w="16" w:type="dxa"/>
              <w:left w:w="16" w:type="dxa"/>
              <w:right w:w="16" w:type="dxa"/>
            </w:tcMar>
            <w:vAlign w:val="center"/>
          </w:tcPr>
          <w:p w14:paraId="6723A3A8">
            <w:pPr>
              <w:adjustRightInd w:val="0"/>
              <w:snapToGrid w:val="0"/>
              <w:jc w:val="center"/>
              <w:rPr>
                <w:color w:val="auto"/>
                <w:sz w:val="24"/>
                <w:highlight w:val="none"/>
              </w:rPr>
            </w:pPr>
            <w:r>
              <w:rPr>
                <w:color w:val="auto"/>
                <w:sz w:val="24"/>
                <w:highlight w:val="none"/>
              </w:rPr>
              <w:t>建设地点</w:t>
            </w:r>
          </w:p>
        </w:tc>
        <w:tc>
          <w:tcPr>
            <w:tcW w:w="8132" w:type="dxa"/>
            <w:gridSpan w:val="3"/>
            <w:noWrap w:val="0"/>
            <w:vAlign w:val="center"/>
          </w:tcPr>
          <w:p w14:paraId="6242624E">
            <w:pPr>
              <w:keepNext w:val="0"/>
              <w:keepLines w:val="0"/>
              <w:widowControl/>
              <w:suppressLineNumbers w:val="0"/>
              <w:jc w:val="center"/>
              <w:rPr>
                <w:rFonts w:hint="default"/>
                <w:color w:val="auto"/>
                <w:sz w:val="24"/>
                <w:highlight w:val="none"/>
                <w:lang w:val="en-US"/>
              </w:rPr>
            </w:pPr>
            <w:r>
              <w:rPr>
                <w:rFonts w:ascii="宋体" w:hAnsi="宋体" w:eastAsia="宋体" w:cs="宋体"/>
                <w:kern w:val="0"/>
                <w:sz w:val="24"/>
                <w:szCs w:val="24"/>
                <w:lang w:val="en-US" w:eastAsia="zh-CN" w:bidi="ar"/>
              </w:rPr>
              <w:t>安徽省淮南市</w:t>
            </w:r>
            <w:r>
              <w:rPr>
                <w:rFonts w:hint="eastAsia" w:ascii="宋体" w:hAnsi="宋体" w:cs="宋体"/>
                <w:kern w:val="0"/>
                <w:sz w:val="24"/>
                <w:szCs w:val="24"/>
                <w:lang w:val="en-US" w:eastAsia="zh-CN" w:bidi="ar"/>
              </w:rPr>
              <w:t>凤台县新集镇王集村，安徽省淮南市新集一矿</w:t>
            </w:r>
            <w:r>
              <w:rPr>
                <w:rFonts w:hint="eastAsia" w:ascii="Times New Roman" w:hAnsi="Times New Roman" w:eastAsia="宋体" w:cs="Times New Roman"/>
                <w:color w:val="auto"/>
                <w:sz w:val="24"/>
                <w:highlight w:val="none"/>
                <w:lang w:val="en-US" w:eastAsia="zh-CN"/>
              </w:rPr>
              <w:t>3608(6)</w:t>
            </w:r>
            <w:r>
              <w:rPr>
                <w:rFonts w:hint="eastAsia" w:ascii="宋体" w:hAnsi="宋体" w:cs="宋体"/>
                <w:kern w:val="0"/>
                <w:sz w:val="24"/>
                <w:szCs w:val="24"/>
                <w:lang w:val="en-US" w:eastAsia="zh-CN" w:bidi="ar"/>
              </w:rPr>
              <w:t>采区东翼</w:t>
            </w:r>
          </w:p>
        </w:tc>
      </w:tr>
      <w:tr w14:paraId="77142D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21" w:type="dxa"/>
            <w:noWrap w:val="0"/>
            <w:tcMar>
              <w:top w:w="16" w:type="dxa"/>
              <w:left w:w="16" w:type="dxa"/>
              <w:right w:w="16" w:type="dxa"/>
            </w:tcMar>
            <w:vAlign w:val="center"/>
          </w:tcPr>
          <w:p w14:paraId="3B2E8A25">
            <w:pPr>
              <w:adjustRightInd w:val="0"/>
              <w:snapToGrid w:val="0"/>
              <w:jc w:val="center"/>
              <w:rPr>
                <w:color w:val="auto"/>
                <w:sz w:val="24"/>
                <w:highlight w:val="none"/>
              </w:rPr>
            </w:pPr>
            <w:r>
              <w:rPr>
                <w:color w:val="auto"/>
                <w:sz w:val="24"/>
                <w:highlight w:val="none"/>
              </w:rPr>
              <w:t>地理坐标</w:t>
            </w:r>
          </w:p>
        </w:tc>
        <w:tc>
          <w:tcPr>
            <w:tcW w:w="8132" w:type="dxa"/>
            <w:gridSpan w:val="3"/>
            <w:noWrap w:val="0"/>
            <w:vAlign w:val="center"/>
          </w:tcPr>
          <w:p w14:paraId="517A06C5">
            <w:pPr>
              <w:adjustRightInd w:val="0"/>
              <w:snapToGrid w:val="0"/>
              <w:ind w:firstLine="480" w:firstLineChars="200"/>
              <w:jc w:val="left"/>
              <w:rPr>
                <w:rFonts w:hint="default"/>
                <w:color w:val="auto"/>
                <w:sz w:val="24"/>
                <w:highlight w:val="none"/>
                <w:lang w:val="en-US"/>
              </w:rPr>
            </w:pPr>
            <w:r>
              <w:rPr>
                <w:rFonts w:hint="eastAsia"/>
                <w:color w:val="auto"/>
                <w:sz w:val="24"/>
                <w:highlight w:val="none"/>
                <w:lang w:val="en-US" w:eastAsia="zh-CN"/>
              </w:rPr>
              <w:t>钻孔1坐标</w:t>
            </w:r>
            <w:r>
              <w:rPr>
                <w:color w:val="auto"/>
                <w:sz w:val="24"/>
                <w:highlight w:val="none"/>
              </w:rPr>
              <w:t>：E116度3</w:t>
            </w:r>
            <w:r>
              <w:rPr>
                <w:rFonts w:hint="eastAsia"/>
                <w:color w:val="auto"/>
                <w:sz w:val="24"/>
                <w:highlight w:val="none"/>
                <w:lang w:val="en-US" w:eastAsia="zh-CN"/>
              </w:rPr>
              <w:t>1</w:t>
            </w:r>
            <w:r>
              <w:rPr>
                <w:color w:val="auto"/>
                <w:sz w:val="24"/>
                <w:highlight w:val="none"/>
              </w:rPr>
              <w:t>分</w:t>
            </w:r>
            <w:r>
              <w:rPr>
                <w:rFonts w:hint="eastAsia"/>
                <w:color w:val="auto"/>
                <w:sz w:val="24"/>
                <w:highlight w:val="none"/>
                <w:lang w:val="en-US" w:eastAsia="zh-CN"/>
              </w:rPr>
              <w:t>23.924</w:t>
            </w:r>
            <w:r>
              <w:rPr>
                <w:color w:val="auto"/>
                <w:sz w:val="24"/>
                <w:highlight w:val="none"/>
              </w:rPr>
              <w:t>秒，N32度</w:t>
            </w:r>
            <w:r>
              <w:rPr>
                <w:rFonts w:hint="eastAsia"/>
                <w:color w:val="auto"/>
                <w:sz w:val="24"/>
                <w:highlight w:val="none"/>
                <w:lang w:val="en-US" w:eastAsia="zh-CN"/>
              </w:rPr>
              <w:t>42</w:t>
            </w:r>
            <w:r>
              <w:rPr>
                <w:color w:val="auto"/>
                <w:sz w:val="24"/>
                <w:highlight w:val="none"/>
              </w:rPr>
              <w:t>分</w:t>
            </w:r>
            <w:r>
              <w:rPr>
                <w:rFonts w:hint="eastAsia"/>
                <w:color w:val="auto"/>
                <w:sz w:val="24"/>
                <w:highlight w:val="none"/>
                <w:lang w:val="en-US" w:eastAsia="zh-CN"/>
              </w:rPr>
              <w:t>24.310秒</w:t>
            </w:r>
          </w:p>
          <w:p w14:paraId="0964BAE2">
            <w:pPr>
              <w:adjustRightInd w:val="0"/>
              <w:snapToGrid w:val="0"/>
              <w:ind w:firstLine="480" w:firstLineChars="200"/>
              <w:jc w:val="left"/>
              <w:rPr>
                <w:color w:val="auto"/>
                <w:sz w:val="24"/>
                <w:highlight w:val="none"/>
              </w:rPr>
            </w:pPr>
            <w:r>
              <w:rPr>
                <w:rFonts w:hint="eastAsia"/>
                <w:color w:val="auto"/>
                <w:sz w:val="24"/>
                <w:highlight w:val="none"/>
                <w:lang w:val="en-US" w:eastAsia="zh-CN"/>
              </w:rPr>
              <w:t>钻孔2</w:t>
            </w:r>
            <w:r>
              <w:rPr>
                <w:color w:val="auto"/>
                <w:sz w:val="24"/>
                <w:highlight w:val="none"/>
              </w:rPr>
              <w:t>坐标：</w:t>
            </w:r>
            <w:r>
              <w:rPr>
                <w:rFonts w:hint="eastAsia"/>
                <w:color w:val="auto"/>
                <w:sz w:val="24"/>
                <w:highlight w:val="none"/>
                <w:lang w:val="en-US" w:eastAsia="zh-CN"/>
              </w:rPr>
              <w:t>E116度31分20.718秒，N32度42分25.604秒</w:t>
            </w:r>
          </w:p>
          <w:p w14:paraId="1F8852BE">
            <w:pPr>
              <w:adjustRightInd w:val="0"/>
              <w:snapToGrid w:val="0"/>
              <w:ind w:firstLine="480" w:firstLineChars="200"/>
              <w:jc w:val="left"/>
              <w:rPr>
                <w:rFonts w:hint="default" w:eastAsia="宋体"/>
                <w:color w:val="auto"/>
                <w:sz w:val="24"/>
                <w:highlight w:val="none"/>
                <w:lang w:val="en-US" w:eastAsia="zh-CN"/>
              </w:rPr>
            </w:pPr>
            <w:r>
              <w:rPr>
                <w:rFonts w:hint="eastAsia"/>
                <w:color w:val="auto"/>
                <w:sz w:val="24"/>
                <w:highlight w:val="none"/>
                <w:lang w:val="en-US" w:eastAsia="zh-CN"/>
              </w:rPr>
              <w:t>钻孔3</w:t>
            </w:r>
            <w:r>
              <w:rPr>
                <w:color w:val="auto"/>
                <w:sz w:val="24"/>
                <w:highlight w:val="none"/>
              </w:rPr>
              <w:t>坐标：</w:t>
            </w:r>
            <w:r>
              <w:rPr>
                <w:rFonts w:hint="eastAsia"/>
                <w:color w:val="auto"/>
                <w:sz w:val="24"/>
                <w:highlight w:val="none"/>
                <w:lang w:val="en-US" w:eastAsia="zh-CN"/>
              </w:rPr>
              <w:t>E116度31分18.352秒，N32度42分26.493秒</w:t>
            </w:r>
          </w:p>
          <w:p w14:paraId="32B00B3C">
            <w:pPr>
              <w:adjustRightInd w:val="0"/>
              <w:snapToGrid w:val="0"/>
              <w:ind w:firstLine="480" w:firstLineChars="200"/>
              <w:jc w:val="left"/>
              <w:rPr>
                <w:rFonts w:hint="default" w:eastAsia="宋体"/>
                <w:color w:val="auto"/>
                <w:sz w:val="24"/>
                <w:highlight w:val="none"/>
                <w:lang w:val="en-US" w:eastAsia="zh-CN"/>
              </w:rPr>
            </w:pPr>
            <w:r>
              <w:rPr>
                <w:rFonts w:hint="eastAsia"/>
                <w:color w:val="auto"/>
                <w:sz w:val="24"/>
                <w:highlight w:val="none"/>
                <w:lang w:val="en-US" w:eastAsia="zh-CN"/>
              </w:rPr>
              <w:t>钻孔4</w:t>
            </w:r>
            <w:r>
              <w:rPr>
                <w:color w:val="auto"/>
                <w:sz w:val="24"/>
                <w:highlight w:val="none"/>
              </w:rPr>
              <w:t>坐标：</w:t>
            </w:r>
            <w:r>
              <w:rPr>
                <w:rFonts w:hint="eastAsia"/>
                <w:color w:val="auto"/>
                <w:sz w:val="24"/>
                <w:highlight w:val="none"/>
                <w:lang w:val="en-US" w:eastAsia="zh-CN"/>
              </w:rPr>
              <w:t>E116度31分16.875秒，N32度42分27.019秒</w:t>
            </w:r>
          </w:p>
          <w:p w14:paraId="4B881802">
            <w:pPr>
              <w:adjustRightInd w:val="0"/>
              <w:snapToGrid w:val="0"/>
              <w:ind w:firstLine="480" w:firstLineChars="200"/>
              <w:jc w:val="left"/>
              <w:rPr>
                <w:rFonts w:hint="eastAsia"/>
                <w:color w:val="auto"/>
                <w:sz w:val="24"/>
                <w:highlight w:val="none"/>
                <w:lang w:val="en-US" w:eastAsia="zh-CN"/>
              </w:rPr>
            </w:pPr>
            <w:r>
              <w:rPr>
                <w:rFonts w:hint="eastAsia"/>
                <w:color w:val="auto"/>
                <w:sz w:val="24"/>
                <w:highlight w:val="none"/>
                <w:lang w:val="en-US" w:eastAsia="zh-CN"/>
              </w:rPr>
              <w:t>钻孔5</w:t>
            </w:r>
            <w:r>
              <w:rPr>
                <w:color w:val="auto"/>
                <w:sz w:val="24"/>
                <w:highlight w:val="none"/>
              </w:rPr>
              <w:t>坐标：</w:t>
            </w:r>
            <w:r>
              <w:rPr>
                <w:rFonts w:hint="eastAsia"/>
                <w:color w:val="auto"/>
                <w:sz w:val="24"/>
                <w:highlight w:val="none"/>
                <w:lang w:val="en-US" w:eastAsia="zh-CN"/>
              </w:rPr>
              <w:t>E116度31分15.711秒，N32度42分27.531秒</w:t>
            </w:r>
          </w:p>
          <w:p w14:paraId="2D74283C">
            <w:pPr>
              <w:adjustRightInd w:val="0"/>
              <w:snapToGrid w:val="0"/>
              <w:ind w:firstLine="480" w:firstLineChars="200"/>
              <w:jc w:val="left"/>
              <w:rPr>
                <w:rFonts w:hint="eastAsia"/>
                <w:color w:val="auto"/>
                <w:sz w:val="24"/>
                <w:highlight w:val="none"/>
                <w:lang w:val="en-US" w:eastAsia="zh-CN"/>
              </w:rPr>
            </w:pPr>
            <w:r>
              <w:rPr>
                <w:rFonts w:hint="eastAsia"/>
                <w:color w:val="auto"/>
                <w:sz w:val="24"/>
                <w:highlight w:val="none"/>
                <w:lang w:val="en-US" w:eastAsia="zh-CN"/>
              </w:rPr>
              <w:t>钻孔6</w:t>
            </w:r>
            <w:r>
              <w:rPr>
                <w:color w:val="auto"/>
                <w:sz w:val="24"/>
                <w:highlight w:val="none"/>
              </w:rPr>
              <w:t>坐标：</w:t>
            </w:r>
            <w:r>
              <w:rPr>
                <w:rFonts w:hint="eastAsia"/>
                <w:color w:val="auto"/>
                <w:sz w:val="24"/>
                <w:highlight w:val="none"/>
                <w:lang w:val="en-US" w:eastAsia="zh-CN"/>
              </w:rPr>
              <w:t>E116度31分12.684秒，N32度42分28.762秒</w:t>
            </w:r>
          </w:p>
          <w:p w14:paraId="7F5A9416">
            <w:pPr>
              <w:adjustRightInd w:val="0"/>
              <w:snapToGrid w:val="0"/>
              <w:ind w:firstLine="480" w:firstLineChars="200"/>
              <w:jc w:val="left"/>
              <w:rPr>
                <w:rFonts w:hint="eastAsia"/>
                <w:color w:val="auto"/>
                <w:sz w:val="24"/>
                <w:highlight w:val="none"/>
                <w:lang w:val="en-US" w:eastAsia="zh-CN"/>
              </w:rPr>
            </w:pPr>
            <w:r>
              <w:rPr>
                <w:rFonts w:hint="eastAsia"/>
                <w:color w:val="auto"/>
                <w:sz w:val="24"/>
                <w:highlight w:val="none"/>
                <w:lang w:val="en-US" w:eastAsia="zh-CN"/>
              </w:rPr>
              <w:t>钻孔7</w:t>
            </w:r>
            <w:r>
              <w:rPr>
                <w:color w:val="auto"/>
                <w:sz w:val="24"/>
                <w:highlight w:val="none"/>
              </w:rPr>
              <w:t>坐标：</w:t>
            </w:r>
            <w:r>
              <w:rPr>
                <w:rFonts w:hint="eastAsia"/>
                <w:color w:val="auto"/>
                <w:sz w:val="24"/>
                <w:highlight w:val="none"/>
                <w:lang w:val="en-US" w:eastAsia="zh-CN"/>
              </w:rPr>
              <w:t>E116度31分11.443秒，N32度42分29.249秒</w:t>
            </w:r>
          </w:p>
          <w:p w14:paraId="5F51EF9D">
            <w:pPr>
              <w:adjustRightInd w:val="0"/>
              <w:snapToGrid w:val="0"/>
              <w:ind w:firstLine="480" w:firstLineChars="200"/>
              <w:jc w:val="left"/>
              <w:rPr>
                <w:rFonts w:hint="eastAsia"/>
                <w:color w:val="auto"/>
                <w:sz w:val="24"/>
                <w:highlight w:val="none"/>
                <w:lang w:val="en-US" w:eastAsia="zh-CN"/>
              </w:rPr>
            </w:pPr>
            <w:r>
              <w:rPr>
                <w:rFonts w:hint="eastAsia"/>
                <w:color w:val="auto"/>
                <w:sz w:val="24"/>
                <w:highlight w:val="none"/>
                <w:lang w:val="en-US" w:eastAsia="zh-CN"/>
              </w:rPr>
              <w:t>钻孔8</w:t>
            </w:r>
            <w:r>
              <w:rPr>
                <w:color w:val="auto"/>
                <w:sz w:val="24"/>
                <w:highlight w:val="none"/>
              </w:rPr>
              <w:t>坐标：</w:t>
            </w:r>
            <w:r>
              <w:rPr>
                <w:rFonts w:hint="eastAsia"/>
                <w:color w:val="auto"/>
                <w:sz w:val="24"/>
                <w:highlight w:val="none"/>
                <w:lang w:val="en-US" w:eastAsia="zh-CN"/>
              </w:rPr>
              <w:t>E116度31分08.363秒，N32度42分30.485秒</w:t>
            </w:r>
          </w:p>
          <w:p w14:paraId="4A3CE4FC">
            <w:pPr>
              <w:adjustRightInd w:val="0"/>
              <w:snapToGrid w:val="0"/>
              <w:ind w:firstLine="480" w:firstLineChars="200"/>
              <w:jc w:val="left"/>
              <w:rPr>
                <w:rFonts w:hint="eastAsia"/>
                <w:color w:val="auto"/>
                <w:sz w:val="24"/>
                <w:highlight w:val="none"/>
                <w:lang w:val="en-US" w:eastAsia="zh-CN"/>
              </w:rPr>
            </w:pPr>
            <w:r>
              <w:rPr>
                <w:rFonts w:hint="eastAsia"/>
                <w:color w:val="auto"/>
                <w:sz w:val="24"/>
                <w:highlight w:val="none"/>
                <w:lang w:val="en-US" w:eastAsia="zh-CN"/>
              </w:rPr>
              <w:t>钻孔9</w:t>
            </w:r>
            <w:r>
              <w:rPr>
                <w:color w:val="auto"/>
                <w:sz w:val="24"/>
                <w:highlight w:val="none"/>
              </w:rPr>
              <w:t>坐标：</w:t>
            </w:r>
            <w:r>
              <w:rPr>
                <w:rFonts w:hint="eastAsia"/>
                <w:color w:val="auto"/>
                <w:sz w:val="24"/>
                <w:highlight w:val="none"/>
                <w:lang w:val="en-US" w:eastAsia="zh-CN"/>
              </w:rPr>
              <w:t>E116度31分04.206秒，N32度42分32.127秒</w:t>
            </w:r>
          </w:p>
          <w:p w14:paraId="2125549D">
            <w:pPr>
              <w:adjustRightInd w:val="0"/>
              <w:snapToGrid w:val="0"/>
              <w:ind w:firstLine="480" w:firstLineChars="200"/>
              <w:jc w:val="left"/>
              <w:rPr>
                <w:rFonts w:hint="eastAsia"/>
                <w:color w:val="auto"/>
                <w:sz w:val="24"/>
                <w:highlight w:val="none"/>
                <w:lang w:val="en-US" w:eastAsia="zh-CN"/>
              </w:rPr>
            </w:pPr>
            <w:r>
              <w:rPr>
                <w:rFonts w:hint="eastAsia"/>
                <w:color w:val="auto"/>
                <w:sz w:val="24"/>
                <w:highlight w:val="none"/>
                <w:lang w:val="en-US" w:eastAsia="zh-CN"/>
              </w:rPr>
              <w:t>钻孔10</w:t>
            </w:r>
            <w:r>
              <w:rPr>
                <w:color w:val="auto"/>
                <w:sz w:val="24"/>
                <w:highlight w:val="none"/>
              </w:rPr>
              <w:t>坐标：</w:t>
            </w:r>
            <w:r>
              <w:rPr>
                <w:rFonts w:hint="eastAsia"/>
                <w:color w:val="auto"/>
                <w:sz w:val="24"/>
                <w:highlight w:val="none"/>
                <w:lang w:val="en-US" w:eastAsia="zh-CN"/>
              </w:rPr>
              <w:t>E116度31分21.471秒，N32度42分22.669秒</w:t>
            </w:r>
          </w:p>
          <w:p w14:paraId="0FEE6623">
            <w:pPr>
              <w:adjustRightInd w:val="0"/>
              <w:snapToGrid w:val="0"/>
              <w:ind w:firstLine="480" w:firstLineChars="200"/>
              <w:jc w:val="left"/>
              <w:rPr>
                <w:rFonts w:hint="eastAsia"/>
                <w:color w:val="auto"/>
                <w:sz w:val="24"/>
                <w:highlight w:val="none"/>
                <w:lang w:val="en-US" w:eastAsia="zh-CN"/>
              </w:rPr>
            </w:pPr>
            <w:r>
              <w:rPr>
                <w:rFonts w:hint="eastAsia"/>
                <w:color w:val="auto"/>
                <w:sz w:val="24"/>
                <w:highlight w:val="none"/>
                <w:lang w:val="en-US" w:eastAsia="zh-CN"/>
              </w:rPr>
              <w:t>钻孔11坐标：E116度31分03.579秒，N32度42分30.915秒</w:t>
            </w:r>
          </w:p>
          <w:p w14:paraId="32349998">
            <w:pPr>
              <w:adjustRightInd w:val="0"/>
              <w:snapToGrid w:val="0"/>
              <w:ind w:firstLine="480" w:firstLineChars="200"/>
              <w:jc w:val="left"/>
              <w:rPr>
                <w:rFonts w:hint="default"/>
                <w:color w:val="auto"/>
                <w:sz w:val="24"/>
                <w:highlight w:val="none"/>
                <w:lang w:val="en-US" w:eastAsia="zh-CN"/>
              </w:rPr>
            </w:pPr>
            <w:r>
              <w:rPr>
                <w:rFonts w:hint="eastAsia"/>
                <w:color w:val="auto"/>
                <w:sz w:val="24"/>
                <w:highlight w:val="none"/>
                <w:lang w:val="en-US" w:eastAsia="zh-CN"/>
              </w:rPr>
              <w:t>注浆站坐标：E116度30分39.453秒，N32度42分38.929秒</w:t>
            </w:r>
          </w:p>
        </w:tc>
      </w:tr>
      <w:tr w14:paraId="65A98F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15" w:hRule="atLeast"/>
        </w:trPr>
        <w:tc>
          <w:tcPr>
            <w:tcW w:w="721" w:type="dxa"/>
            <w:noWrap w:val="0"/>
            <w:tcMar>
              <w:top w:w="16" w:type="dxa"/>
              <w:left w:w="16" w:type="dxa"/>
              <w:right w:w="16" w:type="dxa"/>
            </w:tcMar>
            <w:vAlign w:val="center"/>
          </w:tcPr>
          <w:p w14:paraId="596D49BF">
            <w:pPr>
              <w:adjustRightInd w:val="0"/>
              <w:snapToGrid w:val="0"/>
              <w:jc w:val="center"/>
              <w:rPr>
                <w:color w:val="auto"/>
                <w:sz w:val="24"/>
                <w:highlight w:val="none"/>
              </w:rPr>
            </w:pPr>
            <w:r>
              <w:rPr>
                <w:color w:val="auto"/>
                <w:sz w:val="24"/>
                <w:highlight w:val="none"/>
              </w:rPr>
              <w:t>建设项目行业类别</w:t>
            </w:r>
          </w:p>
        </w:tc>
        <w:tc>
          <w:tcPr>
            <w:tcW w:w="2039" w:type="dxa"/>
            <w:noWrap w:val="0"/>
            <w:vAlign w:val="center"/>
          </w:tcPr>
          <w:p w14:paraId="7F55D2ED">
            <w:pPr>
              <w:adjustRightInd w:val="0"/>
              <w:snapToGrid w:val="0"/>
              <w:jc w:val="center"/>
              <w:rPr>
                <w:rFonts w:hint="default"/>
                <w:color w:val="auto"/>
                <w:sz w:val="24"/>
                <w:highlight w:val="none"/>
                <w:lang w:val="en-US"/>
              </w:rPr>
            </w:pPr>
            <w:r>
              <w:rPr>
                <w:sz w:val="24"/>
                <w:highlight w:val="none"/>
              </w:rPr>
              <w:t>四十六：专业技术服务业：99陆地矿产资源地质勘查</w:t>
            </w:r>
          </w:p>
        </w:tc>
        <w:tc>
          <w:tcPr>
            <w:tcW w:w="2488" w:type="dxa"/>
            <w:noWrap w:val="0"/>
            <w:vAlign w:val="center"/>
          </w:tcPr>
          <w:p w14:paraId="607F1C1F">
            <w:pPr>
              <w:adjustRightInd w:val="0"/>
              <w:snapToGrid w:val="0"/>
              <w:jc w:val="center"/>
              <w:rPr>
                <w:color w:val="auto"/>
                <w:sz w:val="24"/>
                <w:highlight w:val="none"/>
              </w:rPr>
            </w:pPr>
            <w:r>
              <w:rPr>
                <w:color w:val="auto"/>
                <w:sz w:val="24"/>
                <w:highlight w:val="none"/>
              </w:rPr>
              <w:t>用地面积（㎡）</w:t>
            </w:r>
          </w:p>
        </w:tc>
        <w:tc>
          <w:tcPr>
            <w:tcW w:w="3605" w:type="dxa"/>
            <w:noWrap w:val="0"/>
            <w:vAlign w:val="center"/>
          </w:tcPr>
          <w:p w14:paraId="35F3A8CE">
            <w:pPr>
              <w:adjustRightInd w:val="0"/>
              <w:snapToGrid w:val="0"/>
              <w:jc w:val="center"/>
              <w:rPr>
                <w:color w:val="auto"/>
                <w:sz w:val="24"/>
                <w:highlight w:val="none"/>
              </w:rPr>
            </w:pPr>
            <w:r>
              <w:rPr>
                <w:rFonts w:hint="eastAsia"/>
                <w:color w:val="auto"/>
                <w:sz w:val="24"/>
                <w:highlight w:val="none"/>
                <w:lang w:val="en-US" w:eastAsia="zh-CN"/>
              </w:rPr>
              <w:t>9379</w:t>
            </w:r>
            <w:r>
              <w:rPr>
                <w:color w:val="auto"/>
                <w:sz w:val="24"/>
                <w:highlight w:val="none"/>
              </w:rPr>
              <w:t>（临时用地）</w:t>
            </w:r>
          </w:p>
        </w:tc>
      </w:tr>
      <w:tr w14:paraId="2E5427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4" w:hRule="atLeast"/>
        </w:trPr>
        <w:tc>
          <w:tcPr>
            <w:tcW w:w="721" w:type="dxa"/>
            <w:noWrap w:val="0"/>
            <w:tcMar>
              <w:top w:w="16" w:type="dxa"/>
              <w:left w:w="16" w:type="dxa"/>
              <w:right w:w="16" w:type="dxa"/>
            </w:tcMar>
            <w:vAlign w:val="center"/>
          </w:tcPr>
          <w:p w14:paraId="1ADFCFD6">
            <w:pPr>
              <w:adjustRightInd w:val="0"/>
              <w:snapToGrid w:val="0"/>
              <w:jc w:val="center"/>
              <w:rPr>
                <w:color w:val="auto"/>
                <w:sz w:val="24"/>
                <w:highlight w:val="none"/>
              </w:rPr>
            </w:pPr>
            <w:r>
              <w:rPr>
                <w:color w:val="auto"/>
                <w:sz w:val="24"/>
                <w:highlight w:val="none"/>
              </w:rPr>
              <w:t>建设性质</w:t>
            </w:r>
          </w:p>
        </w:tc>
        <w:tc>
          <w:tcPr>
            <w:tcW w:w="2039" w:type="dxa"/>
            <w:noWrap w:val="0"/>
            <w:vAlign w:val="center"/>
          </w:tcPr>
          <w:p w14:paraId="69D01A72">
            <w:pPr>
              <w:adjustRightInd w:val="0"/>
              <w:snapToGrid w:val="0"/>
              <w:jc w:val="left"/>
              <w:rPr>
                <w:color w:val="auto"/>
                <w:sz w:val="24"/>
                <w:highlight w:val="none"/>
              </w:rPr>
            </w:pPr>
            <w:r>
              <w:rPr>
                <w:color w:val="auto"/>
                <w:sz w:val="24"/>
                <w:highlight w:val="none"/>
              </w:rPr>
              <w:sym w:font="Wingdings 2" w:char="0052"/>
            </w:r>
            <w:r>
              <w:rPr>
                <w:color w:val="auto"/>
                <w:sz w:val="24"/>
                <w:highlight w:val="none"/>
              </w:rPr>
              <w:t>新建（迁建）</w:t>
            </w:r>
          </w:p>
          <w:p w14:paraId="10A843EF">
            <w:pPr>
              <w:adjustRightInd w:val="0"/>
              <w:snapToGrid w:val="0"/>
              <w:jc w:val="left"/>
              <w:rPr>
                <w:color w:val="auto"/>
                <w:sz w:val="24"/>
                <w:highlight w:val="none"/>
              </w:rPr>
            </w:pPr>
            <w:r>
              <w:rPr>
                <w:color w:val="auto"/>
                <w:sz w:val="24"/>
                <w:highlight w:val="none"/>
              </w:rPr>
              <w:t>□改建</w:t>
            </w:r>
          </w:p>
          <w:p w14:paraId="76F6C7E0">
            <w:pPr>
              <w:adjustRightInd w:val="0"/>
              <w:snapToGrid w:val="0"/>
              <w:jc w:val="left"/>
              <w:rPr>
                <w:color w:val="auto"/>
                <w:sz w:val="24"/>
                <w:highlight w:val="none"/>
              </w:rPr>
            </w:pPr>
            <w:r>
              <w:rPr>
                <w:color w:val="auto"/>
                <w:sz w:val="24"/>
                <w:highlight w:val="none"/>
              </w:rPr>
              <w:t>□扩建</w:t>
            </w:r>
          </w:p>
          <w:p w14:paraId="21CF8E63">
            <w:pPr>
              <w:adjustRightInd w:val="0"/>
              <w:snapToGrid w:val="0"/>
              <w:jc w:val="left"/>
              <w:rPr>
                <w:color w:val="auto"/>
                <w:sz w:val="24"/>
                <w:highlight w:val="none"/>
              </w:rPr>
            </w:pPr>
            <w:r>
              <w:rPr>
                <w:color w:val="auto"/>
                <w:sz w:val="24"/>
                <w:highlight w:val="none"/>
              </w:rPr>
              <w:t>□技术改造</w:t>
            </w:r>
          </w:p>
        </w:tc>
        <w:tc>
          <w:tcPr>
            <w:tcW w:w="2488" w:type="dxa"/>
            <w:noWrap w:val="0"/>
            <w:vAlign w:val="center"/>
          </w:tcPr>
          <w:p w14:paraId="624FB74B">
            <w:pPr>
              <w:adjustRightInd w:val="0"/>
              <w:snapToGrid w:val="0"/>
              <w:jc w:val="center"/>
              <w:rPr>
                <w:color w:val="auto"/>
                <w:sz w:val="24"/>
                <w:highlight w:val="none"/>
              </w:rPr>
            </w:pPr>
            <w:r>
              <w:rPr>
                <w:color w:val="auto"/>
                <w:sz w:val="24"/>
                <w:highlight w:val="none"/>
              </w:rPr>
              <w:t>建设项目</w:t>
            </w:r>
          </w:p>
          <w:p w14:paraId="561D077A">
            <w:pPr>
              <w:adjustRightInd w:val="0"/>
              <w:snapToGrid w:val="0"/>
              <w:jc w:val="center"/>
              <w:rPr>
                <w:color w:val="auto"/>
                <w:sz w:val="24"/>
                <w:highlight w:val="none"/>
              </w:rPr>
            </w:pPr>
            <w:r>
              <w:rPr>
                <w:color w:val="auto"/>
                <w:sz w:val="24"/>
                <w:highlight w:val="none"/>
              </w:rPr>
              <w:t>申报情形</w:t>
            </w:r>
          </w:p>
        </w:tc>
        <w:tc>
          <w:tcPr>
            <w:tcW w:w="3605" w:type="dxa"/>
            <w:noWrap w:val="0"/>
            <w:vAlign w:val="center"/>
          </w:tcPr>
          <w:p w14:paraId="5ACF2C2A">
            <w:pPr>
              <w:adjustRightInd w:val="0"/>
              <w:snapToGrid w:val="0"/>
              <w:jc w:val="left"/>
              <w:rPr>
                <w:color w:val="auto"/>
                <w:sz w:val="24"/>
                <w:highlight w:val="none"/>
              </w:rPr>
            </w:pPr>
            <w:r>
              <w:rPr>
                <w:color w:val="auto"/>
                <w:sz w:val="24"/>
                <w:highlight w:val="none"/>
              </w:rPr>
              <w:sym w:font="Wingdings 2" w:char="0052"/>
            </w:r>
            <w:r>
              <w:rPr>
                <w:color w:val="auto"/>
                <w:sz w:val="24"/>
                <w:highlight w:val="none"/>
              </w:rPr>
              <w:t>首次申报项目</w:t>
            </w:r>
          </w:p>
          <w:p w14:paraId="0F5A9365">
            <w:pPr>
              <w:adjustRightInd w:val="0"/>
              <w:snapToGrid w:val="0"/>
              <w:jc w:val="left"/>
              <w:rPr>
                <w:color w:val="auto"/>
                <w:sz w:val="24"/>
                <w:highlight w:val="none"/>
              </w:rPr>
            </w:pPr>
            <w:r>
              <w:rPr>
                <w:color w:val="auto"/>
                <w:sz w:val="24"/>
                <w:highlight w:val="none"/>
              </w:rPr>
              <w:t>□不予批准后再次申报项目</w:t>
            </w:r>
          </w:p>
          <w:p w14:paraId="662621B7">
            <w:pPr>
              <w:adjustRightInd w:val="0"/>
              <w:snapToGrid w:val="0"/>
              <w:jc w:val="left"/>
              <w:rPr>
                <w:color w:val="auto"/>
                <w:sz w:val="24"/>
                <w:highlight w:val="none"/>
              </w:rPr>
            </w:pPr>
            <w:r>
              <w:rPr>
                <w:color w:val="auto"/>
                <w:sz w:val="24"/>
                <w:highlight w:val="none"/>
              </w:rPr>
              <w:t>□超五年重新审核项目</w:t>
            </w:r>
          </w:p>
          <w:p w14:paraId="227AF344">
            <w:pPr>
              <w:adjustRightInd w:val="0"/>
              <w:snapToGrid w:val="0"/>
              <w:jc w:val="left"/>
              <w:rPr>
                <w:color w:val="auto"/>
                <w:sz w:val="24"/>
                <w:highlight w:val="none"/>
              </w:rPr>
            </w:pPr>
            <w:r>
              <w:rPr>
                <w:color w:val="auto"/>
                <w:sz w:val="24"/>
                <w:highlight w:val="none"/>
              </w:rPr>
              <w:t>□重大变动重新报批项目</w:t>
            </w:r>
          </w:p>
        </w:tc>
      </w:tr>
      <w:tr w14:paraId="66A725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2" w:hRule="atLeast"/>
        </w:trPr>
        <w:tc>
          <w:tcPr>
            <w:tcW w:w="721" w:type="dxa"/>
            <w:noWrap w:val="0"/>
            <w:tcMar>
              <w:top w:w="16" w:type="dxa"/>
              <w:left w:w="16" w:type="dxa"/>
              <w:right w:w="16" w:type="dxa"/>
            </w:tcMar>
            <w:vAlign w:val="center"/>
          </w:tcPr>
          <w:p w14:paraId="486A53C3">
            <w:pPr>
              <w:adjustRightInd w:val="0"/>
              <w:snapToGrid w:val="0"/>
              <w:jc w:val="center"/>
              <w:rPr>
                <w:color w:val="auto"/>
                <w:sz w:val="24"/>
                <w:highlight w:val="none"/>
              </w:rPr>
            </w:pPr>
            <w:r>
              <w:rPr>
                <w:color w:val="auto"/>
                <w:sz w:val="24"/>
                <w:highlight w:val="none"/>
              </w:rPr>
              <w:t>项目审批（核准/备案）部门（选填）</w:t>
            </w:r>
          </w:p>
        </w:tc>
        <w:tc>
          <w:tcPr>
            <w:tcW w:w="2039" w:type="dxa"/>
            <w:noWrap w:val="0"/>
            <w:vAlign w:val="center"/>
          </w:tcPr>
          <w:p w14:paraId="7C155CE7">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凤台县发展和改革委员会</w:t>
            </w:r>
          </w:p>
        </w:tc>
        <w:tc>
          <w:tcPr>
            <w:tcW w:w="2488" w:type="dxa"/>
            <w:noWrap w:val="0"/>
            <w:vAlign w:val="center"/>
          </w:tcPr>
          <w:p w14:paraId="15E6C5A5">
            <w:pPr>
              <w:adjustRightInd w:val="0"/>
              <w:snapToGrid w:val="0"/>
              <w:jc w:val="center"/>
              <w:rPr>
                <w:color w:val="auto"/>
                <w:sz w:val="24"/>
                <w:highlight w:val="none"/>
              </w:rPr>
            </w:pPr>
            <w:r>
              <w:rPr>
                <w:color w:val="auto"/>
                <w:sz w:val="24"/>
                <w:highlight w:val="none"/>
              </w:rPr>
              <w:t>项目审批（核准/</w:t>
            </w:r>
          </w:p>
          <w:p w14:paraId="2E313588">
            <w:pPr>
              <w:adjustRightInd w:val="0"/>
              <w:snapToGrid w:val="0"/>
              <w:jc w:val="center"/>
              <w:rPr>
                <w:color w:val="auto"/>
                <w:sz w:val="24"/>
                <w:highlight w:val="none"/>
              </w:rPr>
            </w:pPr>
            <w:r>
              <w:rPr>
                <w:bCs/>
                <w:color w:val="auto"/>
                <w:sz w:val="24"/>
                <w:highlight w:val="none"/>
              </w:rPr>
              <w:t>备案</w:t>
            </w:r>
            <w:r>
              <w:rPr>
                <w:color w:val="auto"/>
                <w:sz w:val="24"/>
                <w:highlight w:val="none"/>
              </w:rPr>
              <w:t>）文号（选填）</w:t>
            </w:r>
          </w:p>
        </w:tc>
        <w:tc>
          <w:tcPr>
            <w:tcW w:w="3605" w:type="dxa"/>
            <w:noWrap w:val="0"/>
            <w:vAlign w:val="center"/>
          </w:tcPr>
          <w:p w14:paraId="0F8D6C5A">
            <w:pPr>
              <w:adjustRightInd w:val="0"/>
              <w:snapToGrid w:val="0"/>
              <w:jc w:val="center"/>
              <w:rPr>
                <w:color w:val="auto"/>
                <w:sz w:val="24"/>
                <w:highlight w:val="none"/>
              </w:rPr>
            </w:pPr>
            <w:r>
              <w:rPr>
                <w:bCs/>
                <w:color w:val="auto"/>
                <w:sz w:val="24"/>
                <w:highlight w:val="none"/>
              </w:rPr>
              <w:t>/</w:t>
            </w:r>
          </w:p>
        </w:tc>
      </w:tr>
      <w:tr w14:paraId="6383F2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66" w:hRule="atLeast"/>
        </w:trPr>
        <w:tc>
          <w:tcPr>
            <w:tcW w:w="721" w:type="dxa"/>
            <w:noWrap w:val="0"/>
            <w:tcMar>
              <w:top w:w="16" w:type="dxa"/>
              <w:left w:w="16" w:type="dxa"/>
              <w:right w:w="16" w:type="dxa"/>
            </w:tcMar>
            <w:vAlign w:val="center"/>
          </w:tcPr>
          <w:p w14:paraId="60A20A01">
            <w:pPr>
              <w:adjustRightInd w:val="0"/>
              <w:snapToGrid w:val="0"/>
              <w:jc w:val="center"/>
              <w:rPr>
                <w:color w:val="auto"/>
                <w:sz w:val="24"/>
                <w:highlight w:val="none"/>
              </w:rPr>
            </w:pPr>
            <w:r>
              <w:rPr>
                <w:color w:val="auto"/>
                <w:sz w:val="24"/>
                <w:highlight w:val="none"/>
              </w:rPr>
              <w:t>总投资（万元）</w:t>
            </w:r>
          </w:p>
        </w:tc>
        <w:tc>
          <w:tcPr>
            <w:tcW w:w="2039" w:type="dxa"/>
            <w:noWrap w:val="0"/>
            <w:vAlign w:val="center"/>
          </w:tcPr>
          <w:p w14:paraId="3FB7B9EC">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2178</w:t>
            </w:r>
          </w:p>
        </w:tc>
        <w:tc>
          <w:tcPr>
            <w:tcW w:w="2488" w:type="dxa"/>
            <w:noWrap w:val="0"/>
            <w:tcMar>
              <w:top w:w="16" w:type="dxa"/>
              <w:left w:w="16" w:type="dxa"/>
              <w:right w:w="16" w:type="dxa"/>
            </w:tcMar>
            <w:vAlign w:val="center"/>
          </w:tcPr>
          <w:p w14:paraId="2E7E5C04">
            <w:pPr>
              <w:adjustRightInd w:val="0"/>
              <w:snapToGrid w:val="0"/>
              <w:jc w:val="center"/>
              <w:rPr>
                <w:color w:val="auto"/>
                <w:sz w:val="24"/>
                <w:highlight w:val="none"/>
              </w:rPr>
            </w:pPr>
            <w:r>
              <w:rPr>
                <w:color w:val="auto"/>
                <w:sz w:val="24"/>
                <w:highlight w:val="none"/>
              </w:rPr>
              <w:t>环保投资（万元）</w:t>
            </w:r>
          </w:p>
        </w:tc>
        <w:tc>
          <w:tcPr>
            <w:tcW w:w="3605" w:type="dxa"/>
            <w:noWrap w:val="0"/>
            <w:vAlign w:val="center"/>
          </w:tcPr>
          <w:p w14:paraId="06CE026E">
            <w:pPr>
              <w:adjustRightInd w:val="0"/>
              <w:snapToGrid w:val="0"/>
              <w:jc w:val="center"/>
              <w:rPr>
                <w:rFonts w:hint="default" w:eastAsia="宋体"/>
                <w:color w:val="0000FF"/>
                <w:sz w:val="24"/>
                <w:highlight w:val="none"/>
                <w:lang w:val="en-US" w:eastAsia="zh-CN"/>
              </w:rPr>
            </w:pPr>
            <w:r>
              <w:rPr>
                <w:rFonts w:hint="eastAsia"/>
                <w:color w:val="auto"/>
                <w:sz w:val="24"/>
                <w:highlight w:val="none"/>
                <w:lang w:val="en-US" w:eastAsia="zh-CN"/>
              </w:rPr>
              <w:t>135.2</w:t>
            </w:r>
          </w:p>
        </w:tc>
      </w:tr>
      <w:tr w14:paraId="66C661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721" w:type="dxa"/>
            <w:noWrap w:val="0"/>
            <w:tcMar>
              <w:top w:w="16" w:type="dxa"/>
              <w:left w:w="16" w:type="dxa"/>
              <w:right w:w="16" w:type="dxa"/>
            </w:tcMar>
            <w:vAlign w:val="center"/>
          </w:tcPr>
          <w:p w14:paraId="4D928ABE">
            <w:pPr>
              <w:adjustRightInd w:val="0"/>
              <w:snapToGrid w:val="0"/>
              <w:jc w:val="center"/>
              <w:rPr>
                <w:color w:val="auto"/>
                <w:sz w:val="24"/>
                <w:highlight w:val="none"/>
              </w:rPr>
            </w:pPr>
            <w:r>
              <w:rPr>
                <w:color w:val="auto"/>
                <w:sz w:val="24"/>
                <w:highlight w:val="none"/>
              </w:rPr>
              <w:t>环保投资占比（%）</w:t>
            </w:r>
          </w:p>
        </w:tc>
        <w:tc>
          <w:tcPr>
            <w:tcW w:w="2039" w:type="dxa"/>
            <w:noWrap w:val="0"/>
            <w:vAlign w:val="center"/>
          </w:tcPr>
          <w:p w14:paraId="62E74BC1">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6.21</w:t>
            </w:r>
          </w:p>
        </w:tc>
        <w:tc>
          <w:tcPr>
            <w:tcW w:w="2488" w:type="dxa"/>
            <w:noWrap w:val="0"/>
            <w:tcMar>
              <w:top w:w="16" w:type="dxa"/>
              <w:left w:w="16" w:type="dxa"/>
              <w:right w:w="16" w:type="dxa"/>
            </w:tcMar>
            <w:vAlign w:val="center"/>
          </w:tcPr>
          <w:p w14:paraId="3C28C0FA">
            <w:pPr>
              <w:adjustRightInd w:val="0"/>
              <w:snapToGrid w:val="0"/>
              <w:jc w:val="center"/>
              <w:rPr>
                <w:color w:val="auto"/>
                <w:sz w:val="24"/>
                <w:highlight w:val="none"/>
              </w:rPr>
            </w:pPr>
            <w:r>
              <w:rPr>
                <w:color w:val="auto"/>
                <w:sz w:val="24"/>
                <w:highlight w:val="none"/>
              </w:rPr>
              <w:t>施工工期</w:t>
            </w:r>
          </w:p>
        </w:tc>
        <w:tc>
          <w:tcPr>
            <w:tcW w:w="3605" w:type="dxa"/>
            <w:noWrap w:val="0"/>
            <w:vAlign w:val="center"/>
          </w:tcPr>
          <w:p w14:paraId="594721C3">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12个月</w:t>
            </w:r>
          </w:p>
        </w:tc>
      </w:tr>
      <w:tr w14:paraId="0F4976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721" w:type="dxa"/>
            <w:noWrap w:val="0"/>
            <w:tcMar>
              <w:top w:w="16" w:type="dxa"/>
              <w:left w:w="16" w:type="dxa"/>
              <w:right w:w="16" w:type="dxa"/>
            </w:tcMar>
            <w:vAlign w:val="center"/>
          </w:tcPr>
          <w:p w14:paraId="32D6F48A">
            <w:pPr>
              <w:adjustRightInd w:val="0"/>
              <w:snapToGrid w:val="0"/>
              <w:jc w:val="center"/>
              <w:rPr>
                <w:color w:val="auto"/>
                <w:sz w:val="24"/>
                <w:highlight w:val="none"/>
              </w:rPr>
            </w:pPr>
            <w:r>
              <w:rPr>
                <w:color w:val="auto"/>
                <w:sz w:val="24"/>
                <w:highlight w:val="none"/>
              </w:rPr>
              <w:t>是否开工建设</w:t>
            </w:r>
          </w:p>
        </w:tc>
        <w:tc>
          <w:tcPr>
            <w:tcW w:w="8132" w:type="dxa"/>
            <w:gridSpan w:val="3"/>
            <w:noWrap w:val="0"/>
            <w:vAlign w:val="center"/>
          </w:tcPr>
          <w:p w14:paraId="27BE2702">
            <w:pPr>
              <w:adjustRightInd w:val="0"/>
              <w:snapToGrid w:val="0"/>
              <w:ind w:firstLine="105"/>
              <w:jc w:val="left"/>
              <w:rPr>
                <w:color w:val="auto"/>
                <w:sz w:val="24"/>
                <w:highlight w:val="none"/>
              </w:rPr>
            </w:pPr>
            <w:r>
              <w:rPr>
                <w:color w:val="auto"/>
                <w:sz w:val="24"/>
                <w:highlight w:val="none"/>
              </w:rPr>
              <w:sym w:font="Wingdings 2" w:char="0052"/>
            </w:r>
            <w:r>
              <w:rPr>
                <w:color w:val="auto"/>
                <w:sz w:val="24"/>
                <w:highlight w:val="none"/>
              </w:rPr>
              <w:t>否</w:t>
            </w:r>
          </w:p>
          <w:p w14:paraId="2528D0E9">
            <w:pPr>
              <w:adjustRightInd w:val="0"/>
              <w:snapToGrid w:val="0"/>
              <w:ind w:firstLine="92"/>
              <w:jc w:val="left"/>
              <w:rPr>
                <w:color w:val="auto"/>
                <w:sz w:val="24"/>
                <w:highlight w:val="none"/>
              </w:rPr>
            </w:pPr>
            <w:r>
              <w:rPr>
                <w:color w:val="auto"/>
                <w:sz w:val="24"/>
                <w:highlight w:val="none"/>
              </w:rPr>
              <w:t>□是：</w:t>
            </w:r>
            <w:r>
              <w:rPr>
                <w:color w:val="auto"/>
                <w:sz w:val="24"/>
                <w:highlight w:val="none"/>
                <w:u w:val="single"/>
              </w:rPr>
              <w:t xml:space="preserve">                </w:t>
            </w:r>
          </w:p>
        </w:tc>
      </w:tr>
      <w:tr w14:paraId="17104A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721" w:type="dxa"/>
            <w:noWrap w:val="0"/>
            <w:tcMar>
              <w:top w:w="16" w:type="dxa"/>
              <w:left w:w="16" w:type="dxa"/>
              <w:right w:w="16" w:type="dxa"/>
            </w:tcMar>
            <w:vAlign w:val="center"/>
          </w:tcPr>
          <w:p w14:paraId="4486CAED">
            <w:pPr>
              <w:autoSpaceDE w:val="0"/>
              <w:autoSpaceDN w:val="0"/>
              <w:adjustRightInd w:val="0"/>
              <w:snapToGrid w:val="0"/>
              <w:jc w:val="center"/>
              <w:rPr>
                <w:color w:val="auto"/>
                <w:kern w:val="0"/>
                <w:sz w:val="24"/>
                <w:highlight w:val="none"/>
              </w:rPr>
            </w:pPr>
            <w:r>
              <w:rPr>
                <w:color w:val="auto"/>
                <w:kern w:val="0"/>
                <w:sz w:val="24"/>
                <w:highlight w:val="none"/>
              </w:rPr>
              <w:t>专项评价设置情况</w:t>
            </w:r>
          </w:p>
        </w:tc>
        <w:tc>
          <w:tcPr>
            <w:tcW w:w="8132" w:type="dxa"/>
            <w:gridSpan w:val="3"/>
            <w:noWrap w:val="0"/>
            <w:tcMar>
              <w:top w:w="16" w:type="dxa"/>
              <w:left w:w="16" w:type="dxa"/>
              <w:right w:w="16" w:type="dxa"/>
            </w:tcMar>
            <w:vAlign w:val="center"/>
          </w:tcPr>
          <w:p w14:paraId="243619DD">
            <w:pPr>
              <w:spacing w:line="240" w:lineRule="atLeast"/>
              <w:jc w:val="center"/>
              <w:rPr>
                <w:rFonts w:eastAsia="黑体"/>
                <w:color w:val="auto"/>
                <w:szCs w:val="20"/>
                <w:highlight w:val="none"/>
              </w:rPr>
            </w:pPr>
            <w:r>
              <w:rPr>
                <w:rFonts w:eastAsia="黑体"/>
                <w:color w:val="auto"/>
                <w:szCs w:val="20"/>
                <w:highlight w:val="none"/>
              </w:rPr>
              <w:t>表1-1  专项评价设置原则对应一览表</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6"/>
              <w:gridCol w:w="5757"/>
              <w:gridCol w:w="1167"/>
            </w:tblGrid>
            <w:tr w14:paraId="7FF9A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721" w:type="pct"/>
                  <w:noWrap w:val="0"/>
                  <w:vAlign w:val="center"/>
                </w:tcPr>
                <w:p w14:paraId="67492023">
                  <w:pPr>
                    <w:jc w:val="center"/>
                    <w:rPr>
                      <w:b/>
                      <w:color w:val="auto"/>
                      <w:szCs w:val="21"/>
                      <w:highlight w:val="none"/>
                    </w:rPr>
                  </w:pPr>
                  <w:r>
                    <w:rPr>
                      <w:b/>
                      <w:color w:val="auto"/>
                      <w:szCs w:val="21"/>
                      <w:highlight w:val="none"/>
                    </w:rPr>
                    <w:t>专项评价的类别</w:t>
                  </w:r>
                </w:p>
              </w:tc>
              <w:tc>
                <w:tcPr>
                  <w:tcW w:w="3558" w:type="pct"/>
                  <w:noWrap w:val="0"/>
                  <w:vAlign w:val="center"/>
                </w:tcPr>
                <w:p w14:paraId="5D267E83">
                  <w:pPr>
                    <w:ind w:firstLine="422"/>
                    <w:jc w:val="center"/>
                    <w:rPr>
                      <w:b/>
                      <w:color w:val="auto"/>
                      <w:szCs w:val="21"/>
                      <w:highlight w:val="none"/>
                    </w:rPr>
                  </w:pPr>
                  <w:r>
                    <w:rPr>
                      <w:b/>
                      <w:color w:val="auto"/>
                      <w:szCs w:val="21"/>
                      <w:highlight w:val="none"/>
                    </w:rPr>
                    <w:t>涉及项目类别</w:t>
                  </w:r>
                </w:p>
              </w:tc>
              <w:tc>
                <w:tcPr>
                  <w:tcW w:w="721" w:type="pct"/>
                  <w:noWrap w:val="0"/>
                  <w:vAlign w:val="center"/>
                </w:tcPr>
                <w:p w14:paraId="2A30DDD2">
                  <w:pPr>
                    <w:jc w:val="center"/>
                    <w:rPr>
                      <w:b/>
                      <w:color w:val="auto"/>
                      <w:szCs w:val="21"/>
                      <w:highlight w:val="none"/>
                    </w:rPr>
                  </w:pPr>
                  <w:r>
                    <w:rPr>
                      <w:b/>
                      <w:color w:val="auto"/>
                      <w:szCs w:val="21"/>
                      <w:highlight w:val="none"/>
                    </w:rPr>
                    <w:t>本项目是否涉及</w:t>
                  </w:r>
                </w:p>
              </w:tc>
            </w:tr>
            <w:tr w14:paraId="09D50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2" w:hRule="atLeast"/>
                <w:jc w:val="center"/>
              </w:trPr>
              <w:tc>
                <w:tcPr>
                  <w:tcW w:w="721" w:type="pct"/>
                  <w:noWrap w:val="0"/>
                  <w:vAlign w:val="center"/>
                </w:tcPr>
                <w:p w14:paraId="4ADD2281">
                  <w:pPr>
                    <w:jc w:val="center"/>
                    <w:rPr>
                      <w:color w:val="auto"/>
                      <w:szCs w:val="21"/>
                      <w:highlight w:val="none"/>
                    </w:rPr>
                  </w:pPr>
                  <w:r>
                    <w:rPr>
                      <w:color w:val="auto"/>
                      <w:szCs w:val="21"/>
                      <w:highlight w:val="none"/>
                    </w:rPr>
                    <w:t>地表水</w:t>
                  </w:r>
                </w:p>
              </w:tc>
              <w:tc>
                <w:tcPr>
                  <w:tcW w:w="3558" w:type="pct"/>
                  <w:noWrap w:val="0"/>
                  <w:vAlign w:val="center"/>
                </w:tcPr>
                <w:p w14:paraId="560BE8BC">
                  <w:pPr>
                    <w:jc w:val="left"/>
                    <w:rPr>
                      <w:color w:val="auto"/>
                      <w:szCs w:val="21"/>
                      <w:highlight w:val="none"/>
                    </w:rPr>
                  </w:pPr>
                  <w:r>
                    <w:rPr>
                      <w:color w:val="auto"/>
                      <w:szCs w:val="21"/>
                      <w:highlight w:val="none"/>
                    </w:rPr>
                    <w:t>水力发电：引水式发电、涉及调峰发电的项目；人工湖、人工湿地：全部；</w:t>
                  </w:r>
                </w:p>
                <w:p w14:paraId="5B0A0216">
                  <w:pPr>
                    <w:jc w:val="left"/>
                    <w:rPr>
                      <w:color w:val="auto"/>
                      <w:szCs w:val="21"/>
                      <w:highlight w:val="none"/>
                    </w:rPr>
                  </w:pPr>
                  <w:r>
                    <w:rPr>
                      <w:color w:val="auto"/>
                      <w:szCs w:val="21"/>
                      <w:highlight w:val="none"/>
                    </w:rPr>
                    <w:t>水库：全部；</w:t>
                  </w:r>
                </w:p>
                <w:p w14:paraId="15E85E14">
                  <w:pPr>
                    <w:jc w:val="left"/>
                    <w:rPr>
                      <w:color w:val="auto"/>
                      <w:szCs w:val="21"/>
                      <w:highlight w:val="none"/>
                    </w:rPr>
                  </w:pPr>
                  <w:r>
                    <w:rPr>
                      <w:color w:val="auto"/>
                      <w:szCs w:val="21"/>
                      <w:highlight w:val="none"/>
                    </w:rPr>
                    <w:t>引水工程：全部（配套的管线工程等除外）；</w:t>
                  </w:r>
                </w:p>
                <w:p w14:paraId="2965CA53">
                  <w:pPr>
                    <w:jc w:val="left"/>
                    <w:rPr>
                      <w:color w:val="auto"/>
                      <w:szCs w:val="21"/>
                      <w:highlight w:val="none"/>
                    </w:rPr>
                  </w:pPr>
                  <w:r>
                    <w:rPr>
                      <w:color w:val="auto"/>
                      <w:szCs w:val="21"/>
                      <w:highlight w:val="none"/>
                    </w:rPr>
                    <w:t>防洪除涝工程：包含水库的项目；</w:t>
                  </w:r>
                </w:p>
                <w:p w14:paraId="37D2E97A">
                  <w:pPr>
                    <w:jc w:val="left"/>
                    <w:rPr>
                      <w:color w:val="auto"/>
                      <w:szCs w:val="21"/>
                      <w:highlight w:val="none"/>
                    </w:rPr>
                  </w:pPr>
                  <w:r>
                    <w:rPr>
                      <w:color w:val="auto"/>
                      <w:szCs w:val="21"/>
                      <w:highlight w:val="none"/>
                    </w:rPr>
                    <w:t>河湖整治：涉及清淤且底泥存在重金属污染的项目</w:t>
                  </w:r>
                </w:p>
              </w:tc>
              <w:tc>
                <w:tcPr>
                  <w:tcW w:w="721" w:type="pct"/>
                  <w:noWrap/>
                  <w:vAlign w:val="center"/>
                </w:tcPr>
                <w:p w14:paraId="0DE6F41E">
                  <w:pPr>
                    <w:jc w:val="center"/>
                    <w:rPr>
                      <w:color w:val="auto"/>
                      <w:szCs w:val="21"/>
                      <w:highlight w:val="none"/>
                    </w:rPr>
                  </w:pPr>
                  <w:r>
                    <w:rPr>
                      <w:color w:val="auto"/>
                      <w:szCs w:val="21"/>
                      <w:highlight w:val="none"/>
                    </w:rPr>
                    <w:t>不涉及</w:t>
                  </w:r>
                </w:p>
              </w:tc>
            </w:tr>
            <w:tr w14:paraId="71118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721" w:type="pct"/>
                  <w:noWrap w:val="0"/>
                  <w:vAlign w:val="center"/>
                </w:tcPr>
                <w:p w14:paraId="7952B369">
                  <w:pPr>
                    <w:jc w:val="center"/>
                    <w:rPr>
                      <w:color w:val="auto"/>
                      <w:szCs w:val="21"/>
                      <w:highlight w:val="none"/>
                    </w:rPr>
                  </w:pPr>
                  <w:r>
                    <w:rPr>
                      <w:color w:val="auto"/>
                      <w:szCs w:val="21"/>
                      <w:highlight w:val="none"/>
                    </w:rPr>
                    <w:t>地下水</w:t>
                  </w:r>
                </w:p>
              </w:tc>
              <w:tc>
                <w:tcPr>
                  <w:tcW w:w="3558" w:type="pct"/>
                  <w:noWrap w:val="0"/>
                  <w:vAlign w:val="center"/>
                </w:tcPr>
                <w:p w14:paraId="7C47933A">
                  <w:pPr>
                    <w:jc w:val="left"/>
                    <w:rPr>
                      <w:color w:val="auto"/>
                      <w:szCs w:val="21"/>
                      <w:highlight w:val="none"/>
                    </w:rPr>
                  </w:pPr>
                  <w:r>
                    <w:rPr>
                      <w:color w:val="auto"/>
                      <w:szCs w:val="21"/>
                      <w:highlight w:val="none"/>
                    </w:rPr>
                    <w:t>陆地石油和天然气开采：全部；</w:t>
                  </w:r>
                </w:p>
                <w:p w14:paraId="27BFDAD1">
                  <w:pPr>
                    <w:jc w:val="left"/>
                    <w:rPr>
                      <w:color w:val="auto"/>
                      <w:szCs w:val="21"/>
                      <w:highlight w:val="none"/>
                    </w:rPr>
                  </w:pPr>
                  <w:r>
                    <w:rPr>
                      <w:color w:val="auto"/>
                      <w:szCs w:val="21"/>
                      <w:highlight w:val="none"/>
                    </w:rPr>
                    <w:t>地下水（含矿泉水）开采：全部；</w:t>
                  </w:r>
                </w:p>
                <w:p w14:paraId="5A2044A0">
                  <w:pPr>
                    <w:jc w:val="left"/>
                    <w:rPr>
                      <w:color w:val="auto"/>
                      <w:szCs w:val="21"/>
                      <w:highlight w:val="none"/>
                    </w:rPr>
                  </w:pPr>
                  <w:r>
                    <w:rPr>
                      <w:color w:val="auto"/>
                      <w:szCs w:val="21"/>
                      <w:highlight w:val="none"/>
                    </w:rPr>
                    <w:t>水利、水电、交通等：含穿越可溶岩地层隧道的项目</w:t>
                  </w:r>
                </w:p>
              </w:tc>
              <w:tc>
                <w:tcPr>
                  <w:tcW w:w="721" w:type="pct"/>
                  <w:noWrap/>
                  <w:vAlign w:val="center"/>
                </w:tcPr>
                <w:p w14:paraId="7996AB1E">
                  <w:pPr>
                    <w:jc w:val="center"/>
                    <w:rPr>
                      <w:color w:val="auto"/>
                      <w:szCs w:val="21"/>
                      <w:highlight w:val="none"/>
                    </w:rPr>
                  </w:pPr>
                  <w:r>
                    <w:rPr>
                      <w:color w:val="auto"/>
                      <w:szCs w:val="21"/>
                      <w:highlight w:val="none"/>
                    </w:rPr>
                    <w:t>不涉及</w:t>
                  </w:r>
                </w:p>
              </w:tc>
            </w:tr>
            <w:tr w14:paraId="3D616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jc w:val="center"/>
              </w:trPr>
              <w:tc>
                <w:tcPr>
                  <w:tcW w:w="721" w:type="pct"/>
                  <w:noWrap w:val="0"/>
                  <w:vAlign w:val="center"/>
                </w:tcPr>
                <w:p w14:paraId="02EFECA6">
                  <w:pPr>
                    <w:jc w:val="center"/>
                    <w:rPr>
                      <w:color w:val="auto"/>
                      <w:szCs w:val="21"/>
                      <w:highlight w:val="none"/>
                    </w:rPr>
                  </w:pPr>
                  <w:r>
                    <w:rPr>
                      <w:color w:val="auto"/>
                      <w:szCs w:val="21"/>
                      <w:highlight w:val="none"/>
                    </w:rPr>
                    <w:t>生态</w:t>
                  </w:r>
                </w:p>
              </w:tc>
              <w:tc>
                <w:tcPr>
                  <w:tcW w:w="3558" w:type="pct"/>
                  <w:noWrap w:val="0"/>
                  <w:vAlign w:val="center"/>
                </w:tcPr>
                <w:p w14:paraId="7A00217C">
                  <w:pPr>
                    <w:jc w:val="left"/>
                    <w:rPr>
                      <w:color w:val="auto"/>
                      <w:szCs w:val="21"/>
                      <w:highlight w:val="none"/>
                    </w:rPr>
                  </w:pPr>
                  <w:r>
                    <w:rPr>
                      <w:color w:val="auto"/>
                      <w:szCs w:val="21"/>
                      <w:highlight w:val="none"/>
                    </w:rPr>
                    <w:t>涉及环境敏感区（不包括饮用水水源保护区，以居住、医疗卫生、文化教育、科研、行政办公为主要功能的区域，以及文物保护单位）的项目</w:t>
                  </w:r>
                </w:p>
              </w:tc>
              <w:tc>
                <w:tcPr>
                  <w:tcW w:w="721" w:type="pct"/>
                  <w:noWrap/>
                  <w:vAlign w:val="center"/>
                </w:tcPr>
                <w:p w14:paraId="74FA30C4">
                  <w:pPr>
                    <w:jc w:val="center"/>
                    <w:rPr>
                      <w:color w:val="auto"/>
                      <w:szCs w:val="21"/>
                      <w:highlight w:val="none"/>
                    </w:rPr>
                  </w:pPr>
                  <w:r>
                    <w:rPr>
                      <w:color w:val="auto"/>
                      <w:szCs w:val="21"/>
                      <w:highlight w:val="none"/>
                    </w:rPr>
                    <w:t>不涉及</w:t>
                  </w:r>
                </w:p>
              </w:tc>
            </w:tr>
            <w:tr w14:paraId="50512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721" w:type="pct"/>
                  <w:noWrap w:val="0"/>
                  <w:vAlign w:val="center"/>
                </w:tcPr>
                <w:p w14:paraId="4E22B3BC">
                  <w:pPr>
                    <w:jc w:val="center"/>
                    <w:rPr>
                      <w:color w:val="auto"/>
                      <w:szCs w:val="21"/>
                      <w:highlight w:val="none"/>
                    </w:rPr>
                  </w:pPr>
                  <w:r>
                    <w:rPr>
                      <w:color w:val="auto"/>
                      <w:szCs w:val="21"/>
                      <w:highlight w:val="none"/>
                    </w:rPr>
                    <w:t>大气</w:t>
                  </w:r>
                </w:p>
              </w:tc>
              <w:tc>
                <w:tcPr>
                  <w:tcW w:w="3558" w:type="pct"/>
                  <w:noWrap w:val="0"/>
                  <w:vAlign w:val="center"/>
                </w:tcPr>
                <w:p w14:paraId="5411BCFB">
                  <w:pPr>
                    <w:jc w:val="left"/>
                    <w:rPr>
                      <w:color w:val="auto"/>
                      <w:szCs w:val="21"/>
                      <w:highlight w:val="none"/>
                    </w:rPr>
                  </w:pPr>
                  <w:r>
                    <w:rPr>
                      <w:color w:val="auto"/>
                      <w:szCs w:val="21"/>
                      <w:highlight w:val="none"/>
                    </w:rPr>
                    <w:t>油气、液体化工码头：全部；</w:t>
                  </w:r>
                </w:p>
                <w:p w14:paraId="3FAEF907">
                  <w:pPr>
                    <w:jc w:val="left"/>
                    <w:rPr>
                      <w:color w:val="auto"/>
                      <w:szCs w:val="21"/>
                      <w:highlight w:val="none"/>
                    </w:rPr>
                  </w:pPr>
                  <w:r>
                    <w:rPr>
                      <w:color w:val="auto"/>
                      <w:szCs w:val="21"/>
                      <w:highlight w:val="none"/>
                    </w:rPr>
                    <w:t>干散货（含煤炭、矿石）、件杂、多用途、通用码头：</w:t>
                  </w:r>
                </w:p>
                <w:p w14:paraId="07F2212A">
                  <w:pPr>
                    <w:jc w:val="left"/>
                    <w:rPr>
                      <w:color w:val="auto"/>
                      <w:szCs w:val="21"/>
                      <w:highlight w:val="none"/>
                    </w:rPr>
                  </w:pPr>
                  <w:r>
                    <w:rPr>
                      <w:color w:val="auto"/>
                      <w:szCs w:val="21"/>
                      <w:highlight w:val="none"/>
                    </w:rPr>
                    <w:t>涉及粉尘、挥发性有机物排放的项目</w:t>
                  </w:r>
                </w:p>
              </w:tc>
              <w:tc>
                <w:tcPr>
                  <w:tcW w:w="721" w:type="pct"/>
                  <w:noWrap/>
                  <w:vAlign w:val="center"/>
                </w:tcPr>
                <w:p w14:paraId="42265199">
                  <w:pPr>
                    <w:jc w:val="center"/>
                    <w:rPr>
                      <w:color w:val="auto"/>
                      <w:szCs w:val="21"/>
                      <w:highlight w:val="none"/>
                    </w:rPr>
                  </w:pPr>
                  <w:r>
                    <w:rPr>
                      <w:color w:val="auto"/>
                      <w:szCs w:val="21"/>
                      <w:highlight w:val="none"/>
                    </w:rPr>
                    <w:t>不涉及</w:t>
                  </w:r>
                </w:p>
              </w:tc>
            </w:tr>
            <w:tr w14:paraId="5D778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2" w:hRule="atLeast"/>
                <w:jc w:val="center"/>
              </w:trPr>
              <w:tc>
                <w:tcPr>
                  <w:tcW w:w="721" w:type="pct"/>
                  <w:noWrap w:val="0"/>
                  <w:vAlign w:val="center"/>
                </w:tcPr>
                <w:p w14:paraId="680ECD89">
                  <w:pPr>
                    <w:jc w:val="center"/>
                    <w:rPr>
                      <w:color w:val="auto"/>
                      <w:szCs w:val="21"/>
                      <w:highlight w:val="none"/>
                    </w:rPr>
                  </w:pPr>
                  <w:r>
                    <w:rPr>
                      <w:color w:val="auto"/>
                      <w:szCs w:val="21"/>
                      <w:highlight w:val="none"/>
                    </w:rPr>
                    <w:t>噪声</w:t>
                  </w:r>
                </w:p>
              </w:tc>
              <w:tc>
                <w:tcPr>
                  <w:tcW w:w="3558" w:type="pct"/>
                  <w:noWrap w:val="0"/>
                  <w:vAlign w:val="center"/>
                </w:tcPr>
                <w:p w14:paraId="62F9AFA9">
                  <w:pPr>
                    <w:jc w:val="left"/>
                    <w:rPr>
                      <w:color w:val="auto"/>
                      <w:szCs w:val="21"/>
                      <w:highlight w:val="none"/>
                    </w:rPr>
                  </w:pPr>
                  <w:r>
                    <w:rPr>
                      <w:color w:val="auto"/>
                      <w:szCs w:val="21"/>
                      <w:highlight w:val="none"/>
                    </w:rPr>
                    <w:t>公路、铁路、机场等交通运输业涉及环境敏感区（以居住、医疗卫生、文化教育、科研、行政办公为主要功能的区域）的项目；</w:t>
                  </w:r>
                </w:p>
                <w:p w14:paraId="6529F06F">
                  <w:pPr>
                    <w:jc w:val="left"/>
                    <w:rPr>
                      <w:color w:val="auto"/>
                      <w:szCs w:val="21"/>
                      <w:highlight w:val="none"/>
                    </w:rPr>
                  </w:pPr>
                  <w:r>
                    <w:rPr>
                      <w:color w:val="auto"/>
                      <w:szCs w:val="21"/>
                      <w:highlight w:val="none"/>
                    </w:rPr>
                    <w:t>城市道路（不含维护，不含支路、人行天桥、人行地道）：全部</w:t>
                  </w:r>
                </w:p>
              </w:tc>
              <w:tc>
                <w:tcPr>
                  <w:tcW w:w="721" w:type="pct"/>
                  <w:noWrap/>
                  <w:vAlign w:val="center"/>
                </w:tcPr>
                <w:p w14:paraId="2DC4F9E7">
                  <w:pPr>
                    <w:jc w:val="center"/>
                    <w:rPr>
                      <w:color w:val="auto"/>
                      <w:szCs w:val="21"/>
                      <w:highlight w:val="none"/>
                    </w:rPr>
                  </w:pPr>
                  <w:r>
                    <w:rPr>
                      <w:color w:val="auto"/>
                      <w:szCs w:val="21"/>
                      <w:highlight w:val="none"/>
                    </w:rPr>
                    <w:t>不涉及</w:t>
                  </w:r>
                </w:p>
              </w:tc>
            </w:tr>
            <w:tr w14:paraId="00C81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7" w:hRule="atLeast"/>
                <w:jc w:val="center"/>
              </w:trPr>
              <w:tc>
                <w:tcPr>
                  <w:tcW w:w="721" w:type="pct"/>
                  <w:noWrap w:val="0"/>
                  <w:vAlign w:val="center"/>
                </w:tcPr>
                <w:p w14:paraId="22ABE03B">
                  <w:pPr>
                    <w:jc w:val="center"/>
                    <w:rPr>
                      <w:color w:val="auto"/>
                      <w:szCs w:val="21"/>
                      <w:highlight w:val="none"/>
                    </w:rPr>
                  </w:pPr>
                  <w:r>
                    <w:rPr>
                      <w:color w:val="auto"/>
                      <w:szCs w:val="21"/>
                      <w:highlight w:val="none"/>
                    </w:rPr>
                    <w:t>环境风险</w:t>
                  </w:r>
                </w:p>
              </w:tc>
              <w:tc>
                <w:tcPr>
                  <w:tcW w:w="3558" w:type="pct"/>
                  <w:noWrap w:val="0"/>
                  <w:vAlign w:val="center"/>
                </w:tcPr>
                <w:p w14:paraId="3877BAFF">
                  <w:pPr>
                    <w:jc w:val="left"/>
                    <w:rPr>
                      <w:color w:val="auto"/>
                      <w:szCs w:val="21"/>
                      <w:highlight w:val="none"/>
                    </w:rPr>
                  </w:pPr>
                  <w:r>
                    <w:rPr>
                      <w:color w:val="auto"/>
                      <w:szCs w:val="21"/>
                      <w:highlight w:val="none"/>
                    </w:rPr>
                    <w:t>石油和天然气开采：全部；</w:t>
                  </w:r>
                </w:p>
                <w:p w14:paraId="67A193C8">
                  <w:pPr>
                    <w:jc w:val="left"/>
                    <w:rPr>
                      <w:color w:val="auto"/>
                      <w:szCs w:val="21"/>
                      <w:highlight w:val="none"/>
                    </w:rPr>
                  </w:pPr>
                  <w:r>
                    <w:rPr>
                      <w:color w:val="auto"/>
                      <w:szCs w:val="21"/>
                      <w:highlight w:val="none"/>
                    </w:rPr>
                    <w:t>油气、液体化工码头：全部；</w:t>
                  </w:r>
                </w:p>
                <w:p w14:paraId="62753E4C">
                  <w:pPr>
                    <w:jc w:val="left"/>
                    <w:rPr>
                      <w:color w:val="auto"/>
                      <w:szCs w:val="21"/>
                      <w:highlight w:val="none"/>
                    </w:rPr>
                  </w:pPr>
                  <w:r>
                    <w:rPr>
                      <w:color w:val="auto"/>
                      <w:szCs w:val="21"/>
                      <w:highlight w:val="none"/>
                    </w:rPr>
                    <w:t>原油、成品油、天然气管线（不含城镇天然气管线、企业厂区内管线），危险化学品输送管线（不含企业厂区内管线）：全部</w:t>
                  </w:r>
                </w:p>
              </w:tc>
              <w:tc>
                <w:tcPr>
                  <w:tcW w:w="721" w:type="pct"/>
                  <w:noWrap/>
                  <w:vAlign w:val="center"/>
                </w:tcPr>
                <w:p w14:paraId="23A7EDDB">
                  <w:pPr>
                    <w:jc w:val="center"/>
                    <w:rPr>
                      <w:color w:val="auto"/>
                      <w:szCs w:val="21"/>
                      <w:highlight w:val="none"/>
                    </w:rPr>
                  </w:pPr>
                  <w:r>
                    <w:rPr>
                      <w:color w:val="auto"/>
                      <w:szCs w:val="21"/>
                      <w:highlight w:val="none"/>
                    </w:rPr>
                    <w:t>不涉及</w:t>
                  </w:r>
                </w:p>
              </w:tc>
            </w:tr>
          </w:tbl>
          <w:p w14:paraId="53C74DB7">
            <w:pPr>
              <w:autoSpaceDE w:val="0"/>
              <w:autoSpaceDN w:val="0"/>
              <w:spacing w:line="360" w:lineRule="auto"/>
              <w:ind w:firstLine="480" w:firstLineChars="200"/>
              <w:rPr>
                <w:color w:val="auto"/>
                <w:kern w:val="0"/>
                <w:sz w:val="24"/>
                <w:highlight w:val="none"/>
              </w:rPr>
            </w:pPr>
            <w:r>
              <w:rPr>
                <w:color w:val="auto"/>
                <w:sz w:val="24"/>
                <w:highlight w:val="none"/>
              </w:rPr>
              <w:t>综上，本项目不需开展专项评价。</w:t>
            </w:r>
          </w:p>
        </w:tc>
      </w:tr>
      <w:tr w14:paraId="2F28E9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721" w:type="dxa"/>
            <w:noWrap w:val="0"/>
            <w:tcMar>
              <w:top w:w="16" w:type="dxa"/>
              <w:left w:w="16" w:type="dxa"/>
              <w:right w:w="16" w:type="dxa"/>
            </w:tcMar>
            <w:vAlign w:val="center"/>
          </w:tcPr>
          <w:p w14:paraId="6C4C6AA9">
            <w:pPr>
              <w:autoSpaceDE w:val="0"/>
              <w:autoSpaceDN w:val="0"/>
              <w:adjustRightInd w:val="0"/>
              <w:snapToGrid w:val="0"/>
              <w:jc w:val="center"/>
              <w:rPr>
                <w:color w:val="auto"/>
                <w:kern w:val="0"/>
                <w:sz w:val="24"/>
                <w:highlight w:val="none"/>
              </w:rPr>
            </w:pPr>
            <w:r>
              <w:rPr>
                <w:color w:val="auto"/>
                <w:sz w:val="24"/>
                <w:highlight w:val="none"/>
              </w:rPr>
              <w:t>规划情况</w:t>
            </w:r>
          </w:p>
        </w:tc>
        <w:tc>
          <w:tcPr>
            <w:tcW w:w="8132" w:type="dxa"/>
            <w:gridSpan w:val="3"/>
            <w:noWrap w:val="0"/>
            <w:tcMar>
              <w:top w:w="16" w:type="dxa"/>
              <w:left w:w="16" w:type="dxa"/>
              <w:right w:w="16" w:type="dxa"/>
            </w:tcMar>
            <w:vAlign w:val="center"/>
          </w:tcPr>
          <w:p w14:paraId="24F6A12C">
            <w:pPr>
              <w:pStyle w:val="4"/>
              <w:adjustRightInd/>
              <w:snapToGrid/>
              <w:spacing w:line="360" w:lineRule="auto"/>
              <w:ind w:firstLine="480" w:firstLineChars="200"/>
              <w:jc w:val="both"/>
              <w:rPr>
                <w:b w:val="0"/>
                <w:sz w:val="24"/>
                <w:highlight w:val="none"/>
              </w:rPr>
            </w:pPr>
            <w:r>
              <w:rPr>
                <w:b w:val="0"/>
                <w:sz w:val="24"/>
                <w:highlight w:val="none"/>
              </w:rPr>
              <w:t>规划名称：《淮南潘谢矿区总体开发规划》</w:t>
            </w:r>
          </w:p>
          <w:p w14:paraId="5CE4CB17">
            <w:pPr>
              <w:pStyle w:val="4"/>
              <w:adjustRightInd/>
              <w:snapToGrid/>
              <w:spacing w:line="360" w:lineRule="auto"/>
              <w:ind w:firstLine="480" w:firstLineChars="200"/>
              <w:jc w:val="both"/>
              <w:rPr>
                <w:b w:val="0"/>
                <w:sz w:val="24"/>
                <w:highlight w:val="none"/>
              </w:rPr>
            </w:pPr>
            <w:r>
              <w:rPr>
                <w:b w:val="0"/>
                <w:sz w:val="24"/>
                <w:highlight w:val="none"/>
              </w:rPr>
              <w:t>审批机关：国家发展和改革委员会</w:t>
            </w:r>
          </w:p>
          <w:p w14:paraId="2CAC3D55">
            <w:pPr>
              <w:pStyle w:val="4"/>
              <w:adjustRightInd/>
              <w:snapToGrid/>
              <w:spacing w:line="360" w:lineRule="auto"/>
              <w:ind w:firstLine="480" w:firstLineChars="200"/>
              <w:jc w:val="both"/>
              <w:rPr>
                <w:b w:val="0"/>
                <w:sz w:val="24"/>
                <w:highlight w:val="none"/>
              </w:rPr>
            </w:pPr>
            <w:r>
              <w:rPr>
                <w:b w:val="0"/>
                <w:sz w:val="24"/>
                <w:highlight w:val="none"/>
              </w:rPr>
              <w:t>审批文件名称：《国家发展改革委关于淮南潘谢矿区开发规划的批复》</w:t>
            </w:r>
          </w:p>
          <w:p w14:paraId="6B363450">
            <w:pPr>
              <w:pStyle w:val="4"/>
              <w:adjustRightInd/>
              <w:snapToGrid/>
              <w:spacing w:line="360" w:lineRule="auto"/>
              <w:ind w:firstLine="480" w:firstLineChars="200"/>
              <w:jc w:val="both"/>
              <w:rPr>
                <w:b w:val="0"/>
                <w:sz w:val="24"/>
                <w:highlight w:val="none"/>
              </w:rPr>
            </w:pPr>
            <w:r>
              <w:rPr>
                <w:b w:val="0"/>
                <w:sz w:val="24"/>
                <w:highlight w:val="none"/>
              </w:rPr>
              <w:t>审批文件文号：发改能源〔2004〕2301号</w:t>
            </w:r>
          </w:p>
          <w:p w14:paraId="60BA8F29">
            <w:pPr>
              <w:pStyle w:val="4"/>
              <w:adjustRightInd/>
              <w:snapToGrid/>
              <w:spacing w:line="360" w:lineRule="auto"/>
              <w:ind w:firstLine="480" w:firstLineChars="200"/>
              <w:rPr>
                <w:b w:val="0"/>
                <w:color w:val="auto"/>
                <w:kern w:val="0"/>
                <w:sz w:val="24"/>
                <w:highlight w:val="none"/>
              </w:rPr>
            </w:pPr>
            <w:r>
              <w:rPr>
                <w:b w:val="0"/>
                <w:sz w:val="24"/>
                <w:highlight w:val="none"/>
              </w:rPr>
              <w:t>淮南潘谢矿区位于安徽省中北部，地跨淮南市潘集区、谢家集区、凤台县和阜阳市颍上县，东西长70km，南北宽25km，面积1571km</w:t>
            </w:r>
            <w:r>
              <w:rPr>
                <w:b w:val="0"/>
                <w:sz w:val="24"/>
                <w:highlight w:val="none"/>
                <w:vertAlign w:val="superscript"/>
              </w:rPr>
              <w:t>2</w:t>
            </w:r>
            <w:r>
              <w:rPr>
                <w:b w:val="0"/>
                <w:sz w:val="24"/>
                <w:highlight w:val="none"/>
              </w:rPr>
              <w:t>，资源储量285亿吨。2004年10月21日，国家发展和改革委员会以发改能源[2004]2301号文批准了淮南潘谢矿区总体规划。</w:t>
            </w:r>
          </w:p>
        </w:tc>
      </w:tr>
      <w:tr w14:paraId="360A44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721" w:type="dxa"/>
            <w:noWrap w:val="0"/>
            <w:tcMar>
              <w:top w:w="16" w:type="dxa"/>
              <w:left w:w="16" w:type="dxa"/>
              <w:right w:w="16" w:type="dxa"/>
            </w:tcMar>
            <w:vAlign w:val="center"/>
          </w:tcPr>
          <w:p w14:paraId="5BF0CECE">
            <w:pPr>
              <w:autoSpaceDE w:val="0"/>
              <w:autoSpaceDN w:val="0"/>
              <w:adjustRightInd w:val="0"/>
              <w:snapToGrid w:val="0"/>
              <w:jc w:val="center"/>
              <w:rPr>
                <w:color w:val="auto"/>
                <w:kern w:val="0"/>
                <w:sz w:val="24"/>
                <w:highlight w:val="none"/>
              </w:rPr>
            </w:pPr>
            <w:r>
              <w:rPr>
                <w:color w:val="auto"/>
                <w:sz w:val="24"/>
                <w:highlight w:val="none"/>
              </w:rPr>
              <w:t>规划环境影响评价情况</w:t>
            </w:r>
          </w:p>
        </w:tc>
        <w:tc>
          <w:tcPr>
            <w:tcW w:w="8132" w:type="dxa"/>
            <w:gridSpan w:val="3"/>
            <w:noWrap w:val="0"/>
            <w:tcMar>
              <w:top w:w="16" w:type="dxa"/>
              <w:left w:w="16" w:type="dxa"/>
              <w:right w:w="16" w:type="dxa"/>
            </w:tcMar>
            <w:vAlign w:val="center"/>
          </w:tcPr>
          <w:p w14:paraId="304EB188">
            <w:pPr>
              <w:pStyle w:val="92"/>
              <w:spacing w:line="360" w:lineRule="auto"/>
              <w:ind w:firstLine="480" w:firstLineChars="200"/>
              <w:jc w:val="both"/>
              <w:rPr>
                <w:highlight w:val="none"/>
              </w:rPr>
            </w:pPr>
            <w:r>
              <w:rPr>
                <w:highlight w:val="none"/>
              </w:rPr>
              <w:t>规划环评名称：《淮南潘谢矿区总体开发规划环境影响报告书》</w:t>
            </w:r>
          </w:p>
          <w:p w14:paraId="53CECEDA">
            <w:pPr>
              <w:pStyle w:val="92"/>
              <w:spacing w:line="360" w:lineRule="auto"/>
              <w:ind w:firstLine="480" w:firstLineChars="200"/>
              <w:jc w:val="both"/>
              <w:rPr>
                <w:highlight w:val="none"/>
              </w:rPr>
            </w:pPr>
            <w:r>
              <w:rPr>
                <w:highlight w:val="none"/>
              </w:rPr>
              <w:t>审批机关：原国家环境保护总局</w:t>
            </w:r>
          </w:p>
          <w:p w14:paraId="60E75CD8">
            <w:pPr>
              <w:pStyle w:val="92"/>
              <w:spacing w:line="360" w:lineRule="auto"/>
              <w:ind w:firstLine="480" w:firstLineChars="200"/>
              <w:jc w:val="both"/>
              <w:rPr>
                <w:highlight w:val="none"/>
              </w:rPr>
            </w:pPr>
            <w:r>
              <w:rPr>
                <w:highlight w:val="none"/>
              </w:rPr>
              <w:t>审批文件名称：关于印发《淮南潘谢矿区总体开发规划环境影响报告书审查意见的通知》</w:t>
            </w:r>
          </w:p>
          <w:p w14:paraId="0C099E9E">
            <w:pPr>
              <w:pStyle w:val="92"/>
              <w:spacing w:line="240" w:lineRule="auto"/>
              <w:ind w:firstLine="480" w:firstLineChars="200"/>
              <w:jc w:val="left"/>
              <w:rPr>
                <w:color w:val="auto"/>
                <w:kern w:val="0"/>
                <w:highlight w:val="none"/>
              </w:rPr>
            </w:pPr>
            <w:r>
              <w:rPr>
                <w:highlight w:val="none"/>
              </w:rPr>
              <w:t>审批文号：环函〔2006〕86号</w:t>
            </w:r>
          </w:p>
        </w:tc>
      </w:tr>
      <w:tr w14:paraId="2F7644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894" w:hRule="atLeast"/>
        </w:trPr>
        <w:tc>
          <w:tcPr>
            <w:tcW w:w="721" w:type="dxa"/>
            <w:noWrap w:val="0"/>
            <w:tcMar>
              <w:top w:w="16" w:type="dxa"/>
              <w:left w:w="16" w:type="dxa"/>
              <w:right w:w="16" w:type="dxa"/>
            </w:tcMar>
            <w:vAlign w:val="center"/>
          </w:tcPr>
          <w:p w14:paraId="358B3C33">
            <w:pPr>
              <w:autoSpaceDE w:val="0"/>
              <w:autoSpaceDN w:val="0"/>
              <w:adjustRightInd w:val="0"/>
              <w:snapToGrid w:val="0"/>
              <w:jc w:val="center"/>
              <w:rPr>
                <w:color w:val="auto"/>
                <w:kern w:val="0"/>
                <w:sz w:val="24"/>
                <w:highlight w:val="none"/>
              </w:rPr>
            </w:pPr>
            <w:r>
              <w:rPr>
                <w:color w:val="auto"/>
                <w:kern w:val="0"/>
                <w:sz w:val="24"/>
                <w:highlight w:val="none"/>
              </w:rPr>
              <w:t>规划及</w:t>
            </w:r>
            <w:r>
              <w:rPr>
                <w:color w:val="auto"/>
                <w:sz w:val="24"/>
                <w:highlight w:val="none"/>
              </w:rPr>
              <w:t>规划环境影响评价</w:t>
            </w:r>
            <w:r>
              <w:rPr>
                <w:color w:val="auto"/>
                <w:kern w:val="0"/>
                <w:sz w:val="24"/>
                <w:highlight w:val="none"/>
              </w:rPr>
              <w:t>符合性分析</w:t>
            </w:r>
          </w:p>
        </w:tc>
        <w:tc>
          <w:tcPr>
            <w:tcW w:w="8132" w:type="dxa"/>
            <w:gridSpan w:val="3"/>
            <w:noWrap w:val="0"/>
            <w:tcMar>
              <w:top w:w="16" w:type="dxa"/>
              <w:left w:w="16" w:type="dxa"/>
              <w:right w:w="16" w:type="dxa"/>
            </w:tcMar>
            <w:vAlign w:val="center"/>
          </w:tcPr>
          <w:p w14:paraId="6FFBFF2F">
            <w:pPr>
              <w:autoSpaceDE w:val="0"/>
              <w:autoSpaceDN w:val="0"/>
              <w:spacing w:line="360" w:lineRule="auto"/>
              <w:ind w:firstLine="480" w:firstLineChars="200"/>
              <w:rPr>
                <w:color w:val="auto"/>
                <w:sz w:val="24"/>
                <w:highlight w:val="none"/>
              </w:rPr>
            </w:pPr>
            <w:r>
              <w:rPr>
                <w:color w:val="auto"/>
                <w:sz w:val="24"/>
                <w:highlight w:val="none"/>
              </w:rPr>
              <w:t>（1）规划符合性分析</w:t>
            </w:r>
          </w:p>
          <w:p w14:paraId="58AC0CE3">
            <w:pPr>
              <w:autoSpaceDE w:val="0"/>
              <w:autoSpaceDN w:val="0"/>
              <w:spacing w:line="360" w:lineRule="auto"/>
              <w:ind w:firstLine="480" w:firstLineChars="200"/>
              <w:rPr>
                <w:kern w:val="0"/>
                <w:sz w:val="24"/>
                <w:highlight w:val="none"/>
              </w:rPr>
            </w:pPr>
            <w:r>
              <w:rPr>
                <w:rFonts w:ascii="Times New Roman" w:hAnsi="Times New Roman" w:eastAsia="宋体" w:cs="Times New Roman"/>
                <w:color w:val="auto"/>
                <w:kern w:val="0"/>
                <w:sz w:val="24"/>
                <w:highlight w:val="none"/>
              </w:rPr>
              <w:t>项目位于</w:t>
            </w:r>
            <w:r>
              <w:rPr>
                <w:rFonts w:hint="eastAsia" w:ascii="Times New Roman" w:hAnsi="Times New Roman" w:eastAsia="宋体" w:cs="Times New Roman"/>
                <w:color w:val="auto"/>
                <w:kern w:val="0"/>
                <w:sz w:val="24"/>
                <w:highlight w:val="none"/>
                <w:lang w:val="en-US" w:eastAsia="zh-CN"/>
              </w:rPr>
              <w:t>安徽省淮南市</w:t>
            </w:r>
            <w:r>
              <w:rPr>
                <w:rFonts w:hint="eastAsia" w:cs="Times New Roman"/>
                <w:color w:val="auto"/>
                <w:kern w:val="0"/>
                <w:sz w:val="24"/>
                <w:highlight w:val="none"/>
                <w:lang w:val="en-US" w:eastAsia="zh-CN"/>
              </w:rPr>
              <w:t>凤台县新集镇王集村，安徽省淮南市新集一矿3608(6)采区东翼</w:t>
            </w:r>
            <w:r>
              <w:rPr>
                <w:rFonts w:ascii="Times New Roman" w:hAnsi="Times New Roman" w:eastAsia="宋体" w:cs="Times New Roman"/>
                <w:color w:val="auto"/>
                <w:kern w:val="0"/>
                <w:sz w:val="24"/>
                <w:highlight w:val="none"/>
              </w:rPr>
              <w:t>，</w:t>
            </w:r>
            <w:r>
              <w:rPr>
                <w:kern w:val="0"/>
                <w:sz w:val="24"/>
                <w:highlight w:val="none"/>
              </w:rPr>
              <w:t>对照《国家发展改革委关于淮南潘谢矿区总体规划的批复》（发改能源[2004]2301号）隶属于中煤新集能源股份有限公司新集</w:t>
            </w:r>
            <w:r>
              <w:rPr>
                <w:rFonts w:hint="eastAsia"/>
                <w:kern w:val="0"/>
                <w:sz w:val="24"/>
                <w:highlight w:val="none"/>
                <w:lang w:val="en-US" w:eastAsia="zh-CN"/>
              </w:rPr>
              <w:t>一</w:t>
            </w:r>
            <w:r>
              <w:rPr>
                <w:kern w:val="0"/>
                <w:sz w:val="24"/>
                <w:highlight w:val="none"/>
              </w:rPr>
              <w:t>矿井田范围，项目属于煤炭资源地质勘查项目，对照《淮南潘谢矿区总体开发规划环境影响报告书》审查意见（环函〔2006〕86号）中相关要求，符合“充分利用矿区资源优势和就地转化能力，以“发展先进生产生产力，保护生命，保护资源，保护环境”的理念，项目开展后为煤矿的安全生产奠定了坚实的基础。</w:t>
            </w:r>
          </w:p>
          <w:p w14:paraId="6E7831DE">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因此，该项目建设符合《淮南潘谢矿区总体开发规划》；符合《国家发展改革委关于淮南潘谢矿区开发规划的批复》（发改能源〔2004〕2301号）。</w:t>
            </w:r>
          </w:p>
          <w:p w14:paraId="1DB899B5">
            <w:pPr>
              <w:pStyle w:val="52"/>
              <w:numPr>
                <w:ilvl w:val="0"/>
                <w:numId w:val="0"/>
              </w:numPr>
              <w:adjustRightInd/>
              <w:spacing w:line="360" w:lineRule="auto"/>
              <w:ind w:firstLine="480" w:firstLineChars="200"/>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2</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与《淮南市矿产资源总体规划（2021-2025年）》相符性分析</w:t>
            </w:r>
          </w:p>
          <w:p w14:paraId="4D9D490C">
            <w:pPr>
              <w:pStyle w:val="8"/>
              <w:bidi w:val="0"/>
              <w:jc w:val="center"/>
              <w:rPr>
                <w:rFonts w:hint="default" w:ascii="Times New Roman" w:hAnsi="Times New Roman" w:eastAsia="黑体" w:cs="Times New Roman"/>
                <w:kern w:val="2"/>
                <w:sz w:val="21"/>
                <w:szCs w:val="20"/>
                <w:highlight w:val="none"/>
                <w:lang w:val="en-US" w:eastAsia="zh-CN" w:bidi="ar-SA"/>
              </w:rPr>
            </w:pPr>
            <w:r>
              <w:rPr>
                <w:rFonts w:hint="default" w:ascii="Times New Roman" w:hAnsi="Times New Roman" w:eastAsia="黑体" w:cs="Times New Roman"/>
                <w:kern w:val="2"/>
                <w:sz w:val="21"/>
                <w:szCs w:val="20"/>
                <w:highlight w:val="none"/>
                <w:lang w:val="en-US" w:eastAsia="zh-CN" w:bidi="ar-SA"/>
              </w:rPr>
              <w:t>表1-</w:t>
            </w:r>
            <w:r>
              <w:rPr>
                <w:rFonts w:hint="eastAsia" w:ascii="Times New Roman" w:hAnsi="Times New Roman" w:cs="Times New Roman"/>
                <w:kern w:val="2"/>
                <w:sz w:val="21"/>
                <w:szCs w:val="20"/>
                <w:highlight w:val="none"/>
                <w:lang w:val="en-US" w:eastAsia="zh-CN" w:bidi="ar-SA"/>
              </w:rPr>
              <w:t xml:space="preserve">2  </w:t>
            </w:r>
            <w:r>
              <w:rPr>
                <w:rFonts w:hint="default" w:ascii="Times New Roman" w:hAnsi="Times New Roman" w:eastAsia="黑体" w:cs="Times New Roman"/>
                <w:kern w:val="2"/>
                <w:sz w:val="21"/>
                <w:szCs w:val="20"/>
                <w:highlight w:val="none"/>
                <w:lang w:val="en-US" w:eastAsia="zh-CN" w:bidi="ar-SA"/>
              </w:rPr>
              <w:t>与《淮南市矿产资源总体规划（2021-2025年）》相符性分析</w:t>
            </w:r>
          </w:p>
          <w:tbl>
            <w:tblPr>
              <w:tblStyle w:val="30"/>
              <w:tblW w:w="491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72"/>
              <w:gridCol w:w="2909"/>
              <w:gridCol w:w="668"/>
            </w:tblGrid>
            <w:tr w14:paraId="6D84C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9" w:type="pct"/>
                  <w:tcBorders>
                    <w:tl2br w:val="nil"/>
                    <w:tr2bl w:val="nil"/>
                  </w:tcBorders>
                  <w:noWrap w:val="0"/>
                  <w:vAlign w:val="center"/>
                </w:tcPr>
                <w:p w14:paraId="3B82226D">
                  <w:pPr>
                    <w:pStyle w:val="125"/>
                    <w:bidi w:val="0"/>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相关要求</w:t>
                  </w:r>
                </w:p>
              </w:tc>
              <w:tc>
                <w:tcPr>
                  <w:tcW w:w="1829" w:type="pct"/>
                  <w:tcBorders>
                    <w:tl2br w:val="nil"/>
                    <w:tr2bl w:val="nil"/>
                  </w:tcBorders>
                  <w:noWrap w:val="0"/>
                  <w:vAlign w:val="center"/>
                </w:tcPr>
                <w:p w14:paraId="7050C218">
                  <w:pPr>
                    <w:pStyle w:val="125"/>
                    <w:bidi w:val="0"/>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项目情况</w:t>
                  </w:r>
                </w:p>
              </w:tc>
              <w:tc>
                <w:tcPr>
                  <w:tcW w:w="420" w:type="pct"/>
                  <w:tcBorders>
                    <w:tl2br w:val="nil"/>
                    <w:tr2bl w:val="nil"/>
                  </w:tcBorders>
                  <w:noWrap w:val="0"/>
                  <w:vAlign w:val="center"/>
                </w:tcPr>
                <w:p w14:paraId="11647620">
                  <w:pPr>
                    <w:pStyle w:val="125"/>
                    <w:bidi w:val="0"/>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相符性</w:t>
                  </w:r>
                </w:p>
              </w:tc>
            </w:tr>
            <w:tr w14:paraId="2C012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9" w:type="pct"/>
                  <w:tcBorders>
                    <w:tl2br w:val="nil"/>
                    <w:tr2bl w:val="nil"/>
                  </w:tcBorders>
                  <w:noWrap w:val="0"/>
                  <w:vAlign w:val="center"/>
                </w:tcPr>
                <w:p w14:paraId="1AE0C4D1">
                  <w:pPr>
                    <w:pStyle w:val="125"/>
                    <w:bidi w:val="0"/>
                    <w:jc w:val="both"/>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规划目标</w:t>
                  </w:r>
                  <w:r>
                    <w:rPr>
                      <w:rFonts w:hint="eastAsia" w:ascii="Times New Roman" w:hAnsi="Times New Roman" w:eastAsia="宋体" w:cs="Times New Roman"/>
                      <w:kern w:val="2"/>
                      <w:sz w:val="21"/>
                      <w:szCs w:val="21"/>
                      <w:highlight w:val="none"/>
                      <w:lang w:val="en-US" w:eastAsia="zh-CN" w:bidi="ar-SA"/>
                    </w:rPr>
                    <w:t>：</w:t>
                  </w:r>
                  <w:r>
                    <w:rPr>
                      <w:rFonts w:hint="default" w:ascii="Times New Roman" w:hAnsi="Times New Roman" w:eastAsia="宋体" w:cs="Times New Roman"/>
                      <w:kern w:val="2"/>
                      <w:sz w:val="21"/>
                      <w:szCs w:val="21"/>
                      <w:highlight w:val="none"/>
                      <w:lang w:val="en-US" w:eastAsia="zh-CN" w:bidi="ar-SA"/>
                    </w:rPr>
                    <w:t>进一步加大矿产资源勘查开发力度，加强煤炭、煤系天然气资源综合利用，提高煤、煤系天然气资源保障程度。持续推进矿业结构优化，实现转型升级的目标；持续加强和谐矿区建设，大力推进绿色矿业发展，全面落实生态文明建设的总体要求，基本实现“环境友好型”矿业发展目标。加强信息化建设，不断提高矿政管理的透明度、简化矿政审批手续，进一步加强政务服务平台、综合监管平台信息化建设，逐步实现矿业权审批事项“一网通办”，提升矿政服务能力</w:t>
                  </w:r>
                  <w:r>
                    <w:rPr>
                      <w:rFonts w:hint="eastAsia" w:ascii="Times New Roman" w:hAnsi="Times New Roman" w:eastAsia="宋体" w:cs="Times New Roman"/>
                      <w:kern w:val="2"/>
                      <w:sz w:val="21"/>
                      <w:szCs w:val="21"/>
                      <w:highlight w:val="none"/>
                      <w:lang w:val="en-US" w:eastAsia="zh-CN" w:bidi="ar-SA"/>
                    </w:rPr>
                    <w:t>。</w:t>
                  </w:r>
                </w:p>
              </w:tc>
              <w:tc>
                <w:tcPr>
                  <w:tcW w:w="1829" w:type="pct"/>
                  <w:tcBorders>
                    <w:tl2br w:val="nil"/>
                    <w:tr2bl w:val="nil"/>
                  </w:tcBorders>
                  <w:noWrap w:val="0"/>
                  <w:vAlign w:val="center"/>
                </w:tcPr>
                <w:p w14:paraId="7BE4EE92">
                  <w:pPr>
                    <w:pStyle w:val="125"/>
                    <w:bidi w:val="0"/>
                    <w:jc w:val="both"/>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本项目为陆地矿产资源地质勘查工程，不涉及煤炭开采工作。待治理</w:t>
                  </w:r>
                  <w:r>
                    <w:rPr>
                      <w:rFonts w:hint="eastAsia" w:ascii="Times New Roman" w:hAnsi="Times New Roman" w:eastAsia="宋体" w:cs="Times New Roman"/>
                      <w:kern w:val="2"/>
                      <w:sz w:val="21"/>
                      <w:szCs w:val="21"/>
                      <w:highlight w:val="none"/>
                      <w:lang w:val="en-US" w:eastAsia="zh-CN" w:bidi="ar-SA"/>
                    </w:rPr>
                    <w:t>工程</w:t>
                  </w:r>
                  <w:r>
                    <w:rPr>
                      <w:rFonts w:hint="default" w:ascii="Times New Roman" w:hAnsi="Times New Roman" w:eastAsia="宋体" w:cs="Times New Roman"/>
                      <w:kern w:val="2"/>
                      <w:sz w:val="21"/>
                      <w:szCs w:val="21"/>
                      <w:highlight w:val="none"/>
                      <w:lang w:val="en-US" w:eastAsia="zh-CN" w:bidi="ar-SA"/>
                    </w:rPr>
                    <w:t>结束后进行现场清理和生态修复工作。项目实施是为了</w:t>
                  </w:r>
                  <w:r>
                    <w:rPr>
                      <w:rFonts w:hint="eastAsia" w:ascii="Times New Roman" w:hAnsi="Times New Roman" w:eastAsia="宋体" w:cs="Times New Roman"/>
                      <w:kern w:val="2"/>
                      <w:sz w:val="21"/>
                      <w:szCs w:val="21"/>
                      <w:highlight w:val="none"/>
                      <w:lang w:val="en-US" w:eastAsia="zh-CN" w:bidi="ar-SA"/>
                    </w:rPr>
                    <w:t>达到地面减沉控沉目的，实现地表设施安全稳定、验证多煤层重复采动及上覆厚层推覆体片麻岩的特殊地质条件下覆岩隔离注浆技术的可行性及保护效果，保障360610工作面安全顺利回采</w:t>
                  </w:r>
                  <w:r>
                    <w:rPr>
                      <w:rFonts w:hint="default" w:ascii="Times New Roman" w:hAnsi="Times New Roman" w:eastAsia="宋体" w:cs="Times New Roman"/>
                      <w:kern w:val="2"/>
                      <w:sz w:val="21"/>
                      <w:szCs w:val="21"/>
                      <w:highlight w:val="none"/>
                      <w:lang w:val="en-US" w:eastAsia="zh-CN" w:bidi="ar-SA"/>
                    </w:rPr>
                    <w:t>。</w:t>
                  </w:r>
                </w:p>
              </w:tc>
              <w:tc>
                <w:tcPr>
                  <w:tcW w:w="420" w:type="pct"/>
                  <w:tcBorders>
                    <w:tl2br w:val="nil"/>
                    <w:tr2bl w:val="nil"/>
                  </w:tcBorders>
                  <w:noWrap w:val="0"/>
                  <w:vAlign w:val="center"/>
                </w:tcPr>
                <w:p w14:paraId="39EBB321">
                  <w:pPr>
                    <w:pStyle w:val="125"/>
                    <w:bidi w:val="0"/>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符合</w:t>
                  </w:r>
                </w:p>
              </w:tc>
            </w:tr>
            <w:tr w14:paraId="77181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9" w:type="pct"/>
                  <w:tcBorders>
                    <w:tl2br w:val="nil"/>
                    <w:tr2bl w:val="nil"/>
                  </w:tcBorders>
                  <w:noWrap w:val="0"/>
                  <w:vAlign w:val="center"/>
                </w:tcPr>
                <w:p w14:paraId="38DAC22F">
                  <w:pPr>
                    <w:pStyle w:val="125"/>
                    <w:bidi w:val="0"/>
                    <w:jc w:val="both"/>
                    <w:rPr>
                      <w:rFonts w:hint="eastAsia" w:ascii="Times New Roman" w:hAnsi="Times New Roman" w:eastAsia="宋体" w:cs="Times New Roman"/>
                      <w:kern w:val="2"/>
                      <w:sz w:val="21"/>
                      <w:szCs w:val="21"/>
                      <w:highlight w:val="none"/>
                      <w:lang w:val="en-US" w:eastAsia="zh-CN" w:bidi="ar-SA"/>
                    </w:rPr>
                  </w:pPr>
                  <w:r>
                    <w:rPr>
                      <w:rFonts w:hint="eastAsia" w:cs="Times New Roman"/>
                      <w:kern w:val="2"/>
                      <w:sz w:val="21"/>
                      <w:szCs w:val="21"/>
                      <w:highlight w:val="none"/>
                      <w:lang w:val="en-US" w:eastAsia="zh-CN" w:bidi="ar-SA"/>
                    </w:rPr>
                    <w:t>勘查</w:t>
                  </w:r>
                  <w:r>
                    <w:rPr>
                      <w:rFonts w:hint="default" w:ascii="Times New Roman" w:hAnsi="Times New Roman" w:eastAsia="宋体" w:cs="Times New Roman"/>
                      <w:kern w:val="2"/>
                      <w:sz w:val="21"/>
                      <w:szCs w:val="21"/>
                      <w:highlight w:val="none"/>
                      <w:lang w:val="en-US" w:eastAsia="zh-CN" w:bidi="ar-SA"/>
                    </w:rPr>
                    <w:t>开发总体布局</w:t>
                  </w:r>
                  <w:r>
                    <w:rPr>
                      <w:rFonts w:hint="eastAsia" w:ascii="Times New Roman" w:hAnsi="Times New Roman" w:eastAsia="宋体" w:cs="Times New Roman"/>
                      <w:kern w:val="2"/>
                      <w:sz w:val="21"/>
                      <w:szCs w:val="21"/>
                      <w:highlight w:val="none"/>
                      <w:lang w:val="en-US" w:eastAsia="zh-CN" w:bidi="ar-SA"/>
                    </w:rPr>
                    <w:t>：</w:t>
                  </w:r>
                </w:p>
                <w:p w14:paraId="22ED05BC">
                  <w:pPr>
                    <w:pStyle w:val="125"/>
                    <w:bidi w:val="0"/>
                    <w:jc w:val="both"/>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（一）落实国家级能源基地</w:t>
                  </w:r>
                  <w:r>
                    <w:rPr>
                      <w:rFonts w:hint="eastAsia" w:ascii="Times New Roman" w:hAnsi="Times New Roman" w:eastAsia="宋体" w:cs="Times New Roman"/>
                      <w:kern w:val="2"/>
                      <w:sz w:val="21"/>
                      <w:szCs w:val="21"/>
                      <w:highlight w:val="none"/>
                      <w:lang w:val="en-US" w:eastAsia="zh-CN" w:bidi="ar-SA"/>
                    </w:rPr>
                    <w:t>：</w:t>
                  </w:r>
                  <w:r>
                    <w:rPr>
                      <w:rFonts w:hint="default" w:ascii="Times New Roman" w:hAnsi="Times New Roman" w:eastAsia="宋体" w:cs="Times New Roman"/>
                      <w:kern w:val="2"/>
                      <w:sz w:val="21"/>
                      <w:szCs w:val="21"/>
                      <w:highlight w:val="none"/>
                      <w:lang w:val="en-US" w:eastAsia="zh-CN" w:bidi="ar-SA"/>
                    </w:rPr>
                    <w:t>根据《全国矿产资源规划（2021-2025年）》，在我市划定了两淮煤炭能源资源基地（淮南段）、淮南煤炭国家规划矿区（淮南段）（GK01）。</w:t>
                  </w:r>
                </w:p>
                <w:p w14:paraId="5D36C8D0">
                  <w:pPr>
                    <w:pStyle w:val="125"/>
                    <w:bidi w:val="0"/>
                    <w:jc w:val="both"/>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（二）落实省级重点勘查区</w:t>
                  </w:r>
                  <w:r>
                    <w:rPr>
                      <w:rFonts w:hint="eastAsia" w:ascii="Times New Roman" w:hAnsi="Times New Roman" w:eastAsia="宋体" w:cs="Times New Roman"/>
                      <w:kern w:val="2"/>
                      <w:sz w:val="21"/>
                      <w:szCs w:val="21"/>
                      <w:highlight w:val="none"/>
                      <w:lang w:val="en-US" w:eastAsia="zh-CN" w:bidi="ar-SA"/>
                    </w:rPr>
                    <w:t>：</w:t>
                  </w:r>
                  <w:r>
                    <w:rPr>
                      <w:rFonts w:hint="default" w:ascii="Times New Roman" w:hAnsi="Times New Roman" w:eastAsia="宋体" w:cs="Times New Roman"/>
                      <w:kern w:val="2"/>
                      <w:sz w:val="21"/>
                      <w:szCs w:val="21"/>
                      <w:highlight w:val="none"/>
                      <w:lang w:val="en-US" w:eastAsia="zh-CN" w:bidi="ar-SA"/>
                    </w:rPr>
                    <w:t>衔接省级矿产资源规划重点勘查区1处：淮南煤系天然气煤矿重点勘查区，淮南市境内位于大通、谢家集、八公山、潘集区及凤台县南部，主要矿种为煤系天然气和煤。</w:t>
                  </w:r>
                </w:p>
                <w:p w14:paraId="6DFC50F0">
                  <w:pPr>
                    <w:pStyle w:val="125"/>
                    <w:bidi w:val="0"/>
                    <w:jc w:val="both"/>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（三）落实省级重点开采区</w:t>
                  </w:r>
                  <w:r>
                    <w:rPr>
                      <w:rFonts w:hint="eastAsia" w:ascii="Times New Roman" w:hAnsi="Times New Roman" w:eastAsia="宋体" w:cs="Times New Roman"/>
                      <w:kern w:val="2"/>
                      <w:sz w:val="21"/>
                      <w:szCs w:val="21"/>
                      <w:highlight w:val="none"/>
                      <w:lang w:val="en-US" w:eastAsia="zh-CN" w:bidi="ar-SA"/>
                    </w:rPr>
                    <w:t>：</w:t>
                  </w:r>
                  <w:r>
                    <w:rPr>
                      <w:rFonts w:hint="default" w:ascii="Times New Roman" w:hAnsi="Times New Roman" w:eastAsia="宋体" w:cs="Times New Roman"/>
                      <w:kern w:val="2"/>
                      <w:sz w:val="21"/>
                      <w:szCs w:val="21"/>
                      <w:highlight w:val="none"/>
                      <w:lang w:val="en-US" w:eastAsia="zh-CN" w:bidi="ar-SA"/>
                    </w:rPr>
                    <w:t>衔接省级矿产资源规划重点开采区1处：淮南煤炭煤系天然气重点开采区,淮南境内位于潘集区、凤台县、八公山区、谢家集区和大通区，主要矿种为煤、煤系天然气。</w:t>
                  </w:r>
                </w:p>
              </w:tc>
              <w:tc>
                <w:tcPr>
                  <w:tcW w:w="1829" w:type="pct"/>
                  <w:tcBorders>
                    <w:tl2br w:val="nil"/>
                    <w:tr2bl w:val="nil"/>
                  </w:tcBorders>
                  <w:noWrap w:val="0"/>
                  <w:vAlign w:val="center"/>
                </w:tcPr>
                <w:p w14:paraId="2CD69E78">
                  <w:pPr>
                    <w:pStyle w:val="125"/>
                    <w:bidi w:val="0"/>
                    <w:jc w:val="both"/>
                    <w:rPr>
                      <w:rFonts w:hint="default" w:ascii="Times New Roman" w:hAnsi="Times New Roman" w:eastAsia="宋体" w:cs="Times New Roman"/>
                      <w:kern w:val="2"/>
                      <w:sz w:val="21"/>
                      <w:szCs w:val="21"/>
                      <w:highlight w:val="none"/>
                      <w:lang w:val="en-US" w:eastAsia="zh-CN" w:bidi="ar-SA"/>
                    </w:rPr>
                  </w:pPr>
                  <w:r>
                    <w:rPr>
                      <w:rFonts w:ascii="Times New Roman" w:hAnsi="Times New Roman" w:eastAsia="宋体" w:cs="Times New Roman"/>
                      <w:kern w:val="2"/>
                      <w:sz w:val="21"/>
                      <w:szCs w:val="21"/>
                      <w:highlight w:val="none"/>
                      <w:lang w:val="en-US" w:eastAsia="zh-CN" w:bidi="ar-SA"/>
                    </w:rPr>
                    <w:t>项目建设地点位于安徽省淮南市</w:t>
                  </w:r>
                  <w:r>
                    <w:rPr>
                      <w:rFonts w:hint="eastAsia" w:ascii="Times New Roman" w:hAnsi="Times New Roman" w:eastAsia="宋体" w:cs="Times New Roman"/>
                      <w:kern w:val="2"/>
                      <w:sz w:val="21"/>
                      <w:szCs w:val="21"/>
                      <w:highlight w:val="none"/>
                      <w:lang w:val="en-US" w:eastAsia="zh-CN" w:bidi="ar-SA"/>
                    </w:rPr>
                    <w:t>凤台县新集镇王集村</w:t>
                  </w:r>
                  <w:r>
                    <w:rPr>
                      <w:rFonts w:ascii="Times New Roman" w:hAnsi="Times New Roman" w:eastAsia="宋体" w:cs="Times New Roman"/>
                      <w:kern w:val="2"/>
                      <w:sz w:val="21"/>
                      <w:szCs w:val="21"/>
                      <w:highlight w:val="none"/>
                      <w:lang w:val="en-US" w:eastAsia="zh-CN" w:bidi="ar-SA"/>
                    </w:rPr>
                    <w:t>，</w:t>
                  </w:r>
                  <w:r>
                    <w:rPr>
                      <w:rFonts w:hint="eastAsia" w:ascii="Times New Roman" w:hAnsi="Times New Roman" w:eastAsia="宋体" w:cs="Times New Roman"/>
                      <w:kern w:val="2"/>
                      <w:sz w:val="21"/>
                      <w:szCs w:val="21"/>
                      <w:highlight w:val="none"/>
                      <w:lang w:val="en-US" w:eastAsia="zh-CN" w:bidi="ar-SA"/>
                    </w:rPr>
                    <w:t>安徽省淮南市新集一矿3608(6)采区东翼</w:t>
                  </w:r>
                  <w:r>
                    <w:rPr>
                      <w:rFonts w:hint="eastAsia" w:cs="Times New Roman"/>
                      <w:kern w:val="2"/>
                      <w:sz w:val="21"/>
                      <w:szCs w:val="21"/>
                      <w:highlight w:val="none"/>
                      <w:lang w:val="en-US" w:eastAsia="zh-CN" w:bidi="ar-SA"/>
                    </w:rPr>
                    <w:t>。</w:t>
                  </w:r>
                  <w:r>
                    <w:rPr>
                      <w:rFonts w:ascii="Times New Roman" w:hAnsi="Times New Roman" w:eastAsia="宋体" w:cs="Times New Roman"/>
                      <w:kern w:val="2"/>
                      <w:sz w:val="21"/>
                      <w:szCs w:val="21"/>
                      <w:highlight w:val="none"/>
                      <w:lang w:val="en-US" w:eastAsia="zh-CN" w:bidi="ar-SA"/>
                    </w:rPr>
                    <w:t>项目建设符合淮南市相关规划。</w:t>
                  </w:r>
                </w:p>
              </w:tc>
              <w:tc>
                <w:tcPr>
                  <w:tcW w:w="420" w:type="pct"/>
                  <w:tcBorders>
                    <w:tl2br w:val="nil"/>
                    <w:tr2bl w:val="nil"/>
                  </w:tcBorders>
                  <w:noWrap w:val="0"/>
                  <w:vAlign w:val="center"/>
                </w:tcPr>
                <w:p w14:paraId="1251C1AF">
                  <w:pPr>
                    <w:pStyle w:val="125"/>
                    <w:bidi w:val="0"/>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符合</w:t>
                  </w:r>
                </w:p>
              </w:tc>
            </w:tr>
            <w:tr w14:paraId="727C9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9" w:type="pct"/>
                  <w:tcBorders>
                    <w:tl2br w:val="nil"/>
                    <w:tr2bl w:val="nil"/>
                  </w:tcBorders>
                  <w:noWrap w:val="0"/>
                  <w:vAlign w:val="center"/>
                </w:tcPr>
                <w:p w14:paraId="0E497304">
                  <w:pPr>
                    <w:pStyle w:val="125"/>
                    <w:bidi w:val="0"/>
                    <w:jc w:val="both"/>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绿色勘查</w:t>
                  </w:r>
                  <w:r>
                    <w:rPr>
                      <w:rFonts w:hint="eastAsia" w:ascii="Times New Roman" w:hAnsi="Times New Roman" w:eastAsia="宋体" w:cs="Times New Roman"/>
                      <w:kern w:val="2"/>
                      <w:sz w:val="21"/>
                      <w:szCs w:val="21"/>
                      <w:highlight w:val="none"/>
                      <w:lang w:val="en-US" w:eastAsia="zh-CN" w:bidi="ar-SA"/>
                    </w:rPr>
                    <w:t>：</w:t>
                  </w:r>
                  <w:r>
                    <w:rPr>
                      <w:rFonts w:hint="default" w:ascii="Times New Roman" w:hAnsi="Times New Roman" w:eastAsia="宋体" w:cs="Times New Roman"/>
                      <w:kern w:val="2"/>
                      <w:sz w:val="21"/>
                      <w:szCs w:val="21"/>
                      <w:highlight w:val="none"/>
                      <w:lang w:val="en-US" w:eastAsia="zh-CN" w:bidi="ar-SA"/>
                    </w:rPr>
                    <w:t>严格财政出资项目绿色勘查。以国家及省级绿色勘查示范项目为引领，将绿色发展理念和生态环保的要求贯穿于地质勘查全过程，严格要求财政出资项目按照绿色勘查规范要求，优化勘查布局，编制并实施绿色勘查方案，最大程度降低地质勘查活动对周边生态环境的扰动，做好勘查区内生态环境修复治理，保障实施效果，促进周边区域关系和谐，实现和谐勘查。推进商业性探矿权绿色勘查。引导探矿权人与勘查实施单位共同树立绿色勘查理念，推进商业性勘查落实生态环保措施，切实做到依法勘查、绿色勘查。</w:t>
                  </w:r>
                </w:p>
                <w:p w14:paraId="74DE7E16">
                  <w:pPr>
                    <w:pStyle w:val="125"/>
                    <w:bidi w:val="0"/>
                    <w:jc w:val="both"/>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加大绿色勘查技术创新。做好绿色勘查新理论、新技术、新方法、新工艺的推广和应用，在满足地质勘查设计要求的前提下，尽量采用以浅钻代替槽探工程、以便携式钻机代替传统钻机、一基多孔、环保型泥浆循环使用并回收等绿色勘查技术方法，最大程度降低对生态环境的扰动。</w:t>
                  </w:r>
                </w:p>
              </w:tc>
              <w:tc>
                <w:tcPr>
                  <w:tcW w:w="1829" w:type="pct"/>
                  <w:tcBorders>
                    <w:tl2br w:val="nil"/>
                    <w:tr2bl w:val="nil"/>
                  </w:tcBorders>
                  <w:noWrap w:val="0"/>
                  <w:vAlign w:val="center"/>
                </w:tcPr>
                <w:p w14:paraId="4DE847F3">
                  <w:pPr>
                    <w:keepNext w:val="0"/>
                    <w:keepLines w:val="0"/>
                    <w:widowControl/>
                    <w:numPr>
                      <w:ilvl w:val="0"/>
                      <w:numId w:val="1"/>
                    </w:numPr>
                    <w:suppressLineNumbers w:val="0"/>
                    <w:spacing w:before="0" w:beforeAutospacing="1" w:after="0" w:afterAutospacing="1"/>
                    <w:ind w:left="0" w:hanging="360"/>
                    <w:rPr>
                      <w:rFonts w:hint="default" w:ascii="Times New Roman" w:hAnsi="Times New Roman" w:eastAsia="宋体" w:cs="Times New Roman"/>
                      <w:kern w:val="2"/>
                      <w:sz w:val="21"/>
                      <w:szCs w:val="21"/>
                      <w:highlight w:val="none"/>
                      <w:lang w:val="en-US" w:eastAsia="zh-CN" w:bidi="ar-SA"/>
                    </w:rPr>
                  </w:pPr>
                  <w:r>
                    <w:rPr>
                      <w:kern w:val="0"/>
                      <w:szCs w:val="21"/>
                      <w:highlight w:val="none"/>
                    </w:rPr>
                    <w:t>项目无钻井废水外排，办公区设置集成厕所和玻璃钢化粪池，生活污水经</w:t>
                  </w:r>
                  <w:r>
                    <w:rPr>
                      <w:rFonts w:eastAsia="宋体"/>
                      <w:kern w:val="0"/>
                      <w:szCs w:val="21"/>
                      <w:highlight w:val="none"/>
                    </w:rPr>
                    <w:t>化粪池预处理后</w:t>
                  </w:r>
                  <w:r>
                    <w:rPr>
                      <w:rFonts w:hint="default" w:eastAsia="宋体"/>
                      <w:kern w:val="0"/>
                      <w:szCs w:val="21"/>
                      <w:highlight w:val="none"/>
                    </w:rPr>
                    <w:t>定期委托第三方使用吸污车运送至新集</w:t>
                  </w:r>
                  <w:r>
                    <w:rPr>
                      <w:rFonts w:hint="eastAsia"/>
                      <w:kern w:val="0"/>
                      <w:szCs w:val="21"/>
                      <w:highlight w:val="none"/>
                      <w:lang w:val="en-US" w:eastAsia="zh-CN"/>
                    </w:rPr>
                    <w:t>一</w:t>
                  </w:r>
                  <w:r>
                    <w:rPr>
                      <w:rFonts w:hint="default" w:eastAsia="宋体"/>
                      <w:kern w:val="0"/>
                      <w:szCs w:val="21"/>
                      <w:highlight w:val="none"/>
                    </w:rPr>
                    <w:t>矿现有生活污水处理站进行处理</w:t>
                  </w:r>
                  <w:r>
                    <w:rPr>
                      <w:rFonts w:eastAsia="宋体"/>
                      <w:kern w:val="0"/>
                      <w:szCs w:val="21"/>
                      <w:highlight w:val="none"/>
                    </w:rPr>
                    <w:t>。搅拌作业处设置</w:t>
                  </w:r>
                  <w:r>
                    <w:rPr>
                      <w:kern w:val="0"/>
                      <w:szCs w:val="21"/>
                      <w:highlight w:val="none"/>
                    </w:rPr>
                    <w:t>沉淀池，搅拌机及运输车清洗废</w:t>
                  </w:r>
                  <w:r>
                    <w:rPr>
                      <w:rFonts w:hint="default" w:eastAsia="宋体"/>
                      <w:kern w:val="0"/>
                      <w:szCs w:val="21"/>
                      <w:highlight w:val="none"/>
                    </w:rPr>
                    <w:t>水排入沉淀池，经二次沉淀后</w:t>
                  </w:r>
                  <w:r>
                    <w:rPr>
                      <w:rFonts w:hint="eastAsia" w:eastAsia="宋体"/>
                      <w:kern w:val="0"/>
                      <w:szCs w:val="21"/>
                      <w:highlight w:val="none"/>
                      <w:lang w:val="en-US" w:eastAsia="zh-CN"/>
                    </w:rPr>
                    <w:t>循环利用</w:t>
                  </w:r>
                  <w:r>
                    <w:rPr>
                      <w:rFonts w:hint="default" w:eastAsia="宋体"/>
                      <w:kern w:val="0"/>
                      <w:szCs w:val="21"/>
                      <w:highlight w:val="none"/>
                    </w:rPr>
                    <w:t>，不外排。</w:t>
                  </w:r>
                  <w:r>
                    <w:rPr>
                      <w:rFonts w:hint="default" w:eastAsia="宋体"/>
                      <w:kern w:val="0"/>
                      <w:szCs w:val="21"/>
                      <w:highlight w:val="none"/>
                      <w:lang w:val="en-US" w:eastAsia="zh-CN"/>
                    </w:rPr>
                    <w:t>废泥浆暂存于泥浆池中，施工完成后交第三方公司综合利用。岩屑暂存于场地</w:t>
                  </w:r>
                  <w:r>
                    <w:rPr>
                      <w:rFonts w:hint="eastAsia" w:eastAsia="宋体"/>
                      <w:kern w:val="0"/>
                      <w:szCs w:val="21"/>
                      <w:highlight w:val="none"/>
                      <w:lang w:val="en-US" w:eastAsia="zh-CN"/>
                    </w:rPr>
                    <w:t>岩屑池</w:t>
                  </w:r>
                  <w:r>
                    <w:rPr>
                      <w:rFonts w:hint="default" w:eastAsia="宋体"/>
                      <w:kern w:val="0"/>
                      <w:szCs w:val="21"/>
                      <w:highlight w:val="none"/>
                      <w:lang w:val="en-US" w:eastAsia="zh-CN"/>
                    </w:rPr>
                    <w:t>中定期交第三方公司综合利用。本项目在实</w:t>
                  </w:r>
                  <w:r>
                    <w:rPr>
                      <w:rFonts w:hint="default"/>
                      <w:kern w:val="0"/>
                      <w:szCs w:val="21"/>
                      <w:highlight w:val="none"/>
                      <w:lang w:val="en-US" w:eastAsia="zh-CN"/>
                    </w:rPr>
                    <w:t>施过程中严格遵守</w:t>
                  </w:r>
                  <w:r>
                    <w:rPr>
                      <w:rFonts w:hint="eastAsia"/>
                      <w:kern w:val="0"/>
                      <w:szCs w:val="21"/>
                      <w:highlight w:val="none"/>
                      <w:lang w:val="en-US" w:eastAsia="zh-CN"/>
                    </w:rPr>
                    <w:t>“</w:t>
                  </w:r>
                  <w:r>
                    <w:rPr>
                      <w:rFonts w:hint="default"/>
                      <w:kern w:val="0"/>
                      <w:szCs w:val="21"/>
                      <w:highlight w:val="none"/>
                      <w:lang w:val="en-US" w:eastAsia="zh-CN"/>
                    </w:rPr>
                    <w:t>统一管理、分工负责</w:t>
                  </w:r>
                  <w:r>
                    <w:rPr>
                      <w:rFonts w:hint="eastAsia"/>
                      <w:kern w:val="0"/>
                      <w:szCs w:val="21"/>
                      <w:highlight w:val="none"/>
                      <w:lang w:val="en-US" w:eastAsia="zh-CN"/>
                    </w:rPr>
                    <w:t>”</w:t>
                  </w:r>
                  <w:r>
                    <w:rPr>
                      <w:rFonts w:hint="default"/>
                      <w:kern w:val="0"/>
                      <w:szCs w:val="21"/>
                      <w:highlight w:val="none"/>
                      <w:lang w:val="en-US" w:eastAsia="zh-CN"/>
                    </w:rPr>
                    <w:t>的原则，加强组织领导，明确责任分工，认真履行职责，强化协调配合，落实</w:t>
                  </w:r>
                  <w:r>
                    <w:rPr>
                      <w:rFonts w:hint="eastAsia"/>
                      <w:kern w:val="0"/>
                      <w:szCs w:val="21"/>
                      <w:highlight w:val="none"/>
                      <w:lang w:val="en-US" w:eastAsia="zh-CN"/>
                    </w:rPr>
                    <w:t>各项污染治理措施。</w:t>
                  </w:r>
                </w:p>
              </w:tc>
              <w:tc>
                <w:tcPr>
                  <w:tcW w:w="420" w:type="pct"/>
                  <w:tcBorders>
                    <w:tl2br w:val="nil"/>
                    <w:tr2bl w:val="nil"/>
                  </w:tcBorders>
                  <w:noWrap w:val="0"/>
                  <w:vAlign w:val="center"/>
                </w:tcPr>
                <w:p w14:paraId="690CC74F">
                  <w:pPr>
                    <w:pStyle w:val="125"/>
                    <w:bidi w:val="0"/>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符合</w:t>
                  </w:r>
                </w:p>
              </w:tc>
            </w:tr>
          </w:tbl>
          <w:p w14:paraId="42AF8BE1">
            <w:pPr>
              <w:pStyle w:val="52"/>
              <w:numPr>
                <w:ilvl w:val="0"/>
                <w:numId w:val="0"/>
              </w:numPr>
              <w:adjustRightInd/>
              <w:spacing w:line="360" w:lineRule="auto"/>
              <w:rPr>
                <w:rFonts w:hint="default" w:ascii="Times New Roman" w:hAnsi="Times New Roman" w:eastAsia="宋体" w:cs="Times New Roman"/>
                <w:color w:val="0000FF"/>
                <w:kern w:val="0"/>
                <w:sz w:val="24"/>
                <w:highlight w:val="none"/>
                <w:lang w:val="en-US" w:eastAsia="zh-CN"/>
              </w:rPr>
            </w:pPr>
          </w:p>
          <w:p w14:paraId="2DF826C7">
            <w:pPr>
              <w:pStyle w:val="52"/>
              <w:adjustRightInd/>
              <w:spacing w:line="360" w:lineRule="auto"/>
              <w:ind w:firstLine="480" w:firstLineChars="200"/>
              <w:rPr>
                <w:rFonts w:ascii="Times New Roman" w:hAnsi="Times New Roman"/>
                <w:color w:val="auto"/>
                <w:highlight w:val="none"/>
              </w:rPr>
            </w:pP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3）</w:t>
            </w:r>
            <w:r>
              <w:rPr>
                <w:rFonts w:ascii="Times New Roman" w:hAnsi="Times New Roman"/>
                <w:color w:val="auto"/>
                <w:highlight w:val="none"/>
              </w:rPr>
              <w:t>规划环境影响评价符合性分析</w:t>
            </w:r>
          </w:p>
          <w:p w14:paraId="37CADF59">
            <w:pPr>
              <w:spacing w:line="240" w:lineRule="atLeast"/>
              <w:jc w:val="center"/>
              <w:rPr>
                <w:rFonts w:eastAsia="黑体"/>
                <w:color w:val="auto"/>
                <w:szCs w:val="20"/>
                <w:highlight w:val="none"/>
              </w:rPr>
            </w:pPr>
            <w:r>
              <w:rPr>
                <w:rFonts w:eastAsia="黑体"/>
                <w:color w:val="auto"/>
                <w:szCs w:val="20"/>
                <w:highlight w:val="none"/>
              </w:rPr>
              <w:t>表1-</w:t>
            </w:r>
            <w:r>
              <w:rPr>
                <w:rFonts w:hint="eastAsia" w:eastAsia="黑体"/>
                <w:color w:val="auto"/>
                <w:szCs w:val="20"/>
                <w:highlight w:val="none"/>
                <w:lang w:val="en-US" w:eastAsia="zh-CN"/>
              </w:rPr>
              <w:t>3</w:t>
            </w:r>
            <w:r>
              <w:rPr>
                <w:rFonts w:eastAsia="黑体"/>
                <w:color w:val="auto"/>
                <w:szCs w:val="20"/>
                <w:highlight w:val="none"/>
              </w:rPr>
              <w:t xml:space="preserve">  本项目与《淮南</w:t>
            </w:r>
            <w:r>
              <w:rPr>
                <w:rFonts w:hint="eastAsia" w:eastAsia="黑体"/>
                <w:color w:val="auto"/>
                <w:szCs w:val="20"/>
                <w:highlight w:val="none"/>
                <w:lang w:val="en-US" w:eastAsia="zh-CN"/>
              </w:rPr>
              <w:t>潘谢</w:t>
            </w:r>
            <w:r>
              <w:rPr>
                <w:rFonts w:eastAsia="黑体"/>
                <w:color w:val="auto"/>
                <w:szCs w:val="20"/>
                <w:highlight w:val="none"/>
              </w:rPr>
              <w:t>矿区总体开发规划环境影响报告书》审查意见符合性一览表</w:t>
            </w:r>
          </w:p>
          <w:tbl>
            <w:tblPr>
              <w:tblStyle w:val="29"/>
              <w:tblW w:w="495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25"/>
              <w:gridCol w:w="4265"/>
              <w:gridCol w:w="2353"/>
              <w:gridCol w:w="766"/>
            </w:tblGrid>
            <w:tr w14:paraId="28E8EB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0" w:type="pct"/>
                  <w:noWrap w:val="0"/>
                  <w:vAlign w:val="center"/>
                </w:tcPr>
                <w:p w14:paraId="3551D6EE">
                  <w:pPr>
                    <w:widowControl/>
                    <w:jc w:val="center"/>
                    <w:rPr>
                      <w:color w:val="auto"/>
                      <w:szCs w:val="21"/>
                      <w:highlight w:val="none"/>
                    </w:rPr>
                  </w:pPr>
                  <w:r>
                    <w:rPr>
                      <w:color w:val="auto"/>
                      <w:szCs w:val="21"/>
                      <w:highlight w:val="none"/>
                    </w:rPr>
                    <w:t>序号</w:t>
                  </w:r>
                </w:p>
              </w:tc>
              <w:tc>
                <w:tcPr>
                  <w:tcW w:w="2661" w:type="pct"/>
                  <w:noWrap w:val="0"/>
                  <w:vAlign w:val="center"/>
                </w:tcPr>
                <w:p w14:paraId="723FFD0F">
                  <w:pPr>
                    <w:widowControl/>
                    <w:jc w:val="center"/>
                    <w:rPr>
                      <w:color w:val="auto"/>
                      <w:szCs w:val="21"/>
                      <w:highlight w:val="none"/>
                    </w:rPr>
                  </w:pPr>
                  <w:r>
                    <w:rPr>
                      <w:color w:val="auto"/>
                      <w:szCs w:val="21"/>
                      <w:highlight w:val="none"/>
                    </w:rPr>
                    <w:t>审查意见</w:t>
                  </w:r>
                </w:p>
              </w:tc>
              <w:tc>
                <w:tcPr>
                  <w:tcW w:w="1468" w:type="pct"/>
                  <w:noWrap w:val="0"/>
                  <w:vAlign w:val="center"/>
                </w:tcPr>
                <w:p w14:paraId="4F728882">
                  <w:pPr>
                    <w:widowControl/>
                    <w:jc w:val="center"/>
                    <w:rPr>
                      <w:color w:val="auto"/>
                      <w:szCs w:val="21"/>
                      <w:highlight w:val="none"/>
                    </w:rPr>
                  </w:pPr>
                  <w:r>
                    <w:rPr>
                      <w:color w:val="auto"/>
                      <w:szCs w:val="21"/>
                      <w:highlight w:val="none"/>
                    </w:rPr>
                    <w:t>项目建设情况</w:t>
                  </w:r>
                </w:p>
              </w:tc>
              <w:tc>
                <w:tcPr>
                  <w:tcW w:w="478" w:type="pct"/>
                  <w:noWrap w:val="0"/>
                  <w:vAlign w:val="center"/>
                </w:tcPr>
                <w:p w14:paraId="64684990">
                  <w:pPr>
                    <w:widowControl/>
                    <w:jc w:val="center"/>
                    <w:rPr>
                      <w:color w:val="auto"/>
                      <w:szCs w:val="21"/>
                      <w:highlight w:val="none"/>
                    </w:rPr>
                  </w:pPr>
                  <w:r>
                    <w:rPr>
                      <w:color w:val="auto"/>
                      <w:szCs w:val="21"/>
                      <w:highlight w:val="none"/>
                    </w:rPr>
                    <w:t>符合</w:t>
                  </w:r>
                </w:p>
                <w:p w14:paraId="2AD19F91">
                  <w:pPr>
                    <w:widowControl/>
                    <w:jc w:val="center"/>
                    <w:rPr>
                      <w:color w:val="auto"/>
                      <w:szCs w:val="21"/>
                      <w:highlight w:val="none"/>
                    </w:rPr>
                  </w:pPr>
                  <w:r>
                    <w:rPr>
                      <w:color w:val="auto"/>
                      <w:szCs w:val="21"/>
                      <w:highlight w:val="none"/>
                    </w:rPr>
                    <w:t>性分析</w:t>
                  </w:r>
                </w:p>
              </w:tc>
            </w:tr>
            <w:tr w14:paraId="05F27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0" w:type="pct"/>
                  <w:noWrap w:val="0"/>
                  <w:vAlign w:val="center"/>
                </w:tcPr>
                <w:p w14:paraId="49EF82B3">
                  <w:pPr>
                    <w:widowControl/>
                    <w:jc w:val="center"/>
                    <w:rPr>
                      <w:color w:val="auto"/>
                      <w:szCs w:val="21"/>
                      <w:highlight w:val="none"/>
                    </w:rPr>
                  </w:pPr>
                  <w:r>
                    <w:rPr>
                      <w:color w:val="auto"/>
                      <w:szCs w:val="21"/>
                      <w:highlight w:val="none"/>
                    </w:rPr>
                    <w:t>1</w:t>
                  </w:r>
                </w:p>
              </w:tc>
              <w:tc>
                <w:tcPr>
                  <w:tcW w:w="2661" w:type="pct"/>
                  <w:noWrap w:val="0"/>
                  <w:vAlign w:val="center"/>
                </w:tcPr>
                <w:p w14:paraId="4C8D4CC0">
                  <w:pPr>
                    <w:widowControl/>
                    <w:jc w:val="both"/>
                    <w:rPr>
                      <w:color w:val="auto"/>
                      <w:szCs w:val="21"/>
                      <w:highlight w:val="none"/>
                    </w:rPr>
                  </w:pPr>
                  <w:r>
                    <w:rPr>
                      <w:color w:val="auto"/>
                      <w:szCs w:val="21"/>
                      <w:highlight w:val="none"/>
                    </w:rPr>
                    <w:t>一、淮南潘谢矿区煤炭资源极为丰富，资源储量达285亿吨，且深部还有可靠的煤炭资源。充分利用该矿区的资源、区位和市场优势，依托齐全的基础配套设施，加大煤炭开发力度和就地转化能力，以“发展先进生产力，保护生命，保护资源，保护环境”的理念将矿区建设成为华东地区重要的大型煤电基地，对于促进区域经济、社会、环境、资源的协调发展具有重要意义。</w:t>
                  </w:r>
                </w:p>
              </w:tc>
              <w:tc>
                <w:tcPr>
                  <w:tcW w:w="1468" w:type="pct"/>
                  <w:noWrap w:val="0"/>
                  <w:vAlign w:val="center"/>
                </w:tcPr>
                <w:p w14:paraId="0A4A49A0">
                  <w:pPr>
                    <w:adjustRightInd w:val="0"/>
                    <w:snapToGrid w:val="0"/>
                    <w:rPr>
                      <w:color w:val="auto"/>
                      <w:szCs w:val="21"/>
                      <w:highlight w:val="none"/>
                    </w:rPr>
                  </w:pPr>
                  <w:r>
                    <w:rPr>
                      <w:szCs w:val="21"/>
                      <w:highlight w:val="none"/>
                    </w:rPr>
                    <w:t>本项目属于</w:t>
                  </w:r>
                  <w:r>
                    <w:rPr>
                      <w:rFonts w:hint="eastAsia"/>
                      <w:szCs w:val="21"/>
                      <w:highlight w:val="none"/>
                      <w:lang w:val="en-US" w:eastAsia="zh-CN"/>
                    </w:rPr>
                    <w:t>固体</w:t>
                  </w:r>
                  <w:r>
                    <w:rPr>
                      <w:szCs w:val="21"/>
                      <w:highlight w:val="none"/>
                    </w:rPr>
                    <w:t>矿产地质勘查项目，属于煤矿开采的配套工程</w:t>
                  </w:r>
                  <w:r>
                    <w:rPr>
                      <w:color w:val="auto"/>
                      <w:szCs w:val="21"/>
                      <w:highlight w:val="none"/>
                    </w:rPr>
                    <w:t>，</w:t>
                  </w:r>
                  <w:r>
                    <w:rPr>
                      <w:rFonts w:hint="default" w:ascii="Times New Roman" w:hAnsi="Times New Roman" w:eastAsia="宋体" w:cs="Times New Roman"/>
                      <w:kern w:val="2"/>
                      <w:sz w:val="21"/>
                      <w:szCs w:val="21"/>
                      <w:highlight w:val="none"/>
                      <w:lang w:val="en-US" w:eastAsia="zh-CN" w:bidi="ar-SA"/>
                    </w:rPr>
                    <w:t>为了</w:t>
                  </w:r>
                  <w:r>
                    <w:rPr>
                      <w:rFonts w:hint="eastAsia" w:ascii="Times New Roman" w:hAnsi="Times New Roman" w:eastAsia="宋体" w:cs="Times New Roman"/>
                      <w:kern w:val="2"/>
                      <w:sz w:val="21"/>
                      <w:szCs w:val="21"/>
                      <w:highlight w:val="none"/>
                      <w:lang w:val="en-US" w:eastAsia="zh-CN" w:bidi="ar-SA"/>
                    </w:rPr>
                    <w:t>达到地面减沉控沉目的，实现地表设施安全稳定、验证多煤层重复采动及上覆厚层推覆体片麻岩的特殊地质条件下覆岩隔离注浆技术的可行性及保护效果，保障360610工作面安全顺利回采</w:t>
                  </w:r>
                  <w:r>
                    <w:rPr>
                      <w:rFonts w:hint="default" w:ascii="Times New Roman" w:hAnsi="Times New Roman" w:eastAsia="宋体" w:cs="Times New Roman"/>
                      <w:kern w:val="2"/>
                      <w:sz w:val="21"/>
                      <w:szCs w:val="21"/>
                      <w:highlight w:val="none"/>
                      <w:lang w:val="en-US" w:eastAsia="zh-CN" w:bidi="ar-SA"/>
                    </w:rPr>
                    <w:t>。</w:t>
                  </w:r>
                  <w:r>
                    <w:rPr>
                      <w:rFonts w:hint="default" w:ascii="Times New Roman" w:hAnsi="Times New Roman" w:cs="Times New Roman"/>
                      <w:szCs w:val="21"/>
                      <w:highlight w:val="none"/>
                    </w:rPr>
                    <w:t>同时本项目采取了一系列针对废气、废水、噪声、固废的防治措施，使项目对周边环境影响可接受</w:t>
                  </w:r>
                  <w:r>
                    <w:rPr>
                      <w:rFonts w:hint="eastAsia" w:ascii="Times New Roman" w:hAnsi="Times New Roman" w:cs="Times New Roman"/>
                      <w:szCs w:val="21"/>
                      <w:highlight w:val="none"/>
                      <w:lang w:eastAsia="zh-CN"/>
                    </w:rPr>
                    <w:t>。</w:t>
                  </w:r>
                </w:p>
              </w:tc>
              <w:tc>
                <w:tcPr>
                  <w:tcW w:w="478" w:type="pct"/>
                  <w:noWrap w:val="0"/>
                  <w:vAlign w:val="center"/>
                </w:tcPr>
                <w:p w14:paraId="49C3A6EA">
                  <w:pPr>
                    <w:widowControl/>
                    <w:jc w:val="center"/>
                    <w:rPr>
                      <w:color w:val="auto"/>
                      <w:szCs w:val="21"/>
                      <w:highlight w:val="none"/>
                    </w:rPr>
                  </w:pPr>
                  <w:r>
                    <w:rPr>
                      <w:color w:val="auto"/>
                      <w:szCs w:val="21"/>
                      <w:highlight w:val="none"/>
                    </w:rPr>
                    <w:t>符合</w:t>
                  </w:r>
                </w:p>
              </w:tc>
            </w:tr>
            <w:tr w14:paraId="222E76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0" w:type="pct"/>
                  <w:noWrap w:val="0"/>
                  <w:vAlign w:val="center"/>
                </w:tcPr>
                <w:p w14:paraId="01E2BB2D">
                  <w:pPr>
                    <w:widowControl/>
                    <w:jc w:val="center"/>
                    <w:rPr>
                      <w:color w:val="auto"/>
                      <w:szCs w:val="21"/>
                      <w:highlight w:val="none"/>
                    </w:rPr>
                  </w:pPr>
                  <w:r>
                    <w:rPr>
                      <w:color w:val="auto"/>
                      <w:szCs w:val="21"/>
                      <w:highlight w:val="none"/>
                    </w:rPr>
                    <w:t>2</w:t>
                  </w:r>
                </w:p>
              </w:tc>
              <w:tc>
                <w:tcPr>
                  <w:tcW w:w="2661" w:type="pct"/>
                  <w:noWrap w:val="0"/>
                  <w:vAlign w:val="center"/>
                </w:tcPr>
                <w:p w14:paraId="376A6432">
                  <w:pPr>
                    <w:widowControl/>
                    <w:jc w:val="both"/>
                    <w:rPr>
                      <w:color w:val="auto"/>
                      <w:szCs w:val="21"/>
                      <w:highlight w:val="none"/>
                    </w:rPr>
                  </w:pPr>
                  <w:r>
                    <w:rPr>
                      <w:color w:val="auto"/>
                      <w:szCs w:val="21"/>
                      <w:highlight w:val="none"/>
                    </w:rPr>
                    <w:t>二、规划在发展定位、规模、产业结构、市场需求、配套条件方面，与国家能源战略、国家13个大型煤炭基地规划、安徽省省委、省政府在全面建设小康社会起步阶段提出的“861”行动计划的要求相符。基本反映了国家经济发展需求和资源合理配置精神。规划在发展布局、环境保护、水资源利用、土地资源利用等方面，能够与淮南市城市建设总体规划、安徽省国土资源可持续开发利用规划、安徽省生态省建设总体规划纲要、淮南市生态城市建设规划等相衔接，总体上具备较强的协调性。</w:t>
                  </w:r>
                </w:p>
              </w:tc>
              <w:tc>
                <w:tcPr>
                  <w:tcW w:w="1468" w:type="pct"/>
                  <w:noWrap w:val="0"/>
                  <w:vAlign w:val="center"/>
                </w:tcPr>
                <w:p w14:paraId="752EA71D">
                  <w:pPr>
                    <w:widowControl/>
                    <w:jc w:val="both"/>
                    <w:rPr>
                      <w:color w:val="auto"/>
                      <w:highlight w:val="none"/>
                    </w:rPr>
                  </w:pPr>
                  <w:r>
                    <w:rPr>
                      <w:rFonts w:ascii="Times New Roman" w:hAnsi="Times New Roman" w:eastAsia="宋体" w:cs="Times New Roman"/>
                      <w:kern w:val="2"/>
                      <w:sz w:val="21"/>
                      <w:szCs w:val="21"/>
                      <w:highlight w:val="none"/>
                      <w:lang w:val="en-US" w:eastAsia="zh-CN" w:bidi="ar-SA"/>
                    </w:rPr>
                    <w:t>项目建设地点位于安徽省淮南市</w:t>
                  </w:r>
                  <w:r>
                    <w:rPr>
                      <w:rFonts w:hint="eastAsia" w:ascii="Times New Roman" w:hAnsi="Times New Roman" w:eastAsia="宋体" w:cs="Times New Roman"/>
                      <w:kern w:val="2"/>
                      <w:sz w:val="21"/>
                      <w:szCs w:val="21"/>
                      <w:highlight w:val="none"/>
                      <w:lang w:val="en-US" w:eastAsia="zh-CN" w:bidi="ar-SA"/>
                    </w:rPr>
                    <w:t>凤台县新集镇王集村</w:t>
                  </w:r>
                  <w:r>
                    <w:rPr>
                      <w:rFonts w:ascii="Times New Roman" w:hAnsi="Times New Roman" w:eastAsia="宋体" w:cs="Times New Roman"/>
                      <w:kern w:val="2"/>
                      <w:sz w:val="21"/>
                      <w:szCs w:val="21"/>
                      <w:highlight w:val="none"/>
                      <w:lang w:val="en-US" w:eastAsia="zh-CN" w:bidi="ar-SA"/>
                    </w:rPr>
                    <w:t>，</w:t>
                  </w:r>
                  <w:r>
                    <w:rPr>
                      <w:rFonts w:hint="eastAsia" w:ascii="Times New Roman" w:hAnsi="Times New Roman" w:eastAsia="宋体" w:cs="Times New Roman"/>
                      <w:kern w:val="2"/>
                      <w:sz w:val="21"/>
                      <w:szCs w:val="21"/>
                      <w:highlight w:val="none"/>
                      <w:lang w:val="en-US" w:eastAsia="zh-CN" w:bidi="ar-SA"/>
                    </w:rPr>
                    <w:t>安徽省淮南市新集一矿3608(6)采区东翼</w:t>
                  </w:r>
                  <w:r>
                    <w:rPr>
                      <w:rFonts w:ascii="Times New Roman" w:hAnsi="Times New Roman" w:eastAsia="宋体" w:cs="Times New Roman"/>
                      <w:color w:val="auto"/>
                      <w:szCs w:val="21"/>
                      <w:highlight w:val="none"/>
                    </w:rPr>
                    <w:t>，</w:t>
                  </w:r>
                  <w:r>
                    <w:rPr>
                      <w:rFonts w:ascii="Times New Roman" w:hAnsi="Times New Roman" w:eastAsia="宋体" w:cs="Times New Roman"/>
                      <w:color w:val="000000" w:themeColor="text1"/>
                      <w:szCs w:val="21"/>
                      <w:highlight w:val="none"/>
                      <w14:textFill>
                        <w14:solidFill>
                          <w14:schemeClr w14:val="tx1"/>
                        </w14:solidFill>
                      </w14:textFill>
                    </w:rPr>
                    <w:t>临时用地面积为</w:t>
                  </w:r>
                  <w:r>
                    <w:rPr>
                      <w:rFonts w:hint="eastAsia" w:cs="Times New Roman"/>
                      <w:color w:val="000000" w:themeColor="text1"/>
                      <w:szCs w:val="21"/>
                      <w:highlight w:val="none"/>
                      <w:lang w:val="en-US" w:eastAsia="zh-CN"/>
                      <w14:textFill>
                        <w14:solidFill>
                          <w14:schemeClr w14:val="tx1"/>
                        </w14:solidFill>
                      </w14:textFill>
                    </w:rPr>
                    <w:t>9379</w:t>
                  </w:r>
                  <m:oMath>
                    <m:sSup>
                      <m:sSupPr>
                        <m:ctrlPr>
                          <w:rPr>
                            <w:rFonts w:ascii="Cambria Math" w:hAnsi="Cambria Math" w:cs="Times New Roman"/>
                            <w:i w:val="0"/>
                            <w:iCs/>
                            <w:color w:val="000000" w:themeColor="text1"/>
                            <w:szCs w:val="21"/>
                            <w:highlight w:val="none"/>
                            <w:lang w:val="en-US"/>
                            <w14:textFill>
                              <w14:solidFill>
                                <w14:schemeClr w14:val="tx1"/>
                              </w14:solidFill>
                            </w14:textFill>
                          </w:rPr>
                        </m:ctrlPr>
                      </m:sSupPr>
                      <m:e>
                        <m:r>
                          <m:rPr>
                            <m:sty m:val="p"/>
                          </m:rPr>
                          <w:rPr>
                            <w:rFonts w:hint="default" w:ascii="Cambria Math" w:hAnsi="Cambria Math" w:cs="Times New Roman"/>
                            <w:color w:val="000000" w:themeColor="text1"/>
                            <w:szCs w:val="21"/>
                            <w:highlight w:val="none"/>
                            <w:lang w:val="en-US" w:eastAsia="zh-CN"/>
                            <w14:textFill>
                              <w14:solidFill>
                                <w14:schemeClr w14:val="tx1"/>
                              </w14:solidFill>
                            </w14:textFill>
                          </w:rPr>
                          <m:t>m</m:t>
                        </m:r>
                        <m:ctrlPr>
                          <w:rPr>
                            <w:rFonts w:ascii="Cambria Math" w:hAnsi="Cambria Math" w:cs="Times New Roman"/>
                            <w:i w:val="0"/>
                            <w:iCs/>
                            <w:color w:val="000000" w:themeColor="text1"/>
                            <w:szCs w:val="21"/>
                            <w:highlight w:val="none"/>
                            <w:lang w:val="en-US"/>
                            <w14:textFill>
                              <w14:solidFill>
                                <w14:schemeClr w14:val="tx1"/>
                              </w14:solidFill>
                            </w14:textFill>
                          </w:rPr>
                        </m:ctrlPr>
                      </m:e>
                      <m:sup>
                        <m:r>
                          <m:rPr>
                            <m:sty m:val="p"/>
                          </m:rPr>
                          <w:rPr>
                            <w:rFonts w:hint="default" w:ascii="Cambria Math" w:hAnsi="Cambria Math" w:cs="Times New Roman"/>
                            <w:color w:val="000000" w:themeColor="text1"/>
                            <w:szCs w:val="21"/>
                            <w:highlight w:val="none"/>
                            <w:lang w:val="en-US" w:eastAsia="zh-CN"/>
                            <w14:textFill>
                              <w14:solidFill>
                                <w14:schemeClr w14:val="tx1"/>
                              </w14:solidFill>
                            </w14:textFill>
                          </w:rPr>
                          <m:t>2</m:t>
                        </m:r>
                        <m:ctrlPr>
                          <w:rPr>
                            <w:rFonts w:ascii="Cambria Math" w:hAnsi="Cambria Math" w:cs="Times New Roman"/>
                            <w:i w:val="0"/>
                            <w:iCs/>
                            <w:color w:val="000000" w:themeColor="text1"/>
                            <w:szCs w:val="21"/>
                            <w:highlight w:val="none"/>
                            <w:lang w:val="en-US"/>
                            <w14:textFill>
                              <w14:solidFill>
                                <w14:schemeClr w14:val="tx1"/>
                              </w14:solidFill>
                            </w14:textFill>
                          </w:rPr>
                        </m:ctrlPr>
                      </m:sup>
                    </m:sSup>
                  </m:oMath>
                  <w:r>
                    <w:rPr>
                      <w:rFonts w:ascii="Times New Roman" w:hAnsi="Times New Roman" w:eastAsia="宋体" w:cs="Times New Roman"/>
                      <w:color w:val="000000" w:themeColor="text1"/>
                      <w:szCs w:val="21"/>
                      <w:highlight w:val="none"/>
                      <w14:textFill>
                        <w14:solidFill>
                          <w14:schemeClr w14:val="tx1"/>
                        </w14:solidFill>
                      </w14:textFill>
                    </w:rPr>
                    <w:t>，</w:t>
                  </w:r>
                  <w:r>
                    <w:rPr>
                      <w:rFonts w:ascii="Times New Roman" w:hAnsi="Times New Roman" w:eastAsia="宋体" w:cs="Times New Roman"/>
                      <w:color w:val="auto"/>
                      <w:szCs w:val="21"/>
                      <w:highlight w:val="none"/>
                    </w:rPr>
                    <w:t>用地时间预计为</w:t>
                  </w:r>
                  <w:r>
                    <w:rPr>
                      <w:rFonts w:hint="eastAsia" w:cs="Times New Roman"/>
                      <w:color w:val="auto"/>
                      <w:szCs w:val="21"/>
                      <w:highlight w:val="none"/>
                      <w:lang w:val="en-US" w:eastAsia="zh-CN"/>
                    </w:rPr>
                    <w:t>12个月</w:t>
                  </w:r>
                  <w:r>
                    <w:rPr>
                      <w:rFonts w:ascii="Times New Roman" w:hAnsi="Times New Roman" w:eastAsia="宋体" w:cs="Times New Roman"/>
                      <w:color w:val="auto"/>
                      <w:szCs w:val="21"/>
                      <w:highlight w:val="none"/>
                    </w:rPr>
                    <w:t>，项目</w:t>
                  </w:r>
                  <w:r>
                    <w:rPr>
                      <w:color w:val="auto"/>
                      <w:highlight w:val="none"/>
                    </w:rPr>
                    <w:t>已取得临时用地批复，项目建设符合淮南市相关规划。</w:t>
                  </w:r>
                </w:p>
              </w:tc>
              <w:tc>
                <w:tcPr>
                  <w:tcW w:w="478" w:type="pct"/>
                  <w:noWrap w:val="0"/>
                  <w:vAlign w:val="center"/>
                </w:tcPr>
                <w:p w14:paraId="58C5BB62">
                  <w:pPr>
                    <w:widowControl/>
                    <w:jc w:val="center"/>
                    <w:rPr>
                      <w:color w:val="auto"/>
                      <w:szCs w:val="21"/>
                      <w:highlight w:val="none"/>
                    </w:rPr>
                  </w:pPr>
                  <w:r>
                    <w:rPr>
                      <w:color w:val="auto"/>
                      <w:szCs w:val="21"/>
                      <w:highlight w:val="none"/>
                    </w:rPr>
                    <w:t>符合</w:t>
                  </w:r>
                </w:p>
              </w:tc>
            </w:tr>
          </w:tbl>
          <w:p w14:paraId="538FB1BB">
            <w:pPr>
              <w:pStyle w:val="92"/>
              <w:spacing w:line="360" w:lineRule="auto"/>
              <w:ind w:firstLine="480" w:firstLineChars="200"/>
              <w:jc w:val="both"/>
              <w:rPr>
                <w:color w:val="auto"/>
                <w:highlight w:val="none"/>
              </w:rPr>
            </w:pPr>
            <w:r>
              <w:rPr>
                <w:color w:val="auto"/>
                <w:highlight w:val="none"/>
              </w:rPr>
              <w:t>综上所述，本项目建设可满足《淮南潘谢矿区总体开发规划环境影响报告书审查意见的通知》（环函〔2006〕86号）要求。</w:t>
            </w:r>
          </w:p>
        </w:tc>
      </w:tr>
      <w:tr w14:paraId="112C21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441" w:hRule="atLeast"/>
        </w:trPr>
        <w:tc>
          <w:tcPr>
            <w:tcW w:w="721" w:type="dxa"/>
            <w:noWrap w:val="0"/>
            <w:tcMar>
              <w:top w:w="16" w:type="dxa"/>
              <w:left w:w="16" w:type="dxa"/>
              <w:right w:w="16" w:type="dxa"/>
            </w:tcMar>
            <w:vAlign w:val="center"/>
          </w:tcPr>
          <w:p w14:paraId="450EB698">
            <w:pPr>
              <w:autoSpaceDE w:val="0"/>
              <w:autoSpaceDN w:val="0"/>
              <w:adjustRightInd w:val="0"/>
              <w:snapToGrid w:val="0"/>
              <w:jc w:val="center"/>
              <w:rPr>
                <w:color w:val="auto"/>
                <w:kern w:val="0"/>
                <w:sz w:val="24"/>
                <w:highlight w:val="none"/>
              </w:rPr>
            </w:pPr>
            <w:bookmarkStart w:id="3" w:name="_Hlk56690880"/>
            <w:r>
              <w:rPr>
                <w:color w:val="auto"/>
                <w:kern w:val="0"/>
                <w:sz w:val="24"/>
                <w:highlight w:val="none"/>
              </w:rPr>
              <w:t>其他符合性分析</w:t>
            </w:r>
            <w:bookmarkEnd w:id="3"/>
          </w:p>
        </w:tc>
        <w:tc>
          <w:tcPr>
            <w:tcW w:w="8132" w:type="dxa"/>
            <w:gridSpan w:val="3"/>
            <w:noWrap w:val="0"/>
            <w:tcMar>
              <w:top w:w="16" w:type="dxa"/>
              <w:left w:w="16" w:type="dxa"/>
              <w:right w:w="16" w:type="dxa"/>
            </w:tcMar>
            <w:vAlign w:val="center"/>
          </w:tcPr>
          <w:p w14:paraId="2DC926CF">
            <w:pPr>
              <w:spacing w:line="360" w:lineRule="auto"/>
              <w:ind w:firstLine="482" w:firstLineChars="200"/>
              <w:rPr>
                <w:b/>
                <w:color w:val="auto"/>
                <w:kern w:val="0"/>
                <w:sz w:val="24"/>
                <w:highlight w:val="none"/>
              </w:rPr>
            </w:pPr>
            <w:r>
              <w:rPr>
                <w:b/>
                <w:color w:val="auto"/>
                <w:kern w:val="0"/>
                <w:sz w:val="24"/>
                <w:highlight w:val="none"/>
              </w:rPr>
              <w:t>（1）产业政策符合性</w:t>
            </w:r>
          </w:p>
          <w:p w14:paraId="080F70BF">
            <w:pPr>
              <w:spacing w:line="360" w:lineRule="auto"/>
              <w:ind w:firstLine="480" w:firstLineChars="200"/>
              <w:jc w:val="both"/>
              <w:rPr>
                <w:rFonts w:ascii="Times New Roman" w:hAnsi="Times New Roman" w:eastAsia="宋体" w:cs="Times New Roman"/>
                <w:color w:val="auto"/>
                <w:sz w:val="24"/>
                <w:highlight w:val="none"/>
              </w:rPr>
            </w:pPr>
            <w:r>
              <w:rPr>
                <w:color w:val="auto"/>
                <w:sz w:val="24"/>
                <w:highlight w:val="none"/>
              </w:rPr>
              <w:t>本</w:t>
            </w:r>
            <w:r>
              <w:rPr>
                <w:rFonts w:ascii="Times New Roman" w:hAnsi="Times New Roman" w:eastAsia="宋体" w:cs="Times New Roman"/>
                <w:color w:val="auto"/>
                <w:sz w:val="24"/>
                <w:highlight w:val="none"/>
              </w:rPr>
              <w:t>项目</w:t>
            </w:r>
            <w:r>
              <w:rPr>
                <w:rFonts w:hint="eastAsia" w:cs="Times New Roman"/>
                <w:color w:val="auto"/>
                <w:sz w:val="24"/>
                <w:highlight w:val="none"/>
                <w:lang w:val="en-US" w:eastAsia="zh-CN"/>
              </w:rPr>
              <w:t>目标</w:t>
            </w:r>
            <w:r>
              <w:rPr>
                <w:rFonts w:ascii="Times New Roman" w:hAnsi="Times New Roman" w:eastAsia="宋体" w:cs="Times New Roman"/>
                <w:color w:val="auto"/>
                <w:sz w:val="24"/>
                <w:highlight w:val="none"/>
              </w:rPr>
              <w:t>是</w:t>
            </w:r>
            <w:r>
              <w:rPr>
                <w:rFonts w:hint="eastAsia" w:ascii="Times New Roman" w:hAnsi="Times New Roman" w:eastAsia="宋体" w:cs="Times New Roman"/>
                <w:color w:val="auto"/>
                <w:kern w:val="0"/>
                <w:sz w:val="24"/>
                <w:highlight w:val="none"/>
                <w:lang w:val="en-US" w:eastAsia="zh-CN"/>
              </w:rPr>
              <w:t>结合</w:t>
            </w:r>
            <w:r>
              <w:rPr>
                <w:rFonts w:hint="default" w:ascii="Times New Roman" w:hAnsi="Times New Roman" w:eastAsia="宋体" w:cs="Times New Roman"/>
                <w:color w:val="auto"/>
                <w:kern w:val="0"/>
                <w:sz w:val="24"/>
                <w:highlight w:val="none"/>
                <w:lang w:val="en-US" w:eastAsia="zh-CN"/>
              </w:rPr>
              <w:t>360610</w:t>
            </w:r>
            <w:r>
              <w:rPr>
                <w:rFonts w:hint="eastAsia" w:ascii="Times New Roman" w:hAnsi="Times New Roman" w:eastAsia="宋体" w:cs="Times New Roman"/>
                <w:color w:val="auto"/>
                <w:kern w:val="0"/>
                <w:sz w:val="24"/>
                <w:highlight w:val="none"/>
                <w:lang w:val="en-US" w:eastAsia="zh-CN"/>
              </w:rPr>
              <w:t>工作面实际地质条件，探查上覆推覆体片麻岩及煤系地层离层发育情况，并进行注浆减沉控沉治理，在铁路维护带以北</w:t>
            </w:r>
            <w:r>
              <w:rPr>
                <w:rFonts w:hint="default" w:ascii="Times New Roman" w:hAnsi="Times New Roman" w:eastAsia="宋体" w:cs="Times New Roman"/>
                <w:color w:val="auto"/>
                <w:kern w:val="0"/>
                <w:sz w:val="24"/>
                <w:highlight w:val="none"/>
                <w:lang w:val="en-US" w:eastAsia="zh-CN"/>
              </w:rPr>
              <w:t>50m</w:t>
            </w:r>
            <w:r>
              <w:rPr>
                <w:rFonts w:hint="eastAsia" w:ascii="Times New Roman" w:hAnsi="Times New Roman" w:eastAsia="宋体" w:cs="Times New Roman"/>
                <w:color w:val="auto"/>
                <w:kern w:val="0"/>
                <w:sz w:val="24"/>
                <w:highlight w:val="none"/>
                <w:lang w:val="en-US" w:eastAsia="zh-CN"/>
              </w:rPr>
              <w:t>维护带轮廓线位置附近区域设置预警线和控制线，预警线和控制线分别设置预警、控制下沉、位移、倾斜值，数值需满足《铁路沉降变形观测及评估技术规程》（</w:t>
            </w:r>
            <w:r>
              <w:rPr>
                <w:rFonts w:hint="default" w:ascii="Times New Roman" w:hAnsi="Times New Roman" w:eastAsia="宋体" w:cs="Times New Roman"/>
                <w:color w:val="auto"/>
                <w:kern w:val="0"/>
                <w:sz w:val="24"/>
                <w:highlight w:val="none"/>
                <w:lang w:val="en-US" w:eastAsia="zh-CN"/>
              </w:rPr>
              <w:t xml:space="preserve">2025 </w:t>
            </w:r>
            <w:r>
              <w:rPr>
                <w:rFonts w:hint="eastAsia" w:ascii="Times New Roman" w:hAnsi="Times New Roman" w:eastAsia="宋体" w:cs="Times New Roman"/>
                <w:color w:val="auto"/>
                <w:kern w:val="0"/>
                <w:sz w:val="24"/>
                <w:highlight w:val="none"/>
                <w:lang w:val="en-US" w:eastAsia="zh-CN"/>
              </w:rPr>
              <w:t>版）等要求并编制专项监测方案，确保预警线和控制线及以南区域地表变形数据可控，最大限度减少地表变形，保障充填减沉效果，实现地表设施安全稳定</w:t>
            </w:r>
            <w:r>
              <w:rPr>
                <w:rFonts w:hint="eastAsia" w:cs="Times New Roman"/>
                <w:color w:val="auto"/>
                <w:kern w:val="0"/>
                <w:sz w:val="24"/>
                <w:highlight w:val="none"/>
                <w:lang w:val="en-US" w:eastAsia="zh-CN"/>
              </w:rPr>
              <w:t>、验证多煤层重复采动及上覆厚层推覆体片麻岩的特殊地质条件下覆岩隔离注浆技术的可行性及保护效果，保障360610工作面安全顺利回采</w:t>
            </w:r>
            <w:r>
              <w:rPr>
                <w:rFonts w:hint="eastAsia" w:ascii="Times New Roman" w:hAnsi="Times New Roman" w:eastAsia="宋体" w:cs="Times New Roman"/>
                <w:color w:val="auto"/>
                <w:sz w:val="24"/>
                <w:highlight w:val="none"/>
                <w:lang w:val="en-US" w:eastAsia="zh-CN"/>
              </w:rPr>
              <w:t>。</w:t>
            </w:r>
            <w:r>
              <w:rPr>
                <w:rFonts w:ascii="Times New Roman" w:hAnsi="Times New Roman" w:eastAsia="宋体" w:cs="Times New Roman"/>
                <w:color w:val="auto"/>
                <w:sz w:val="24"/>
                <w:highlight w:val="none"/>
              </w:rPr>
              <w:t>由于本项目的实施是为了消除煤炭开采的安全隐患，为</w:t>
            </w:r>
            <w:r>
              <w:rPr>
                <w:rFonts w:hint="eastAsia" w:ascii="Times New Roman" w:hAnsi="Times New Roman" w:eastAsia="宋体" w:cs="Times New Roman"/>
                <w:color w:val="auto"/>
                <w:sz w:val="24"/>
                <w:highlight w:val="none"/>
                <w:lang w:val="en-US" w:eastAsia="zh-CN"/>
              </w:rPr>
              <w:t>绿色开采治理工程</w:t>
            </w:r>
            <w:r>
              <w:rPr>
                <w:rFonts w:ascii="Times New Roman" w:hAnsi="Times New Roman" w:eastAsia="宋体" w:cs="Times New Roman"/>
                <w:color w:val="auto"/>
                <w:sz w:val="24"/>
                <w:highlight w:val="none"/>
              </w:rPr>
              <w:t>。</w:t>
            </w:r>
          </w:p>
          <w:p w14:paraId="1CDABF3E">
            <w:pPr>
              <w:spacing w:line="360" w:lineRule="auto"/>
              <w:ind w:firstLine="480" w:firstLineChars="200"/>
              <w:jc w:val="both"/>
              <w:rPr>
                <w:color w:val="auto"/>
                <w:sz w:val="24"/>
                <w:highlight w:val="none"/>
              </w:rPr>
            </w:pPr>
            <w:r>
              <w:rPr>
                <w:rFonts w:ascii="Times New Roman" w:hAnsi="Times New Roman" w:eastAsia="宋体" w:cs="Times New Roman"/>
                <w:color w:val="auto"/>
                <w:sz w:val="24"/>
                <w:highlight w:val="none"/>
              </w:rPr>
              <w:t>因此，</w:t>
            </w:r>
            <w:r>
              <w:rPr>
                <w:sz w:val="24"/>
                <w:highlight w:val="none"/>
              </w:rPr>
              <w:t>项目</w:t>
            </w:r>
            <w:r>
              <w:rPr>
                <w:rFonts w:hint="eastAsia"/>
                <w:sz w:val="24"/>
                <w:highlight w:val="none"/>
              </w:rPr>
              <w:t>属陆地矿产资源地质勘查，</w:t>
            </w:r>
            <w:r>
              <w:rPr>
                <w:sz w:val="24"/>
                <w:highlight w:val="none"/>
              </w:rPr>
              <w:t>应属于《产业结构调整指导目录(2024年本)》第一类鼓励类，即第三项“煤炭”中“矿井灾害(瓦斯、煤尘、矿井水、火、围岩、地温、冲击地压等)防治”范畴。因此，项目符合国家产业政策要求，属于鼓励类。</w:t>
            </w:r>
          </w:p>
          <w:p w14:paraId="63795312">
            <w:pPr>
              <w:pStyle w:val="26"/>
              <w:shd w:val="clear"/>
              <w:spacing w:before="0" w:beforeAutospacing="0" w:after="0" w:afterAutospacing="0" w:line="360" w:lineRule="auto"/>
              <w:ind w:firstLine="480" w:firstLineChars="200"/>
              <w:rPr>
                <w:rFonts w:ascii="Times New Roman" w:hAnsi="Times New Roman"/>
                <w:bCs/>
                <w:color w:val="auto"/>
                <w:highlight w:val="none"/>
              </w:rPr>
            </w:pPr>
            <w:r>
              <w:rPr>
                <w:rFonts w:ascii="Times New Roman" w:hAnsi="Times New Roman"/>
                <w:color w:val="auto"/>
                <w:highlight w:val="none"/>
              </w:rPr>
              <w:t>项目于202</w:t>
            </w:r>
            <w:r>
              <w:rPr>
                <w:rFonts w:hint="eastAsia" w:ascii="Times New Roman" w:hAnsi="Times New Roman"/>
                <w:color w:val="auto"/>
                <w:highlight w:val="none"/>
                <w:lang w:val="en-US" w:eastAsia="zh-CN"/>
              </w:rPr>
              <w:t>6</w:t>
            </w:r>
            <w:r>
              <w:rPr>
                <w:rFonts w:ascii="Times New Roman" w:hAnsi="Times New Roman"/>
                <w:color w:val="auto"/>
                <w:highlight w:val="none"/>
              </w:rPr>
              <w:t>年</w:t>
            </w:r>
            <w:r>
              <w:rPr>
                <w:rFonts w:hint="eastAsia" w:ascii="Times New Roman" w:hAnsi="Times New Roman"/>
                <w:color w:val="auto"/>
                <w:highlight w:val="none"/>
                <w:lang w:val="en-US" w:eastAsia="zh-CN"/>
              </w:rPr>
              <w:t>4</w:t>
            </w:r>
            <w:r>
              <w:rPr>
                <w:rFonts w:ascii="Times New Roman" w:hAnsi="Times New Roman"/>
                <w:color w:val="auto"/>
                <w:highlight w:val="none"/>
              </w:rPr>
              <w:t>月</w:t>
            </w:r>
            <w:r>
              <w:rPr>
                <w:rFonts w:hint="eastAsia" w:ascii="Times New Roman" w:hAnsi="Times New Roman"/>
                <w:color w:val="auto"/>
                <w:highlight w:val="none"/>
                <w:lang w:val="en-US" w:eastAsia="zh-CN"/>
              </w:rPr>
              <w:t>30</w:t>
            </w:r>
            <w:r>
              <w:rPr>
                <w:rFonts w:ascii="Times New Roman" w:hAnsi="Times New Roman"/>
                <w:color w:val="auto"/>
                <w:highlight w:val="none"/>
              </w:rPr>
              <w:t>日经</w:t>
            </w:r>
            <w:r>
              <w:rPr>
                <w:rFonts w:hint="eastAsia" w:ascii="Times New Roman" w:hAnsi="Times New Roman"/>
                <w:color w:val="auto"/>
                <w:highlight w:val="none"/>
                <w:lang w:val="en-US" w:eastAsia="zh-CN"/>
              </w:rPr>
              <w:t>凤台县发展和改革委员会</w:t>
            </w:r>
            <w:r>
              <w:rPr>
                <w:rFonts w:ascii="Times New Roman" w:hAnsi="Times New Roman"/>
                <w:color w:val="auto"/>
                <w:highlight w:val="none"/>
              </w:rPr>
              <w:t>备案。备案编号为：2</w:t>
            </w:r>
            <w:r>
              <w:rPr>
                <w:rFonts w:hint="eastAsia" w:ascii="Times New Roman" w:hAnsi="Times New Roman"/>
                <w:color w:val="auto"/>
                <w:highlight w:val="none"/>
                <w:lang w:val="en-US" w:eastAsia="zh-CN"/>
              </w:rPr>
              <w:t>604-340421-04-01-126681</w:t>
            </w:r>
            <w:r>
              <w:rPr>
                <w:rFonts w:ascii="Times New Roman" w:hAnsi="Times New Roman"/>
                <w:color w:val="auto"/>
                <w:kern w:val="2"/>
                <w:szCs w:val="24"/>
                <w:highlight w:val="none"/>
              </w:rPr>
              <w:t>，因此，项目建设符合国家</w:t>
            </w:r>
            <w:r>
              <w:rPr>
                <w:rFonts w:ascii="Times New Roman" w:hAnsi="Times New Roman"/>
                <w:bCs/>
                <w:color w:val="auto"/>
                <w:highlight w:val="none"/>
              </w:rPr>
              <w:t>及地方的产业政策。</w:t>
            </w:r>
          </w:p>
          <w:p w14:paraId="4520F5D3">
            <w:pPr>
              <w:pStyle w:val="118"/>
              <w:spacing w:line="360" w:lineRule="auto"/>
              <w:ind w:firstLine="470" w:firstLineChars="200"/>
              <w:rPr>
                <w:rFonts w:ascii="Times New Roman" w:hAnsi="Times New Roman" w:cs="Times New Roman"/>
                <w:b/>
                <w:bCs/>
                <w:color w:val="auto"/>
                <w:spacing w:val="-3"/>
                <w:sz w:val="24"/>
                <w:szCs w:val="24"/>
                <w:highlight w:val="none"/>
                <w:lang w:eastAsia="zh-CN"/>
              </w:rPr>
            </w:pPr>
            <w:r>
              <w:rPr>
                <w:rFonts w:ascii="Times New Roman" w:hAnsi="Times New Roman" w:cs="Times New Roman"/>
                <w:b/>
                <w:bCs/>
                <w:color w:val="auto"/>
                <w:spacing w:val="-3"/>
                <w:sz w:val="24"/>
                <w:szCs w:val="24"/>
                <w:highlight w:val="none"/>
                <w:lang w:eastAsia="zh-CN"/>
              </w:rPr>
              <w:t>（2）与《</w:t>
            </w:r>
            <w:r>
              <w:rPr>
                <w:rFonts w:hint="eastAsia" w:ascii="Times New Roman" w:hAnsi="Times New Roman" w:cs="Times New Roman"/>
                <w:b/>
                <w:bCs/>
                <w:color w:val="auto"/>
                <w:spacing w:val="-3"/>
                <w:sz w:val="24"/>
                <w:szCs w:val="24"/>
                <w:highlight w:val="none"/>
                <w:lang w:val="en-US" w:eastAsia="zh-CN"/>
              </w:rPr>
              <w:t>凤</w:t>
            </w:r>
            <w:r>
              <w:rPr>
                <w:rFonts w:ascii="Times New Roman" w:hAnsi="Times New Roman" w:cs="Times New Roman"/>
                <w:b/>
                <w:bCs/>
                <w:color w:val="auto"/>
                <w:spacing w:val="-3"/>
                <w:sz w:val="24"/>
                <w:szCs w:val="24"/>
                <w:highlight w:val="none"/>
                <w:lang w:eastAsia="zh-CN"/>
              </w:rPr>
              <w:t>台县</w:t>
            </w:r>
            <w:r>
              <w:rPr>
                <w:rFonts w:hint="eastAsia" w:ascii="Times New Roman" w:hAnsi="Times New Roman" w:cs="Times New Roman"/>
                <w:b/>
                <w:bCs/>
                <w:color w:val="auto"/>
                <w:spacing w:val="-3"/>
                <w:sz w:val="24"/>
                <w:szCs w:val="24"/>
                <w:highlight w:val="none"/>
                <w:lang w:eastAsia="zh-CN"/>
              </w:rPr>
              <w:t>（</w:t>
            </w:r>
            <w:r>
              <w:rPr>
                <w:rFonts w:hint="eastAsia" w:ascii="Times New Roman" w:hAnsi="Times New Roman" w:cs="Times New Roman"/>
                <w:b/>
                <w:bCs/>
                <w:color w:val="auto"/>
                <w:spacing w:val="-3"/>
                <w:sz w:val="24"/>
                <w:szCs w:val="24"/>
                <w:highlight w:val="none"/>
                <w:lang w:val="en-US" w:eastAsia="zh-CN"/>
              </w:rPr>
              <w:t>含毛集实验区）</w:t>
            </w:r>
            <w:r>
              <w:rPr>
                <w:rFonts w:ascii="Times New Roman" w:hAnsi="Times New Roman" w:cs="Times New Roman"/>
                <w:b/>
                <w:bCs/>
                <w:color w:val="auto"/>
                <w:spacing w:val="-3"/>
                <w:sz w:val="24"/>
                <w:szCs w:val="24"/>
                <w:highlight w:val="none"/>
                <w:lang w:eastAsia="zh-CN"/>
              </w:rPr>
              <w:t>国土空间总体规划》（2021-2035年）文件符合性分析</w:t>
            </w:r>
          </w:p>
          <w:p w14:paraId="18A08000">
            <w:pPr>
              <w:spacing w:line="360" w:lineRule="auto"/>
              <w:ind w:firstLine="480" w:firstLineChars="200"/>
              <w:jc w:val="both"/>
              <w:rPr>
                <w:color w:val="auto"/>
                <w:sz w:val="24"/>
                <w:highlight w:val="none"/>
              </w:rPr>
            </w:pPr>
            <w:r>
              <w:rPr>
                <w:color w:val="auto"/>
                <w:sz w:val="24"/>
                <w:highlight w:val="none"/>
              </w:rPr>
              <w:t>项目选址</w:t>
            </w:r>
            <w:r>
              <w:rPr>
                <w:rFonts w:ascii="Times New Roman" w:hAnsi="Times New Roman" w:eastAsia="宋体" w:cs="Times New Roman"/>
                <w:color w:val="auto"/>
                <w:sz w:val="24"/>
                <w:highlight w:val="none"/>
                <w:lang w:val="en-US" w:eastAsia="zh-CN"/>
              </w:rPr>
              <w:t>安徽省淮南市</w:t>
            </w:r>
            <w:r>
              <w:rPr>
                <w:rFonts w:hint="eastAsia" w:ascii="Times New Roman" w:hAnsi="Times New Roman" w:eastAsia="宋体" w:cs="Times New Roman"/>
                <w:color w:val="auto"/>
                <w:sz w:val="24"/>
                <w:highlight w:val="none"/>
                <w:lang w:val="en-US" w:eastAsia="zh-CN"/>
              </w:rPr>
              <w:t>凤台县新集镇王集村</w:t>
            </w:r>
            <w:r>
              <w:rPr>
                <w:rFonts w:ascii="Times New Roman" w:hAnsi="Times New Roman" w:eastAsia="宋体"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安徽省淮南市新集一矿3608(6)采区东翼</w:t>
            </w:r>
            <w:r>
              <w:rPr>
                <w:rFonts w:ascii="Times New Roman" w:hAnsi="Times New Roman" w:eastAsia="宋体" w:cs="Times New Roman"/>
                <w:color w:val="auto"/>
                <w:sz w:val="24"/>
                <w:highlight w:val="none"/>
              </w:rPr>
              <w:t>，根据《凤台县</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含毛集实验区</w:t>
            </w:r>
            <w:r>
              <w:rPr>
                <w:rFonts w:hint="eastAsia"/>
                <w:color w:val="auto"/>
                <w:sz w:val="24"/>
                <w:highlight w:val="none"/>
                <w:lang w:val="en-US" w:eastAsia="zh-CN"/>
              </w:rPr>
              <w:t>）</w:t>
            </w:r>
            <w:r>
              <w:rPr>
                <w:color w:val="auto"/>
                <w:sz w:val="24"/>
                <w:highlight w:val="none"/>
              </w:rPr>
              <w:t>国土空间总体规划》（2021-2035年），本项目临时用地</w:t>
            </w:r>
            <w:r>
              <w:rPr>
                <w:rFonts w:hint="eastAsia"/>
                <w:color w:val="auto"/>
                <w:sz w:val="24"/>
                <w:highlight w:val="none"/>
                <w:lang w:val="en-US" w:eastAsia="zh-CN"/>
              </w:rPr>
              <w:t>占用农用地</w:t>
            </w:r>
            <w:r>
              <w:rPr>
                <w:rFonts w:hint="eastAsia"/>
                <w:color w:val="auto"/>
                <w:highlight w:val="none"/>
                <w:lang w:eastAsia="zh-CN"/>
              </w:rPr>
              <w:t>。</w:t>
            </w:r>
          </w:p>
          <w:p w14:paraId="1B2FC0AB">
            <w:pPr>
              <w:spacing w:line="360" w:lineRule="auto"/>
              <w:ind w:firstLine="480" w:firstLineChars="200"/>
              <w:jc w:val="both"/>
              <w:rPr>
                <w:color w:val="auto"/>
                <w:sz w:val="24"/>
                <w:highlight w:val="none"/>
              </w:rPr>
            </w:pPr>
            <w:r>
              <w:rPr>
                <w:color w:val="auto"/>
                <w:sz w:val="24"/>
                <w:highlight w:val="none"/>
              </w:rPr>
              <w:t>项目用地为临时用地，用地时限为两年，施工及配套设施</w:t>
            </w:r>
            <w:r>
              <w:rPr>
                <w:rFonts w:hint="eastAsia"/>
                <w:color w:val="auto"/>
                <w:sz w:val="24"/>
                <w:highlight w:val="none"/>
              </w:rPr>
              <w:t>。</w:t>
            </w:r>
            <w:r>
              <w:rPr>
                <w:rFonts w:hint="eastAsia"/>
                <w:color w:val="auto"/>
                <w:sz w:val="24"/>
                <w:highlight w:val="none"/>
                <w:lang w:val="en-US" w:eastAsia="zh-CN"/>
              </w:rPr>
              <w:t>项目临时用地系租赁淮南市凤台县新集镇罗杨村、大庄村、王集村</w:t>
            </w:r>
            <w:r>
              <w:rPr>
                <w:color w:val="auto"/>
                <w:sz w:val="24"/>
                <w:highlight w:val="none"/>
              </w:rPr>
              <w:t>境内</w:t>
            </w:r>
            <w:r>
              <w:rPr>
                <w:rFonts w:hint="eastAsia"/>
                <w:color w:val="auto"/>
                <w:sz w:val="24"/>
                <w:highlight w:val="none"/>
                <w:lang w:val="en-US" w:eastAsia="zh-CN"/>
              </w:rPr>
              <w:t>0.9379</w:t>
            </w:r>
            <w:r>
              <w:rPr>
                <w:rFonts w:hint="eastAsia"/>
                <w:color w:val="000000" w:themeColor="text1"/>
                <w:sz w:val="24"/>
                <w:highlight w:val="none"/>
                <w14:textFill>
                  <w14:solidFill>
                    <w14:schemeClr w14:val="tx1"/>
                  </w14:solidFill>
                </w14:textFill>
              </w:rPr>
              <w:t>公顷土地，其中</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农用地</w:t>
            </w:r>
            <w:r>
              <w:rPr>
                <w:rFonts w:hint="eastAsia"/>
                <w:color w:val="000000" w:themeColor="text1"/>
                <w:sz w:val="24"/>
                <w:highlight w:val="none"/>
                <w:lang w:val="en-US" w:eastAsia="zh-CN"/>
                <w14:textFill>
                  <w14:solidFill>
                    <w14:schemeClr w14:val="tx1"/>
                  </w14:solidFill>
                </w14:textFill>
              </w:rPr>
              <w:t>0.1531</w:t>
            </w:r>
            <w:r>
              <w:rPr>
                <w:rFonts w:hint="eastAsia"/>
                <w:color w:val="000000" w:themeColor="text1"/>
                <w:sz w:val="24"/>
                <w:highlight w:val="none"/>
                <w14:textFill>
                  <w14:solidFill>
                    <w14:schemeClr w14:val="tx1"/>
                  </w14:solidFill>
                </w14:textFill>
              </w:rPr>
              <w:t>公顷(耕地</w:t>
            </w:r>
            <w:r>
              <w:rPr>
                <w:rFonts w:hint="eastAsia"/>
                <w:color w:val="000000" w:themeColor="text1"/>
                <w:sz w:val="24"/>
                <w:highlight w:val="none"/>
                <w:lang w:val="en-US" w:eastAsia="zh-CN"/>
                <w14:textFill>
                  <w14:solidFill>
                    <w14:schemeClr w14:val="tx1"/>
                  </w14:solidFill>
                </w14:textFill>
              </w:rPr>
              <w:t>0.1304</w:t>
            </w:r>
            <w:r>
              <w:rPr>
                <w:rFonts w:hint="eastAsia"/>
                <w:color w:val="000000" w:themeColor="text1"/>
                <w:sz w:val="24"/>
                <w:highlight w:val="none"/>
                <w14:textFill>
                  <w14:solidFill>
                    <w14:schemeClr w14:val="tx1"/>
                  </w14:solidFill>
                </w14:textFill>
              </w:rPr>
              <w:t>公顷，占用永久基本农田</w:t>
            </w:r>
            <w:r>
              <w:rPr>
                <w:rFonts w:hint="eastAsia"/>
                <w:color w:val="000000" w:themeColor="text1"/>
                <w:sz w:val="24"/>
                <w:highlight w:val="none"/>
                <w:lang w:val="en-US" w:eastAsia="zh-CN"/>
                <w14:textFill>
                  <w14:solidFill>
                    <w14:schemeClr w14:val="tx1"/>
                  </w14:solidFill>
                </w14:textFill>
              </w:rPr>
              <w:t>0.0845</w:t>
            </w:r>
            <w:r>
              <w:rPr>
                <w:rFonts w:hint="eastAsia"/>
                <w:color w:val="000000" w:themeColor="text1"/>
                <w:sz w:val="24"/>
                <w:highlight w:val="none"/>
                <w14:textFill>
                  <w14:solidFill>
                    <w14:schemeClr w14:val="tx1"/>
                  </w14:solidFill>
                </w14:textFill>
              </w:rPr>
              <w:t>公顷，不涉及生态保护红线)</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建设用地0.7848公顷</w:t>
            </w:r>
            <w:r>
              <w:rPr>
                <w:rFonts w:hint="eastAsia"/>
                <w:color w:val="000000" w:themeColor="text1"/>
                <w:sz w:val="24"/>
                <w:highlight w:val="none"/>
                <w:lang w:eastAsia="zh-CN"/>
                <w14:textFill>
                  <w14:solidFill>
                    <w14:schemeClr w14:val="tx1"/>
                  </w14:solidFill>
                </w14:textFill>
              </w:rPr>
              <w:t>。</w:t>
            </w:r>
            <w:r>
              <w:rPr>
                <w:color w:val="auto"/>
                <w:sz w:val="24"/>
                <w:highlight w:val="none"/>
              </w:rPr>
              <w:t>待</w:t>
            </w:r>
            <w:r>
              <w:rPr>
                <w:rFonts w:hint="eastAsia"/>
                <w:color w:val="auto"/>
                <w:sz w:val="24"/>
                <w:highlight w:val="none"/>
                <w:lang w:val="en-US" w:eastAsia="zh-CN"/>
              </w:rPr>
              <w:t>治理工程</w:t>
            </w:r>
            <w:r>
              <w:rPr>
                <w:color w:val="auto"/>
                <w:sz w:val="24"/>
                <w:highlight w:val="none"/>
              </w:rPr>
              <w:t>结束后进行现场清理和生态修复工作。为保证复垦永久基本农田数量不减少，质量不降低，在复垦时，将按照原地类恢复</w:t>
            </w:r>
            <w:r>
              <w:rPr>
                <w:rFonts w:hint="eastAsia"/>
                <w:color w:val="auto"/>
                <w:sz w:val="24"/>
                <w:highlight w:val="none"/>
                <w:lang w:eastAsia="zh-CN"/>
              </w:rPr>
              <w:t>，对</w:t>
            </w:r>
            <w:r>
              <w:rPr>
                <w:color w:val="auto"/>
                <w:sz w:val="24"/>
                <w:highlight w:val="none"/>
              </w:rPr>
              <w:t>原灌排设施、农村道路设施进行修复，</w:t>
            </w:r>
            <w:r>
              <w:rPr>
                <w:rFonts w:hint="eastAsia"/>
                <w:color w:val="auto"/>
                <w:sz w:val="24"/>
                <w:highlight w:val="none"/>
                <w:lang w:eastAsia="zh-CN"/>
              </w:rPr>
              <w:t>对辖</w:t>
            </w:r>
            <w:r>
              <w:rPr>
                <w:color w:val="auto"/>
                <w:sz w:val="24"/>
                <w:highlight w:val="none"/>
              </w:rPr>
              <w:t>区内耕地进行土壤肥力恢复，通过秸秆堆肥增施有机肥，补施氮磷钾肥，改良土壤等措施进行养护，使耕地质量得到提高，保证项目区耕地质量快速达到周边永久基本农田的质量。项目用地为临时用地，不涉及生态保护红线，本项目选址及建设与《淮南市国土空间总体规划》（2021-2035年）要求相符。</w:t>
            </w:r>
          </w:p>
          <w:p w14:paraId="3345B435">
            <w:pPr>
              <w:pStyle w:val="26"/>
              <w:shd w:val="clear"/>
              <w:spacing w:before="0" w:beforeAutospacing="0" w:after="0" w:afterAutospacing="0" w:line="360" w:lineRule="auto"/>
              <w:ind w:firstLine="482" w:firstLineChars="200"/>
              <w:rPr>
                <w:rFonts w:ascii="Times New Roman" w:hAnsi="Times New Roman"/>
                <w:bCs/>
                <w:color w:val="auto"/>
                <w:highlight w:val="none"/>
              </w:rPr>
            </w:pPr>
            <w:r>
              <w:rPr>
                <w:rFonts w:ascii="Times New Roman" w:hAnsi="Times New Roman"/>
                <w:b/>
                <w:color w:val="auto"/>
                <w:highlight w:val="none"/>
              </w:rPr>
              <w:t>（3）选址合理性分析</w:t>
            </w:r>
          </w:p>
          <w:p w14:paraId="430D0D9F">
            <w:pPr>
              <w:pStyle w:val="52"/>
              <w:adjustRightInd/>
              <w:spacing w:line="360" w:lineRule="auto"/>
              <w:ind w:firstLine="480" w:firstLineChars="200"/>
              <w:rPr>
                <w:rFonts w:hint="eastAsia" w:ascii="Times New Roman" w:hAnsi="Times New Roman" w:eastAsia="宋体" w:cs="Times New Roman"/>
                <w:color w:val="auto"/>
                <w:sz w:val="24"/>
                <w:highlight w:val="none"/>
                <w:lang w:eastAsia="zh-CN"/>
              </w:rPr>
            </w:pPr>
            <w:r>
              <w:rPr>
                <w:rFonts w:ascii="Times New Roman" w:hAnsi="Times New Roman"/>
                <w:color w:val="auto"/>
                <w:highlight w:val="none"/>
              </w:rPr>
              <w:t>本项目选址位于</w:t>
            </w:r>
            <w:r>
              <w:rPr>
                <w:rFonts w:ascii="Times New Roman" w:hAnsi="Times New Roman" w:eastAsia="宋体" w:cs="Times New Roman"/>
                <w:color w:val="auto"/>
                <w:sz w:val="24"/>
                <w:highlight w:val="none"/>
                <w:lang w:val="en-US" w:eastAsia="zh-CN"/>
              </w:rPr>
              <w:t>安徽省淮南市</w:t>
            </w:r>
            <w:r>
              <w:rPr>
                <w:rFonts w:hint="eastAsia" w:ascii="Times New Roman" w:hAnsi="Times New Roman" w:eastAsia="宋体" w:cs="Times New Roman"/>
                <w:color w:val="auto"/>
                <w:sz w:val="24"/>
                <w:highlight w:val="none"/>
                <w:lang w:val="en-US" w:eastAsia="zh-CN"/>
              </w:rPr>
              <w:t>凤台县新集镇王集村</w:t>
            </w:r>
            <w:r>
              <w:rPr>
                <w:rFonts w:ascii="Times New Roman" w:hAnsi="Times New Roman" w:eastAsia="宋体"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安徽省淮南市新集一矿3608(6)采区东翼</w:t>
            </w:r>
            <w:r>
              <w:rPr>
                <w:color w:val="auto"/>
                <w:sz w:val="24"/>
                <w:highlight w:val="none"/>
              </w:rPr>
              <w:t>，</w:t>
            </w:r>
            <w:r>
              <w:rPr>
                <w:rFonts w:hint="eastAsia" w:ascii="Times New Roman" w:hAnsi="Times New Roman"/>
                <w:color w:val="auto"/>
                <w:highlight w:val="none"/>
                <w:lang w:val="en-US" w:eastAsia="zh-CN"/>
              </w:rPr>
              <w:t>项目临时用地系租赁凤台县新集镇</w:t>
            </w:r>
            <w:r>
              <w:rPr>
                <w:rFonts w:hint="eastAsia"/>
                <w:color w:val="auto"/>
                <w:sz w:val="24"/>
                <w:highlight w:val="none"/>
                <w:lang w:val="en-US" w:eastAsia="zh-CN"/>
              </w:rPr>
              <w:t>罗杨村、大庄村、王集村</w:t>
            </w:r>
            <w:r>
              <w:rPr>
                <w:rFonts w:hint="eastAsia" w:ascii="Times New Roman" w:hAnsi="Times New Roman"/>
                <w:color w:val="auto"/>
                <w:highlight w:val="none"/>
              </w:rPr>
              <w:t>境内土地</w:t>
            </w:r>
            <w:r>
              <w:rPr>
                <w:rFonts w:hint="eastAsia" w:ascii="Times New Roman" w:hAnsi="Times New Roman"/>
                <w:color w:val="auto"/>
                <w:highlight w:val="none"/>
                <w:lang w:eastAsia="zh-CN"/>
              </w:rPr>
              <w:t>，</w:t>
            </w:r>
            <w:r>
              <w:rPr>
                <w:rFonts w:hint="eastAsia"/>
                <w:color w:val="000000" w:themeColor="text1"/>
                <w:sz w:val="24"/>
                <w:highlight w:val="none"/>
                <w14:textFill>
                  <w14:solidFill>
                    <w14:schemeClr w14:val="tx1"/>
                  </w14:solidFill>
                </w14:textFill>
              </w:rPr>
              <w:t>其中</w:t>
            </w:r>
            <w:r>
              <w:rPr>
                <w:rFonts w:hint="eastAsia"/>
                <w:color w:val="000000" w:themeColor="text1"/>
                <w:sz w:val="24"/>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农用地0.1531公顷(耕地0.1304</w:t>
            </w:r>
            <w:r>
              <w:rPr>
                <w:rFonts w:hint="eastAsia" w:ascii="Times New Roman" w:hAnsi="Times New Roman" w:eastAsia="宋体" w:cs="Times New Roman"/>
                <w:color w:val="auto"/>
                <w:kern w:val="2"/>
                <w:sz w:val="24"/>
                <w:szCs w:val="24"/>
                <w:highlight w:val="none"/>
                <w:lang w:val="en-US" w:eastAsia="zh-CN" w:bidi="ar-SA"/>
              </w:rPr>
              <w:t>公顷，占用永久基本农田0.0845公顷，不涉及生态保护红线)，建设用地0.7848公顷。本项目建设单位“中煤新集能源股份有限公司新集一矿”委托本项目施工单位“</w:t>
            </w:r>
            <w:r>
              <w:rPr>
                <w:rFonts w:hint="eastAsia" w:ascii="Times New Roman" w:hAnsi="Times New Roman" w:cs="Times New Roman"/>
                <w:color w:val="auto"/>
                <w:kern w:val="2"/>
                <w:sz w:val="24"/>
                <w:szCs w:val="24"/>
                <w:highlight w:val="none"/>
                <w:lang w:val="en-US" w:eastAsia="zh-CN" w:bidi="ar-SA"/>
              </w:rPr>
              <w:t>中煤科工生态环境有限公司</w:t>
            </w:r>
            <w:r>
              <w:rPr>
                <w:rFonts w:hint="eastAsia" w:ascii="Times New Roman" w:hAnsi="Times New Roman" w:eastAsia="宋体" w:cs="Times New Roman"/>
                <w:color w:val="auto"/>
                <w:kern w:val="2"/>
                <w:sz w:val="24"/>
                <w:szCs w:val="24"/>
                <w:highlight w:val="none"/>
                <w:lang w:val="en-US" w:eastAsia="zh-CN" w:bidi="ar-SA"/>
              </w:rPr>
              <w:t>”代为办理临时用地手续。因此临时用地租</w:t>
            </w:r>
            <w:r>
              <w:rPr>
                <w:rFonts w:hint="eastAsia" w:ascii="Times New Roman" w:hAnsi="Times New Roman"/>
                <w:color w:val="auto"/>
                <w:highlight w:val="none"/>
              </w:rPr>
              <w:t>赁协议，协议签订单位为“</w:t>
            </w:r>
            <w:r>
              <w:rPr>
                <w:rFonts w:hint="eastAsia" w:ascii="Times New Roman" w:hAnsi="Times New Roman"/>
                <w:color w:val="auto"/>
                <w:highlight w:val="none"/>
                <w:lang w:val="en-US" w:eastAsia="zh-CN"/>
              </w:rPr>
              <w:t>中煤科工生态环境有限公司</w:t>
            </w:r>
            <w:r>
              <w:rPr>
                <w:rFonts w:hint="eastAsia" w:ascii="Times New Roman" w:hAnsi="Times New Roman"/>
                <w:color w:val="auto"/>
                <w:highlight w:val="none"/>
              </w:rPr>
              <w:t>”。</w:t>
            </w:r>
            <w:r>
              <w:rPr>
                <w:rFonts w:ascii="Times New Roman" w:hAnsi="Times New Roman"/>
                <w:color w:val="auto"/>
                <w:highlight w:val="none"/>
              </w:rPr>
              <w:t>因煤层所在位置及地质条件特殊性，本项目无法避开</w:t>
            </w:r>
            <w:r>
              <w:rPr>
                <w:rFonts w:hint="eastAsia" w:ascii="Times New Roman" w:hAnsi="Times New Roman"/>
                <w:color w:val="auto"/>
                <w:highlight w:val="none"/>
                <w:lang w:val="en-US" w:eastAsia="zh-CN"/>
              </w:rPr>
              <w:t>永久</w:t>
            </w:r>
            <w:r>
              <w:rPr>
                <w:rFonts w:ascii="Times New Roman" w:hAnsi="Times New Roman"/>
                <w:color w:val="auto"/>
                <w:highlight w:val="none"/>
              </w:rPr>
              <w:t>基本农田，临时占用</w:t>
            </w:r>
            <w:r>
              <w:rPr>
                <w:rFonts w:hint="eastAsia" w:ascii="Times New Roman" w:hAnsi="Times New Roman"/>
                <w:color w:val="auto"/>
                <w:highlight w:val="none"/>
                <w:lang w:val="en-US" w:eastAsia="zh-CN"/>
              </w:rPr>
              <w:t>永久</w:t>
            </w:r>
            <w:r>
              <w:rPr>
                <w:rFonts w:ascii="Times New Roman" w:hAnsi="Times New Roman"/>
                <w:color w:val="auto"/>
                <w:highlight w:val="none"/>
              </w:rPr>
              <w:t>基本农田约</w:t>
            </w:r>
            <w:r>
              <w:rPr>
                <w:rFonts w:hint="eastAsia" w:ascii="Times New Roman" w:hAnsi="Times New Roman"/>
                <w:color w:val="auto"/>
                <w:highlight w:val="none"/>
                <w:lang w:val="en-US" w:eastAsia="zh-CN"/>
              </w:rPr>
              <w:t>0.0845</w:t>
            </w:r>
            <w:r>
              <w:rPr>
                <w:rFonts w:ascii="Times New Roman" w:hAnsi="Times New Roman"/>
                <w:color w:val="auto"/>
                <w:highlight w:val="none"/>
              </w:rPr>
              <w:t>公顷</w:t>
            </w:r>
            <w:r>
              <w:rPr>
                <w:rFonts w:hint="eastAsia" w:ascii="Times New Roman" w:hAnsi="Times New Roman"/>
                <w:color w:val="auto"/>
                <w:highlight w:val="none"/>
              </w:rPr>
              <w:t>。</w:t>
            </w:r>
            <w:r>
              <w:rPr>
                <w:rFonts w:hint="eastAsia" w:ascii="Times New Roman" w:hAnsi="Times New Roman"/>
                <w:color w:val="auto"/>
                <w:highlight w:val="none"/>
                <w:lang w:val="en-US" w:eastAsia="zh-CN"/>
              </w:rPr>
              <w:t>工程建设期</w:t>
            </w:r>
            <w:r>
              <w:rPr>
                <w:rFonts w:hint="eastAsia" w:ascii="Times New Roman" w:hAnsi="Times New Roman"/>
                <w:color w:val="auto"/>
                <w:highlight w:val="none"/>
              </w:rPr>
              <w:t>预计为</w:t>
            </w:r>
            <w:r>
              <w:rPr>
                <w:rFonts w:hint="eastAsia" w:ascii="Times New Roman" w:hAnsi="Times New Roman"/>
                <w:color w:val="auto"/>
                <w:highlight w:val="none"/>
                <w:lang w:val="en-US" w:eastAsia="zh-CN"/>
              </w:rPr>
              <w:t>12个月</w:t>
            </w:r>
            <w:r>
              <w:rPr>
                <w:rFonts w:hint="eastAsia" w:ascii="Times New Roman" w:hAnsi="Times New Roman"/>
                <w:color w:val="auto"/>
                <w:highlight w:val="none"/>
              </w:rPr>
              <w:t>。根据自然资源部办公厅《关于进一步做好基础设施建设使用临时用地保障工作的通知》（自然资办函〔2024〕2159 号）：基础设施临时用地首次申请不满 4 年的，可申请继续使用，总期限不</w:t>
            </w:r>
            <w:r>
              <w:rPr>
                <w:rFonts w:hint="eastAsia" w:ascii="Times New Roman" w:hAnsi="Times New Roman"/>
                <w:color w:val="auto"/>
                <w:highlight w:val="none"/>
                <w:lang w:eastAsia="zh-CN"/>
              </w:rPr>
              <w:t>超过</w:t>
            </w:r>
            <w:r>
              <w:rPr>
                <w:rFonts w:hint="eastAsia" w:ascii="Times New Roman" w:hAnsi="Times New Roman"/>
                <w:color w:val="auto"/>
                <w:highlight w:val="none"/>
              </w:rPr>
              <w:t xml:space="preserve"> 4 年。</w:t>
            </w:r>
            <w:r>
              <w:rPr>
                <w:rFonts w:hint="default" w:ascii="Times New Roman" w:hAnsi="Times New Roman" w:eastAsia="宋体" w:cs="Times New Roman"/>
                <w:color w:val="auto"/>
                <w:sz w:val="24"/>
                <w:highlight w:val="none"/>
              </w:rPr>
              <w:t>本项目若出现超过项目既定工期</w:t>
            </w:r>
            <w:r>
              <w:rPr>
                <w:rFonts w:hint="eastAsia" w:ascii="Times New Roman" w:hAnsi="Times New Roman" w:cs="Times New Roman"/>
                <w:color w:val="auto"/>
                <w:sz w:val="24"/>
                <w:highlight w:val="none"/>
                <w:lang w:val="en-US" w:eastAsia="zh-CN"/>
              </w:rPr>
              <w:t>12个月</w:t>
            </w:r>
            <w:r>
              <w:rPr>
                <w:rFonts w:hint="default" w:ascii="Times New Roman" w:hAnsi="Times New Roman" w:eastAsia="宋体" w:cs="Times New Roman"/>
                <w:color w:val="auto"/>
                <w:sz w:val="24"/>
                <w:highlight w:val="none"/>
              </w:rPr>
              <w:t>时，应提前申请继续使用的临时用地，报</w:t>
            </w:r>
            <w:r>
              <w:rPr>
                <w:rFonts w:hint="eastAsia" w:ascii="Times New Roman" w:hAnsi="Times New Roman" w:eastAsia="宋体" w:cs="Times New Roman"/>
                <w:color w:val="auto"/>
                <w:sz w:val="24"/>
                <w:highlight w:val="none"/>
                <w:lang w:val="en-US" w:eastAsia="zh-CN"/>
              </w:rPr>
              <w:t>临时用地审批单位</w:t>
            </w:r>
            <w:r>
              <w:rPr>
                <w:rFonts w:hint="default" w:ascii="Times New Roman" w:hAnsi="Times New Roman" w:eastAsia="宋体" w:cs="Times New Roman"/>
                <w:color w:val="auto"/>
                <w:sz w:val="24"/>
                <w:highlight w:val="none"/>
              </w:rPr>
              <w:t>批准。确保应当符合临时用地使用要求、不改变用地位置和批准用途、不扩大用地规模和使用范围、确保完成复垦任务</w:t>
            </w:r>
            <w:r>
              <w:rPr>
                <w:rFonts w:hint="eastAsia" w:ascii="Times New Roman" w:hAnsi="Times New Roman" w:eastAsia="宋体" w:cs="Times New Roman"/>
                <w:color w:val="auto"/>
                <w:sz w:val="24"/>
                <w:highlight w:val="none"/>
                <w:lang w:eastAsia="zh-CN"/>
              </w:rPr>
              <w:t>。</w:t>
            </w:r>
          </w:p>
          <w:p w14:paraId="557B6FE4">
            <w:pPr>
              <w:pStyle w:val="52"/>
              <w:adjustRightInd/>
              <w:spacing w:line="360" w:lineRule="auto"/>
              <w:ind w:firstLine="480" w:firstLineChars="20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该项目临时用地的选址无法避免占用永久基本农田，其原因如下：</w:t>
            </w:r>
          </w:p>
          <w:p w14:paraId="292EB9FD">
            <w:pPr>
              <w:pStyle w:val="52"/>
              <w:adjustRightInd/>
              <w:spacing w:line="360" w:lineRule="auto"/>
              <w:ind w:firstLine="480" w:firstLineChars="200"/>
              <w:rPr>
                <w:rFonts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①</w:t>
            </w:r>
            <w:r>
              <w:rPr>
                <w:rFonts w:ascii="Times New Roman" w:hAnsi="Times New Roman" w:eastAsia="宋体" w:cs="Times New Roman"/>
                <w:color w:val="000000" w:themeColor="text1"/>
                <w:highlight w:val="none"/>
                <w:lang w:val="en-US" w:eastAsia="zh-CN"/>
                <w14:textFill>
                  <w14:solidFill>
                    <w14:schemeClr w14:val="tx1"/>
                  </w14:solidFill>
                </w14:textFill>
              </w:rPr>
              <w:t>注浆钻孔设计为定向钻孔。若变更用地位置，钻孔靶区偏移，无法探查上覆推覆</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体片麻岩及煤系地层离层发育情况；存在重大水害施工风险常区空间位置，点位横向、纵向偏移后，钻孔无法穿透治理靶区，不能实现注浆减沉控沉治理目标，无法另行选位。</w:t>
            </w:r>
          </w:p>
          <w:p w14:paraId="184E4262">
            <w:pPr>
              <w:pStyle w:val="52"/>
              <w:adjustRightInd/>
              <w:spacing w:line="360" w:lineRule="auto"/>
              <w:ind w:firstLine="480" w:firstLineChars="200"/>
              <w:rPr>
                <w:rFonts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②本区块煤层、灰岩含水层全域埋深固定，受地层赋存条件限制，全治理范围地表受控于地下构造，可合规布孔点位极少，使得该项目区域无法完全避让永久基本农田。</w:t>
            </w:r>
          </w:p>
          <w:p w14:paraId="07E9478F">
            <w:pPr>
              <w:pStyle w:val="52"/>
              <w:adjustRightInd/>
              <w:spacing w:line="360" w:lineRule="auto"/>
              <w:ind w:firstLine="480" w:firstLineChars="20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③如下图，钻孔上方蓝色矿权范围内为连片采煤沉陷湖区，地表大面积常年积水、淤泥深厚，地基承载力极差，无法平整场地、搭建钻探施工平台，机械设备进场、泥浆处置、临时临建设施均无落地条件，治理靶区正上方矿权内地表现状不满足地面钻探施工建设要求。</w:t>
            </w:r>
          </w:p>
          <w:p w14:paraId="1DB9032A">
            <w:pPr>
              <w:pStyle w:val="52"/>
              <w:adjustRightInd/>
              <w:spacing w:line="360" w:lineRule="auto"/>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ascii="Times New Roman" w:hAnsi="Times New Roman" w:eastAsia="宋体" w:cs="Times New Roman"/>
                <w:color w:val="000000" w:themeColor="text1"/>
                <w:highlight w:val="none"/>
                <w:lang w:val="en-US" w:eastAsia="zh-CN"/>
                <w14:textFill>
                  <w14:solidFill>
                    <w14:schemeClr w14:val="tx1"/>
                  </w14:solidFill>
                </w14:textFill>
              </w:rPr>
              <w:drawing>
                <wp:inline distT="0" distB="0" distL="114300" distR="114300">
                  <wp:extent cx="4975860" cy="3322955"/>
                  <wp:effectExtent l="0" t="0" r="15240" b="10795"/>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a:blip r:embed="rId8"/>
                          <a:stretch>
                            <a:fillRect/>
                          </a:stretch>
                        </pic:blipFill>
                        <pic:spPr>
                          <a:xfrm>
                            <a:off x="0" y="0"/>
                            <a:ext cx="4975860" cy="3322955"/>
                          </a:xfrm>
                          <a:prstGeom prst="rect">
                            <a:avLst/>
                          </a:prstGeom>
                          <a:noFill/>
                          <a:ln>
                            <a:noFill/>
                          </a:ln>
                        </pic:spPr>
                      </pic:pic>
                    </a:graphicData>
                  </a:graphic>
                </wp:inline>
              </w:drawing>
            </w:r>
          </w:p>
          <w:p w14:paraId="26AD3888">
            <w:pPr>
              <w:pStyle w:val="52"/>
              <w:adjustRightInd/>
              <w:spacing w:line="360" w:lineRule="auto"/>
              <w:ind w:firstLine="480" w:firstLineChars="200"/>
              <w:rPr>
                <w:rFonts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④</w:t>
            </w:r>
            <w:r>
              <w:rPr>
                <w:rFonts w:ascii="Times New Roman" w:hAnsi="Times New Roman" w:eastAsia="宋体" w:cs="Times New Roman"/>
                <w:color w:val="000000" w:themeColor="text1"/>
                <w:highlight w:val="none"/>
                <w:lang w:val="en-US" w:eastAsia="zh-CN"/>
                <w14:textFill>
                  <w14:solidFill>
                    <w14:schemeClr w14:val="tx1"/>
                  </w14:solidFill>
                </w14:textFill>
              </w:rPr>
              <w:t>为确保钻孔能有效覆盖整个治理区域，地面场地需距离治理范围500m 以外。该</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距离要求导致可选布孔区域进一步受限，而矿权范围内多为永久基本农田。受地形地貌</w:t>
            </w:r>
            <w:r>
              <w:rPr>
                <w:rFonts w:ascii="Times New Roman" w:hAnsi="Times New Roman" w:eastAsia="宋体" w:cs="Times New Roman"/>
                <w:color w:val="000000" w:themeColor="text1"/>
                <w:highlight w:val="none"/>
                <w:lang w:val="en-US" w:eastAsia="zh-CN"/>
                <w14:textFill>
                  <w14:solidFill>
                    <w14:schemeClr w14:val="tx1"/>
                  </w14:solidFill>
                </w14:textFill>
              </w:rPr>
              <w:t>及既有地物限制，无法通过调整钻孔角度或增加钻孔数量完全规避对基本农田的占用。</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同时，项目采用的定向钻探工艺对地面作业平台稳定性、安全距离及设备布置空间有严格技术规范，需在特定位置密集布置钻孔，这使得可供选择的场地范围进一步缩小，难以找到完全避开永久基本农田的合适区域。</w:t>
            </w:r>
          </w:p>
          <w:p w14:paraId="0701FC00">
            <w:pPr>
              <w:pStyle w:val="52"/>
              <w:adjustRightInd/>
              <w:spacing w:line="360" w:lineRule="auto"/>
              <w:ind w:firstLine="480" w:firstLineChars="20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⑤临时用地工作范围所在地是传统的农业乡镇，根据凤台县“三区三线”成果基本农田所占比例较高。临时用地占用的永久基本农田，复垦后全部予以恢复。本项目临时用地范围占用已划定的永久基本农田，按国家永久基本农田保护条例，贯彻实施基本农田保护制度，将本项目涉及永久基本农田部分的复垦费用翻倍计算，中煤科工生态环境科技有限公司承诺会严格按照通过审查的复垦方案组织实施，确保复垦后耕地数量不减少，占用的永久基本农田质量不低于占用前。</w:t>
            </w:r>
          </w:p>
          <w:p w14:paraId="12BC220A">
            <w:pPr>
              <w:pStyle w:val="52"/>
              <w:adjustRightInd/>
              <w:spacing w:line="360" w:lineRule="auto"/>
              <w:ind w:firstLine="480" w:firstLineChars="20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综上所述，该项目井场选择根据井下规划选取，钻孔位置具有唯一性，不可避免占用永久基本农田，临时用地在选址过程中已尽量避免、减少占用永久基本农田，但仍难以避免临时占用永久基本农田。</w:t>
            </w:r>
          </w:p>
          <w:p w14:paraId="3F1B752F">
            <w:pPr>
              <w:pStyle w:val="52"/>
              <w:adjustRightInd/>
              <w:spacing w:line="360" w:lineRule="auto"/>
              <w:ind w:firstLine="480" w:firstLineChars="200"/>
              <w:rPr>
                <w:rFonts w:hint="eastAsia"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经现场勘查，本项目施工范围内无自然保护区、风景名胜区、世界文化和自然遗产、饮用水水源保护区，无文物保护单位，无具有特殊历史、文化、科学、民族意义的保护地等环境敏感区，调查未见珍稀、濒危野生动物和保护物种。不在《安徽省生态功能区划》禁止开发区、重点保护区范围内，生态环境总体不敏感。</w:t>
            </w:r>
            <w:r>
              <w:rPr>
                <w:rFonts w:hint="eastAsia" w:ascii="Times New Roman" w:hAnsi="Times New Roman"/>
                <w:color w:val="000000" w:themeColor="text1"/>
                <w:highlight w:val="none"/>
                <w14:textFill>
                  <w14:solidFill>
                    <w14:schemeClr w14:val="tx1"/>
                  </w14:solidFill>
                </w14:textFill>
              </w:rPr>
              <w:t>项目周边无明显环境制约因素，</w:t>
            </w:r>
          </w:p>
          <w:p w14:paraId="4CF66F04">
            <w:pPr>
              <w:pStyle w:val="52"/>
              <w:adjustRightInd/>
              <w:spacing w:line="360" w:lineRule="auto"/>
              <w:ind w:firstLine="480" w:firstLineChars="200"/>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本项目施工过程中产生少量废气、噪声及固体废物，均</w:t>
            </w:r>
            <w:r>
              <w:rPr>
                <w:rFonts w:hint="eastAsia" w:ascii="Times New Roman" w:hAnsi="Times New Roman"/>
                <w:color w:val="000000" w:themeColor="text1"/>
                <w:highlight w:val="none"/>
                <w14:textFill>
                  <w14:solidFill>
                    <w14:schemeClr w14:val="tx1"/>
                  </w14:solidFill>
                </w14:textFill>
              </w:rPr>
              <w:t>采取</w:t>
            </w:r>
            <w:r>
              <w:rPr>
                <w:rFonts w:hint="eastAsia" w:ascii="Times New Roman" w:hAnsi="Times New Roman"/>
                <w:color w:val="000000" w:themeColor="text1"/>
                <w:highlight w:val="none"/>
                <w:lang w:val="en-US" w:eastAsia="zh-CN"/>
                <w14:textFill>
                  <w14:solidFill>
                    <w14:schemeClr w14:val="tx1"/>
                  </w14:solidFill>
                </w14:textFill>
              </w:rPr>
              <w:t>了相应</w:t>
            </w:r>
            <w:r>
              <w:rPr>
                <w:rFonts w:hint="eastAsia" w:ascii="Times New Roman" w:hAnsi="Times New Roman"/>
                <w:color w:val="000000" w:themeColor="text1"/>
                <w:highlight w:val="none"/>
                <w14:textFill>
                  <w14:solidFill>
                    <w14:schemeClr w14:val="tx1"/>
                  </w14:solidFill>
                </w14:textFill>
              </w:rPr>
              <w:t>的环保措施后，可以有效地减缓或消除项目建设带来的不利影响，不会改变周围区域环境功能现状。</w:t>
            </w:r>
            <w:r>
              <w:rPr>
                <w:rFonts w:hint="eastAsia" w:ascii="Times New Roman" w:hAnsi="Times New Roman"/>
                <w:color w:val="000000" w:themeColor="text1"/>
                <w:highlight w:val="none"/>
                <w:lang w:val="en-US" w:eastAsia="zh-CN"/>
                <w14:textFill>
                  <w14:solidFill>
                    <w14:schemeClr w14:val="tx1"/>
                  </w14:solidFill>
                </w14:textFill>
              </w:rPr>
              <w:t>治理工程</w:t>
            </w:r>
            <w:r>
              <w:rPr>
                <w:rFonts w:ascii="Times New Roman" w:hAnsi="Times New Roman"/>
                <w:color w:val="000000" w:themeColor="text1"/>
                <w:highlight w:val="none"/>
                <w14:textFill>
                  <w14:solidFill>
                    <w14:schemeClr w14:val="tx1"/>
                  </w14:solidFill>
                </w14:textFill>
              </w:rPr>
              <w:t>不会对地下水含水层、水质、水位产生影响，对周边居民的影响小，</w:t>
            </w:r>
            <w:r>
              <w:rPr>
                <w:rFonts w:hint="eastAsia" w:ascii="Times New Roman" w:hAnsi="Times New Roman"/>
                <w:color w:val="000000" w:themeColor="text1"/>
                <w:highlight w:val="none"/>
                <w:lang w:val="en-US" w:eastAsia="zh-CN"/>
                <w14:textFill>
                  <w14:solidFill>
                    <w14:schemeClr w14:val="tx1"/>
                  </w14:solidFill>
                </w14:textFill>
              </w:rPr>
              <w:t>本项目临时用地为12个月，项目仅在施工期</w:t>
            </w:r>
            <w:r>
              <w:rPr>
                <w:bCs/>
                <w:color w:val="auto"/>
                <w:sz w:val="24"/>
                <w:highlight w:val="none"/>
              </w:rPr>
              <w:t>施工</w:t>
            </w:r>
            <w:r>
              <w:rPr>
                <w:rFonts w:hint="eastAsia"/>
                <w:bCs/>
                <w:color w:val="auto"/>
                <w:sz w:val="24"/>
                <w:highlight w:val="none"/>
                <w:lang w:val="en-US" w:eastAsia="zh-CN"/>
              </w:rPr>
              <w:t>期</w:t>
            </w:r>
            <w:r>
              <w:rPr>
                <w:rFonts w:ascii="Times New Roman" w:hAnsi="Times New Roman"/>
                <w:color w:val="000000" w:themeColor="text1"/>
                <w:highlight w:val="none"/>
                <w14:textFill>
                  <w14:solidFill>
                    <w14:schemeClr w14:val="tx1"/>
                  </w14:solidFill>
                </w14:textFill>
              </w:rPr>
              <w:t>产生少量废气、噪声及固体废物</w:t>
            </w:r>
            <w:r>
              <w:rPr>
                <w:rFonts w:hint="eastAsia" w:ascii="Times New Roman" w:hAnsi="Times New Roman"/>
                <w:color w:val="000000" w:themeColor="text1"/>
                <w:highlight w:val="none"/>
                <w:lang w:eastAsia="zh-CN"/>
                <w14:textFill>
                  <w14:solidFill>
                    <w14:schemeClr w14:val="tx1"/>
                  </w14:solidFill>
                </w14:textFill>
              </w:rPr>
              <w:t>，</w:t>
            </w:r>
            <w:r>
              <w:rPr>
                <w:bCs/>
                <w:color w:val="auto"/>
                <w:sz w:val="24"/>
                <w:highlight w:val="none"/>
              </w:rPr>
              <w:t>完成后建设单位将在较短时间内进行土地复垦，恢复区域原貌</w:t>
            </w:r>
            <w:r>
              <w:rPr>
                <w:rFonts w:hint="eastAsia"/>
                <w:bCs/>
                <w:color w:val="auto"/>
                <w:sz w:val="24"/>
                <w:highlight w:val="none"/>
                <w:lang w:eastAsia="zh-CN"/>
              </w:rPr>
              <w:t>，</w:t>
            </w:r>
            <w:r>
              <w:rPr>
                <w:rFonts w:ascii="Times New Roman" w:hAnsi="Times New Roman"/>
                <w:color w:val="auto"/>
                <w:highlight w:val="none"/>
              </w:rPr>
              <w:t>环境影</w:t>
            </w:r>
            <w:r>
              <w:rPr>
                <w:rFonts w:ascii="Times New Roman" w:hAnsi="Times New Roman"/>
                <w:color w:val="000000" w:themeColor="text1"/>
                <w:highlight w:val="none"/>
                <w14:textFill>
                  <w14:solidFill>
                    <w14:schemeClr w14:val="tx1"/>
                  </w14:solidFill>
                </w14:textFill>
              </w:rPr>
              <w:t>响可接受，因此本项目从环境保护角度分析项目选址是合理可行的。</w:t>
            </w:r>
          </w:p>
          <w:p w14:paraId="76AA7B8B">
            <w:pPr>
              <w:pStyle w:val="26"/>
              <w:shd w:val="clear"/>
              <w:spacing w:before="0" w:beforeAutospacing="0" w:after="0" w:afterAutospacing="0" w:line="360" w:lineRule="auto"/>
              <w:ind w:firstLine="482" w:firstLineChars="200"/>
              <w:jc w:val="both"/>
              <w:rPr>
                <w:rFonts w:ascii="Times New Roman" w:hAnsi="Times New Roman"/>
                <w:b/>
                <w:color w:val="000000" w:themeColor="text1"/>
                <w:highlight w:val="none"/>
                <w14:textFill>
                  <w14:solidFill>
                    <w14:schemeClr w14:val="tx1"/>
                  </w14:solidFill>
                </w14:textFill>
              </w:rPr>
            </w:pPr>
            <w:r>
              <w:rPr>
                <w:rFonts w:ascii="Times New Roman" w:hAnsi="Times New Roman"/>
                <w:b/>
                <w:color w:val="000000" w:themeColor="text1"/>
                <w:highlight w:val="none"/>
                <w14:textFill>
                  <w14:solidFill>
                    <w14:schemeClr w14:val="tx1"/>
                  </w14:solidFill>
                </w14:textFill>
              </w:rPr>
              <w:t>（4）项目与</w:t>
            </w:r>
            <w:r>
              <w:rPr>
                <w:rFonts w:ascii="Times New Roman" w:hAnsi="Times New Roman" w:eastAsia="宋体" w:cs="Times New Roman"/>
                <w:b/>
                <w:color w:val="000000" w:themeColor="text1"/>
                <w:highlight w:val="none"/>
                <w14:textFill>
                  <w14:solidFill>
                    <w14:schemeClr w14:val="tx1"/>
                  </w14:solidFill>
                </w14:textFill>
              </w:rPr>
              <w:t>《安徽省空气质量持续改善行动方案》符</w:t>
            </w:r>
            <w:r>
              <w:rPr>
                <w:rFonts w:ascii="Times New Roman" w:hAnsi="Times New Roman"/>
                <w:b/>
                <w:color w:val="000000" w:themeColor="text1"/>
                <w:highlight w:val="none"/>
                <w14:textFill>
                  <w14:solidFill>
                    <w14:schemeClr w14:val="tx1"/>
                  </w14:solidFill>
                </w14:textFill>
              </w:rPr>
              <w:t>合性分析</w:t>
            </w:r>
          </w:p>
          <w:p w14:paraId="238806F3">
            <w:pPr>
              <w:jc w:val="center"/>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表1-</w:t>
            </w: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r>
              <w:rPr>
                <w:rFonts w:ascii="Times New Roman" w:hAnsi="Times New Roman" w:eastAsia="宋体" w:cs="Times New Roman"/>
                <w:color w:val="000000" w:themeColor="text1"/>
                <w:highlight w:val="none"/>
                <w14:textFill>
                  <w14:solidFill>
                    <w14:schemeClr w14:val="tx1"/>
                  </w14:solidFill>
                </w14:textFill>
              </w:rPr>
              <w:t xml:space="preserve">  与《安徽省空气质量持续改善行动方案》相符性分析</w:t>
            </w:r>
          </w:p>
          <w:tbl>
            <w:tblPr>
              <w:tblStyle w:val="29"/>
              <w:tblW w:w="495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85" w:type="dxa"/>
                <w:bottom w:w="0" w:type="dxa"/>
                <w:right w:w="85" w:type="dxa"/>
              </w:tblCellMar>
            </w:tblPr>
            <w:tblGrid>
              <w:gridCol w:w="3694"/>
              <w:gridCol w:w="3882"/>
              <w:gridCol w:w="438"/>
            </w:tblGrid>
            <w:tr w14:paraId="55C6BE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85" w:type="dxa"/>
                  <w:bottom w:w="0" w:type="dxa"/>
                  <w:right w:w="85" w:type="dxa"/>
                </w:tblCellMar>
              </w:tblPrEx>
              <w:trPr>
                <w:trHeight w:val="23" w:hRule="atLeast"/>
                <w:jc w:val="center"/>
              </w:trPr>
              <w:tc>
                <w:tcPr>
                  <w:tcW w:w="3705" w:type="dxa"/>
                  <w:tcBorders>
                    <w:top w:val="single" w:color="000000" w:sz="10" w:space="0"/>
                  </w:tcBorders>
                  <w:noWrap w:val="0"/>
                  <w:vAlign w:val="center"/>
                </w:tcPr>
                <w:p w14:paraId="57AC6678">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相关规范情况</w:t>
                  </w:r>
                </w:p>
              </w:tc>
              <w:tc>
                <w:tcPr>
                  <w:tcW w:w="3892" w:type="dxa"/>
                  <w:tcBorders>
                    <w:top w:val="single" w:color="000000" w:sz="10" w:space="0"/>
                  </w:tcBorders>
                  <w:noWrap w:val="0"/>
                  <w:vAlign w:val="center"/>
                </w:tcPr>
                <w:p w14:paraId="35381E74">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建设项目情况</w:t>
                  </w:r>
                </w:p>
              </w:tc>
              <w:tc>
                <w:tcPr>
                  <w:tcW w:w="438" w:type="dxa"/>
                  <w:tcBorders>
                    <w:top w:val="single" w:color="000000" w:sz="10" w:space="0"/>
                  </w:tcBorders>
                  <w:noWrap w:val="0"/>
                  <w:vAlign w:val="center"/>
                </w:tcPr>
                <w:p w14:paraId="4571D9D1">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是否符合</w:t>
                  </w:r>
                </w:p>
              </w:tc>
            </w:tr>
            <w:tr w14:paraId="777A7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85" w:type="dxa"/>
                  <w:bottom w:w="0" w:type="dxa"/>
                  <w:right w:w="85" w:type="dxa"/>
                </w:tblCellMar>
              </w:tblPrEx>
              <w:trPr>
                <w:trHeight w:val="23" w:hRule="atLeast"/>
                <w:jc w:val="center"/>
              </w:trPr>
              <w:tc>
                <w:tcPr>
                  <w:tcW w:w="3705" w:type="dxa"/>
                  <w:tcBorders>
                    <w:bottom w:val="single" w:color="000000" w:sz="6" w:space="0"/>
                  </w:tcBorders>
                  <w:noWrap w:val="0"/>
                  <w:vAlign w:val="top"/>
                </w:tcPr>
                <w:p w14:paraId="40D2F120">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坚决遏制高耗能、高排放、低水平项目盲目上马。新改扩建项目严格落实国家产业</w:t>
                  </w:r>
                  <w:r>
                    <w:rPr>
                      <w:rFonts w:hint="eastAsia"/>
                      <w:color w:val="000000" w:themeColor="text1"/>
                      <w:highlight w:val="none"/>
                      <w:lang w:val="en-US" w:eastAsia="zh-CN"/>
                      <w14:textFill>
                        <w14:solidFill>
                          <w14:schemeClr w14:val="tx1"/>
                        </w14:solidFill>
                      </w14:textFill>
                    </w:rPr>
                    <w:t>规划、</w:t>
                  </w:r>
                  <w:r>
                    <w:rPr>
                      <w:color w:val="000000" w:themeColor="text1"/>
                      <w:highlight w:val="none"/>
                      <w14:textFill>
                        <w14:solidFill>
                          <w14:schemeClr w14:val="tx1"/>
                        </w14:solidFill>
                      </w14:textFill>
                    </w:rPr>
                    <w:t>产业政策、生态环境分区管控方案、规划环评、项目环评、节能审查、产能置换、重点污染物总量控制、污染物排放区域削、碳排放达峰目标等相关要求，原则上</w:t>
                  </w:r>
                  <w:r>
                    <w:rPr>
                      <w:rFonts w:hint="eastAsia"/>
                      <w:color w:val="000000" w:themeColor="text1"/>
                      <w:highlight w:val="none"/>
                      <w:lang w:eastAsia="zh-CN"/>
                      <w14:textFill>
                        <w14:solidFill>
                          <w14:schemeClr w14:val="tx1"/>
                        </w14:solidFill>
                      </w14:textFill>
                    </w:rPr>
                    <w:t>采取</w:t>
                  </w:r>
                  <w:r>
                    <w:rPr>
                      <w:color w:val="000000" w:themeColor="text1"/>
                      <w:highlight w:val="none"/>
                      <w14:textFill>
                        <w14:solidFill>
                          <w14:schemeClr w14:val="tx1"/>
                        </w14:solidFill>
                      </w14:textFill>
                    </w:rPr>
                    <w:t>清洁运输方式。实施“高污染、高耗能</w:t>
                  </w:r>
                  <w:r>
                    <w:rPr>
                      <w:rFonts w:hint="eastAsia"/>
                      <w:color w:val="000000" w:themeColor="text1"/>
                      <w:highlight w:val="none"/>
                      <w:lang w:eastAsia="zh-CN"/>
                      <w14:textFill>
                        <w14:solidFill>
                          <w14:schemeClr w14:val="tx1"/>
                        </w14:solidFill>
                      </w14:textFill>
                    </w:rPr>
                    <w:t>”项</w:t>
                  </w:r>
                  <w:r>
                    <w:rPr>
                      <w:color w:val="000000" w:themeColor="text1"/>
                      <w:highlight w:val="none"/>
                      <w14:textFill>
                        <w14:solidFill>
                          <w14:schemeClr w14:val="tx1"/>
                        </w14:solidFill>
                      </w14:textFill>
                    </w:rPr>
                    <w:t>目部门联审，源头管控低水平项目上马。制定实施安徽省加强生态环境分区管控</w:t>
                  </w:r>
                  <w:r>
                    <w:rPr>
                      <w:rFonts w:hint="eastAsia"/>
                      <w:color w:val="000000" w:themeColor="text1"/>
                      <w:highlight w:val="none"/>
                      <w:lang w:eastAsia="zh-CN"/>
                      <w14:textFill>
                        <w14:solidFill>
                          <w14:schemeClr w14:val="tx1"/>
                        </w14:solidFill>
                      </w14:textFill>
                    </w:rPr>
                    <w:t>方案</w:t>
                  </w:r>
                  <w:r>
                    <w:rPr>
                      <w:color w:val="000000" w:themeColor="text1"/>
                      <w:highlight w:val="none"/>
                      <w14:textFill>
                        <w14:solidFill>
                          <w14:schemeClr w14:val="tx1"/>
                        </w14:solidFill>
                      </w14:textFill>
                    </w:rPr>
                    <w:t>。严格落实产能置换要求，不以任何名义</w:t>
                  </w:r>
                  <w:r>
                    <w:rPr>
                      <w:rFonts w:hint="eastAsia"/>
                      <w:color w:val="000000" w:themeColor="text1"/>
                      <w:highlight w:val="none"/>
                      <w:lang w:eastAsia="zh-CN"/>
                      <w14:textFill>
                        <w14:solidFill>
                          <w14:schemeClr w14:val="tx1"/>
                        </w14:solidFill>
                      </w14:textFill>
                    </w:rPr>
                    <w:t>、任</w:t>
                  </w:r>
                  <w:r>
                    <w:rPr>
                      <w:color w:val="000000" w:themeColor="text1"/>
                      <w:highlight w:val="none"/>
                      <w14:textFill>
                        <w14:solidFill>
                          <w14:schemeClr w14:val="tx1"/>
                        </w14:solidFill>
                      </w14:textFill>
                    </w:rPr>
                    <w:t>何方式核准、备案产能严重过剩行业新增产能项目，被置换产能及其配套设施关停后，新建项目方可投产</w:t>
                  </w:r>
                </w:p>
              </w:tc>
              <w:tc>
                <w:tcPr>
                  <w:tcW w:w="3892" w:type="dxa"/>
                  <w:tcBorders>
                    <w:bottom w:val="single" w:color="000000" w:sz="6" w:space="0"/>
                  </w:tcBorders>
                  <w:noWrap w:val="0"/>
                  <w:vAlign w:val="top"/>
                </w:tcPr>
                <w:p w14:paraId="57E5D8AE">
                  <w:pPr>
                    <w:rPr>
                      <w:color w:val="000000" w:themeColor="text1"/>
                      <w:highlight w:val="none"/>
                      <w14:textFill>
                        <w14:solidFill>
                          <w14:schemeClr w14:val="tx1"/>
                        </w14:solidFill>
                      </w14:textFill>
                    </w:rPr>
                  </w:pPr>
                  <w:r>
                    <w:rPr>
                      <w:rFonts w:eastAsia="宋体"/>
                      <w:color w:val="auto"/>
                      <w:highlight w:val="none"/>
                    </w:rPr>
                    <w:t>本项目属</w:t>
                  </w:r>
                  <w:r>
                    <w:rPr>
                      <w:rFonts w:hint="eastAsia" w:eastAsia="宋体"/>
                      <w:color w:val="auto"/>
                      <w:highlight w:val="none"/>
                    </w:rPr>
                    <w:t>“</w:t>
                  </w:r>
                  <w:r>
                    <w:rPr>
                      <w:rFonts w:eastAsia="宋体"/>
                      <w:color w:val="auto"/>
                      <w:highlight w:val="none"/>
                    </w:rPr>
                    <w:t>M747</w:t>
                  </w:r>
                  <w:r>
                    <w:rPr>
                      <w:rFonts w:hint="eastAsia"/>
                      <w:color w:val="auto"/>
                      <w:highlight w:val="none"/>
                      <w:lang w:val="en-US" w:eastAsia="zh-CN"/>
                    </w:rPr>
                    <w:t>1能源</w:t>
                  </w:r>
                  <w:r>
                    <w:rPr>
                      <w:rFonts w:eastAsia="宋体"/>
                      <w:color w:val="auto"/>
                      <w:highlight w:val="none"/>
                    </w:rPr>
                    <w:t>矿产地质勘查项目</w:t>
                  </w:r>
                  <w:r>
                    <w:rPr>
                      <w:rFonts w:hint="eastAsia" w:eastAsia="宋体"/>
                      <w:color w:val="auto"/>
                      <w:highlight w:val="none"/>
                    </w:rPr>
                    <w:t>”</w:t>
                  </w:r>
                  <w:r>
                    <w:rPr>
                      <w:rFonts w:hint="eastAsia" w:eastAsia="宋体"/>
                      <w:color w:val="auto"/>
                      <w:highlight w:val="none"/>
                      <w:lang w:eastAsia="zh-CN"/>
                    </w:rPr>
                    <w:t>。</w:t>
                  </w:r>
                  <w:r>
                    <w:rPr>
                      <w:rFonts w:eastAsia="宋体"/>
                      <w:color w:val="auto"/>
                      <w:highlight w:val="none"/>
                    </w:rPr>
                    <w:t>根据《产业结构调整指导目录(2024年本)》(2023年12月27日国家发展改革委令第7号公布)和《安徽省产业结构调整指导目录(2007年本)》，</w:t>
                  </w:r>
                  <w:r>
                    <w:rPr>
                      <w:color w:val="auto"/>
                      <w:highlight w:val="none"/>
                    </w:rPr>
                    <w:t>本项目属于《产业结构调整指导目录(2024年本)》中“鼓励类:三、煤炭</w:t>
                  </w:r>
                  <w:r>
                    <w:rPr>
                      <w:rFonts w:hint="eastAsia"/>
                      <w:color w:val="auto"/>
                      <w:highlight w:val="none"/>
                    </w:rPr>
                    <w:t>-</w:t>
                  </w:r>
                  <w:r>
                    <w:rPr>
                      <w:color w:val="auto"/>
                      <w:highlight w:val="none"/>
                    </w:rPr>
                    <w:t>煤矿智能化和安全高效技术开发及应用</w:t>
                  </w:r>
                  <w:r>
                    <w:rPr>
                      <w:rFonts w:hint="eastAsia"/>
                      <w:color w:val="auto"/>
                      <w:highlight w:val="none"/>
                    </w:rPr>
                    <w:t>：</w:t>
                  </w:r>
                  <w:r>
                    <w:rPr>
                      <w:color w:val="auto"/>
                      <w:highlight w:val="none"/>
                    </w:rPr>
                    <w:t>矿井灾害(瓦斯、煤尘、矿井水、火、围岩、地温、冲击地压等)防治。</w:t>
                  </w:r>
                </w:p>
              </w:tc>
              <w:tc>
                <w:tcPr>
                  <w:tcW w:w="438" w:type="dxa"/>
                  <w:tcBorders>
                    <w:bottom w:val="single" w:color="000000" w:sz="6" w:space="0"/>
                  </w:tcBorders>
                  <w:noWrap w:val="0"/>
                  <w:vAlign w:val="center"/>
                </w:tcPr>
                <w:p w14:paraId="722B60C4">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r w14:paraId="573F37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85" w:type="dxa"/>
                  <w:bottom w:w="0" w:type="dxa"/>
                  <w:right w:w="85" w:type="dxa"/>
                </w:tblCellMar>
              </w:tblPrEx>
              <w:trPr>
                <w:trHeight w:val="23" w:hRule="atLeast"/>
                <w:jc w:val="center"/>
              </w:trPr>
              <w:tc>
                <w:tcPr>
                  <w:tcW w:w="3705" w:type="dxa"/>
                  <w:noWrap w:val="0"/>
                  <w:vAlign w:val="top"/>
                </w:tcPr>
                <w:p w14:paraId="314FCCC8">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有序推动落后产能淘汰。严格执行《产业</w:t>
                  </w:r>
                  <w:r>
                    <w:rPr>
                      <w:rFonts w:hint="eastAsia"/>
                      <w:color w:val="000000" w:themeColor="text1"/>
                      <w:highlight w:val="none"/>
                      <w:lang w:val="en-US" w:eastAsia="zh-CN"/>
                      <w14:textFill>
                        <w14:solidFill>
                          <w14:schemeClr w14:val="tx1"/>
                        </w14:solidFill>
                      </w14:textFill>
                    </w:rPr>
                    <w:t>结构</w:t>
                  </w:r>
                  <w:r>
                    <w:rPr>
                      <w:color w:val="000000" w:themeColor="text1"/>
                      <w:highlight w:val="none"/>
                      <w14:textFill>
                        <w14:solidFill>
                          <w14:schemeClr w14:val="tx1"/>
                        </w14:solidFill>
                      </w14:textFill>
                    </w:rPr>
                    <w:t>调整指导目录》。综合运用能耗、环保</w:t>
                  </w:r>
                  <w:r>
                    <w:rPr>
                      <w:rFonts w:hint="eastAsia"/>
                      <w:color w:val="000000" w:themeColor="text1"/>
                      <w:highlight w:val="none"/>
                      <w:lang w:val="en-US" w:eastAsia="zh-CN"/>
                      <w14:textFill>
                        <w14:solidFill>
                          <w14:schemeClr w14:val="tx1"/>
                        </w14:solidFill>
                      </w14:textFill>
                    </w:rPr>
                    <w:t>\质</w:t>
                  </w:r>
                  <w:r>
                    <w:rPr>
                      <w:color w:val="000000" w:themeColor="text1"/>
                      <w:highlight w:val="none"/>
                      <w14:textFill>
                        <w14:solidFill>
                          <w14:schemeClr w14:val="tx1"/>
                        </w14:solidFill>
                      </w14:textFill>
                    </w:rPr>
                    <w:t>量、安全、技术等要求，依法依规推动落产能退出，逐步退出限制类涉气行业工艺装备。有序推动生产设施老旧、工艺水平后、环境管理水平低下的独立焦化、烧结团、热轧企业和落后煤炭洗选企业退出</w:t>
                  </w:r>
                  <w:r>
                    <w:rPr>
                      <w:rFonts w:hint="eastAsia"/>
                      <w:color w:val="000000" w:themeColor="text1"/>
                      <w:highlight w:val="none"/>
                      <w:lang w:val="en-US" w:eastAsia="zh-CN"/>
                      <w14:textFill>
                        <w14:solidFill>
                          <w14:schemeClr w14:val="tx1"/>
                        </w14:solidFill>
                      </w14:textFill>
                    </w:rPr>
                    <w:t>市场</w:t>
                  </w:r>
                  <w:r>
                    <w:rPr>
                      <w:color w:val="000000" w:themeColor="text1"/>
                      <w:highlight w:val="none"/>
                      <w14:textFill>
                        <w14:solidFill>
                          <w14:schemeClr w14:val="tx1"/>
                        </w14:solidFill>
                      </w14:textFill>
                    </w:rPr>
                    <w:t>。逐步淘汰步进式烧结机和球团竖炉以及半封闭式硅锰合金、镍铁、高碳铬铁、高碳</w:t>
                  </w:r>
                  <w:r>
                    <w:rPr>
                      <w:rFonts w:hint="eastAsia"/>
                      <w:color w:val="000000" w:themeColor="text1"/>
                      <w:highlight w:val="none"/>
                      <w:lang w:eastAsia="zh-CN"/>
                      <w14:textFill>
                        <w14:solidFill>
                          <w14:schemeClr w14:val="tx1"/>
                        </w14:solidFill>
                      </w14:textFill>
                    </w:rPr>
                    <w:t>锰铁</w:t>
                  </w:r>
                  <w:r>
                    <w:rPr>
                      <w:color w:val="000000" w:themeColor="text1"/>
                      <w:highlight w:val="none"/>
                      <w14:textFill>
                        <w14:solidFill>
                          <w14:schemeClr w14:val="tx1"/>
                        </w14:solidFill>
                      </w14:textFill>
                    </w:rPr>
                    <w:t>电炉。严禁违规新增钢铁、水泥（熟料）、</w:t>
                  </w:r>
                  <w:r>
                    <w:rPr>
                      <w:rFonts w:hint="eastAsia"/>
                      <w:color w:val="000000" w:themeColor="text1"/>
                      <w:highlight w:val="none"/>
                      <w:lang w:eastAsia="zh-CN"/>
                      <w14:textFill>
                        <w14:solidFill>
                          <w14:schemeClr w14:val="tx1"/>
                        </w14:solidFill>
                      </w14:textFill>
                    </w:rPr>
                    <w:t>化工</w:t>
                  </w:r>
                  <w:r>
                    <w:rPr>
                      <w:color w:val="000000" w:themeColor="text1"/>
                      <w:highlight w:val="none"/>
                      <w14:textFill>
                        <w14:solidFill>
                          <w14:schemeClr w14:val="tx1"/>
                        </w14:solidFill>
                      </w14:textFill>
                    </w:rPr>
                    <w:t>、电解铝、平板玻璃（不含光伏压延</w:t>
                  </w:r>
                  <w:r>
                    <w:rPr>
                      <w:rFonts w:hint="eastAsia"/>
                      <w:color w:val="000000" w:themeColor="text1"/>
                      <w:highlight w:val="none"/>
                      <w:lang w:eastAsia="zh-CN"/>
                      <w14:textFill>
                        <w14:solidFill>
                          <w14:schemeClr w14:val="tx1"/>
                        </w14:solidFill>
                      </w14:textFill>
                    </w:rPr>
                    <w:t>玻璃</w:t>
                  </w:r>
                  <w:r>
                    <w:rPr>
                      <w:color w:val="000000" w:themeColor="text1"/>
                      <w:highlight w:val="none"/>
                      <w14:textFill>
                        <w14:solidFill>
                          <w14:schemeClr w14:val="tx1"/>
                        </w14:solidFill>
                      </w14:textFill>
                    </w:rPr>
                    <w:t>)产能。鼓励钢铁行业龙头企业实施兼并重组，到2025年，短流程炼钢产量占比达15%</w:t>
                  </w:r>
                </w:p>
              </w:tc>
              <w:tc>
                <w:tcPr>
                  <w:tcW w:w="3892" w:type="dxa"/>
                  <w:noWrap w:val="0"/>
                  <w:vAlign w:val="top"/>
                </w:tcPr>
                <w:p w14:paraId="369979E4">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eastAsia="zh-CN"/>
                      <w14:textFill>
                        <w14:solidFill>
                          <w14:schemeClr w14:val="tx1"/>
                        </w14:solidFill>
                      </w14:textFill>
                    </w:rPr>
                    <w:t>属于“</w:t>
                  </w:r>
                  <w:r>
                    <w:rPr>
                      <w:color w:val="auto"/>
                      <w:highlight w:val="none"/>
                    </w:rPr>
                    <w:t>M747</w:t>
                  </w:r>
                  <w:r>
                    <w:rPr>
                      <w:rFonts w:hint="eastAsia"/>
                      <w:color w:val="auto"/>
                      <w:highlight w:val="none"/>
                      <w:lang w:val="en-US" w:eastAsia="zh-CN"/>
                    </w:rPr>
                    <w:t>1能源</w:t>
                  </w:r>
                  <w:r>
                    <w:rPr>
                      <w:color w:val="auto"/>
                      <w:highlight w:val="none"/>
                    </w:rPr>
                    <w:t>矿产地质勘查项目</w:t>
                  </w: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，根据《产业结构调整指导目录（2024年本）》，本项</w:t>
                  </w:r>
                  <w:r>
                    <w:rPr>
                      <w:color w:val="auto"/>
                      <w:highlight w:val="none"/>
                    </w:rPr>
                    <w:t>目属于</w:t>
                  </w:r>
                  <w:r>
                    <w:rPr>
                      <w:rFonts w:hint="eastAsia"/>
                      <w:color w:val="auto"/>
                      <w:highlight w:val="none"/>
                      <w:lang w:eastAsia="zh-CN"/>
                    </w:rPr>
                    <w:t>“</w:t>
                  </w:r>
                  <w:r>
                    <w:rPr>
                      <w:color w:val="auto"/>
                      <w:highlight w:val="none"/>
                    </w:rPr>
                    <w:t>鼓励类：三、煤炭2-煤矿智能化和安全高效技术开发及应用：矿井灾害（瓦斯、煤尘、矿井水、火、围岩、地温、冲击地压等）防治</w:t>
                  </w:r>
                  <w:r>
                    <w:rPr>
                      <w:rFonts w:hint="eastAsia" w:ascii="Times New Roman" w:hAnsi="Times New Roman" w:eastAsia="宋体" w:cs="Times New Roman"/>
                      <w:color w:val="auto"/>
                      <w:highlight w:val="none"/>
                      <w:lang w:eastAsia="zh-CN"/>
                    </w:rPr>
                    <w:t>”</w:t>
                  </w:r>
                  <w:r>
                    <w:rPr>
                      <w:rFonts w:hint="eastAsia" w:cs="Times New Roman"/>
                      <w:color w:val="auto"/>
                      <w:highlight w:val="none"/>
                      <w:lang w:eastAsia="zh-CN"/>
                    </w:rPr>
                    <w:t>。</w:t>
                  </w:r>
                  <w:r>
                    <w:rPr>
                      <w:color w:val="auto"/>
                      <w:highlight w:val="none"/>
                    </w:rPr>
                    <w:t>属于《安徽省产业结构调整指导目录（2007年本）》中鼓励类</w:t>
                  </w:r>
                  <w:r>
                    <w:rPr>
                      <w:rFonts w:hint="eastAsia"/>
                      <w:color w:val="auto"/>
                      <w:highlight w:val="none"/>
                      <w:lang w:eastAsia="zh-CN"/>
                    </w:rPr>
                    <w:t>“</w:t>
                  </w:r>
                  <w:r>
                    <w:rPr>
                      <w:color w:val="auto"/>
                      <w:highlight w:val="none"/>
                    </w:rPr>
                    <w:t>三、煤炭--煤田地质及地球物理勘探</w:t>
                  </w:r>
                  <w:r>
                    <w:rPr>
                      <w:rFonts w:hint="eastAsia"/>
                      <w:color w:val="auto"/>
                      <w:highlight w:val="none"/>
                      <w:lang w:eastAsia="zh-CN"/>
                    </w:rPr>
                    <w:t>”，</w:t>
                  </w:r>
                  <w:r>
                    <w:rPr>
                      <w:color w:val="000000" w:themeColor="text1"/>
                      <w:highlight w:val="none"/>
                      <w14:textFill>
                        <w14:solidFill>
                          <w14:schemeClr w14:val="tx1"/>
                        </w14:solidFill>
                      </w14:textFill>
                    </w:rPr>
                    <w:t>符合国家产业政策。本项目不属于独立焦化、烧结、球团、热轧企业和落后煤炭洗选企业，不涉及步进式烧结机和球团竖炉以及半封闭式硅锰合金、镍铁、高碳铬铁、高碳锰铁电炉，本项目不新增钢铁、水泥（熟料）、焦化、电解铝、平板玻璃（不含光伏压延玻璃）产能。</w:t>
                  </w:r>
                </w:p>
              </w:tc>
              <w:tc>
                <w:tcPr>
                  <w:tcW w:w="438" w:type="dxa"/>
                  <w:noWrap w:val="0"/>
                  <w:vAlign w:val="center"/>
                </w:tcPr>
                <w:p w14:paraId="7B00475E">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r w14:paraId="78023F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85" w:type="dxa"/>
                  <w:bottom w:w="0" w:type="dxa"/>
                  <w:right w:w="85" w:type="dxa"/>
                </w:tblCellMar>
              </w:tblPrEx>
              <w:trPr>
                <w:trHeight w:val="23" w:hRule="atLeast"/>
                <w:jc w:val="center"/>
              </w:trPr>
              <w:tc>
                <w:tcPr>
                  <w:tcW w:w="3705" w:type="dxa"/>
                  <w:tcBorders>
                    <w:bottom w:val="single" w:color="000000" w:sz="10" w:space="0"/>
                  </w:tcBorders>
                  <w:noWrap w:val="0"/>
                  <w:vAlign w:val="top"/>
                </w:tcPr>
                <w:p w14:paraId="73B3064D">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加强城市公共裸地扬尘管控，对在建工地、闲置地块等裸露土地开展排查建档，因地</w:t>
                  </w:r>
                  <w:r>
                    <w:rPr>
                      <w:rFonts w:hint="eastAsia"/>
                      <w:color w:val="000000" w:themeColor="text1"/>
                      <w:highlight w:val="none"/>
                      <w:lang w:eastAsia="zh-CN"/>
                      <w14:textFill>
                        <w14:solidFill>
                          <w14:schemeClr w14:val="tx1"/>
                        </w14:solidFill>
                      </w14:textFill>
                    </w:rPr>
                    <w:t>制宜</w:t>
                  </w:r>
                  <w:r>
                    <w:rPr>
                      <w:color w:val="000000" w:themeColor="text1"/>
                      <w:highlight w:val="none"/>
                      <w14:textFill>
                        <w14:solidFill>
                          <w14:schemeClr w14:val="tx1"/>
                        </w14:solidFill>
                      </w14:textFill>
                    </w:rPr>
                    <w:t>落实抑尘措施。严格落实城市大型煤炭、矿石等干散货码头物料堆放场所主体责任，完善露天堆场防风网、喷淋装置、防尘屏障等抑尘设施建设和物料输送系统封闭改造</w:t>
                  </w:r>
                </w:p>
              </w:tc>
              <w:tc>
                <w:tcPr>
                  <w:tcW w:w="3892" w:type="dxa"/>
                  <w:tcBorders>
                    <w:bottom w:val="single" w:color="000000" w:sz="10" w:space="0"/>
                  </w:tcBorders>
                  <w:noWrap w:val="0"/>
                  <w:vAlign w:val="top"/>
                </w:tcPr>
                <w:p w14:paraId="2F992676">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本项目临时用地占用前</w:t>
                  </w:r>
                  <w:r>
                    <w:rPr>
                      <w:rFonts w:hint="eastAsia"/>
                      <w:color w:val="000000" w:themeColor="text1"/>
                      <w:highlight w:val="none"/>
                      <w:lang w:eastAsia="zh-CN"/>
                      <w14:textFill>
                        <w14:solidFill>
                          <w14:schemeClr w14:val="tx1"/>
                        </w14:solidFill>
                      </w14:textFill>
                    </w:rPr>
                    <w:t>用地类型</w:t>
                  </w:r>
                  <w:r>
                    <w:rPr>
                      <w:rFonts w:hint="eastAsia"/>
                      <w:color w:val="000000" w:themeColor="text1"/>
                      <w:highlight w:val="none"/>
                      <w:lang w:val="en-US" w:eastAsia="zh-CN"/>
                      <w14:textFill>
                        <w14:solidFill>
                          <w14:schemeClr w14:val="tx1"/>
                        </w14:solidFill>
                      </w14:textFill>
                    </w:rPr>
                    <w:t>为农用地和建设用地</w:t>
                  </w:r>
                  <w:r>
                    <w:rPr>
                      <w:color w:val="000000" w:themeColor="text1"/>
                      <w:highlight w:val="none"/>
                      <w14:textFill>
                        <w14:solidFill>
                          <w14:schemeClr w14:val="tx1"/>
                        </w14:solidFill>
                      </w14:textFill>
                    </w:rPr>
                    <w:t>，复垦方向为</w:t>
                  </w:r>
                  <w:r>
                    <w:rPr>
                      <w:rFonts w:hint="eastAsia"/>
                      <w:color w:val="000000" w:themeColor="text1"/>
                      <w:highlight w:val="none"/>
                      <w:lang w:val="en-US" w:eastAsia="zh-CN"/>
                      <w14:textFill>
                        <w14:solidFill>
                          <w14:schemeClr w14:val="tx1"/>
                        </w14:solidFill>
                      </w14:textFill>
                    </w:rPr>
                    <w:t>农用地和建设用</w:t>
                  </w:r>
                  <w:r>
                    <w:rPr>
                      <w:color w:val="000000" w:themeColor="text1"/>
                      <w:highlight w:val="none"/>
                      <w14:textFill>
                        <w14:solidFill>
                          <w14:schemeClr w14:val="tx1"/>
                        </w14:solidFill>
                      </w14:textFill>
                    </w:rPr>
                    <w:t>地，为保障复垦质量，同时考虑施工机械施工的可行性和便利性，表土剥离后堆放于临时</w:t>
                  </w:r>
                  <w:r>
                    <w:rPr>
                      <w:rFonts w:hint="eastAsia"/>
                      <w:color w:val="000000" w:themeColor="text1"/>
                      <w:highlight w:val="none"/>
                      <w:lang w:val="en-US" w:eastAsia="zh-CN"/>
                      <w14:textFill>
                        <w14:solidFill>
                          <w14:schemeClr w14:val="tx1"/>
                        </w14:solidFill>
                      </w14:textFill>
                    </w:rPr>
                    <w:t>项目区内表土剥离堆放场地</w:t>
                  </w:r>
                  <w:r>
                    <w:rPr>
                      <w:color w:val="000000" w:themeColor="text1"/>
                      <w:highlight w:val="none"/>
                      <w14:textFill>
                        <w14:solidFill>
                          <w14:schemeClr w14:val="tx1"/>
                        </w14:solidFill>
                      </w14:textFill>
                    </w:rPr>
                    <w:t>；在表土堆积过程中应尽量压实，并在表面覆盖土工布；在施工后期，拆除编织土袋尽快将表土用于覆土，尽可能减少堆放时间。</w:t>
                  </w:r>
                </w:p>
              </w:tc>
              <w:tc>
                <w:tcPr>
                  <w:tcW w:w="438" w:type="dxa"/>
                  <w:tcBorders>
                    <w:bottom w:val="single" w:color="000000" w:sz="10" w:space="0"/>
                  </w:tcBorders>
                  <w:noWrap w:val="0"/>
                  <w:vAlign w:val="center"/>
                </w:tcPr>
                <w:p w14:paraId="78238877">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bl>
          <w:p w14:paraId="36E5099C">
            <w:pPr>
              <w:pStyle w:val="26"/>
              <w:shd w:val="clear"/>
              <w:spacing w:before="0" w:beforeAutospacing="0" w:after="0" w:afterAutospacing="0" w:line="360" w:lineRule="auto"/>
              <w:ind w:firstLine="482" w:firstLineChars="200"/>
              <w:jc w:val="both"/>
              <w:rPr>
                <w:rFonts w:hint="eastAsia" w:ascii="Times New Roman" w:hAnsi="Times New Roman" w:eastAsia="宋体"/>
                <w:b/>
                <w:color w:val="000000" w:themeColor="text1"/>
                <w:highlight w:val="none"/>
                <w:lang w:val="en-US" w:eastAsia="zh-CN"/>
                <w14:textFill>
                  <w14:solidFill>
                    <w14:schemeClr w14:val="tx1"/>
                  </w14:solidFill>
                </w14:textFill>
              </w:rPr>
            </w:pPr>
            <w:r>
              <w:rPr>
                <w:rFonts w:ascii="Times New Roman" w:hAnsi="Times New Roman"/>
                <w:b/>
                <w:color w:val="000000" w:themeColor="text1"/>
                <w:highlight w:val="none"/>
                <w14:textFill>
                  <w14:solidFill>
                    <w14:schemeClr w14:val="tx1"/>
                  </w14:solidFill>
                </w14:textFill>
              </w:rPr>
              <w:t>（5）“三线一单”相符性</w:t>
            </w:r>
            <w:r>
              <w:rPr>
                <w:rFonts w:hint="eastAsia" w:ascii="Times New Roman" w:hAnsi="Times New Roman"/>
                <w:b/>
                <w:color w:val="000000" w:themeColor="text1"/>
                <w:highlight w:val="none"/>
                <w:lang w:val="en-US" w:eastAsia="zh-CN"/>
                <w14:textFill>
                  <w14:solidFill>
                    <w14:schemeClr w14:val="tx1"/>
                  </w14:solidFill>
                </w14:textFill>
              </w:rPr>
              <w:t>分析</w:t>
            </w:r>
          </w:p>
          <w:p w14:paraId="3B9EF823">
            <w:pPr>
              <w:spacing w:line="360" w:lineRule="auto"/>
              <w:ind w:firstLine="480" w:firstLineChars="200"/>
              <w:rPr>
                <w:color w:val="auto"/>
                <w:kern w:val="0"/>
                <w:sz w:val="24"/>
                <w:highlight w:val="none"/>
              </w:rPr>
            </w:pPr>
            <w:r>
              <w:rPr>
                <w:color w:val="000000" w:themeColor="text1"/>
                <w:sz w:val="24"/>
                <w:highlight w:val="none"/>
                <w14:textFill>
                  <w14:solidFill>
                    <w14:schemeClr w14:val="tx1"/>
                  </w14:solidFill>
                </w14:textFill>
              </w:rPr>
              <w:t>根据原环境保护部《关于以改善环</w:t>
            </w:r>
            <w:r>
              <w:rPr>
                <w:color w:val="auto"/>
                <w:sz w:val="24"/>
                <w:highlight w:val="none"/>
              </w:rPr>
              <w:t>境质量为核心加强环境影响评价管理的通知》（环环评〔2016〕150号）、淮南市“三线一单”技术成果、</w:t>
            </w:r>
            <w:r>
              <w:rPr>
                <w:rFonts w:hint="eastAsia"/>
                <w:color w:val="auto"/>
                <w:sz w:val="24"/>
                <w:highlight w:val="none"/>
                <w:lang w:val="en-US" w:eastAsia="zh-CN"/>
              </w:rPr>
              <w:t>凤台县</w:t>
            </w:r>
            <w:r>
              <w:rPr>
                <w:color w:val="auto"/>
                <w:sz w:val="24"/>
                <w:highlight w:val="none"/>
              </w:rPr>
              <w:t>“三区三线”成果</w:t>
            </w:r>
            <w:r>
              <w:rPr>
                <w:color w:val="auto"/>
                <w:kern w:val="0"/>
                <w:sz w:val="24"/>
                <w:highlight w:val="none"/>
              </w:rPr>
              <w:t>，项目“三线一单”相符性分析见下表。</w:t>
            </w:r>
          </w:p>
          <w:p w14:paraId="230E61C1">
            <w:pPr>
              <w:spacing w:line="240" w:lineRule="atLeast"/>
              <w:jc w:val="center"/>
              <w:rPr>
                <w:rFonts w:eastAsia="黑体"/>
                <w:color w:val="auto"/>
                <w:szCs w:val="20"/>
                <w:highlight w:val="none"/>
              </w:rPr>
            </w:pPr>
            <w:r>
              <w:rPr>
                <w:rFonts w:eastAsia="黑体"/>
                <w:color w:val="auto"/>
                <w:szCs w:val="20"/>
                <w:highlight w:val="none"/>
              </w:rPr>
              <w:t>表1-</w:t>
            </w:r>
            <w:r>
              <w:rPr>
                <w:rFonts w:hint="eastAsia" w:eastAsia="黑体"/>
                <w:color w:val="auto"/>
                <w:szCs w:val="20"/>
                <w:highlight w:val="none"/>
                <w:lang w:val="en-US" w:eastAsia="zh-CN"/>
              </w:rPr>
              <w:t>5</w:t>
            </w:r>
            <w:r>
              <w:rPr>
                <w:rFonts w:eastAsia="黑体"/>
                <w:color w:val="auto"/>
                <w:szCs w:val="20"/>
                <w:highlight w:val="none"/>
              </w:rPr>
              <w:t xml:space="preserve">  项目“三线一单”符合性</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2970"/>
              <w:gridCol w:w="4116"/>
              <w:gridCol w:w="464"/>
            </w:tblGrid>
            <w:tr w14:paraId="6CBED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31" w:type="dxa"/>
                  <w:noWrap w:val="0"/>
                  <w:vAlign w:val="center"/>
                </w:tcPr>
                <w:p w14:paraId="09E8C99D">
                  <w:pPr>
                    <w:spacing w:line="240" w:lineRule="atLeast"/>
                    <w:jc w:val="center"/>
                    <w:rPr>
                      <w:b/>
                      <w:color w:val="auto"/>
                      <w:szCs w:val="21"/>
                      <w:highlight w:val="none"/>
                    </w:rPr>
                  </w:pPr>
                  <w:r>
                    <w:rPr>
                      <w:b/>
                      <w:color w:val="auto"/>
                      <w:szCs w:val="21"/>
                      <w:highlight w:val="none"/>
                    </w:rPr>
                    <w:t>内容</w:t>
                  </w:r>
                </w:p>
              </w:tc>
              <w:tc>
                <w:tcPr>
                  <w:tcW w:w="2922" w:type="dxa"/>
                  <w:noWrap w:val="0"/>
                  <w:vAlign w:val="center"/>
                </w:tcPr>
                <w:p w14:paraId="69AFF13E">
                  <w:pPr>
                    <w:spacing w:line="240" w:lineRule="atLeast"/>
                    <w:jc w:val="center"/>
                    <w:rPr>
                      <w:b/>
                      <w:color w:val="auto"/>
                      <w:szCs w:val="21"/>
                      <w:highlight w:val="none"/>
                    </w:rPr>
                  </w:pPr>
                  <w:r>
                    <w:rPr>
                      <w:b/>
                      <w:color w:val="auto"/>
                      <w:szCs w:val="21"/>
                      <w:highlight w:val="none"/>
                    </w:rPr>
                    <w:t>相关规范要求</w:t>
                  </w:r>
                </w:p>
              </w:tc>
              <w:tc>
                <w:tcPr>
                  <w:tcW w:w="4050" w:type="dxa"/>
                  <w:noWrap w:val="0"/>
                  <w:vAlign w:val="center"/>
                </w:tcPr>
                <w:p w14:paraId="4927C1A5">
                  <w:pPr>
                    <w:spacing w:line="240" w:lineRule="atLeast"/>
                    <w:jc w:val="center"/>
                    <w:rPr>
                      <w:b/>
                      <w:color w:val="auto"/>
                      <w:szCs w:val="21"/>
                      <w:highlight w:val="none"/>
                    </w:rPr>
                  </w:pPr>
                  <w:r>
                    <w:rPr>
                      <w:b/>
                      <w:color w:val="auto"/>
                      <w:szCs w:val="21"/>
                      <w:highlight w:val="none"/>
                    </w:rPr>
                    <w:t>建设项目情况</w:t>
                  </w:r>
                </w:p>
              </w:tc>
              <w:tc>
                <w:tcPr>
                  <w:tcW w:w="457" w:type="dxa"/>
                  <w:noWrap w:val="0"/>
                  <w:vAlign w:val="center"/>
                </w:tcPr>
                <w:p w14:paraId="2D2DACFD">
                  <w:pPr>
                    <w:spacing w:line="240" w:lineRule="atLeast"/>
                    <w:jc w:val="center"/>
                    <w:rPr>
                      <w:b/>
                      <w:color w:val="auto"/>
                      <w:szCs w:val="21"/>
                      <w:highlight w:val="none"/>
                    </w:rPr>
                  </w:pPr>
                  <w:r>
                    <w:rPr>
                      <w:b/>
                      <w:color w:val="auto"/>
                      <w:szCs w:val="21"/>
                      <w:highlight w:val="none"/>
                    </w:rPr>
                    <w:t>符合性</w:t>
                  </w:r>
                </w:p>
              </w:tc>
            </w:tr>
            <w:tr w14:paraId="4711F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31" w:type="dxa"/>
                  <w:noWrap w:val="0"/>
                  <w:vAlign w:val="center"/>
                </w:tcPr>
                <w:p w14:paraId="42366D91">
                  <w:pPr>
                    <w:spacing w:line="240" w:lineRule="atLeast"/>
                    <w:rPr>
                      <w:color w:val="auto"/>
                      <w:szCs w:val="21"/>
                      <w:highlight w:val="none"/>
                    </w:rPr>
                  </w:pPr>
                  <w:r>
                    <w:rPr>
                      <w:color w:val="auto"/>
                      <w:szCs w:val="21"/>
                      <w:highlight w:val="none"/>
                    </w:rPr>
                    <w:t>生态保护红线</w:t>
                  </w:r>
                </w:p>
              </w:tc>
              <w:tc>
                <w:tcPr>
                  <w:tcW w:w="2922" w:type="dxa"/>
                  <w:noWrap w:val="0"/>
                  <w:vAlign w:val="center"/>
                </w:tcPr>
                <w:p w14:paraId="1303ADDE">
                  <w:pPr>
                    <w:spacing w:line="240" w:lineRule="atLeast"/>
                    <w:rPr>
                      <w:color w:val="auto"/>
                      <w:szCs w:val="21"/>
                      <w:highlight w:val="none"/>
                    </w:rPr>
                  </w:pPr>
                  <w:r>
                    <w:rPr>
                      <w:color w:val="auto"/>
                      <w:szCs w:val="21"/>
                      <w:highlight w:val="none"/>
                      <w:lang w:val="zh-CN"/>
                    </w:rPr>
                    <w:t>生态保护红线是生态空间范围内具有特殊重要生态功能必须实行强制性严格保护的区域。相关规划环评应将生态空间管控作为重要内容，规划区域设计生态保护红线的，在规划环评结论和审查意见中应落实生态保护红线的管理要求，提出相应对策措施。除受自然条件限制、确实无法避让的铁路、公路、航道、防洪、管道、干渠、通讯、输变电等重要基础设施项目外，在生态保护红线范围内，严控各类开发建设活动，依法不予审批新建工业项目和矿产开发项目的环评文件</w:t>
                  </w:r>
                </w:p>
              </w:tc>
              <w:tc>
                <w:tcPr>
                  <w:tcW w:w="4050" w:type="dxa"/>
                  <w:noWrap w:val="0"/>
                  <w:vAlign w:val="center"/>
                </w:tcPr>
                <w:p w14:paraId="7AE370A1">
                  <w:pPr>
                    <w:spacing w:line="240" w:lineRule="atLeast"/>
                    <w:rPr>
                      <w:color w:val="auto"/>
                      <w:szCs w:val="21"/>
                      <w:highlight w:val="none"/>
                    </w:rPr>
                  </w:pPr>
                  <w:r>
                    <w:rPr>
                      <w:color w:val="auto"/>
                      <w:szCs w:val="21"/>
                      <w:highlight w:val="none"/>
                      <w:lang w:val="zh-CN"/>
                    </w:rPr>
                    <w:t>本项目</w:t>
                  </w:r>
                  <w:r>
                    <w:rPr>
                      <w:rFonts w:ascii="Times New Roman" w:hAnsi="Times New Roman" w:eastAsia="宋体" w:cs="Times New Roman"/>
                      <w:color w:val="auto"/>
                      <w:szCs w:val="21"/>
                      <w:highlight w:val="none"/>
                      <w:lang w:val="zh-CN"/>
                    </w:rPr>
                    <w:t>位于</w:t>
                  </w:r>
                  <w:r>
                    <w:rPr>
                      <w:rFonts w:ascii="Times New Roman" w:hAnsi="Times New Roman" w:eastAsia="宋体" w:cs="Times New Roman"/>
                      <w:color w:val="auto"/>
                      <w:szCs w:val="21"/>
                      <w:highlight w:val="none"/>
                      <w:lang w:val="en-US" w:eastAsia="zh-CN"/>
                    </w:rPr>
                    <w:t>安徽省淮南市</w:t>
                  </w:r>
                  <w:r>
                    <w:rPr>
                      <w:rFonts w:hint="eastAsia" w:ascii="Times New Roman" w:hAnsi="Times New Roman" w:eastAsia="宋体" w:cs="Times New Roman"/>
                      <w:color w:val="auto"/>
                      <w:szCs w:val="21"/>
                      <w:highlight w:val="none"/>
                      <w:lang w:val="en-US" w:eastAsia="zh-CN"/>
                    </w:rPr>
                    <w:t>凤台县新集镇王集村</w:t>
                  </w:r>
                  <w:r>
                    <w:rPr>
                      <w:rFonts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安徽省淮南市新集一矿3608(6)采区东翼</w:t>
                  </w:r>
                  <w:r>
                    <w:rPr>
                      <w:rFonts w:ascii="Times New Roman" w:hAnsi="Times New Roman" w:eastAsia="宋体" w:cs="Times New Roman"/>
                      <w:color w:val="auto"/>
                      <w:szCs w:val="21"/>
                      <w:highlight w:val="none"/>
                      <w:lang w:val="zh-CN"/>
                    </w:rPr>
                    <w:t>，根据《淮南市</w:t>
                  </w:r>
                  <w:r>
                    <w:rPr>
                      <w:color w:val="auto"/>
                      <w:szCs w:val="21"/>
                      <w:highlight w:val="none"/>
                      <w:lang w:val="zh-CN"/>
                    </w:rPr>
                    <w:t>生态保护红线》，项目所处区域无自然保护区、风景名胜区、文化自然遗产等，不属于生态保护红线管控的区域，符合淮南市生态保护红线要求。淮南市生态保护红线图见附图。</w:t>
                  </w:r>
                </w:p>
              </w:tc>
              <w:tc>
                <w:tcPr>
                  <w:tcW w:w="457" w:type="dxa"/>
                  <w:noWrap w:val="0"/>
                  <w:vAlign w:val="center"/>
                </w:tcPr>
                <w:p w14:paraId="593E5B3B">
                  <w:pPr>
                    <w:spacing w:line="240" w:lineRule="atLeast"/>
                    <w:rPr>
                      <w:color w:val="auto"/>
                      <w:szCs w:val="21"/>
                      <w:highlight w:val="none"/>
                    </w:rPr>
                  </w:pPr>
                  <w:r>
                    <w:rPr>
                      <w:color w:val="auto"/>
                      <w:szCs w:val="21"/>
                      <w:highlight w:val="none"/>
                    </w:rPr>
                    <w:t>符合</w:t>
                  </w:r>
                </w:p>
              </w:tc>
            </w:tr>
            <w:tr w14:paraId="42396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31" w:type="dxa"/>
                  <w:noWrap w:val="0"/>
                  <w:vAlign w:val="center"/>
                </w:tcPr>
                <w:p w14:paraId="1D111C23">
                  <w:pPr>
                    <w:spacing w:line="240" w:lineRule="atLeast"/>
                    <w:rPr>
                      <w:color w:val="auto"/>
                      <w:szCs w:val="21"/>
                      <w:highlight w:val="none"/>
                    </w:rPr>
                  </w:pPr>
                  <w:r>
                    <w:rPr>
                      <w:color w:val="auto"/>
                      <w:szCs w:val="21"/>
                      <w:highlight w:val="none"/>
                    </w:rPr>
                    <w:t>环境质量底线</w:t>
                  </w:r>
                </w:p>
              </w:tc>
              <w:tc>
                <w:tcPr>
                  <w:tcW w:w="2922" w:type="dxa"/>
                  <w:noWrap w:val="0"/>
                  <w:vAlign w:val="center"/>
                </w:tcPr>
                <w:p w14:paraId="08E698A3">
                  <w:pPr>
                    <w:spacing w:line="240" w:lineRule="atLeast"/>
                    <w:rPr>
                      <w:color w:val="auto"/>
                      <w:szCs w:val="21"/>
                      <w:highlight w:val="none"/>
                    </w:rPr>
                  </w:pPr>
                  <w:r>
                    <w:rPr>
                      <w:color w:val="auto"/>
                      <w:szCs w:val="21"/>
                      <w:highlight w:val="none"/>
                      <w:lang w:val="zh-CN"/>
                    </w:rPr>
                    <w:t>环境质量底线是国家和地方设置的大气、水和土壤环境质量目标，也是改善环境质量的基准线。有关规划环评应落实区域环境质量目标管理要求，提出区域或者行业污染物排放总量管控建议以及优化落实区域环境质量目标管理要求，提出区域或者行业污染物排放总量管控建议以及优化区域或行业发展布局、结构和规模的对策措施。项目环评应对照区域环境质量目标，深入分析预测项目建设对环境质量的影响，强化污染防治措施和污染物排放控制要求</w:t>
                  </w:r>
                </w:p>
              </w:tc>
              <w:tc>
                <w:tcPr>
                  <w:tcW w:w="4050" w:type="dxa"/>
                  <w:noWrap w:val="0"/>
                  <w:vAlign w:val="center"/>
                </w:tcPr>
                <w:p w14:paraId="06856B49">
                  <w:pPr>
                    <w:spacing w:line="240" w:lineRule="atLeast"/>
                    <w:rPr>
                      <w:color w:val="auto"/>
                      <w:kern w:val="0"/>
                      <w:szCs w:val="21"/>
                      <w:highlight w:val="none"/>
                    </w:rPr>
                  </w:pPr>
                  <w:r>
                    <w:rPr>
                      <w:color w:val="auto"/>
                      <w:kern w:val="0"/>
                      <w:szCs w:val="21"/>
                      <w:highlight w:val="none"/>
                    </w:rPr>
                    <w:t>项目选址区域为环境空气功能区二类区，执行二级标准。根据《202</w:t>
                  </w:r>
                  <w:r>
                    <w:rPr>
                      <w:rFonts w:hint="eastAsia"/>
                      <w:color w:val="auto"/>
                      <w:kern w:val="0"/>
                      <w:szCs w:val="21"/>
                      <w:highlight w:val="none"/>
                      <w:lang w:val="en-US" w:eastAsia="zh-CN"/>
                    </w:rPr>
                    <w:t>5</w:t>
                  </w:r>
                  <w:r>
                    <w:rPr>
                      <w:color w:val="auto"/>
                      <w:kern w:val="0"/>
                      <w:szCs w:val="21"/>
                      <w:highlight w:val="none"/>
                    </w:rPr>
                    <w:t>年淮南市生态环境质量状况公报》并结合《环境空气质量标准》（GB3095-20</w:t>
                  </w:r>
                  <w:r>
                    <w:rPr>
                      <w:rFonts w:hint="eastAsia"/>
                      <w:color w:val="auto"/>
                      <w:kern w:val="0"/>
                      <w:szCs w:val="21"/>
                      <w:highlight w:val="none"/>
                      <w:lang w:val="en-US" w:eastAsia="zh-CN"/>
                    </w:rPr>
                    <w:t>26</w:t>
                  </w:r>
                  <w:r>
                    <w:rPr>
                      <w:color w:val="auto"/>
                      <w:kern w:val="0"/>
                      <w:szCs w:val="21"/>
                      <w:highlight w:val="none"/>
                    </w:rPr>
                    <w:t>）中二级标准可知，二氧化硫（SO</w:t>
                  </w:r>
                  <w:r>
                    <w:rPr>
                      <w:color w:val="auto"/>
                      <w:kern w:val="0"/>
                      <w:szCs w:val="21"/>
                      <w:highlight w:val="none"/>
                      <w:vertAlign w:val="subscript"/>
                    </w:rPr>
                    <w:t>2</w:t>
                  </w:r>
                  <w:r>
                    <w:rPr>
                      <w:color w:val="auto"/>
                      <w:kern w:val="0"/>
                      <w:szCs w:val="21"/>
                      <w:highlight w:val="none"/>
                    </w:rPr>
                    <w:t>）、二氧化氮（NO</w:t>
                  </w:r>
                  <w:r>
                    <w:rPr>
                      <w:color w:val="auto"/>
                      <w:kern w:val="0"/>
                      <w:szCs w:val="21"/>
                      <w:highlight w:val="none"/>
                      <w:vertAlign w:val="subscript"/>
                    </w:rPr>
                    <w:t>2</w:t>
                  </w:r>
                  <w:r>
                    <w:rPr>
                      <w:color w:val="auto"/>
                      <w:kern w:val="0"/>
                      <w:szCs w:val="21"/>
                      <w:highlight w:val="none"/>
                    </w:rPr>
                    <w:t>）、一氧化碳（CO）、可吸入颗粒物（PM</w:t>
                  </w:r>
                  <w:r>
                    <w:rPr>
                      <w:color w:val="auto"/>
                      <w:kern w:val="0"/>
                      <w:szCs w:val="21"/>
                      <w:highlight w:val="none"/>
                      <w:vertAlign w:val="subscript"/>
                    </w:rPr>
                    <w:t>10</w:t>
                  </w:r>
                  <w:r>
                    <w:rPr>
                      <w:color w:val="auto"/>
                      <w:kern w:val="0"/>
                      <w:szCs w:val="21"/>
                      <w:highlight w:val="none"/>
                    </w:rPr>
                    <w:t>）、臭氧（O</w:t>
                  </w:r>
                  <w:r>
                    <w:rPr>
                      <w:color w:val="auto"/>
                      <w:kern w:val="0"/>
                      <w:szCs w:val="21"/>
                      <w:highlight w:val="none"/>
                      <w:vertAlign w:val="subscript"/>
                    </w:rPr>
                    <w:t>3</w:t>
                  </w:r>
                  <w:r>
                    <w:rPr>
                      <w:color w:val="auto"/>
                      <w:kern w:val="0"/>
                      <w:szCs w:val="21"/>
                      <w:highlight w:val="none"/>
                    </w:rPr>
                    <w:t>）均符合《环境空气质量标准》（GB3095-20</w:t>
                  </w:r>
                  <w:r>
                    <w:rPr>
                      <w:rFonts w:hint="eastAsia"/>
                      <w:color w:val="auto"/>
                      <w:kern w:val="0"/>
                      <w:szCs w:val="21"/>
                      <w:highlight w:val="none"/>
                      <w:lang w:val="en-US" w:eastAsia="zh-CN"/>
                    </w:rPr>
                    <w:t>26</w:t>
                  </w:r>
                  <w:r>
                    <w:rPr>
                      <w:color w:val="auto"/>
                      <w:kern w:val="0"/>
                      <w:szCs w:val="21"/>
                      <w:highlight w:val="none"/>
                    </w:rPr>
                    <w:t>）中二级标准，细颗粒物（PM2.5）年均浓度超过《环境空气质量标准》（GB3095-20</w:t>
                  </w:r>
                  <w:r>
                    <w:rPr>
                      <w:rFonts w:hint="eastAsia"/>
                      <w:color w:val="auto"/>
                      <w:kern w:val="0"/>
                      <w:szCs w:val="21"/>
                      <w:highlight w:val="none"/>
                      <w:lang w:val="en-US" w:eastAsia="zh-CN"/>
                    </w:rPr>
                    <w:t>26</w:t>
                  </w:r>
                  <w:r>
                    <w:rPr>
                      <w:color w:val="auto"/>
                      <w:kern w:val="0"/>
                      <w:szCs w:val="21"/>
                      <w:highlight w:val="none"/>
                    </w:rPr>
                    <w:t>）中二级标准限值要求</w:t>
                  </w:r>
                  <w:r>
                    <w:rPr>
                      <w:color w:val="auto"/>
                      <w:spacing w:val="-2"/>
                      <w:szCs w:val="21"/>
                      <w:highlight w:val="none"/>
                    </w:rPr>
                    <w:t>。</w:t>
                  </w:r>
                  <w:r>
                    <w:rPr>
                      <w:color w:val="auto"/>
                      <w:kern w:val="0"/>
                      <w:szCs w:val="21"/>
                      <w:highlight w:val="none"/>
                    </w:rPr>
                    <w:t>因此，项目所在区域判定为不达标区。淮南市生态环境局就空气质量不达标提出一系列举措，为确保淮南市大气污染防治工作有效推进，目前，淮南市已</w:t>
                  </w:r>
                  <w:r>
                    <w:rPr>
                      <w:rFonts w:hint="eastAsia"/>
                      <w:color w:val="auto"/>
                      <w:kern w:val="0"/>
                      <w:szCs w:val="21"/>
                      <w:highlight w:val="none"/>
                      <w:lang w:eastAsia="zh-CN"/>
                    </w:rPr>
                    <w:t>制定</w:t>
                  </w:r>
                  <w:r>
                    <w:rPr>
                      <w:color w:val="auto"/>
                      <w:kern w:val="0"/>
                      <w:szCs w:val="21"/>
                      <w:highlight w:val="none"/>
                    </w:rPr>
                    <w:t>《淮南市“十四五”大气污染防治规划（2021-2025年）》，围绕工业大气污染治理、扬（烟）尘污染防治等开展专项治理活动，进一步削减大气污染物排放；</w:t>
                  </w:r>
                  <w:r>
                    <w:rPr>
                      <w:color w:val="auto"/>
                      <w:szCs w:val="21"/>
                      <w:highlight w:val="none"/>
                    </w:rPr>
                    <w:t>与本项目有关的地表水体为</w:t>
                  </w:r>
                  <w:r>
                    <w:rPr>
                      <w:rFonts w:hint="eastAsia"/>
                      <w:color w:val="auto"/>
                      <w:szCs w:val="21"/>
                      <w:highlight w:val="none"/>
                      <w:lang w:val="en-US" w:eastAsia="zh-CN"/>
                    </w:rPr>
                    <w:t>八丈沟</w:t>
                  </w:r>
                  <w:r>
                    <w:rPr>
                      <w:color w:val="auto"/>
                      <w:szCs w:val="21"/>
                      <w:highlight w:val="none"/>
                    </w:rPr>
                    <w:t>，根据《</w:t>
                  </w:r>
                  <w:r>
                    <w:rPr>
                      <w:rFonts w:hint="eastAsia"/>
                      <w:color w:val="auto"/>
                      <w:szCs w:val="21"/>
                      <w:highlight w:val="none"/>
                      <w:lang w:eastAsia="zh-CN"/>
                    </w:rPr>
                    <w:t>2025年淮南市生态环境质量状况公报</w:t>
                  </w:r>
                  <w:r>
                    <w:rPr>
                      <w:color w:val="auto"/>
                      <w:szCs w:val="21"/>
                      <w:highlight w:val="none"/>
                    </w:rPr>
                    <w:t>》，项目地表水体项目周边地表水体为</w:t>
                  </w:r>
                  <w:r>
                    <w:rPr>
                      <w:rFonts w:hint="eastAsia"/>
                      <w:color w:val="auto"/>
                      <w:szCs w:val="21"/>
                      <w:highlight w:val="none"/>
                      <w:lang w:val="en-US" w:eastAsia="zh-CN"/>
                    </w:rPr>
                    <w:t>八丈沟</w:t>
                  </w:r>
                  <w:r>
                    <w:rPr>
                      <w:rFonts w:hint="eastAsia"/>
                      <w:szCs w:val="21"/>
                      <w:highlight w:val="none"/>
                    </w:rPr>
                    <w:t>，</w:t>
                  </w:r>
                  <w:r>
                    <w:rPr>
                      <w:rFonts w:hint="eastAsia"/>
                      <w:szCs w:val="21"/>
                      <w:highlight w:val="none"/>
                      <w:lang w:val="en-US" w:eastAsia="zh-CN"/>
                    </w:rPr>
                    <w:t>由西向东汇入</w:t>
                  </w:r>
                  <w:r>
                    <w:rPr>
                      <w:rFonts w:hint="eastAsia"/>
                      <w:szCs w:val="21"/>
                      <w:highlight w:val="none"/>
                    </w:rPr>
                    <w:t>西淝河</w:t>
                  </w:r>
                  <w:r>
                    <w:rPr>
                      <w:rFonts w:hint="eastAsia"/>
                      <w:szCs w:val="21"/>
                      <w:highlight w:val="none"/>
                      <w:lang w:eastAsia="zh-CN"/>
                    </w:rPr>
                    <w:t>，</w:t>
                  </w:r>
                  <w:r>
                    <w:rPr>
                      <w:rFonts w:hint="eastAsia"/>
                      <w:szCs w:val="21"/>
                      <w:highlight w:val="none"/>
                    </w:rPr>
                    <w:t>水质</w:t>
                  </w:r>
                  <w:r>
                    <w:rPr>
                      <w:rFonts w:hint="eastAsia"/>
                      <w:szCs w:val="21"/>
                      <w:highlight w:val="none"/>
                      <w:lang w:val="en-US" w:eastAsia="zh-CN"/>
                    </w:rPr>
                    <w:t>满足</w:t>
                  </w:r>
                  <w:r>
                    <w:rPr>
                      <w:color w:val="auto"/>
                      <w:szCs w:val="21"/>
                      <w:highlight w:val="none"/>
                    </w:rPr>
                    <w:t>《地表水环境质量标准》（GB3838-2002）Ⅲ类标准要求。</w:t>
                  </w:r>
                  <w:r>
                    <w:rPr>
                      <w:bCs/>
                      <w:color w:val="auto"/>
                      <w:kern w:val="0"/>
                      <w:szCs w:val="21"/>
                      <w:highlight w:val="none"/>
                    </w:rPr>
                    <w:t>本项目建设主要在施工期，在采取一定环保措施后，对周围环境影响很小，不会造成区域环境质量的下降。</w:t>
                  </w:r>
                </w:p>
              </w:tc>
              <w:tc>
                <w:tcPr>
                  <w:tcW w:w="457" w:type="dxa"/>
                  <w:noWrap w:val="0"/>
                  <w:vAlign w:val="center"/>
                </w:tcPr>
                <w:p w14:paraId="3B40DE63">
                  <w:pPr>
                    <w:spacing w:line="240" w:lineRule="atLeast"/>
                    <w:rPr>
                      <w:bCs/>
                      <w:color w:val="auto"/>
                      <w:kern w:val="0"/>
                      <w:szCs w:val="21"/>
                      <w:highlight w:val="none"/>
                    </w:rPr>
                  </w:pPr>
                  <w:r>
                    <w:rPr>
                      <w:bCs/>
                      <w:color w:val="auto"/>
                      <w:kern w:val="0"/>
                      <w:szCs w:val="21"/>
                      <w:highlight w:val="none"/>
                    </w:rPr>
                    <w:t>符合</w:t>
                  </w:r>
                </w:p>
              </w:tc>
            </w:tr>
            <w:tr w14:paraId="61771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31" w:type="dxa"/>
                  <w:noWrap w:val="0"/>
                  <w:vAlign w:val="center"/>
                </w:tcPr>
                <w:p w14:paraId="03F4C660">
                  <w:pPr>
                    <w:spacing w:line="240" w:lineRule="atLeast"/>
                    <w:jc w:val="center"/>
                    <w:rPr>
                      <w:color w:val="auto"/>
                      <w:szCs w:val="21"/>
                      <w:highlight w:val="none"/>
                    </w:rPr>
                  </w:pPr>
                  <w:r>
                    <w:rPr>
                      <w:color w:val="auto"/>
                      <w:szCs w:val="21"/>
                      <w:highlight w:val="none"/>
                    </w:rPr>
                    <w:t>资源利用上线</w:t>
                  </w:r>
                </w:p>
              </w:tc>
              <w:tc>
                <w:tcPr>
                  <w:tcW w:w="2922" w:type="dxa"/>
                  <w:noWrap w:val="0"/>
                  <w:vAlign w:val="center"/>
                </w:tcPr>
                <w:p w14:paraId="69141ED0">
                  <w:pPr>
                    <w:spacing w:line="240" w:lineRule="atLeast"/>
                    <w:rPr>
                      <w:color w:val="auto"/>
                      <w:szCs w:val="21"/>
                      <w:highlight w:val="none"/>
                    </w:rPr>
                  </w:pPr>
                  <w:r>
                    <w:rPr>
                      <w:color w:val="auto"/>
                      <w:szCs w:val="21"/>
                      <w:highlight w:val="none"/>
                    </w:rPr>
                    <w:t>资源是环境的载体，资源利用上限是各地区能源、水、土地等资源消耗不得突破的“天花板”。相关规划环评应依据有关资源利用上限，对规划实施以及规划内项目的资源开发利用，区分不同行业，从能源资源开发等量或减量替代、开采方式和规模控制、利用效率和保护措施等方面提出建议，为规划编制和审批决策提供重要依据</w:t>
                  </w:r>
                </w:p>
              </w:tc>
              <w:tc>
                <w:tcPr>
                  <w:tcW w:w="4050" w:type="dxa"/>
                  <w:noWrap w:val="0"/>
                  <w:vAlign w:val="center"/>
                </w:tcPr>
                <w:p w14:paraId="64194704">
                  <w:pPr>
                    <w:spacing w:line="240" w:lineRule="atLeast"/>
                    <w:rPr>
                      <w:color w:val="auto"/>
                      <w:szCs w:val="21"/>
                      <w:highlight w:val="none"/>
                    </w:rPr>
                  </w:pPr>
                  <w:r>
                    <w:rPr>
                      <w:color w:val="auto"/>
                      <w:szCs w:val="21"/>
                      <w:highlight w:val="none"/>
                    </w:rPr>
                    <w:t>本项目位于</w:t>
                  </w:r>
                  <w:r>
                    <w:rPr>
                      <w:rFonts w:ascii="Times New Roman" w:hAnsi="Times New Roman" w:eastAsia="宋体" w:cs="Times New Roman"/>
                      <w:color w:val="auto"/>
                      <w:szCs w:val="21"/>
                      <w:highlight w:val="none"/>
                      <w:lang w:val="en-US" w:eastAsia="zh-CN"/>
                    </w:rPr>
                    <w:t>安徽省淮南市</w:t>
                  </w:r>
                  <w:r>
                    <w:rPr>
                      <w:rFonts w:hint="eastAsia" w:ascii="Times New Roman" w:hAnsi="Times New Roman" w:eastAsia="宋体" w:cs="Times New Roman"/>
                      <w:color w:val="auto"/>
                      <w:szCs w:val="21"/>
                      <w:highlight w:val="none"/>
                      <w:lang w:val="en-US" w:eastAsia="zh-CN"/>
                    </w:rPr>
                    <w:t>凤台县新集镇王集村</w:t>
                  </w:r>
                  <w:r>
                    <w:rPr>
                      <w:rFonts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安徽省淮南市新集一矿3608(6)采区东翼</w:t>
                  </w:r>
                  <w:r>
                    <w:rPr>
                      <w:color w:val="auto"/>
                      <w:szCs w:val="21"/>
                      <w:highlight w:val="none"/>
                    </w:rPr>
                    <w:t>，生产所需能源、物资均能正常供应；项目所在地不属于资源、能源紧缺区域，施工用水依托</w:t>
                  </w:r>
                  <w:r>
                    <w:rPr>
                      <w:rFonts w:hint="eastAsia"/>
                      <w:color w:val="auto"/>
                      <w:szCs w:val="21"/>
                      <w:highlight w:val="none"/>
                      <w:lang w:val="en-US" w:eastAsia="zh-CN"/>
                    </w:rPr>
                    <w:t>附近村庄</w:t>
                  </w:r>
                  <w:r>
                    <w:rPr>
                      <w:color w:val="auto"/>
                      <w:szCs w:val="21"/>
                      <w:highlight w:val="none"/>
                    </w:rPr>
                    <w:t>提供。</w:t>
                  </w:r>
                  <w:r>
                    <w:rPr>
                      <w:rFonts w:hint="eastAsia"/>
                      <w:color w:val="auto"/>
                      <w:szCs w:val="21"/>
                      <w:highlight w:val="none"/>
                      <w:lang w:val="en-US" w:eastAsia="zh-CN"/>
                    </w:rPr>
                    <w:t>新集一矿</w:t>
                  </w:r>
                  <w:r>
                    <w:rPr>
                      <w:color w:val="auto"/>
                      <w:szCs w:val="21"/>
                      <w:highlight w:val="none"/>
                      <w:lang w:val="zh-CN"/>
                    </w:rPr>
                    <w:t>提供电源接口，主要为钻场提供动力，包括钻机、泥浆泵、搅拌机</w:t>
                  </w:r>
                  <w:r>
                    <w:rPr>
                      <w:rFonts w:hint="eastAsia"/>
                      <w:color w:val="auto"/>
                      <w:szCs w:val="21"/>
                      <w:highlight w:val="none"/>
                      <w:lang w:val="en-US" w:eastAsia="zh-CN"/>
                    </w:rPr>
                    <w:t>和夜间照明用电</w:t>
                  </w:r>
                  <w:r>
                    <w:rPr>
                      <w:color w:val="auto"/>
                      <w:szCs w:val="21"/>
                      <w:highlight w:val="none"/>
                    </w:rPr>
                    <w:t>。所用原辅材料均在附近地区购买，项目施工期通过内部管理设备选择、原辅材料的选用和管理、废物回收利用等措施尽可能做到合理利用和节能降耗、最大限度地减少物耗；本项目完成钻孔、固井后立即恢复场地原貌</w:t>
                  </w:r>
                  <w:r>
                    <w:rPr>
                      <w:bCs/>
                      <w:color w:val="auto"/>
                      <w:szCs w:val="21"/>
                      <w:highlight w:val="none"/>
                    </w:rPr>
                    <w:t>。</w:t>
                  </w:r>
                  <w:r>
                    <w:rPr>
                      <w:color w:val="auto"/>
                      <w:szCs w:val="21"/>
                      <w:highlight w:val="none"/>
                    </w:rPr>
                    <w:t>因此，项目不会突破当地资源利用上线。</w:t>
                  </w:r>
                </w:p>
              </w:tc>
              <w:tc>
                <w:tcPr>
                  <w:tcW w:w="457" w:type="dxa"/>
                  <w:noWrap w:val="0"/>
                  <w:vAlign w:val="center"/>
                </w:tcPr>
                <w:p w14:paraId="41B24EC8">
                  <w:pPr>
                    <w:spacing w:line="240" w:lineRule="atLeast"/>
                    <w:rPr>
                      <w:color w:val="auto"/>
                      <w:szCs w:val="21"/>
                      <w:highlight w:val="none"/>
                    </w:rPr>
                  </w:pPr>
                  <w:r>
                    <w:rPr>
                      <w:color w:val="auto"/>
                      <w:szCs w:val="21"/>
                      <w:highlight w:val="none"/>
                    </w:rPr>
                    <w:t>符合</w:t>
                  </w:r>
                </w:p>
              </w:tc>
            </w:tr>
            <w:tr w14:paraId="50E0F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31" w:type="dxa"/>
                  <w:noWrap w:val="0"/>
                  <w:vAlign w:val="center"/>
                </w:tcPr>
                <w:p w14:paraId="4B154B4C">
                  <w:pPr>
                    <w:spacing w:line="240" w:lineRule="atLeast"/>
                    <w:jc w:val="center"/>
                    <w:rPr>
                      <w:color w:val="auto"/>
                      <w:szCs w:val="21"/>
                      <w:highlight w:val="none"/>
                    </w:rPr>
                  </w:pPr>
                  <w:r>
                    <w:rPr>
                      <w:color w:val="auto"/>
                      <w:szCs w:val="21"/>
                      <w:highlight w:val="none"/>
                    </w:rPr>
                    <w:t>环境准入负面清单</w:t>
                  </w:r>
                </w:p>
              </w:tc>
              <w:tc>
                <w:tcPr>
                  <w:tcW w:w="2922" w:type="dxa"/>
                  <w:noWrap w:val="0"/>
                  <w:vAlign w:val="center"/>
                </w:tcPr>
                <w:p w14:paraId="32BF62F6">
                  <w:pPr>
                    <w:spacing w:line="240" w:lineRule="atLeast"/>
                    <w:rPr>
                      <w:color w:val="auto"/>
                      <w:szCs w:val="21"/>
                      <w:highlight w:val="none"/>
                      <w:lang w:val="zh-CN"/>
                    </w:rPr>
                  </w:pPr>
                  <w:r>
                    <w:rPr>
                      <w:color w:val="auto"/>
                      <w:szCs w:val="21"/>
                      <w:highlight w:val="none"/>
                      <w:lang w:val="zh-CN"/>
                    </w:rPr>
                    <w:t>环境准入负面清单是基于生态保护红线、环境质量底线、资源利用上限，以清单方式列出的精致、限值等差别化环境准入条件和要求。要在规划环评清单式管理试点的基础上，从布局选址、资源利用效率、资源配置方式等方面入手，制定环境准入负面清单，充分发挥负面清单对产业发展和项目准入的指导和约束作用</w:t>
                  </w:r>
                </w:p>
              </w:tc>
              <w:tc>
                <w:tcPr>
                  <w:tcW w:w="4050" w:type="dxa"/>
                  <w:noWrap w:val="0"/>
                  <w:vAlign w:val="center"/>
                </w:tcPr>
                <w:p w14:paraId="74DDDF27">
                  <w:pPr>
                    <w:spacing w:line="240" w:lineRule="atLeast"/>
                    <w:rPr>
                      <w:color w:val="auto"/>
                      <w:szCs w:val="21"/>
                      <w:highlight w:val="none"/>
                    </w:rPr>
                  </w:pPr>
                  <w:r>
                    <w:rPr>
                      <w:color w:val="auto"/>
                      <w:highlight w:val="none"/>
                    </w:rPr>
                    <w:t>本项目</w:t>
                  </w:r>
                  <w:r>
                    <w:rPr>
                      <w:rFonts w:hint="eastAsia"/>
                      <w:color w:val="auto"/>
                      <w:highlight w:val="none"/>
                      <w:lang w:eastAsia="zh-CN"/>
                    </w:rPr>
                    <w:t>属于“</w:t>
                  </w:r>
                  <w:r>
                    <w:rPr>
                      <w:color w:val="auto"/>
                      <w:highlight w:val="none"/>
                    </w:rPr>
                    <w:t>M74</w:t>
                  </w:r>
                  <w:r>
                    <w:rPr>
                      <w:rFonts w:hint="eastAsia"/>
                      <w:color w:val="auto"/>
                      <w:highlight w:val="none"/>
                      <w:lang w:val="en-US" w:eastAsia="zh-CN"/>
                    </w:rPr>
                    <w:t>71能源</w:t>
                  </w:r>
                  <w:r>
                    <w:rPr>
                      <w:color w:val="auto"/>
                      <w:highlight w:val="none"/>
                    </w:rPr>
                    <w:t>矿产地质勘查项目</w:t>
                  </w:r>
                  <w:r>
                    <w:rPr>
                      <w:rFonts w:hint="eastAsia"/>
                      <w:color w:val="000000" w:themeColor="text1"/>
                      <w:highlight w:val="none"/>
                      <w:lang w:val="en-US" w:eastAsia="zh-CN"/>
                      <w14:textFill>
                        <w14:solidFill>
                          <w14:schemeClr w14:val="tx1"/>
                        </w14:solidFill>
                      </w14:textFill>
                    </w:rPr>
                    <w:t>”</w:t>
                  </w:r>
                  <w:r>
                    <w:rPr>
                      <w:color w:val="auto"/>
                      <w:highlight w:val="none"/>
                    </w:rPr>
                    <w:t>，根据《产业结构调整指导目录（2024年本）》，本项目属于</w:t>
                  </w:r>
                  <w:r>
                    <w:rPr>
                      <w:rFonts w:hint="eastAsia"/>
                      <w:color w:val="auto"/>
                      <w:highlight w:val="none"/>
                      <w:lang w:eastAsia="zh-CN"/>
                    </w:rPr>
                    <w:t>“</w:t>
                  </w:r>
                  <w:r>
                    <w:rPr>
                      <w:color w:val="auto"/>
                      <w:highlight w:val="none"/>
                    </w:rPr>
                    <w:t>鼓励类：三、煤炭2-煤矿智能化和安全高效技术开发及应用：矿井灾害（瓦斯、煤尘、矿井水、火、围岩、地温、冲击地压等）防治</w:t>
                  </w:r>
                  <w:r>
                    <w:rPr>
                      <w:rFonts w:hint="eastAsia" w:ascii="Times New Roman" w:hAnsi="Times New Roman" w:eastAsia="宋体" w:cs="Times New Roman"/>
                      <w:color w:val="auto"/>
                      <w:highlight w:val="none"/>
                      <w:lang w:eastAsia="zh-CN"/>
                    </w:rPr>
                    <w:t>”</w:t>
                  </w:r>
                  <w:r>
                    <w:rPr>
                      <w:color w:val="auto"/>
                      <w:highlight w:val="none"/>
                    </w:rPr>
                    <w:t>。</w:t>
                  </w:r>
                  <w:r>
                    <w:rPr>
                      <w:color w:val="auto"/>
                      <w:szCs w:val="21"/>
                      <w:highlight w:val="none"/>
                    </w:rPr>
                    <w:t>本项目为鼓励类，符合国家产业政策。对照《市场准入负面清单（2025年版）》，本项目不属于禁止准入类项目，可依法平等进入。项目所在地尚未出台环境准入负面清单。综上，本项目符合国家和地方产业政策。</w:t>
                  </w:r>
                </w:p>
              </w:tc>
              <w:tc>
                <w:tcPr>
                  <w:tcW w:w="457" w:type="dxa"/>
                  <w:noWrap w:val="0"/>
                  <w:vAlign w:val="center"/>
                </w:tcPr>
                <w:p w14:paraId="2918BCBE">
                  <w:pPr>
                    <w:spacing w:line="240" w:lineRule="atLeast"/>
                    <w:rPr>
                      <w:color w:val="auto"/>
                      <w:szCs w:val="21"/>
                      <w:highlight w:val="none"/>
                    </w:rPr>
                  </w:pPr>
                  <w:r>
                    <w:rPr>
                      <w:color w:val="auto"/>
                      <w:szCs w:val="21"/>
                      <w:highlight w:val="none"/>
                    </w:rPr>
                    <w:t>符合</w:t>
                  </w:r>
                </w:p>
              </w:tc>
            </w:tr>
          </w:tbl>
          <w:p w14:paraId="70F2C2A2">
            <w:pPr>
              <w:spacing w:line="360" w:lineRule="auto"/>
              <w:ind w:firstLine="480" w:firstLineChars="200"/>
              <w:rPr>
                <w:rFonts w:hint="eastAsia" w:ascii="宋体" w:hAnsi="宋体" w:eastAsia="宋体" w:cs="宋体"/>
                <w:color w:val="auto"/>
                <w:kern w:val="0"/>
                <w:sz w:val="24"/>
                <w:szCs w:val="28"/>
                <w:highlight w:val="none"/>
              </w:rPr>
            </w:pPr>
            <w:r>
              <w:rPr>
                <w:rFonts w:hint="eastAsia" w:ascii="宋体" w:hAnsi="宋体" w:eastAsia="宋体" w:cs="宋体"/>
                <w:color w:val="auto"/>
                <w:kern w:val="0"/>
                <w:sz w:val="24"/>
                <w:szCs w:val="28"/>
                <w:highlight w:val="none"/>
              </w:rPr>
              <w:t>环境分区管控：</w:t>
            </w:r>
          </w:p>
          <w:p w14:paraId="1A3E4968">
            <w:pPr>
              <w:autoSpaceDE w:val="0"/>
              <w:autoSpaceDN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①大气环境分区管控</w:t>
            </w:r>
          </w:p>
          <w:p w14:paraId="6CADD522">
            <w:pPr>
              <w:autoSpaceDE w:val="0"/>
              <w:autoSpaceDN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根据《长江经济带战略环境评价—淮南市“三线一单”研究报告》及成果图集，本项目所在区域属于大气环境</w:t>
            </w:r>
            <w:r>
              <w:rPr>
                <w:rFonts w:hint="eastAsia" w:ascii="宋体" w:hAnsi="宋体" w:cs="宋体"/>
                <w:color w:val="auto"/>
                <w:kern w:val="0"/>
                <w:sz w:val="24"/>
                <w:highlight w:val="none"/>
                <w:lang w:val="en-US" w:eastAsia="zh-CN"/>
              </w:rPr>
              <w:t>一般</w:t>
            </w:r>
            <w:r>
              <w:rPr>
                <w:rFonts w:hint="eastAsia" w:ascii="宋体" w:hAnsi="宋体" w:eastAsia="宋体" w:cs="宋体"/>
                <w:color w:val="auto"/>
                <w:kern w:val="0"/>
                <w:sz w:val="24"/>
                <w:highlight w:val="none"/>
              </w:rPr>
              <w:t>管控区（详见附图）。</w:t>
            </w:r>
          </w:p>
          <w:p w14:paraId="681762EA">
            <w:pPr>
              <w:spacing w:line="240" w:lineRule="atLeast"/>
              <w:jc w:val="center"/>
              <w:rPr>
                <w:rFonts w:eastAsia="黑体"/>
                <w:color w:val="auto"/>
                <w:szCs w:val="20"/>
                <w:highlight w:val="none"/>
              </w:rPr>
            </w:pPr>
            <w:r>
              <w:rPr>
                <w:rFonts w:eastAsia="黑体"/>
                <w:color w:val="auto"/>
                <w:szCs w:val="20"/>
                <w:highlight w:val="none"/>
              </w:rPr>
              <w:t>表1-</w:t>
            </w:r>
            <w:r>
              <w:rPr>
                <w:rFonts w:hint="eastAsia" w:eastAsia="黑体"/>
                <w:color w:val="auto"/>
                <w:szCs w:val="20"/>
                <w:highlight w:val="none"/>
                <w:lang w:val="en-US" w:eastAsia="zh-CN"/>
              </w:rPr>
              <w:t>6</w:t>
            </w:r>
            <w:r>
              <w:rPr>
                <w:rFonts w:eastAsia="黑体"/>
                <w:color w:val="auto"/>
                <w:szCs w:val="20"/>
                <w:highlight w:val="none"/>
              </w:rPr>
              <w:t xml:space="preserve">  与大气环境分区管控要求的协调性分析</w:t>
            </w:r>
          </w:p>
          <w:tbl>
            <w:tblPr>
              <w:tblStyle w:val="2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20"/>
              <w:gridCol w:w="3058"/>
              <w:gridCol w:w="4512"/>
            </w:tblGrid>
            <w:tr w14:paraId="1B2F9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noWrap w:val="0"/>
                  <w:vAlign w:val="center"/>
                </w:tcPr>
                <w:p w14:paraId="0345CC01">
                  <w:pPr>
                    <w:autoSpaceDE w:val="0"/>
                    <w:autoSpaceDN w:val="0"/>
                    <w:spacing w:line="240" w:lineRule="atLeast"/>
                    <w:jc w:val="center"/>
                    <w:rPr>
                      <w:color w:val="auto"/>
                      <w:kern w:val="0"/>
                      <w:szCs w:val="21"/>
                      <w:highlight w:val="none"/>
                    </w:rPr>
                  </w:pPr>
                  <w:r>
                    <w:rPr>
                      <w:color w:val="auto"/>
                      <w:kern w:val="0"/>
                      <w:szCs w:val="21"/>
                      <w:highlight w:val="none"/>
                    </w:rPr>
                    <w:t>管控单元分类</w:t>
                  </w:r>
                </w:p>
              </w:tc>
              <w:tc>
                <w:tcPr>
                  <w:tcW w:w="0" w:type="auto"/>
                  <w:noWrap w:val="0"/>
                  <w:vAlign w:val="center"/>
                </w:tcPr>
                <w:p w14:paraId="63ABEAB6">
                  <w:pPr>
                    <w:autoSpaceDE w:val="0"/>
                    <w:autoSpaceDN w:val="0"/>
                    <w:spacing w:line="240" w:lineRule="atLeast"/>
                    <w:jc w:val="center"/>
                    <w:rPr>
                      <w:color w:val="auto"/>
                      <w:kern w:val="0"/>
                      <w:szCs w:val="21"/>
                      <w:highlight w:val="none"/>
                    </w:rPr>
                  </w:pPr>
                  <w:r>
                    <w:rPr>
                      <w:color w:val="auto"/>
                      <w:kern w:val="0"/>
                      <w:szCs w:val="21"/>
                      <w:highlight w:val="none"/>
                    </w:rPr>
                    <w:t>环境管控要求</w:t>
                  </w:r>
                </w:p>
              </w:tc>
              <w:tc>
                <w:tcPr>
                  <w:tcW w:w="0" w:type="auto"/>
                  <w:noWrap w:val="0"/>
                  <w:vAlign w:val="center"/>
                </w:tcPr>
                <w:p w14:paraId="2BB28814">
                  <w:pPr>
                    <w:autoSpaceDE w:val="0"/>
                    <w:autoSpaceDN w:val="0"/>
                    <w:spacing w:line="240" w:lineRule="atLeast"/>
                    <w:jc w:val="center"/>
                    <w:rPr>
                      <w:color w:val="auto"/>
                      <w:kern w:val="0"/>
                      <w:szCs w:val="21"/>
                      <w:highlight w:val="none"/>
                    </w:rPr>
                  </w:pPr>
                  <w:r>
                    <w:rPr>
                      <w:color w:val="auto"/>
                      <w:kern w:val="0"/>
                      <w:szCs w:val="21"/>
                      <w:highlight w:val="none"/>
                    </w:rPr>
                    <w:t>协调性分析</w:t>
                  </w:r>
                </w:p>
              </w:tc>
            </w:tr>
            <w:tr w14:paraId="639CA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noWrap w:val="0"/>
                  <w:vAlign w:val="center"/>
                </w:tcPr>
                <w:p w14:paraId="3250061B">
                  <w:pPr>
                    <w:autoSpaceDE w:val="0"/>
                    <w:autoSpaceDN w:val="0"/>
                    <w:spacing w:line="240" w:lineRule="atLeast"/>
                    <w:rPr>
                      <w:color w:val="auto"/>
                      <w:kern w:val="0"/>
                      <w:szCs w:val="21"/>
                      <w:highlight w:val="none"/>
                    </w:rPr>
                  </w:pPr>
                  <w:r>
                    <w:rPr>
                      <w:color w:val="auto"/>
                      <w:kern w:val="0"/>
                      <w:szCs w:val="21"/>
                      <w:highlight w:val="none"/>
                    </w:rPr>
                    <w:t>一般管控区</w:t>
                  </w:r>
                </w:p>
              </w:tc>
              <w:tc>
                <w:tcPr>
                  <w:tcW w:w="0" w:type="auto"/>
                  <w:noWrap w:val="0"/>
                  <w:vAlign w:val="center"/>
                </w:tcPr>
                <w:p w14:paraId="5958732C">
                  <w:pPr>
                    <w:autoSpaceDE w:val="0"/>
                    <w:autoSpaceDN w:val="0"/>
                    <w:spacing w:line="240" w:lineRule="atLeast"/>
                    <w:rPr>
                      <w:color w:val="auto"/>
                      <w:kern w:val="0"/>
                      <w:szCs w:val="21"/>
                      <w:highlight w:val="none"/>
                    </w:rPr>
                  </w:pPr>
                  <w:r>
                    <w:rPr>
                      <w:color w:val="auto"/>
                      <w:kern w:val="0"/>
                      <w:szCs w:val="21"/>
                      <w:highlight w:val="none"/>
                    </w:rPr>
                    <w:t>依据《中华人民共和国大气污染防治法》《打赢蓝天保卫战三年行动计划》《安徽省打赢蓝天保卫战三年行动计划实施方案》等法律法规和规章对一般管控区实施管控。上年度PM</w:t>
                  </w:r>
                  <w:r>
                    <w:rPr>
                      <w:color w:val="auto"/>
                      <w:kern w:val="0"/>
                      <w:szCs w:val="21"/>
                      <w:highlight w:val="none"/>
                      <w:vertAlign w:val="subscript"/>
                    </w:rPr>
                    <w:t>2.5</w:t>
                  </w:r>
                  <w:r>
                    <w:rPr>
                      <w:color w:val="auto"/>
                      <w:kern w:val="0"/>
                      <w:szCs w:val="21"/>
                      <w:highlight w:val="none"/>
                    </w:rPr>
                    <w:t>不达标城市新建、改建和扩建项目大气污染物实施“倍量替代”，执行特别排放标准的行业实施提标升级改造</w:t>
                  </w:r>
                </w:p>
              </w:tc>
              <w:tc>
                <w:tcPr>
                  <w:tcW w:w="0" w:type="auto"/>
                  <w:noWrap w:val="0"/>
                  <w:vAlign w:val="center"/>
                </w:tcPr>
                <w:p w14:paraId="580CA3F1">
                  <w:pPr>
                    <w:autoSpaceDE w:val="0"/>
                    <w:autoSpaceDN w:val="0"/>
                    <w:spacing w:line="240" w:lineRule="atLeast"/>
                    <w:rPr>
                      <w:color w:val="auto"/>
                      <w:kern w:val="0"/>
                      <w:szCs w:val="21"/>
                      <w:highlight w:val="none"/>
                    </w:rPr>
                  </w:pPr>
                  <w:r>
                    <w:rPr>
                      <w:color w:val="auto"/>
                      <w:kern w:val="0"/>
                      <w:szCs w:val="21"/>
                      <w:highlight w:val="none"/>
                    </w:rPr>
                    <w:t>本项目为新建项目，位于</w:t>
                  </w:r>
                  <w:r>
                    <w:rPr>
                      <w:rFonts w:ascii="Times New Roman" w:hAnsi="Times New Roman" w:eastAsia="宋体" w:cs="Times New Roman"/>
                      <w:color w:val="auto"/>
                      <w:szCs w:val="21"/>
                      <w:highlight w:val="none"/>
                      <w:lang w:val="en-US" w:eastAsia="zh-CN"/>
                    </w:rPr>
                    <w:t>安徽省淮南市</w:t>
                  </w:r>
                  <w:r>
                    <w:rPr>
                      <w:rFonts w:hint="eastAsia" w:ascii="Times New Roman" w:hAnsi="Times New Roman" w:eastAsia="宋体" w:cs="Times New Roman"/>
                      <w:color w:val="auto"/>
                      <w:szCs w:val="21"/>
                      <w:highlight w:val="none"/>
                      <w:lang w:val="en-US" w:eastAsia="zh-CN"/>
                    </w:rPr>
                    <w:t>凤台县新集镇王集村</w:t>
                  </w:r>
                  <w:r>
                    <w:rPr>
                      <w:rFonts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安徽省淮南市新集一矿3608(6)采区东翼</w:t>
                  </w:r>
                  <w:r>
                    <w:rPr>
                      <w:color w:val="auto"/>
                      <w:kern w:val="0"/>
                      <w:szCs w:val="21"/>
                      <w:highlight w:val="none"/>
                    </w:rPr>
                    <w:t>，</w:t>
                  </w:r>
                  <w:r>
                    <w:rPr>
                      <w:rFonts w:hint="eastAsia"/>
                      <w:kern w:val="0"/>
                      <w:szCs w:val="21"/>
                      <w:highlight w:val="none"/>
                      <w:lang w:val="en-US" w:eastAsia="zh-CN"/>
                    </w:rPr>
                    <w:t>2025年度</w:t>
                  </w:r>
                  <w:r>
                    <w:rPr>
                      <w:kern w:val="0"/>
                      <w:szCs w:val="21"/>
                      <w:highlight w:val="none"/>
                    </w:rPr>
                    <w:t>细颗粒物（PM2.5）年均浓度超过《环境空气质量标准》（GB3095-2</w:t>
                  </w:r>
                  <w:r>
                    <w:rPr>
                      <w:rFonts w:hint="eastAsia"/>
                      <w:kern w:val="0"/>
                      <w:szCs w:val="21"/>
                      <w:highlight w:val="none"/>
                    </w:rPr>
                    <w:t>0</w:t>
                  </w:r>
                  <w:r>
                    <w:rPr>
                      <w:rFonts w:hint="eastAsia"/>
                      <w:kern w:val="0"/>
                      <w:szCs w:val="21"/>
                      <w:highlight w:val="none"/>
                      <w:lang w:val="en-US" w:eastAsia="zh-CN"/>
                    </w:rPr>
                    <w:t>12</w:t>
                  </w:r>
                  <w:r>
                    <w:rPr>
                      <w:kern w:val="0"/>
                      <w:szCs w:val="21"/>
                      <w:highlight w:val="none"/>
                    </w:rPr>
                    <w:t>）中二级标准限值</w:t>
                  </w:r>
                  <w:r>
                    <w:rPr>
                      <w:rFonts w:hint="eastAsia"/>
                      <w:kern w:val="0"/>
                      <w:szCs w:val="21"/>
                      <w:highlight w:val="none"/>
                      <w:lang w:val="en-US" w:eastAsia="zh-CN"/>
                    </w:rPr>
                    <w:t>和</w:t>
                  </w:r>
                  <w:r>
                    <w:rPr>
                      <w:rFonts w:hint="default"/>
                      <w:kern w:val="0"/>
                      <w:szCs w:val="21"/>
                      <w:highlight w:val="none"/>
                    </w:rPr>
                    <w:t>《环境空气质量标准》（GB3095-20</w:t>
                  </w:r>
                  <w:r>
                    <w:rPr>
                      <w:rFonts w:hint="default"/>
                      <w:kern w:val="0"/>
                      <w:szCs w:val="21"/>
                      <w:highlight w:val="none"/>
                      <w:lang w:val="en-US" w:eastAsia="zh-CN"/>
                    </w:rPr>
                    <w:t>26</w:t>
                  </w:r>
                  <w:r>
                    <w:rPr>
                      <w:rFonts w:hint="default"/>
                      <w:kern w:val="0"/>
                      <w:szCs w:val="21"/>
                      <w:highlight w:val="none"/>
                    </w:rPr>
                    <w:t>）中的</w:t>
                  </w:r>
                  <w:r>
                    <w:rPr>
                      <w:rFonts w:hint="eastAsia"/>
                      <w:kern w:val="0"/>
                      <w:szCs w:val="21"/>
                      <w:highlight w:val="none"/>
                      <w:lang w:val="en-US" w:eastAsia="zh-CN"/>
                    </w:rPr>
                    <w:t>过渡期</w:t>
                  </w:r>
                  <w:r>
                    <w:rPr>
                      <w:rFonts w:hint="default"/>
                      <w:kern w:val="0"/>
                      <w:szCs w:val="21"/>
                      <w:highlight w:val="none"/>
                    </w:rPr>
                    <w:t>二级标准</w:t>
                  </w:r>
                  <w:r>
                    <w:rPr>
                      <w:kern w:val="0"/>
                      <w:szCs w:val="21"/>
                      <w:highlight w:val="none"/>
                    </w:rPr>
                    <w:t>限值</w:t>
                  </w:r>
                  <w:r>
                    <w:rPr>
                      <w:rFonts w:hint="eastAsia"/>
                      <w:kern w:val="0"/>
                      <w:szCs w:val="21"/>
                      <w:highlight w:val="none"/>
                      <w:lang w:eastAsia="zh-CN"/>
                    </w:rPr>
                    <w:t>；PM</w:t>
                  </w:r>
                  <w:r>
                    <w:rPr>
                      <w:rFonts w:hint="eastAsia"/>
                      <w:kern w:val="0"/>
                      <w:szCs w:val="21"/>
                      <w:highlight w:val="none"/>
                      <w:vertAlign w:val="subscript"/>
                      <w:lang w:eastAsia="zh-CN"/>
                    </w:rPr>
                    <w:t>10</w:t>
                  </w:r>
                  <w:r>
                    <w:rPr>
                      <w:rFonts w:hint="eastAsia"/>
                      <w:kern w:val="0"/>
                      <w:szCs w:val="21"/>
                      <w:highlight w:val="none"/>
                      <w:lang w:eastAsia="zh-CN"/>
                    </w:rPr>
                    <w:t>年均浓度超过《环境空气质量标准》（GB3095-2026）中的过渡期二级标准限值。</w:t>
                  </w:r>
                  <w:r>
                    <w:rPr>
                      <w:kern w:val="0"/>
                      <w:szCs w:val="21"/>
                      <w:highlight w:val="none"/>
                    </w:rPr>
                    <w:t>因此，项目所在评价区域为不达标区。本项目仅施工期产生少量颗粒物，通过洒水抑尘等方式</w:t>
                  </w:r>
                  <w:r>
                    <w:rPr>
                      <w:rFonts w:hint="eastAsia"/>
                      <w:kern w:val="0"/>
                      <w:szCs w:val="21"/>
                      <w:highlight w:val="none"/>
                      <w:lang w:eastAsia="zh-CN"/>
                    </w:rPr>
                    <w:t>减少</w:t>
                  </w:r>
                  <w:r>
                    <w:rPr>
                      <w:kern w:val="0"/>
                      <w:szCs w:val="21"/>
                      <w:highlight w:val="none"/>
                    </w:rPr>
                    <w:t>粉尘影响。</w:t>
                  </w:r>
                </w:p>
              </w:tc>
            </w:tr>
          </w:tbl>
          <w:p w14:paraId="0547372F">
            <w:pPr>
              <w:autoSpaceDE w:val="0"/>
              <w:autoSpaceDN w:val="0"/>
              <w:spacing w:line="360" w:lineRule="auto"/>
              <w:ind w:firstLine="480" w:firstLineChars="200"/>
              <w:jc w:val="left"/>
              <w:rPr>
                <w:color w:val="auto"/>
                <w:kern w:val="0"/>
                <w:sz w:val="24"/>
                <w:highlight w:val="none"/>
              </w:rPr>
            </w:pPr>
            <w:r>
              <w:rPr>
                <w:color w:val="auto"/>
                <w:kern w:val="0"/>
                <w:sz w:val="24"/>
                <w:highlight w:val="none"/>
              </w:rPr>
              <w:t>②水环境分区管控</w:t>
            </w:r>
          </w:p>
          <w:p w14:paraId="3CD70AE4">
            <w:pPr>
              <w:autoSpaceDE w:val="0"/>
              <w:autoSpaceDN w:val="0"/>
              <w:spacing w:line="360" w:lineRule="auto"/>
              <w:ind w:firstLine="480" w:firstLineChars="200"/>
              <w:jc w:val="left"/>
              <w:rPr>
                <w:color w:val="auto"/>
                <w:kern w:val="0"/>
                <w:sz w:val="24"/>
                <w:highlight w:val="none"/>
              </w:rPr>
            </w:pPr>
            <w:r>
              <w:rPr>
                <w:color w:val="auto"/>
                <w:kern w:val="0"/>
                <w:sz w:val="24"/>
                <w:highlight w:val="none"/>
              </w:rPr>
              <w:t>根据《长江经济带战略环境评价—淮南市“三线一单”研究报告》及成果图集，本项目所在区域属于水环境一般管控区（详见附图）。</w:t>
            </w:r>
          </w:p>
          <w:p w14:paraId="3D82B1FF">
            <w:pPr>
              <w:spacing w:line="240" w:lineRule="atLeast"/>
              <w:jc w:val="center"/>
              <w:rPr>
                <w:rFonts w:eastAsia="黑体"/>
                <w:color w:val="auto"/>
                <w:szCs w:val="20"/>
                <w:highlight w:val="none"/>
              </w:rPr>
            </w:pPr>
            <w:r>
              <w:rPr>
                <w:rFonts w:eastAsia="黑体"/>
                <w:color w:val="auto"/>
                <w:szCs w:val="20"/>
                <w:highlight w:val="none"/>
              </w:rPr>
              <w:t>表1-</w:t>
            </w:r>
            <w:r>
              <w:rPr>
                <w:rFonts w:hint="eastAsia" w:eastAsia="黑体"/>
                <w:color w:val="auto"/>
                <w:szCs w:val="20"/>
                <w:highlight w:val="none"/>
                <w:lang w:val="en-US" w:eastAsia="zh-CN"/>
              </w:rPr>
              <w:t>7</w:t>
            </w:r>
            <w:r>
              <w:rPr>
                <w:rFonts w:eastAsia="黑体"/>
                <w:color w:val="auto"/>
                <w:szCs w:val="20"/>
                <w:highlight w:val="none"/>
              </w:rPr>
              <w:t xml:space="preserve">  与水环境分区管控要求的协调性分析</w:t>
            </w:r>
          </w:p>
          <w:tbl>
            <w:tblPr>
              <w:tblStyle w:val="2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82"/>
              <w:gridCol w:w="3825"/>
              <w:gridCol w:w="2683"/>
            </w:tblGrid>
            <w:tr w14:paraId="160A97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571" w:type="dxa"/>
                  <w:noWrap w:val="0"/>
                  <w:vAlign w:val="center"/>
                </w:tcPr>
                <w:p w14:paraId="68AE9CAA">
                  <w:pPr>
                    <w:autoSpaceDE w:val="0"/>
                    <w:autoSpaceDN w:val="0"/>
                    <w:spacing w:line="240" w:lineRule="atLeast"/>
                    <w:jc w:val="center"/>
                    <w:rPr>
                      <w:color w:val="auto"/>
                      <w:kern w:val="0"/>
                      <w:szCs w:val="21"/>
                      <w:highlight w:val="none"/>
                    </w:rPr>
                  </w:pPr>
                  <w:r>
                    <w:rPr>
                      <w:color w:val="auto"/>
                      <w:kern w:val="0"/>
                      <w:szCs w:val="21"/>
                      <w:highlight w:val="none"/>
                    </w:rPr>
                    <w:t>管控单元分类</w:t>
                  </w:r>
                </w:p>
              </w:tc>
              <w:tc>
                <w:tcPr>
                  <w:tcW w:w="3799" w:type="dxa"/>
                  <w:noWrap w:val="0"/>
                  <w:vAlign w:val="center"/>
                </w:tcPr>
                <w:p w14:paraId="1ED920DC">
                  <w:pPr>
                    <w:autoSpaceDE w:val="0"/>
                    <w:autoSpaceDN w:val="0"/>
                    <w:spacing w:line="240" w:lineRule="atLeast"/>
                    <w:jc w:val="center"/>
                    <w:rPr>
                      <w:color w:val="auto"/>
                      <w:kern w:val="0"/>
                      <w:szCs w:val="21"/>
                      <w:highlight w:val="none"/>
                    </w:rPr>
                  </w:pPr>
                  <w:r>
                    <w:rPr>
                      <w:color w:val="auto"/>
                      <w:kern w:val="0"/>
                      <w:szCs w:val="21"/>
                      <w:highlight w:val="none"/>
                    </w:rPr>
                    <w:t>环境管控要求</w:t>
                  </w:r>
                </w:p>
              </w:tc>
              <w:tc>
                <w:tcPr>
                  <w:tcW w:w="2664" w:type="dxa"/>
                  <w:noWrap w:val="0"/>
                  <w:vAlign w:val="center"/>
                </w:tcPr>
                <w:p w14:paraId="5CFF2831">
                  <w:pPr>
                    <w:autoSpaceDE w:val="0"/>
                    <w:autoSpaceDN w:val="0"/>
                    <w:spacing w:line="240" w:lineRule="atLeast"/>
                    <w:jc w:val="center"/>
                    <w:rPr>
                      <w:color w:val="auto"/>
                      <w:kern w:val="0"/>
                      <w:szCs w:val="21"/>
                      <w:highlight w:val="none"/>
                    </w:rPr>
                  </w:pPr>
                  <w:r>
                    <w:rPr>
                      <w:color w:val="auto"/>
                      <w:kern w:val="0"/>
                      <w:szCs w:val="21"/>
                      <w:highlight w:val="none"/>
                    </w:rPr>
                    <w:t>协调性分析</w:t>
                  </w:r>
                </w:p>
              </w:tc>
            </w:tr>
            <w:tr w14:paraId="08C24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571" w:type="dxa"/>
                  <w:noWrap w:val="0"/>
                  <w:vAlign w:val="center"/>
                </w:tcPr>
                <w:p w14:paraId="4E036FFB">
                  <w:pPr>
                    <w:autoSpaceDE w:val="0"/>
                    <w:autoSpaceDN w:val="0"/>
                    <w:spacing w:line="240" w:lineRule="atLeast"/>
                    <w:rPr>
                      <w:color w:val="auto"/>
                      <w:kern w:val="0"/>
                      <w:szCs w:val="21"/>
                      <w:highlight w:val="none"/>
                    </w:rPr>
                  </w:pPr>
                  <w:r>
                    <w:rPr>
                      <w:color w:val="auto"/>
                      <w:kern w:val="0"/>
                      <w:szCs w:val="21"/>
                      <w:highlight w:val="none"/>
                    </w:rPr>
                    <w:t>一般管控区</w:t>
                  </w:r>
                </w:p>
              </w:tc>
              <w:tc>
                <w:tcPr>
                  <w:tcW w:w="3799" w:type="dxa"/>
                  <w:noWrap w:val="0"/>
                  <w:vAlign w:val="center"/>
                </w:tcPr>
                <w:p w14:paraId="5B2A0A5D">
                  <w:pPr>
                    <w:autoSpaceDE w:val="0"/>
                    <w:autoSpaceDN w:val="0"/>
                    <w:spacing w:line="240" w:lineRule="atLeast"/>
                    <w:rPr>
                      <w:color w:val="auto"/>
                      <w:kern w:val="0"/>
                      <w:szCs w:val="21"/>
                      <w:highlight w:val="none"/>
                    </w:rPr>
                  </w:pPr>
                  <w:r>
                    <w:rPr>
                      <w:color w:val="auto"/>
                      <w:kern w:val="0"/>
                      <w:szCs w:val="21"/>
                      <w:highlight w:val="none"/>
                    </w:rPr>
                    <w:t>依据《中华人民共和国水污染防治法》《水污染防治行动计划》《安徽省水污染防治工作方案》及各市水污染防治工作方案对一般管控区实施管控；依据《安徽省淮河流域水污染防治条例》对淮河流域实施管控</w:t>
                  </w:r>
                </w:p>
              </w:tc>
              <w:tc>
                <w:tcPr>
                  <w:tcW w:w="2664" w:type="dxa"/>
                  <w:noWrap w:val="0"/>
                  <w:vAlign w:val="center"/>
                </w:tcPr>
                <w:p w14:paraId="06DC6F6F">
                  <w:pPr>
                    <w:autoSpaceDE w:val="0"/>
                    <w:autoSpaceDN w:val="0"/>
                    <w:spacing w:line="240" w:lineRule="atLeast"/>
                    <w:rPr>
                      <w:color w:val="auto"/>
                      <w:kern w:val="0"/>
                      <w:szCs w:val="21"/>
                      <w:highlight w:val="none"/>
                    </w:rPr>
                  </w:pPr>
                  <w:r>
                    <w:rPr>
                      <w:color w:val="auto"/>
                      <w:kern w:val="0"/>
                      <w:szCs w:val="21"/>
                      <w:highlight w:val="none"/>
                    </w:rPr>
                    <w:t>本项目所在地不涉及饮用水水源地和对环境有特殊要求的功</w:t>
                  </w:r>
                  <w:r>
                    <w:rPr>
                      <w:rFonts w:ascii="Times New Roman" w:hAnsi="Times New Roman" w:cs="Times New Roman"/>
                      <w:color w:val="auto"/>
                      <w:kern w:val="0"/>
                      <w:szCs w:val="21"/>
                      <w:highlight w:val="none"/>
                    </w:rPr>
                    <w:t>能</w:t>
                  </w:r>
                  <w:r>
                    <w:rPr>
                      <w:rFonts w:eastAsia="宋体"/>
                      <w:color w:val="auto"/>
                      <w:kern w:val="0"/>
                      <w:szCs w:val="21"/>
                      <w:highlight w:val="none"/>
                    </w:rPr>
                    <w:t>区。项目无钻井废水外排，生活污水经化粪池处理后</w:t>
                  </w:r>
                  <w:r>
                    <w:rPr>
                      <w:rFonts w:hint="default" w:eastAsia="宋体"/>
                      <w:color w:val="auto"/>
                      <w:kern w:val="0"/>
                      <w:szCs w:val="21"/>
                      <w:highlight w:val="none"/>
                    </w:rPr>
                    <w:t>定期委托第三方使用吸污车运送至新集</w:t>
                  </w:r>
                  <w:r>
                    <w:rPr>
                      <w:rFonts w:hint="eastAsia"/>
                      <w:color w:val="auto"/>
                      <w:kern w:val="0"/>
                      <w:szCs w:val="21"/>
                      <w:highlight w:val="none"/>
                      <w:lang w:val="en-US" w:eastAsia="zh-CN"/>
                    </w:rPr>
                    <w:t>一</w:t>
                  </w:r>
                  <w:r>
                    <w:rPr>
                      <w:rFonts w:hint="default" w:eastAsia="宋体"/>
                      <w:color w:val="auto"/>
                      <w:kern w:val="0"/>
                      <w:szCs w:val="21"/>
                      <w:highlight w:val="none"/>
                    </w:rPr>
                    <w:t>矿现有生活污水处理站进行处理</w:t>
                  </w:r>
                  <w:r>
                    <w:rPr>
                      <w:rFonts w:eastAsia="宋体"/>
                      <w:color w:val="auto"/>
                      <w:kern w:val="0"/>
                      <w:szCs w:val="21"/>
                      <w:highlight w:val="none"/>
                    </w:rPr>
                    <w:t>。车辆冲洗废水经沉淀池</w:t>
                  </w:r>
                  <w:r>
                    <w:rPr>
                      <w:rFonts w:hint="eastAsia" w:eastAsia="宋体"/>
                      <w:color w:val="auto"/>
                      <w:kern w:val="0"/>
                      <w:szCs w:val="21"/>
                      <w:highlight w:val="none"/>
                      <w:lang w:val="en-US" w:eastAsia="zh-CN"/>
                    </w:rPr>
                    <w:t>二</w:t>
                  </w:r>
                  <w:r>
                    <w:rPr>
                      <w:rFonts w:hint="eastAsia"/>
                      <w:kern w:val="0"/>
                      <w:szCs w:val="21"/>
                      <w:highlight w:val="none"/>
                      <w:lang w:val="en-US" w:eastAsia="zh-CN"/>
                    </w:rPr>
                    <w:t>次沉淀</w:t>
                  </w:r>
                  <w:r>
                    <w:rPr>
                      <w:kern w:val="0"/>
                      <w:szCs w:val="21"/>
                      <w:highlight w:val="none"/>
                    </w:rPr>
                    <w:t>处理后循环利用，不外排。</w:t>
                  </w:r>
                </w:p>
              </w:tc>
            </w:tr>
          </w:tbl>
          <w:p w14:paraId="48ABB497">
            <w:pPr>
              <w:autoSpaceDE w:val="0"/>
              <w:autoSpaceDN w:val="0"/>
              <w:spacing w:line="360" w:lineRule="auto"/>
              <w:ind w:firstLine="480" w:firstLineChars="200"/>
              <w:jc w:val="left"/>
              <w:rPr>
                <w:color w:val="auto"/>
                <w:kern w:val="0"/>
                <w:sz w:val="24"/>
                <w:highlight w:val="none"/>
              </w:rPr>
            </w:pPr>
            <w:r>
              <w:rPr>
                <w:color w:val="auto"/>
                <w:kern w:val="0"/>
                <w:sz w:val="24"/>
                <w:highlight w:val="none"/>
              </w:rPr>
              <w:t>③土壤环境分区管控</w:t>
            </w:r>
          </w:p>
          <w:p w14:paraId="04B5938C">
            <w:pPr>
              <w:autoSpaceDE w:val="0"/>
              <w:autoSpaceDN w:val="0"/>
              <w:spacing w:line="360" w:lineRule="auto"/>
              <w:ind w:firstLine="480" w:firstLineChars="200"/>
              <w:jc w:val="left"/>
              <w:rPr>
                <w:color w:val="auto"/>
                <w:kern w:val="0"/>
                <w:sz w:val="24"/>
                <w:highlight w:val="none"/>
              </w:rPr>
            </w:pPr>
            <w:r>
              <w:rPr>
                <w:color w:val="auto"/>
                <w:kern w:val="0"/>
                <w:sz w:val="24"/>
                <w:highlight w:val="none"/>
              </w:rPr>
              <w:t>根据《长江经济带战</w:t>
            </w:r>
            <w:r>
              <w:rPr>
                <w:color w:val="000000" w:themeColor="text1"/>
                <w:kern w:val="0"/>
                <w:sz w:val="24"/>
                <w:highlight w:val="none"/>
                <w14:textFill>
                  <w14:solidFill>
                    <w14:schemeClr w14:val="tx1"/>
                  </w14:solidFill>
                </w14:textFill>
              </w:rPr>
              <w:t>略环境评价—淮南市</w:t>
            </w:r>
            <w:r>
              <w:rPr>
                <w:rFonts w:hint="eastAsia"/>
                <w:color w:val="000000" w:themeColor="text1"/>
                <w:kern w:val="0"/>
                <w:sz w:val="24"/>
                <w:highlight w:val="none"/>
                <w:lang w:eastAsia="zh-CN"/>
                <w14:textFill>
                  <w14:solidFill>
                    <w14:schemeClr w14:val="tx1"/>
                  </w14:solidFill>
                </w14:textFill>
              </w:rPr>
              <w:t>“</w:t>
            </w:r>
            <w:r>
              <w:rPr>
                <w:color w:val="000000" w:themeColor="text1"/>
                <w:kern w:val="0"/>
                <w:sz w:val="24"/>
                <w:highlight w:val="none"/>
                <w14:textFill>
                  <w14:solidFill>
                    <w14:schemeClr w14:val="tx1"/>
                  </w14:solidFill>
                </w14:textFill>
              </w:rPr>
              <w:t>三线一单</w:t>
            </w:r>
            <w:r>
              <w:rPr>
                <w:rFonts w:hint="eastAsia"/>
                <w:color w:val="000000" w:themeColor="text1"/>
                <w:kern w:val="0"/>
                <w:sz w:val="24"/>
                <w:highlight w:val="none"/>
                <w:lang w:eastAsia="zh-CN"/>
                <w14:textFill>
                  <w14:solidFill>
                    <w14:schemeClr w14:val="tx1"/>
                  </w14:solidFill>
                </w14:textFill>
              </w:rPr>
              <w:t>”</w:t>
            </w:r>
            <w:r>
              <w:rPr>
                <w:color w:val="000000" w:themeColor="text1"/>
                <w:kern w:val="0"/>
                <w:sz w:val="24"/>
                <w:highlight w:val="none"/>
                <w14:textFill>
                  <w14:solidFill>
                    <w14:schemeClr w14:val="tx1"/>
                  </w14:solidFill>
                </w14:textFill>
              </w:rPr>
              <w:t>研究报告》及成果图集，本项目所在区域属于土壤环境一般管控区</w:t>
            </w:r>
            <w:r>
              <w:rPr>
                <w:color w:val="auto"/>
                <w:kern w:val="0"/>
                <w:sz w:val="24"/>
                <w:highlight w:val="none"/>
              </w:rPr>
              <w:t>（详见附图）。</w:t>
            </w:r>
          </w:p>
          <w:p w14:paraId="1EC47FA6">
            <w:pPr>
              <w:spacing w:line="240" w:lineRule="atLeast"/>
              <w:jc w:val="center"/>
              <w:rPr>
                <w:rFonts w:eastAsia="黑体"/>
                <w:color w:val="auto"/>
                <w:szCs w:val="20"/>
                <w:highlight w:val="none"/>
              </w:rPr>
            </w:pPr>
            <w:r>
              <w:rPr>
                <w:rFonts w:eastAsia="黑体"/>
                <w:color w:val="auto"/>
                <w:szCs w:val="20"/>
                <w:highlight w:val="none"/>
              </w:rPr>
              <w:t>表1-</w:t>
            </w:r>
            <w:r>
              <w:rPr>
                <w:rFonts w:hint="eastAsia" w:eastAsia="黑体"/>
                <w:color w:val="auto"/>
                <w:szCs w:val="20"/>
                <w:highlight w:val="none"/>
                <w:lang w:val="en-US" w:eastAsia="zh-CN"/>
              </w:rPr>
              <w:t>8</w:t>
            </w:r>
            <w:r>
              <w:rPr>
                <w:rFonts w:eastAsia="黑体"/>
                <w:color w:val="auto"/>
                <w:szCs w:val="20"/>
                <w:highlight w:val="none"/>
              </w:rPr>
              <w:t xml:space="preserve">  与土壤环境分区管控要求的协调性分析</w:t>
            </w:r>
          </w:p>
          <w:tbl>
            <w:tblPr>
              <w:tblStyle w:val="29"/>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autofit"/>
              <w:tblCellMar>
                <w:top w:w="0" w:type="dxa"/>
                <w:left w:w="108" w:type="dxa"/>
                <w:bottom w:w="0" w:type="dxa"/>
                <w:right w:w="108" w:type="dxa"/>
              </w:tblCellMar>
            </w:tblPr>
            <w:tblGrid>
              <w:gridCol w:w="1584"/>
              <w:gridCol w:w="4285"/>
              <w:gridCol w:w="2231"/>
            </w:tblGrid>
            <w:tr w14:paraId="3987470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572" w:type="dxa"/>
                  <w:noWrap w:val="0"/>
                  <w:vAlign w:val="center"/>
                </w:tcPr>
                <w:p w14:paraId="22947A09">
                  <w:pPr>
                    <w:autoSpaceDE w:val="0"/>
                    <w:autoSpaceDN w:val="0"/>
                    <w:spacing w:line="240" w:lineRule="atLeast"/>
                    <w:jc w:val="center"/>
                    <w:rPr>
                      <w:color w:val="auto"/>
                      <w:kern w:val="0"/>
                      <w:szCs w:val="21"/>
                      <w:highlight w:val="none"/>
                    </w:rPr>
                  </w:pPr>
                  <w:r>
                    <w:rPr>
                      <w:color w:val="auto"/>
                      <w:kern w:val="0"/>
                      <w:szCs w:val="21"/>
                      <w:highlight w:val="none"/>
                    </w:rPr>
                    <w:t>管控单元分类</w:t>
                  </w:r>
                </w:p>
              </w:tc>
              <w:tc>
                <w:tcPr>
                  <w:tcW w:w="4252" w:type="dxa"/>
                  <w:noWrap w:val="0"/>
                  <w:vAlign w:val="center"/>
                </w:tcPr>
                <w:p w14:paraId="38ADF696">
                  <w:pPr>
                    <w:autoSpaceDE w:val="0"/>
                    <w:autoSpaceDN w:val="0"/>
                    <w:spacing w:line="240" w:lineRule="atLeast"/>
                    <w:jc w:val="center"/>
                    <w:rPr>
                      <w:color w:val="auto"/>
                      <w:kern w:val="0"/>
                      <w:szCs w:val="21"/>
                      <w:highlight w:val="none"/>
                    </w:rPr>
                  </w:pPr>
                  <w:r>
                    <w:rPr>
                      <w:color w:val="auto"/>
                      <w:kern w:val="0"/>
                      <w:szCs w:val="21"/>
                      <w:highlight w:val="none"/>
                    </w:rPr>
                    <w:t>环境管控要求</w:t>
                  </w:r>
                </w:p>
              </w:tc>
              <w:tc>
                <w:tcPr>
                  <w:tcW w:w="2214" w:type="dxa"/>
                  <w:noWrap w:val="0"/>
                  <w:vAlign w:val="center"/>
                </w:tcPr>
                <w:p w14:paraId="3FB173A2">
                  <w:pPr>
                    <w:autoSpaceDE w:val="0"/>
                    <w:autoSpaceDN w:val="0"/>
                    <w:spacing w:line="240" w:lineRule="atLeast"/>
                    <w:jc w:val="center"/>
                    <w:rPr>
                      <w:color w:val="auto"/>
                      <w:kern w:val="0"/>
                      <w:szCs w:val="21"/>
                      <w:highlight w:val="none"/>
                    </w:rPr>
                  </w:pPr>
                  <w:r>
                    <w:rPr>
                      <w:color w:val="auto"/>
                      <w:kern w:val="0"/>
                      <w:szCs w:val="21"/>
                      <w:highlight w:val="none"/>
                    </w:rPr>
                    <w:t>协调性分析</w:t>
                  </w:r>
                </w:p>
              </w:tc>
            </w:tr>
            <w:tr w14:paraId="4CE2A36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572" w:type="dxa"/>
                  <w:noWrap w:val="0"/>
                  <w:vAlign w:val="center"/>
                </w:tcPr>
                <w:p w14:paraId="0D8B531D">
                  <w:pPr>
                    <w:autoSpaceDE w:val="0"/>
                    <w:autoSpaceDN w:val="0"/>
                    <w:spacing w:line="240" w:lineRule="atLeast"/>
                    <w:jc w:val="center"/>
                    <w:rPr>
                      <w:color w:val="auto"/>
                      <w:kern w:val="0"/>
                      <w:szCs w:val="21"/>
                      <w:highlight w:val="none"/>
                    </w:rPr>
                  </w:pPr>
                  <w:r>
                    <w:rPr>
                      <w:color w:val="auto"/>
                      <w:kern w:val="0"/>
                      <w:szCs w:val="21"/>
                      <w:highlight w:val="none"/>
                    </w:rPr>
                    <w:t>一般管控区</w:t>
                  </w:r>
                </w:p>
              </w:tc>
              <w:tc>
                <w:tcPr>
                  <w:tcW w:w="4252" w:type="dxa"/>
                  <w:noWrap w:val="0"/>
                  <w:vAlign w:val="center"/>
                </w:tcPr>
                <w:p w14:paraId="1E093A7B">
                  <w:pPr>
                    <w:autoSpaceDE w:val="0"/>
                    <w:autoSpaceDN w:val="0"/>
                    <w:spacing w:line="240" w:lineRule="atLeast"/>
                    <w:jc w:val="left"/>
                    <w:rPr>
                      <w:color w:val="auto"/>
                      <w:kern w:val="0"/>
                      <w:szCs w:val="21"/>
                      <w:highlight w:val="none"/>
                    </w:rPr>
                  </w:pPr>
                  <w:r>
                    <w:rPr>
                      <w:color w:val="auto"/>
                      <w:kern w:val="0"/>
                      <w:szCs w:val="21"/>
                      <w:highlight w:val="none"/>
                    </w:rPr>
                    <w:t>依据《中华人民共和国土壤污染防治法》《土壤污染防治行动计划》《安徽省土壤污染防治工作方案》《安徽省“十四五”生态环境保护规划》等要求及各市土壤污染防治工作方案对一般管控区实施管控。</w:t>
                  </w:r>
                </w:p>
              </w:tc>
              <w:tc>
                <w:tcPr>
                  <w:tcW w:w="2214" w:type="dxa"/>
                  <w:noWrap w:val="0"/>
                  <w:vAlign w:val="center"/>
                </w:tcPr>
                <w:p w14:paraId="77C80561">
                  <w:pPr>
                    <w:autoSpaceDE w:val="0"/>
                    <w:autoSpaceDN w:val="0"/>
                    <w:spacing w:line="240" w:lineRule="atLeast"/>
                    <w:jc w:val="left"/>
                    <w:rPr>
                      <w:color w:val="auto"/>
                      <w:kern w:val="0"/>
                      <w:szCs w:val="21"/>
                      <w:highlight w:val="none"/>
                    </w:rPr>
                  </w:pPr>
                  <w:r>
                    <w:rPr>
                      <w:color w:val="auto"/>
                      <w:kern w:val="0"/>
                      <w:szCs w:val="21"/>
                      <w:highlight w:val="none"/>
                    </w:rPr>
                    <w:t>本项目建成后将按贮存要求进行分区防渗，落实防渗防腐要求。</w:t>
                  </w:r>
                </w:p>
              </w:tc>
            </w:tr>
          </w:tbl>
          <w:p w14:paraId="7B10B154">
            <w:pPr>
              <w:spacing w:line="360" w:lineRule="auto"/>
              <w:ind w:firstLine="482" w:firstLineChars="200"/>
              <w:rPr>
                <w:b/>
                <w:bCs/>
                <w:color w:val="auto"/>
                <w:sz w:val="24"/>
                <w:highlight w:val="none"/>
              </w:rPr>
            </w:pPr>
            <w:r>
              <w:rPr>
                <w:b/>
                <w:bCs/>
                <w:color w:val="auto"/>
                <w:sz w:val="24"/>
                <w:highlight w:val="none"/>
              </w:rPr>
              <w:t>（</w:t>
            </w:r>
            <w:r>
              <w:rPr>
                <w:rFonts w:hint="eastAsia"/>
                <w:b/>
                <w:bCs/>
                <w:color w:val="auto"/>
                <w:sz w:val="24"/>
                <w:highlight w:val="none"/>
                <w:lang w:val="en-US" w:eastAsia="zh-CN"/>
              </w:rPr>
              <w:t>6</w:t>
            </w:r>
            <w:r>
              <w:rPr>
                <w:b/>
                <w:bCs/>
                <w:color w:val="auto"/>
                <w:sz w:val="24"/>
                <w:highlight w:val="none"/>
              </w:rPr>
              <w:t>）与《淮南市“三线一单”生态环境分区管控方案》相符性</w:t>
            </w:r>
          </w:p>
          <w:p w14:paraId="3EA5A9CE">
            <w:pPr>
              <w:pStyle w:val="112"/>
              <w:rPr>
                <w:color w:val="auto"/>
                <w:highlight w:val="none"/>
              </w:rPr>
            </w:pPr>
            <w:r>
              <w:rPr>
                <w:color w:val="auto"/>
                <w:highlight w:val="none"/>
              </w:rPr>
              <w:t>根据安徽省</w:t>
            </w:r>
            <w:r>
              <w:rPr>
                <w:rFonts w:hint="eastAsia"/>
                <w:color w:val="auto"/>
                <w:highlight w:val="none"/>
                <w:lang w:eastAsia="zh-CN"/>
              </w:rPr>
              <w:t>“</w:t>
            </w:r>
            <w:r>
              <w:rPr>
                <w:color w:val="auto"/>
                <w:highlight w:val="none"/>
              </w:rPr>
              <w:t>三线一单</w:t>
            </w:r>
            <w:r>
              <w:rPr>
                <w:rFonts w:hint="eastAsia"/>
                <w:color w:val="auto"/>
                <w:highlight w:val="none"/>
                <w:lang w:eastAsia="zh-CN"/>
              </w:rPr>
              <w:t>”</w:t>
            </w:r>
            <w:r>
              <w:rPr>
                <w:color w:val="auto"/>
                <w:highlight w:val="none"/>
              </w:rPr>
              <w:t>公众服务平台查询，经与</w:t>
            </w:r>
            <w:r>
              <w:rPr>
                <w:rFonts w:hint="eastAsia"/>
                <w:color w:val="auto"/>
                <w:highlight w:val="none"/>
                <w:lang w:eastAsia="zh-CN"/>
              </w:rPr>
              <w:t>“</w:t>
            </w:r>
            <w:r>
              <w:rPr>
                <w:color w:val="auto"/>
                <w:highlight w:val="none"/>
              </w:rPr>
              <w:t>三线一单</w:t>
            </w:r>
            <w:r>
              <w:rPr>
                <w:rFonts w:hint="eastAsia"/>
                <w:color w:val="auto"/>
                <w:highlight w:val="none"/>
                <w:lang w:eastAsia="zh-CN"/>
              </w:rPr>
              <w:t>”</w:t>
            </w:r>
            <w:r>
              <w:rPr>
                <w:color w:val="auto"/>
                <w:highlight w:val="none"/>
              </w:rPr>
              <w:t>成果数据分析，经与</w:t>
            </w:r>
            <w:r>
              <w:rPr>
                <w:rFonts w:hint="eastAsia"/>
                <w:color w:val="auto"/>
                <w:highlight w:val="none"/>
                <w:lang w:eastAsia="zh-CN"/>
              </w:rPr>
              <w:t>“</w:t>
            </w:r>
            <w:r>
              <w:rPr>
                <w:color w:val="auto"/>
                <w:highlight w:val="none"/>
              </w:rPr>
              <w:t>三线一单</w:t>
            </w:r>
            <w:r>
              <w:rPr>
                <w:rFonts w:hint="eastAsia"/>
                <w:color w:val="auto"/>
                <w:highlight w:val="none"/>
                <w:lang w:eastAsia="zh-CN"/>
              </w:rPr>
              <w:t>”</w:t>
            </w:r>
            <w:r>
              <w:rPr>
                <w:color w:val="auto"/>
                <w:highlight w:val="none"/>
              </w:rPr>
              <w:t>成果数据分析，本项目</w:t>
            </w:r>
            <w:r>
              <w:rPr>
                <w:rFonts w:hint="eastAsia"/>
                <w:color w:val="auto"/>
                <w:highlight w:val="none"/>
                <w:lang w:val="en-US" w:eastAsia="zh-CN"/>
              </w:rPr>
              <w:t>10处</w:t>
            </w:r>
            <w:r>
              <w:rPr>
                <w:color w:val="auto"/>
                <w:highlight w:val="none"/>
              </w:rPr>
              <w:t>施工场地涉及</w:t>
            </w:r>
            <w:r>
              <w:rPr>
                <w:rFonts w:hint="eastAsia"/>
                <w:color w:val="auto"/>
                <w:highlight w:val="none"/>
                <w:lang w:eastAsia="zh-CN"/>
              </w:rPr>
              <w:t>“</w:t>
            </w:r>
            <w:r>
              <w:rPr>
                <w:rFonts w:hint="eastAsia"/>
                <w:color w:val="auto"/>
                <w:highlight w:val="none"/>
                <w:lang w:val="en-US" w:eastAsia="zh-CN"/>
              </w:rPr>
              <w:t>一般</w:t>
            </w:r>
            <w:r>
              <w:rPr>
                <w:color w:val="auto"/>
                <w:highlight w:val="none"/>
              </w:rPr>
              <w:t>管控单元</w:t>
            </w:r>
            <w:r>
              <w:rPr>
                <w:rFonts w:hint="eastAsia"/>
                <w:color w:val="auto"/>
                <w:highlight w:val="none"/>
                <w:lang w:eastAsia="zh-CN"/>
              </w:rPr>
              <w:t>”</w:t>
            </w:r>
            <w:r>
              <w:rPr>
                <w:rFonts w:hint="eastAsia"/>
                <w:color w:val="auto"/>
                <w:highlight w:val="none"/>
                <w:lang w:val="en-US" w:eastAsia="zh-CN"/>
              </w:rPr>
              <w:t>10</w:t>
            </w:r>
            <w:r>
              <w:rPr>
                <w:color w:val="auto"/>
                <w:highlight w:val="none"/>
              </w:rPr>
              <w:t>个，环境管控单元编码为</w:t>
            </w:r>
            <w:r>
              <w:rPr>
                <w:rFonts w:hint="eastAsia"/>
                <w:color w:val="auto"/>
                <w:highlight w:val="none"/>
                <w:lang w:val="en-US" w:eastAsia="zh-CN"/>
              </w:rPr>
              <w:t>ZH34042130003</w:t>
            </w:r>
            <w:r>
              <w:rPr>
                <w:color w:val="auto"/>
                <w:highlight w:val="none"/>
              </w:rPr>
              <w:t>，本项目与有关的淮南市管控单元生态环境准入清单进行分析，详见下表：</w:t>
            </w:r>
          </w:p>
          <w:p w14:paraId="4D25F42D">
            <w:pPr>
              <w:autoSpaceDE w:val="0"/>
              <w:autoSpaceDN w:val="0"/>
              <w:spacing w:line="360" w:lineRule="auto"/>
              <w:ind w:firstLine="480" w:firstLineChars="200"/>
              <w:rPr>
                <w:color w:val="auto"/>
                <w:kern w:val="0"/>
                <w:sz w:val="24"/>
                <w:highlight w:val="none"/>
              </w:rPr>
            </w:pPr>
            <w:r>
              <w:rPr>
                <w:color w:val="auto"/>
                <w:kern w:val="0"/>
                <w:sz w:val="24"/>
                <w:highlight w:val="none"/>
              </w:rPr>
              <w:t>项目选址所在地“三区三线”叠图如下：</w:t>
            </w:r>
          </w:p>
          <w:p w14:paraId="14760BD4">
            <w:pPr>
              <w:autoSpaceDE w:val="0"/>
              <w:autoSpaceDN w:val="0"/>
              <w:spacing w:line="360" w:lineRule="auto"/>
              <w:ind w:firstLine="480" w:firstLineChars="200"/>
              <w:rPr>
                <w:color w:val="auto"/>
                <w:kern w:val="0"/>
                <w:sz w:val="24"/>
                <w:highlight w:val="none"/>
              </w:rPr>
            </w:pPr>
          </w:p>
          <w:p w14:paraId="143EB25A">
            <w:pPr>
              <w:autoSpaceDE w:val="0"/>
              <w:autoSpaceDN w:val="0"/>
              <w:spacing w:line="360" w:lineRule="auto"/>
              <w:ind w:firstLine="480" w:firstLineChars="200"/>
              <w:rPr>
                <w:color w:val="auto"/>
                <w:kern w:val="0"/>
                <w:sz w:val="24"/>
                <w:highlight w:val="none"/>
              </w:rPr>
            </w:pPr>
          </w:p>
          <w:p w14:paraId="6A58835B">
            <w:pPr>
              <w:autoSpaceDE w:val="0"/>
              <w:autoSpaceDN w:val="0"/>
              <w:spacing w:line="360" w:lineRule="auto"/>
              <w:ind w:firstLine="480" w:firstLineChars="200"/>
              <w:rPr>
                <w:color w:val="auto"/>
                <w:kern w:val="0"/>
                <w:sz w:val="24"/>
                <w:highlight w:val="none"/>
              </w:rPr>
            </w:pPr>
          </w:p>
          <w:p w14:paraId="7434CBA5">
            <w:pPr>
              <w:autoSpaceDE w:val="0"/>
              <w:autoSpaceDN w:val="0"/>
              <w:spacing w:line="360" w:lineRule="auto"/>
              <w:rPr>
                <w:color w:val="auto"/>
                <w:kern w:val="0"/>
                <w:sz w:val="24"/>
                <w:highlight w:val="none"/>
              </w:rPr>
            </w:pPr>
          </w:p>
          <w:p w14:paraId="1BA58E53">
            <w:pPr>
              <w:autoSpaceDE w:val="0"/>
              <w:autoSpaceDN w:val="0"/>
              <w:spacing w:line="360" w:lineRule="auto"/>
              <w:jc w:val="center"/>
              <w:rPr>
                <w:color w:val="auto"/>
                <w:kern w:val="0"/>
                <w:sz w:val="24"/>
                <w:highlight w:val="none"/>
              </w:rPr>
            </w:pPr>
            <w:r>
              <w:drawing>
                <wp:inline distT="0" distB="0" distL="114300" distR="114300">
                  <wp:extent cx="5025390" cy="3304540"/>
                  <wp:effectExtent l="0" t="0" r="3810" b="10160"/>
                  <wp:docPr id="2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
                          <pic:cNvPicPr>
                            <a:picLocks noChangeAspect="1"/>
                          </pic:cNvPicPr>
                        </pic:nvPicPr>
                        <pic:blipFill>
                          <a:blip r:embed="rId9"/>
                          <a:srcRect t="3365" b="3546"/>
                          <a:stretch>
                            <a:fillRect/>
                          </a:stretch>
                        </pic:blipFill>
                        <pic:spPr>
                          <a:xfrm>
                            <a:off x="0" y="0"/>
                            <a:ext cx="5025390" cy="3304540"/>
                          </a:xfrm>
                          <a:prstGeom prst="rect">
                            <a:avLst/>
                          </a:prstGeom>
                          <a:noFill/>
                          <a:ln>
                            <a:noFill/>
                          </a:ln>
                        </pic:spPr>
                      </pic:pic>
                    </a:graphicData>
                  </a:graphic>
                </wp:inline>
              </w:drawing>
            </w:r>
          </w:p>
          <w:p w14:paraId="674C3C79">
            <w:pPr>
              <w:autoSpaceDE w:val="0"/>
              <w:autoSpaceDN w:val="0"/>
              <w:spacing w:line="360" w:lineRule="auto"/>
              <w:ind w:firstLine="480" w:firstLineChars="200"/>
              <w:rPr>
                <w:rFonts w:hint="eastAsia" w:eastAsia="宋体"/>
                <w:color w:val="000000" w:themeColor="text1"/>
                <w:kern w:val="0"/>
                <w:sz w:val="24"/>
                <w:highlight w:val="none"/>
                <w:lang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根据安徽省生态环境分区管控要求，一般管控单元以经济社会可持续发展为导向，执行区域生态环境保护的基本要求。本项目属于陆地矿产资源地质勘查项目，不涉及生态保护红线，施工期各项污染物均采取有效防治措施，符合一般管控单元的管控要求</w:t>
            </w:r>
            <w:r>
              <w:rPr>
                <w:rFonts w:hint="eastAsia" w:ascii="宋体" w:hAnsi="宋体" w:eastAsia="宋体" w:cs="宋体"/>
                <w:i w:val="0"/>
                <w:iCs w:val="0"/>
                <w:caps w:val="0"/>
                <w:color w:val="000000" w:themeColor="text1"/>
                <w:spacing w:val="0"/>
                <w:sz w:val="24"/>
                <w:szCs w:val="24"/>
                <w:shd w:val="clear" w:fill="FFFFFF"/>
                <w:lang w:eastAsia="zh-CN"/>
                <w14:textFill>
                  <w14:solidFill>
                    <w14:schemeClr w14:val="tx1"/>
                  </w14:solidFill>
                </w14:textFill>
              </w:rPr>
              <w:t>。</w:t>
            </w:r>
          </w:p>
          <w:p w14:paraId="2DF7FE77">
            <w:pPr>
              <w:jc w:val="center"/>
              <w:rPr>
                <w:b/>
                <w:bCs/>
                <w:color w:val="auto"/>
                <w:spacing w:val="-2"/>
                <w:highlight w:val="none"/>
              </w:rPr>
            </w:pPr>
            <w:r>
              <w:rPr>
                <w:rFonts w:eastAsia="黑体"/>
                <w:color w:val="auto"/>
                <w:szCs w:val="20"/>
                <w:highlight w:val="none"/>
              </w:rPr>
              <w:t>表1-</w:t>
            </w:r>
            <w:r>
              <w:rPr>
                <w:rFonts w:hint="eastAsia" w:eastAsia="黑体"/>
                <w:color w:val="auto"/>
                <w:szCs w:val="20"/>
                <w:highlight w:val="none"/>
                <w:lang w:val="en-US" w:eastAsia="zh-CN"/>
              </w:rPr>
              <w:t>9</w:t>
            </w:r>
            <w:r>
              <w:rPr>
                <w:rFonts w:eastAsia="黑体"/>
                <w:color w:val="auto"/>
                <w:szCs w:val="20"/>
                <w:highlight w:val="none"/>
              </w:rPr>
              <w:t xml:space="preserve">  本项目与生态管控单元的符合性分析</w:t>
            </w:r>
          </w:p>
          <w:tbl>
            <w:tblPr>
              <w:tblStyle w:val="29"/>
              <w:tblW w:w="0" w:type="auto"/>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57" w:type="dxa"/>
                <w:bottom w:w="0" w:type="dxa"/>
                <w:right w:w="57" w:type="dxa"/>
              </w:tblCellMar>
            </w:tblPr>
            <w:tblGrid>
              <w:gridCol w:w="429"/>
              <w:gridCol w:w="413"/>
              <w:gridCol w:w="427"/>
              <w:gridCol w:w="3434"/>
              <w:gridCol w:w="3012"/>
              <w:gridCol w:w="385"/>
            </w:tblGrid>
            <w:tr w14:paraId="63967C4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57" w:type="dxa"/>
                  <w:bottom w:w="0" w:type="dxa"/>
                  <w:right w:w="57" w:type="dxa"/>
                </w:tblCellMar>
              </w:tblPrEx>
              <w:trPr>
                <w:jc w:val="center"/>
              </w:trPr>
              <w:tc>
                <w:tcPr>
                  <w:tcW w:w="0" w:type="auto"/>
                  <w:noWrap w:val="0"/>
                  <w:vAlign w:val="center"/>
                </w:tcPr>
                <w:p w14:paraId="6527D9AB">
                  <w:pPr>
                    <w:autoSpaceDE w:val="0"/>
                    <w:autoSpaceDN w:val="0"/>
                    <w:spacing w:line="240" w:lineRule="atLeast"/>
                    <w:jc w:val="center"/>
                    <w:rPr>
                      <w:color w:val="auto"/>
                      <w:kern w:val="0"/>
                      <w:szCs w:val="21"/>
                      <w:highlight w:val="none"/>
                    </w:rPr>
                  </w:pPr>
                  <w:r>
                    <w:rPr>
                      <w:color w:val="auto"/>
                      <w:kern w:val="0"/>
                      <w:szCs w:val="21"/>
                      <w:highlight w:val="none"/>
                    </w:rPr>
                    <w:t>环境管控单元分类</w:t>
                  </w:r>
                </w:p>
              </w:tc>
              <w:tc>
                <w:tcPr>
                  <w:tcW w:w="0" w:type="auto"/>
                  <w:noWrap w:val="0"/>
                  <w:vAlign w:val="center"/>
                </w:tcPr>
                <w:p w14:paraId="429D95DB">
                  <w:pPr>
                    <w:autoSpaceDE w:val="0"/>
                    <w:autoSpaceDN w:val="0"/>
                    <w:spacing w:line="240" w:lineRule="atLeast"/>
                    <w:jc w:val="center"/>
                    <w:rPr>
                      <w:color w:val="auto"/>
                      <w:kern w:val="0"/>
                      <w:szCs w:val="21"/>
                      <w:highlight w:val="none"/>
                    </w:rPr>
                  </w:pPr>
                  <w:r>
                    <w:rPr>
                      <w:color w:val="auto"/>
                      <w:kern w:val="0"/>
                      <w:szCs w:val="21"/>
                      <w:highlight w:val="none"/>
                    </w:rPr>
                    <w:t>区域名称</w:t>
                  </w:r>
                </w:p>
              </w:tc>
              <w:tc>
                <w:tcPr>
                  <w:tcW w:w="0" w:type="auto"/>
                  <w:noWrap w:val="0"/>
                  <w:vAlign w:val="center"/>
                </w:tcPr>
                <w:p w14:paraId="3589A793">
                  <w:pPr>
                    <w:spacing w:line="240" w:lineRule="atLeast"/>
                    <w:jc w:val="center"/>
                    <w:rPr>
                      <w:color w:val="auto"/>
                      <w:szCs w:val="21"/>
                      <w:highlight w:val="none"/>
                    </w:rPr>
                  </w:pPr>
                  <w:r>
                    <w:rPr>
                      <w:color w:val="auto"/>
                      <w:szCs w:val="21"/>
                      <w:highlight w:val="none"/>
                    </w:rPr>
                    <w:t>管控</w:t>
                  </w:r>
                </w:p>
                <w:p w14:paraId="76A70946">
                  <w:pPr>
                    <w:autoSpaceDE w:val="0"/>
                    <w:autoSpaceDN w:val="0"/>
                    <w:spacing w:line="240" w:lineRule="atLeast"/>
                    <w:jc w:val="center"/>
                    <w:rPr>
                      <w:color w:val="auto"/>
                      <w:kern w:val="0"/>
                      <w:szCs w:val="21"/>
                      <w:highlight w:val="none"/>
                    </w:rPr>
                  </w:pPr>
                  <w:r>
                    <w:rPr>
                      <w:color w:val="auto"/>
                      <w:kern w:val="0"/>
                      <w:szCs w:val="21"/>
                      <w:highlight w:val="none"/>
                    </w:rPr>
                    <w:t>类别</w:t>
                  </w:r>
                </w:p>
              </w:tc>
              <w:tc>
                <w:tcPr>
                  <w:tcW w:w="0" w:type="auto"/>
                  <w:noWrap w:val="0"/>
                  <w:vAlign w:val="center"/>
                </w:tcPr>
                <w:p w14:paraId="551D7B7A">
                  <w:pPr>
                    <w:autoSpaceDE w:val="0"/>
                    <w:autoSpaceDN w:val="0"/>
                    <w:spacing w:line="240" w:lineRule="atLeast"/>
                    <w:jc w:val="center"/>
                    <w:rPr>
                      <w:color w:val="auto"/>
                      <w:kern w:val="0"/>
                      <w:szCs w:val="21"/>
                      <w:highlight w:val="none"/>
                    </w:rPr>
                  </w:pPr>
                  <w:r>
                    <w:rPr>
                      <w:color w:val="auto"/>
                      <w:kern w:val="0"/>
                      <w:szCs w:val="21"/>
                      <w:highlight w:val="none"/>
                    </w:rPr>
                    <w:t>管控要求</w:t>
                  </w:r>
                </w:p>
              </w:tc>
              <w:tc>
                <w:tcPr>
                  <w:tcW w:w="0" w:type="auto"/>
                  <w:noWrap w:val="0"/>
                  <w:vAlign w:val="center"/>
                </w:tcPr>
                <w:p w14:paraId="5E04C065">
                  <w:pPr>
                    <w:autoSpaceDE w:val="0"/>
                    <w:autoSpaceDN w:val="0"/>
                    <w:spacing w:line="240" w:lineRule="atLeast"/>
                    <w:jc w:val="center"/>
                    <w:rPr>
                      <w:color w:val="auto"/>
                      <w:kern w:val="0"/>
                      <w:szCs w:val="21"/>
                      <w:highlight w:val="none"/>
                    </w:rPr>
                  </w:pPr>
                  <w:r>
                    <w:rPr>
                      <w:color w:val="auto"/>
                      <w:kern w:val="0"/>
                      <w:szCs w:val="21"/>
                      <w:highlight w:val="none"/>
                    </w:rPr>
                    <w:t>协调性分析</w:t>
                  </w:r>
                </w:p>
              </w:tc>
              <w:tc>
                <w:tcPr>
                  <w:tcW w:w="0" w:type="auto"/>
                  <w:noWrap w:val="0"/>
                  <w:vAlign w:val="center"/>
                </w:tcPr>
                <w:p w14:paraId="7E4DF978">
                  <w:pPr>
                    <w:autoSpaceDE w:val="0"/>
                    <w:autoSpaceDN w:val="0"/>
                    <w:spacing w:line="240" w:lineRule="atLeast"/>
                    <w:jc w:val="center"/>
                    <w:rPr>
                      <w:color w:val="auto"/>
                      <w:kern w:val="0"/>
                      <w:szCs w:val="21"/>
                      <w:highlight w:val="none"/>
                    </w:rPr>
                  </w:pPr>
                  <w:r>
                    <w:rPr>
                      <w:color w:val="auto"/>
                      <w:kern w:val="0"/>
                      <w:szCs w:val="21"/>
                      <w:highlight w:val="none"/>
                    </w:rPr>
                    <w:t>符合性分析</w:t>
                  </w:r>
                </w:p>
              </w:tc>
            </w:tr>
            <w:tr w14:paraId="2BB1685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57" w:type="dxa"/>
                  <w:bottom w:w="0" w:type="dxa"/>
                  <w:right w:w="57" w:type="dxa"/>
                </w:tblCellMar>
              </w:tblPrEx>
              <w:trPr>
                <w:jc w:val="center"/>
              </w:trPr>
              <w:tc>
                <w:tcPr>
                  <w:tcW w:w="0" w:type="auto"/>
                  <w:vMerge w:val="restart"/>
                  <w:noWrap w:val="0"/>
                  <w:vAlign w:val="center"/>
                </w:tcPr>
                <w:p w14:paraId="4937DC2A">
                  <w:pPr>
                    <w:rPr>
                      <w:color w:val="auto"/>
                      <w:kern w:val="0"/>
                      <w:szCs w:val="21"/>
                      <w:highlight w:val="none"/>
                    </w:rPr>
                  </w:pPr>
                  <w:r>
                    <w:rPr>
                      <w:color w:val="auto"/>
                      <w:spacing w:val="-3"/>
                      <w:highlight w:val="none"/>
                    </w:rPr>
                    <w:t>一般管控单元</w:t>
                  </w:r>
                </w:p>
              </w:tc>
              <w:tc>
                <w:tcPr>
                  <w:tcW w:w="0" w:type="auto"/>
                  <w:vMerge w:val="restart"/>
                  <w:noWrap w:val="0"/>
                  <w:vAlign w:val="center"/>
                </w:tcPr>
                <w:p w14:paraId="49DA9969">
                  <w:pPr>
                    <w:rPr>
                      <w:color w:val="auto"/>
                      <w:kern w:val="0"/>
                      <w:szCs w:val="21"/>
                      <w:highlight w:val="none"/>
                    </w:rPr>
                  </w:pPr>
                  <w:r>
                    <w:rPr>
                      <w:color w:val="auto"/>
                      <w:spacing w:val="-3"/>
                      <w:highlight w:val="none"/>
                    </w:rPr>
                    <w:t>一般管控单元</w:t>
                  </w:r>
                  <w:r>
                    <w:rPr>
                      <w:color w:val="auto"/>
                      <w:spacing w:val="3"/>
                      <w:highlight w:val="none"/>
                    </w:rPr>
                    <w:t xml:space="preserve"> </w:t>
                  </w:r>
                  <w:r>
                    <w:rPr>
                      <w:color w:val="auto"/>
                      <w:highlight w:val="none"/>
                    </w:rPr>
                    <w:t>5</w:t>
                  </w:r>
                </w:p>
              </w:tc>
              <w:tc>
                <w:tcPr>
                  <w:tcW w:w="0" w:type="auto"/>
                  <w:noWrap w:val="0"/>
                  <w:vAlign w:val="center"/>
                </w:tcPr>
                <w:p w14:paraId="0C88A53F">
                  <w:pPr>
                    <w:rPr>
                      <w:color w:val="auto"/>
                      <w:kern w:val="0"/>
                      <w:szCs w:val="21"/>
                      <w:highlight w:val="none"/>
                    </w:rPr>
                  </w:pPr>
                  <w:r>
                    <w:rPr>
                      <w:color w:val="auto"/>
                      <w:spacing w:val="-3"/>
                      <w:highlight w:val="none"/>
                    </w:rPr>
                    <w:t>空间布局约束</w:t>
                  </w:r>
                </w:p>
              </w:tc>
              <w:tc>
                <w:tcPr>
                  <w:tcW w:w="0" w:type="auto"/>
                  <w:noWrap w:val="0"/>
                  <w:vAlign w:val="center"/>
                </w:tcPr>
                <w:p w14:paraId="4A62C87F">
                  <w:pPr>
                    <w:autoSpaceDE w:val="0"/>
                    <w:autoSpaceDN w:val="0"/>
                    <w:spacing w:line="240" w:lineRule="atLeast"/>
                    <w:rPr>
                      <w:kern w:val="21"/>
                      <w:szCs w:val="21"/>
                      <w:highlight w:val="none"/>
                    </w:rPr>
                  </w:pPr>
                  <w:r>
                    <w:rPr>
                      <w:kern w:val="21"/>
                      <w:szCs w:val="21"/>
                      <w:highlight w:val="none"/>
                    </w:rPr>
                    <w:t>禁止在具有生态环境保护功能区内、城建规划区周边以及重要交通干线、河流湖泊直观可视范围内进行固体矿产勘查开发活动。禁止在生态环境脆弱区域开展不符合其功能定位的矿山勘查开发活动。</w:t>
                  </w:r>
                </w:p>
                <w:p w14:paraId="5A5E2C6A">
                  <w:pPr>
                    <w:autoSpaceDE w:val="0"/>
                    <w:autoSpaceDN w:val="0"/>
                    <w:spacing w:line="240" w:lineRule="atLeast"/>
                    <w:rPr>
                      <w:color w:val="auto"/>
                      <w:kern w:val="0"/>
                      <w:szCs w:val="21"/>
                      <w:highlight w:val="none"/>
                    </w:rPr>
                  </w:pPr>
                  <w:r>
                    <w:rPr>
                      <w:kern w:val="21"/>
                      <w:szCs w:val="21"/>
                      <w:highlight w:val="none"/>
                    </w:rPr>
                    <w:t>严格管控重污染耕地，划定农产品禁止生产区，加强对严格管控类耕地的用途管理。实施建设用地准入管理,城市控制性详细规划涉及疑似污染地块或污染地块的,应根据规划用途明确其土壤环境质量要求并作为规划许可条件。</w:t>
                  </w:r>
                </w:p>
              </w:tc>
              <w:tc>
                <w:tcPr>
                  <w:tcW w:w="0" w:type="auto"/>
                  <w:noWrap w:val="0"/>
                  <w:vAlign w:val="center"/>
                </w:tcPr>
                <w:p w14:paraId="1CADC798">
                  <w:pPr>
                    <w:autoSpaceDE w:val="0"/>
                    <w:autoSpaceDN w:val="0"/>
                    <w:spacing w:line="240" w:lineRule="atLeast"/>
                    <w:rPr>
                      <w:color w:val="auto"/>
                      <w:kern w:val="0"/>
                      <w:szCs w:val="21"/>
                      <w:highlight w:val="none"/>
                    </w:rPr>
                  </w:pPr>
                  <w:r>
                    <w:rPr>
                      <w:color w:val="auto"/>
                      <w:kern w:val="21"/>
                      <w:highlight w:val="none"/>
                    </w:rPr>
                    <w:t>本项目属陆地矿产资源地质勘查</w:t>
                  </w:r>
                  <w:bookmarkStart w:id="4" w:name="_Hlk189819688"/>
                  <w:r>
                    <w:rPr>
                      <w:color w:val="auto"/>
                      <w:kern w:val="21"/>
                      <w:highlight w:val="none"/>
                    </w:rPr>
                    <w:t>项目</w:t>
                  </w:r>
                  <w:bookmarkEnd w:id="4"/>
                  <w:r>
                    <w:rPr>
                      <w:rFonts w:ascii="Times New Roman" w:hAnsi="Times New Roman" w:eastAsia="宋体" w:cs="Times New Roman"/>
                      <w:color w:val="auto"/>
                      <w:kern w:val="21"/>
                      <w:highlight w:val="none"/>
                    </w:rPr>
                    <w:t>，本项目选址</w:t>
                  </w:r>
                  <w:r>
                    <w:rPr>
                      <w:rFonts w:ascii="Times New Roman" w:hAnsi="Times New Roman" w:eastAsia="宋体" w:cs="Times New Roman"/>
                      <w:color w:val="auto"/>
                      <w:szCs w:val="21"/>
                      <w:highlight w:val="none"/>
                      <w:lang w:val="en-US" w:eastAsia="zh-CN"/>
                    </w:rPr>
                    <w:t>安徽省淮南市</w:t>
                  </w:r>
                  <w:r>
                    <w:rPr>
                      <w:rFonts w:hint="eastAsia" w:ascii="Times New Roman" w:hAnsi="Times New Roman" w:eastAsia="宋体" w:cs="Times New Roman"/>
                      <w:color w:val="auto"/>
                      <w:szCs w:val="21"/>
                      <w:highlight w:val="none"/>
                      <w:lang w:val="en-US" w:eastAsia="zh-CN"/>
                    </w:rPr>
                    <w:t>凤台县新集镇王集村</w:t>
                  </w:r>
                  <w:r>
                    <w:rPr>
                      <w:rFonts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安徽省淮南市新集一矿3608(6)采区东翼</w:t>
                  </w:r>
                  <w:r>
                    <w:rPr>
                      <w:rFonts w:ascii="Times New Roman" w:hAnsi="Times New Roman" w:eastAsia="宋体" w:cs="Times New Roman"/>
                      <w:color w:val="auto"/>
                      <w:kern w:val="21"/>
                      <w:highlight w:val="none"/>
                    </w:rPr>
                    <w:t>，项目已办理临时用</w:t>
                  </w:r>
                  <w:r>
                    <w:rPr>
                      <w:color w:val="auto"/>
                      <w:kern w:val="0"/>
                      <w:szCs w:val="21"/>
                      <w:highlight w:val="none"/>
                    </w:rPr>
                    <w:t>地手续，</w:t>
                  </w:r>
                  <w:r>
                    <w:rPr>
                      <w:bCs/>
                      <w:color w:val="auto"/>
                      <w:kern w:val="21"/>
                      <w:highlight w:val="none"/>
                    </w:rPr>
                    <w:t>本项目施工前需进行表土剥离工作，将表土放在专门的表土堆放区，表土堆放区应设置截、排水沟、苫盖等措施。同时本项目完成注浆、封孔及时恢复场地原状。</w:t>
                  </w:r>
                </w:p>
              </w:tc>
              <w:tc>
                <w:tcPr>
                  <w:tcW w:w="0" w:type="auto"/>
                  <w:noWrap w:val="0"/>
                  <w:vAlign w:val="center"/>
                </w:tcPr>
                <w:p w14:paraId="3FB412FF">
                  <w:pPr>
                    <w:autoSpaceDE w:val="0"/>
                    <w:autoSpaceDN w:val="0"/>
                    <w:spacing w:line="240" w:lineRule="atLeast"/>
                    <w:jc w:val="center"/>
                    <w:rPr>
                      <w:color w:val="auto"/>
                      <w:kern w:val="0"/>
                      <w:szCs w:val="21"/>
                      <w:highlight w:val="none"/>
                    </w:rPr>
                  </w:pPr>
                  <w:r>
                    <w:rPr>
                      <w:color w:val="auto"/>
                      <w:kern w:val="0"/>
                      <w:szCs w:val="21"/>
                      <w:highlight w:val="none"/>
                    </w:rPr>
                    <w:t>符合</w:t>
                  </w:r>
                </w:p>
              </w:tc>
            </w:tr>
            <w:tr w14:paraId="5B73C80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57" w:type="dxa"/>
                  <w:bottom w:w="0" w:type="dxa"/>
                  <w:right w:w="57" w:type="dxa"/>
                </w:tblCellMar>
              </w:tblPrEx>
              <w:trPr>
                <w:jc w:val="center"/>
              </w:trPr>
              <w:tc>
                <w:tcPr>
                  <w:tcW w:w="0" w:type="auto"/>
                  <w:vMerge w:val="continue"/>
                  <w:noWrap w:val="0"/>
                  <w:vAlign w:val="center"/>
                </w:tcPr>
                <w:p w14:paraId="1B93A5E4">
                  <w:pPr>
                    <w:rPr>
                      <w:color w:val="auto"/>
                      <w:spacing w:val="-3"/>
                      <w:highlight w:val="none"/>
                    </w:rPr>
                  </w:pPr>
                </w:p>
              </w:tc>
              <w:tc>
                <w:tcPr>
                  <w:tcW w:w="0" w:type="auto"/>
                  <w:vMerge w:val="continue"/>
                  <w:noWrap w:val="0"/>
                  <w:vAlign w:val="center"/>
                </w:tcPr>
                <w:p w14:paraId="54DAB171">
                  <w:pPr>
                    <w:rPr>
                      <w:color w:val="auto"/>
                      <w:spacing w:val="-3"/>
                      <w:highlight w:val="none"/>
                    </w:rPr>
                  </w:pPr>
                </w:p>
              </w:tc>
              <w:tc>
                <w:tcPr>
                  <w:tcW w:w="0" w:type="auto"/>
                  <w:noWrap w:val="0"/>
                  <w:vAlign w:val="center"/>
                </w:tcPr>
                <w:p w14:paraId="72733393">
                  <w:pPr>
                    <w:rPr>
                      <w:color w:val="auto"/>
                      <w:spacing w:val="-3"/>
                      <w:highlight w:val="none"/>
                    </w:rPr>
                  </w:pPr>
                  <w:r>
                    <w:rPr>
                      <w:color w:val="auto"/>
                      <w:spacing w:val="-3"/>
                      <w:highlight w:val="none"/>
                    </w:rPr>
                    <w:t>资源开发效率要求</w:t>
                  </w:r>
                </w:p>
              </w:tc>
              <w:tc>
                <w:tcPr>
                  <w:tcW w:w="0" w:type="auto"/>
                  <w:noWrap w:val="0"/>
                  <w:vAlign w:val="center"/>
                </w:tcPr>
                <w:p w14:paraId="246C14A6">
                  <w:pPr>
                    <w:autoSpaceDE w:val="0"/>
                    <w:autoSpaceDN w:val="0"/>
                    <w:spacing w:line="240" w:lineRule="atLeast"/>
                    <w:rPr>
                      <w:color w:val="auto"/>
                      <w:kern w:val="0"/>
                      <w:szCs w:val="21"/>
                      <w:highlight w:val="none"/>
                    </w:rPr>
                  </w:pPr>
                  <w:r>
                    <w:rPr>
                      <w:color w:val="auto"/>
                      <w:kern w:val="0"/>
                      <w:szCs w:val="21"/>
                      <w:highlight w:val="none"/>
                    </w:rPr>
                    <w:t>大气环境部分部分依据《中华人民共和国大气污染防治法》《打赢蓝天保 卫战三年行动计划》《安徽省打赢蓝天保卫战三年行动计划实施方案》等 法律法规和规章对一般管控区实施管控。上年度PM2.5不达标城市新建、改建和扩建项目大气污染物实施“倍量替代”，执行特别排放标准的行业 实施提标升级改造。</w:t>
                  </w:r>
                  <w:r>
                    <w:rPr>
                      <w:color w:val="auto"/>
                      <w:kern w:val="0"/>
                      <w:szCs w:val="21"/>
                      <w:highlight w:val="none"/>
                    </w:rPr>
                    <w:cr/>
                  </w:r>
                  <w:r>
                    <w:rPr>
                      <w:color w:val="auto"/>
                      <w:kern w:val="0"/>
                      <w:szCs w:val="21"/>
                      <w:highlight w:val="none"/>
                    </w:rPr>
                    <w:t>水环境部分依据《中华人民共和国水污染防治法》《水污染防治行动计划 》《安徽省水污染防治工作方案》及各市水污染防治工作方案对一般管控 区实施管控。</w:t>
                  </w:r>
                  <w:r>
                    <w:rPr>
                      <w:color w:val="auto"/>
                      <w:kern w:val="0"/>
                      <w:szCs w:val="21"/>
                      <w:highlight w:val="none"/>
                    </w:rPr>
                    <w:cr/>
                  </w:r>
                  <w:r>
                    <w:rPr>
                      <w:color w:val="auto"/>
                      <w:kern w:val="0"/>
                      <w:szCs w:val="21"/>
                      <w:highlight w:val="none"/>
                    </w:rPr>
                    <w:t>土壤环境部分依据《中华人民共和国土壤污染防治法》《土壤污染防治行 动计划》《安徽省土壤污染防治工作方案》等要求及各市土壤污染防治工 作方案对一般管控区实施管控。</w:t>
                  </w:r>
                  <w:r>
                    <w:rPr>
                      <w:color w:val="auto"/>
                      <w:kern w:val="0"/>
                      <w:szCs w:val="21"/>
                      <w:highlight w:val="none"/>
                    </w:rPr>
                    <w:cr/>
                  </w:r>
                  <w:r>
                    <w:rPr>
                      <w:color w:val="auto"/>
                      <w:kern w:val="0"/>
                      <w:szCs w:val="21"/>
                      <w:highlight w:val="none"/>
                    </w:rPr>
                    <w:t>资源利用部分落实《安徽省煤炭消费减量替代工作方案（2018-2020年）》 要求。落实《国务院办公厅关于印发实行最严格水资源管理制度考核办法 的通知》等要求。落实《安徽省土地利用总体规划（2006-2020年）调整方 案等要求。《中华人民共和国大气污染防治法》《打赢蓝天保卫战三年行 动计划》《安徽省打赢蓝天保卫战三年行动计划实施方案》《中华人民共 和国水污染防治法》《水污染防治行动计划》《安徽省水污染防治工作方 案》《安徽省淮河流域水污染防治条例》对淮河流域实施管控；依据《中 华人民共和国土壤污染防治法》《土壤污染防治行动计划》《安徽省土壤 污染防治工作方案》《国务院办公厅关于印发实行最严格水资源管理制度 考核办法的通知》《安徽省土地利用总体规划（2006-2025年）调整方案》</w:t>
                  </w:r>
                  <w:r>
                    <w:rPr>
                      <w:color w:val="auto"/>
                      <w:kern w:val="0"/>
                      <w:szCs w:val="21"/>
                      <w:highlight w:val="none"/>
                    </w:rPr>
                    <w:cr/>
                  </w:r>
                  <w:r>
                    <w:rPr>
                      <w:color w:val="auto"/>
                      <w:kern w:val="0"/>
                      <w:szCs w:val="21"/>
                      <w:highlight w:val="none"/>
                    </w:rPr>
                    <w:t>。</w:t>
                  </w:r>
                </w:p>
              </w:tc>
              <w:tc>
                <w:tcPr>
                  <w:tcW w:w="0" w:type="auto"/>
                  <w:noWrap w:val="0"/>
                  <w:vAlign w:val="center"/>
                </w:tcPr>
                <w:p w14:paraId="04CBC1A5">
                  <w:pPr>
                    <w:spacing w:line="240" w:lineRule="auto"/>
                    <w:rPr>
                      <w:rFonts w:ascii="Times New Roman" w:hAnsi="Times New Roman" w:eastAsia="宋体" w:cs="Times New Roman"/>
                      <w:color w:val="auto"/>
                      <w:kern w:val="0"/>
                      <w:szCs w:val="21"/>
                      <w:highlight w:val="none"/>
                    </w:rPr>
                  </w:pPr>
                  <w:r>
                    <w:rPr>
                      <w:rFonts w:ascii="Times New Roman" w:hAnsi="Times New Roman" w:eastAsia="宋体" w:cs="Times New Roman"/>
                      <w:color w:val="auto"/>
                      <w:kern w:val="0"/>
                      <w:szCs w:val="21"/>
                      <w:highlight w:val="none"/>
                    </w:rPr>
                    <w:t>本项目</w:t>
                  </w:r>
                  <w:r>
                    <w:rPr>
                      <w:rFonts w:hint="eastAsia" w:ascii="Times New Roman" w:hAnsi="Times New Roman" w:eastAsia="宋体" w:cs="Times New Roman"/>
                      <w:color w:val="auto"/>
                      <w:kern w:val="0"/>
                      <w:szCs w:val="21"/>
                      <w:highlight w:val="none"/>
                      <w:lang w:val="en-US" w:eastAsia="zh-CN"/>
                    </w:rPr>
                    <w:t>实施的目的</w:t>
                  </w:r>
                  <w:r>
                    <w:rPr>
                      <w:rFonts w:ascii="Times New Roman" w:hAnsi="Times New Roman" w:eastAsia="宋体" w:cs="Times New Roman"/>
                      <w:color w:val="auto"/>
                      <w:kern w:val="0"/>
                      <w:szCs w:val="21"/>
                      <w:highlight w:val="none"/>
                    </w:rPr>
                    <w:t>是针对新集一矿360610工作面受多煤层重复采动及推覆构造影响、地表沉降规律复杂且威胁阜淮铁路运行安全的问题，通过探查上覆推覆体片麻岩及煤系地层离层发育情况，采用覆岩离层注浆充填技术提前干预覆岩活动、形成充填压实承载区，并在铁路维护带以北设置预警线和控制线开展专项监测，从而控制采空区覆岩沉降过程、减小地表最终静态沉降量，保障铁路等地表设施安全稳定，同时保障矿井正常采掘接续，实现覆岩离层注浆减沉控沉绿色开采治理目标。</w:t>
                  </w:r>
                </w:p>
                <w:p w14:paraId="6D3E92EA">
                  <w:pPr>
                    <w:spacing w:line="240" w:lineRule="auto"/>
                    <w:rPr>
                      <w:color w:val="auto"/>
                      <w:kern w:val="0"/>
                      <w:szCs w:val="21"/>
                      <w:highlight w:val="none"/>
                    </w:rPr>
                  </w:pPr>
                  <w:r>
                    <w:rPr>
                      <w:rFonts w:ascii="Times New Roman" w:hAnsi="Times New Roman" w:eastAsia="宋体" w:cs="Times New Roman"/>
                      <w:color w:val="auto"/>
                      <w:kern w:val="0"/>
                      <w:szCs w:val="21"/>
                      <w:highlight w:val="none"/>
                    </w:rPr>
                    <w:t>同时本项目采取了一系</w:t>
                  </w:r>
                  <w:r>
                    <w:rPr>
                      <w:color w:val="auto"/>
                      <w:highlight w:val="none"/>
                    </w:rPr>
                    <w:t>列针对废气、废水、噪声、固废的防治措施，使项目对周边环境影响可接受。</w:t>
                  </w:r>
                </w:p>
              </w:tc>
              <w:tc>
                <w:tcPr>
                  <w:tcW w:w="0" w:type="auto"/>
                  <w:noWrap w:val="0"/>
                  <w:vAlign w:val="center"/>
                </w:tcPr>
                <w:p w14:paraId="6B809C10">
                  <w:pPr>
                    <w:autoSpaceDE w:val="0"/>
                    <w:autoSpaceDN w:val="0"/>
                    <w:spacing w:line="240" w:lineRule="atLeast"/>
                    <w:jc w:val="center"/>
                    <w:rPr>
                      <w:color w:val="auto"/>
                      <w:kern w:val="0"/>
                      <w:szCs w:val="21"/>
                      <w:highlight w:val="none"/>
                    </w:rPr>
                  </w:pPr>
                  <w:r>
                    <w:rPr>
                      <w:color w:val="auto"/>
                      <w:kern w:val="0"/>
                      <w:szCs w:val="21"/>
                      <w:highlight w:val="none"/>
                    </w:rPr>
                    <w:t>符合</w:t>
                  </w:r>
                </w:p>
              </w:tc>
            </w:tr>
          </w:tbl>
          <w:p w14:paraId="4AC63815">
            <w:pPr>
              <w:spacing w:line="360" w:lineRule="auto"/>
              <w:ind w:firstLine="482" w:firstLineChars="200"/>
              <w:rPr>
                <w:rFonts w:hint="default"/>
                <w:b/>
                <w:bCs/>
                <w:color w:val="auto"/>
                <w:sz w:val="24"/>
                <w:highlight w:val="none"/>
                <w:lang w:val="en-US" w:eastAsia="zh-CN"/>
              </w:rPr>
            </w:pPr>
            <w:r>
              <w:rPr>
                <w:rFonts w:hint="eastAsia"/>
                <w:b/>
                <w:bCs/>
                <w:color w:val="auto"/>
                <w:sz w:val="24"/>
                <w:highlight w:val="none"/>
                <w:lang w:val="en-US" w:eastAsia="zh-CN"/>
              </w:rPr>
              <w:t>（7）粉煤灰利用相关政策符合性分析</w:t>
            </w:r>
          </w:p>
          <w:p w14:paraId="2A9ED76B">
            <w:pPr>
              <w:pStyle w:val="26"/>
              <w:spacing w:before="0" w:beforeAutospacing="0" w:after="0" w:afterAutospacing="0" w:line="360" w:lineRule="auto"/>
              <w:ind w:firstLine="480" w:firstLineChars="200"/>
              <w:jc w:val="both"/>
              <w:rPr>
                <w:rFonts w:hint="default" w:ascii="Times New Roman" w:hAnsi="Times New Roman" w:eastAsia="宋体" w:cs="Times New Roman"/>
                <w:bCs/>
                <w:color w:val="auto"/>
                <w:szCs w:val="24"/>
                <w:highlight w:val="none"/>
                <w:lang w:val="en-US" w:eastAsia="zh-CN"/>
              </w:rPr>
            </w:pPr>
            <w:r>
              <w:rPr>
                <w:rFonts w:hint="default" w:ascii="Times New Roman" w:hAnsi="Times New Roman" w:eastAsia="宋体" w:cs="Times New Roman"/>
                <w:bCs/>
                <w:color w:val="auto"/>
                <w:szCs w:val="24"/>
                <w:highlight w:val="none"/>
              </w:rPr>
              <w:t>本项目以电厂Ⅲ级粉煤灰作为覆岩离层注浆充填材料，其利用途径具有充分的多层级政策依据：首先，符合《粉煤灰综合利用管理办法》（国家发改委等十部委令第19号）第四条将</w:t>
            </w:r>
            <w:r>
              <w:rPr>
                <w:rFonts w:hint="eastAsia" w:ascii="Times New Roman" w:hAnsi="Times New Roman" w:eastAsia="宋体" w:cs="Times New Roman"/>
                <w:bCs/>
                <w:color w:val="auto"/>
                <w:szCs w:val="24"/>
                <w:highlight w:val="none"/>
                <w:lang w:eastAsia="zh-CN"/>
              </w:rPr>
              <w:t>“</w:t>
            </w:r>
            <w:r>
              <w:rPr>
                <w:rFonts w:hint="default" w:ascii="Times New Roman" w:hAnsi="Times New Roman" w:eastAsia="宋体" w:cs="Times New Roman"/>
                <w:bCs/>
                <w:color w:val="auto"/>
                <w:szCs w:val="24"/>
                <w:highlight w:val="none"/>
              </w:rPr>
              <w:t>回填</w:t>
            </w:r>
            <w:r>
              <w:rPr>
                <w:rFonts w:hint="eastAsia" w:ascii="Times New Roman" w:hAnsi="Times New Roman" w:eastAsia="宋体" w:cs="Times New Roman"/>
                <w:bCs/>
                <w:color w:val="auto"/>
                <w:szCs w:val="24"/>
                <w:highlight w:val="none"/>
                <w:lang w:eastAsia="zh-CN"/>
              </w:rPr>
              <w:t>”</w:t>
            </w:r>
            <w:r>
              <w:rPr>
                <w:rFonts w:hint="default" w:ascii="Times New Roman" w:hAnsi="Times New Roman" w:eastAsia="宋体" w:cs="Times New Roman"/>
                <w:bCs/>
                <w:color w:val="auto"/>
                <w:szCs w:val="24"/>
                <w:highlight w:val="none"/>
              </w:rPr>
              <w:t>纳入粉煤灰综合利用法定范畴的规定，以及第六条</w:t>
            </w:r>
            <w:r>
              <w:rPr>
                <w:rFonts w:hint="eastAsia" w:ascii="Times New Roman" w:hAnsi="Times New Roman" w:eastAsia="宋体" w:cs="Times New Roman"/>
                <w:bCs/>
                <w:color w:val="auto"/>
                <w:szCs w:val="24"/>
                <w:highlight w:val="none"/>
                <w:lang w:eastAsia="zh-CN"/>
              </w:rPr>
              <w:t>“</w:t>
            </w:r>
            <w:r>
              <w:rPr>
                <w:rFonts w:hint="default" w:ascii="Times New Roman" w:hAnsi="Times New Roman" w:eastAsia="宋体" w:cs="Times New Roman"/>
                <w:bCs/>
                <w:color w:val="auto"/>
                <w:szCs w:val="24"/>
                <w:highlight w:val="none"/>
              </w:rPr>
              <w:t>减少堆存、扩大利用规模</w:t>
            </w:r>
            <w:r>
              <w:rPr>
                <w:rFonts w:hint="eastAsia" w:ascii="Times New Roman" w:hAnsi="Times New Roman" w:eastAsia="宋体" w:cs="Times New Roman"/>
                <w:bCs/>
                <w:color w:val="auto"/>
                <w:szCs w:val="24"/>
                <w:highlight w:val="none"/>
                <w:lang w:eastAsia="zh-CN"/>
              </w:rPr>
              <w:t>”</w:t>
            </w:r>
            <w:r>
              <w:rPr>
                <w:rFonts w:hint="default" w:ascii="Times New Roman" w:hAnsi="Times New Roman" w:eastAsia="宋体" w:cs="Times New Roman"/>
                <w:bCs/>
                <w:color w:val="auto"/>
                <w:szCs w:val="24"/>
                <w:highlight w:val="none"/>
              </w:rPr>
              <w:t>的原则（本项目以</w:t>
            </w:r>
            <w:r>
              <w:rPr>
                <w:rFonts w:hint="eastAsia" w:ascii="Times New Roman" w:hAnsi="Times New Roman" w:eastAsia="宋体" w:cs="Times New Roman"/>
                <w:bCs/>
                <w:color w:val="auto"/>
                <w:szCs w:val="24"/>
                <w:highlight w:val="none"/>
                <w:lang w:val="en-US" w:eastAsia="zh-CN"/>
              </w:rPr>
              <w:t>15</w:t>
            </w:r>
            <w:r>
              <w:rPr>
                <w:rFonts w:hint="default" w:ascii="Times New Roman" w:hAnsi="Times New Roman" w:eastAsia="宋体" w:cs="Times New Roman"/>
                <w:bCs/>
                <w:color w:val="auto"/>
                <w:szCs w:val="24"/>
                <w:highlight w:val="none"/>
              </w:rPr>
              <w:t>万吨级规模化充填替代堆存，本质为矿井回填，完全落入该办法界定的范畴）；其次，符合《一般工业固体废物贮存和填埋污染控制标准》（GB18599-2020）第8.1条a款</w:t>
            </w:r>
            <w:r>
              <w:rPr>
                <w:rFonts w:hint="eastAsia" w:ascii="Times New Roman" w:hAnsi="Times New Roman" w:eastAsia="宋体" w:cs="Times New Roman"/>
                <w:bCs/>
                <w:color w:val="auto"/>
                <w:szCs w:val="24"/>
                <w:highlight w:val="none"/>
                <w:lang w:eastAsia="zh-CN"/>
              </w:rPr>
              <w:t>“</w:t>
            </w:r>
            <w:r>
              <w:rPr>
                <w:rFonts w:hint="default" w:ascii="Times New Roman" w:hAnsi="Times New Roman" w:eastAsia="宋体" w:cs="Times New Roman"/>
                <w:bCs/>
                <w:color w:val="auto"/>
                <w:szCs w:val="24"/>
                <w:highlight w:val="none"/>
              </w:rPr>
              <w:t>粉煤灰可在煤炭开采矿区的采空区中充填或回填</w:t>
            </w:r>
            <w:r>
              <w:rPr>
                <w:rFonts w:hint="eastAsia" w:ascii="Times New Roman" w:hAnsi="Times New Roman" w:eastAsia="宋体" w:cs="Times New Roman"/>
                <w:bCs/>
                <w:color w:val="auto"/>
                <w:szCs w:val="24"/>
                <w:highlight w:val="none"/>
                <w:lang w:eastAsia="zh-CN"/>
              </w:rPr>
              <w:t>”</w:t>
            </w:r>
            <w:r>
              <w:rPr>
                <w:rFonts w:hint="default" w:ascii="Times New Roman" w:hAnsi="Times New Roman" w:eastAsia="宋体" w:cs="Times New Roman"/>
                <w:bCs/>
                <w:color w:val="auto"/>
                <w:szCs w:val="24"/>
                <w:highlight w:val="none"/>
              </w:rPr>
              <w:t>的技术合规路径（本项目粉煤灰属第Ⅰ类一般工业固废，充填对象360610工作面覆岩离层空间属矿区采空/离层区，且同类覆岩离层注浆项目已有援引该条款的环评先例）；同时，契合《</w:t>
            </w:r>
            <w:r>
              <w:rPr>
                <w:rFonts w:hint="eastAsia" w:ascii="Times New Roman" w:hAnsi="Times New Roman" w:eastAsia="宋体" w:cs="Times New Roman"/>
                <w:bCs/>
                <w:color w:val="auto"/>
                <w:szCs w:val="24"/>
                <w:highlight w:val="none"/>
                <w:lang w:eastAsia="zh-CN"/>
              </w:rPr>
              <w:t>“</w:t>
            </w:r>
            <w:r>
              <w:rPr>
                <w:rFonts w:hint="default" w:ascii="Times New Roman" w:hAnsi="Times New Roman" w:eastAsia="宋体" w:cs="Times New Roman"/>
                <w:bCs/>
                <w:color w:val="auto"/>
                <w:szCs w:val="24"/>
                <w:highlight w:val="none"/>
              </w:rPr>
              <w:t>十四五</w:t>
            </w:r>
            <w:r>
              <w:rPr>
                <w:rFonts w:hint="eastAsia" w:ascii="Times New Roman" w:hAnsi="Times New Roman" w:eastAsia="宋体" w:cs="Times New Roman"/>
                <w:bCs/>
                <w:color w:val="auto"/>
                <w:szCs w:val="24"/>
                <w:highlight w:val="none"/>
                <w:lang w:eastAsia="zh-CN"/>
              </w:rPr>
              <w:t>”</w:t>
            </w:r>
            <w:r>
              <w:rPr>
                <w:rFonts w:hint="default" w:ascii="Times New Roman" w:hAnsi="Times New Roman" w:eastAsia="宋体" w:cs="Times New Roman"/>
                <w:bCs/>
                <w:color w:val="auto"/>
                <w:szCs w:val="24"/>
                <w:highlight w:val="none"/>
              </w:rPr>
              <w:t>大宗固体废弃物综合利用的指导意见》（发改环资〔2021〕381号）将</w:t>
            </w:r>
            <w:r>
              <w:rPr>
                <w:rFonts w:hint="eastAsia" w:ascii="Times New Roman" w:hAnsi="Times New Roman" w:eastAsia="宋体" w:cs="Times New Roman"/>
                <w:bCs/>
                <w:color w:val="auto"/>
                <w:szCs w:val="24"/>
                <w:highlight w:val="none"/>
                <w:lang w:eastAsia="zh-CN"/>
              </w:rPr>
              <w:t>“</w:t>
            </w:r>
            <w:r>
              <w:rPr>
                <w:rFonts w:hint="default" w:ascii="Times New Roman" w:hAnsi="Times New Roman" w:eastAsia="宋体" w:cs="Times New Roman"/>
                <w:bCs/>
                <w:color w:val="auto"/>
                <w:szCs w:val="24"/>
                <w:highlight w:val="none"/>
              </w:rPr>
              <w:t>矿井充填</w:t>
            </w:r>
            <w:r>
              <w:rPr>
                <w:rFonts w:hint="eastAsia" w:ascii="Times New Roman" w:hAnsi="Times New Roman" w:eastAsia="宋体" w:cs="Times New Roman"/>
                <w:bCs/>
                <w:color w:val="auto"/>
                <w:szCs w:val="24"/>
                <w:highlight w:val="none"/>
                <w:lang w:eastAsia="zh-CN"/>
              </w:rPr>
              <w:t>”</w:t>
            </w:r>
            <w:r>
              <w:rPr>
                <w:rFonts w:hint="default" w:ascii="Times New Roman" w:hAnsi="Times New Roman" w:eastAsia="宋体" w:cs="Times New Roman"/>
                <w:bCs/>
                <w:color w:val="auto"/>
                <w:szCs w:val="24"/>
                <w:highlight w:val="none"/>
              </w:rPr>
              <w:t>明确列为煤矸石和粉煤灰重点利用方向的导向，属于国家层面点名鼓励的典型应用场景。综上，本项目粉煤灰利用在部门规章、国家标准和国家专项指导意见三个层面均具有明确的合规依据，符合国家鼓励类产业政策要求。</w:t>
            </w:r>
          </w:p>
          <w:p w14:paraId="7860F36C">
            <w:pPr>
              <w:spacing w:line="360" w:lineRule="auto"/>
              <w:ind w:firstLine="482" w:firstLineChars="200"/>
              <w:rPr>
                <w:b/>
                <w:bCs/>
                <w:color w:val="auto"/>
                <w:sz w:val="24"/>
                <w:highlight w:val="none"/>
              </w:rPr>
            </w:pPr>
            <w:r>
              <w:rPr>
                <w:b/>
                <w:bCs/>
                <w:color w:val="auto"/>
                <w:sz w:val="24"/>
                <w:highlight w:val="none"/>
              </w:rPr>
              <w:t>（</w:t>
            </w:r>
            <w:r>
              <w:rPr>
                <w:rFonts w:hint="eastAsia"/>
                <w:b/>
                <w:bCs/>
                <w:color w:val="auto"/>
                <w:sz w:val="24"/>
                <w:highlight w:val="none"/>
                <w:lang w:val="en-US" w:eastAsia="zh-CN"/>
              </w:rPr>
              <w:t>8</w:t>
            </w:r>
            <w:r>
              <w:rPr>
                <w:b/>
                <w:bCs/>
                <w:color w:val="auto"/>
                <w:sz w:val="24"/>
                <w:highlight w:val="none"/>
              </w:rPr>
              <w:t>）与《安徽省淮河流域水污染防治条例》符合性分析</w:t>
            </w:r>
          </w:p>
          <w:p w14:paraId="6FD6E6E7">
            <w:pPr>
              <w:pStyle w:val="26"/>
              <w:spacing w:before="0" w:beforeAutospacing="0" w:after="0" w:afterAutospacing="0" w:line="360" w:lineRule="auto"/>
              <w:ind w:firstLine="480" w:firstLineChars="200"/>
              <w:jc w:val="both"/>
              <w:rPr>
                <w:rFonts w:ascii="Times New Roman" w:hAnsi="Times New Roman"/>
                <w:color w:val="auto"/>
                <w:szCs w:val="22"/>
                <w:highlight w:val="none"/>
              </w:rPr>
            </w:pPr>
            <w:r>
              <w:rPr>
                <w:rFonts w:ascii="Times New Roman" w:hAnsi="Times New Roman"/>
                <w:color w:val="auto"/>
                <w:szCs w:val="22"/>
                <w:highlight w:val="none"/>
              </w:rPr>
              <w:t>根据《</w:t>
            </w:r>
            <w:r>
              <w:rPr>
                <w:rFonts w:ascii="Times New Roman" w:hAnsi="Times New Roman"/>
                <w:bCs/>
                <w:color w:val="auto"/>
                <w:szCs w:val="24"/>
                <w:highlight w:val="none"/>
              </w:rPr>
              <w:t>安徽省淮河流域水污染防治条例</w:t>
            </w:r>
            <w:r>
              <w:rPr>
                <w:rFonts w:ascii="Times New Roman" w:hAnsi="Times New Roman"/>
                <w:color w:val="auto"/>
                <w:szCs w:val="22"/>
                <w:highlight w:val="none"/>
              </w:rPr>
              <w:t>》中相关内容，禁止在淮河流域新建化学制浆造纸企业。禁止在淮河流域新建制革、化工、印染、电镀、酿造等污染严重的小型企业。严格限制在淮河流域新建前款所列大中型项目或者其他污染严重的项目；建设该类项目的，必须事先征得有关省人民政府环境保护行政主管部门的同意，并报国务院环境保护行政主管部门备案。禁止和严格限制的产业、产品名录，由国务院环境保护行政主管部门商国务院有关行业主管部门拟订，经领导小组审核同意，报国务院批准后公布施行。</w:t>
            </w:r>
          </w:p>
          <w:p w14:paraId="71521420">
            <w:pPr>
              <w:pStyle w:val="52"/>
              <w:spacing w:line="360" w:lineRule="auto"/>
              <w:ind w:firstLine="480" w:firstLineChars="200"/>
              <w:rPr>
                <w:rFonts w:ascii="Times New Roman" w:hAnsi="Times New Roman"/>
                <w:color w:val="auto"/>
                <w:highlight w:val="none"/>
              </w:rPr>
            </w:pPr>
            <w:r>
              <w:rPr>
                <w:rFonts w:ascii="Times New Roman" w:hAnsi="Times New Roman"/>
                <w:color w:val="auto"/>
                <w:highlight w:val="none"/>
              </w:rPr>
              <w:t>综上分析，项目建设地点位于</w:t>
            </w:r>
            <w:r>
              <w:rPr>
                <w:rFonts w:ascii="Times New Roman" w:hAnsi="Times New Roman" w:eastAsia="宋体" w:cs="Times New Roman"/>
                <w:color w:val="auto"/>
                <w:szCs w:val="21"/>
                <w:highlight w:val="none"/>
                <w:lang w:val="en-US" w:eastAsia="zh-CN"/>
              </w:rPr>
              <w:t>安徽省淮南市</w:t>
            </w:r>
            <w:r>
              <w:rPr>
                <w:rFonts w:hint="eastAsia" w:ascii="Times New Roman" w:hAnsi="Times New Roman" w:eastAsia="宋体" w:cs="Times New Roman"/>
                <w:color w:val="auto"/>
                <w:szCs w:val="21"/>
                <w:highlight w:val="none"/>
                <w:lang w:val="en-US" w:eastAsia="zh-CN"/>
              </w:rPr>
              <w:t>凤台县新集镇王集村</w:t>
            </w:r>
            <w:r>
              <w:rPr>
                <w:rFonts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安徽省淮南市新集一矿3608(6)采区东翼</w:t>
            </w:r>
            <w:r>
              <w:rPr>
                <w:rFonts w:ascii="Times New Roman" w:hAnsi="Times New Roman" w:eastAsia="宋体" w:cs="Times New Roman"/>
                <w:color w:val="auto"/>
                <w:kern w:val="21"/>
                <w:highlight w:val="none"/>
              </w:rPr>
              <w:t>，</w:t>
            </w:r>
            <w:r>
              <w:rPr>
                <w:rFonts w:ascii="Times New Roman" w:hAnsi="Times New Roman"/>
                <w:color w:val="auto"/>
                <w:highlight w:val="none"/>
              </w:rPr>
              <w:t>本项目属于</w:t>
            </w:r>
            <w:r>
              <w:rPr>
                <w:rFonts w:hint="eastAsia" w:ascii="Times New Roman" w:hAnsi="Times New Roman"/>
                <w:color w:val="auto"/>
                <w:highlight w:val="none"/>
                <w:lang w:val="en-US" w:eastAsia="zh-CN"/>
              </w:rPr>
              <w:t>陆地</w:t>
            </w:r>
            <w:r>
              <w:rPr>
                <w:rFonts w:ascii="Times New Roman" w:hAnsi="Times New Roman"/>
                <w:color w:val="auto"/>
                <w:highlight w:val="none"/>
              </w:rPr>
              <w:t>矿产</w:t>
            </w:r>
            <w:r>
              <w:rPr>
                <w:rFonts w:hint="eastAsia" w:ascii="Times New Roman" w:hAnsi="Times New Roman"/>
                <w:color w:val="auto"/>
                <w:highlight w:val="none"/>
                <w:lang w:val="en-US" w:eastAsia="zh-CN"/>
              </w:rPr>
              <w:t>资源</w:t>
            </w:r>
            <w:r>
              <w:rPr>
                <w:rFonts w:ascii="Times New Roman" w:hAnsi="Times New Roman"/>
                <w:color w:val="auto"/>
                <w:highlight w:val="none"/>
              </w:rPr>
              <w:t>地质勘查项目，</w:t>
            </w:r>
            <w:r>
              <w:rPr>
                <w:rFonts w:ascii="Times New Roman" w:hAnsi="Times New Roman"/>
                <w:color w:val="000000" w:themeColor="text1"/>
                <w:highlight w:val="none"/>
                <w14:textFill>
                  <w14:solidFill>
                    <w14:schemeClr w14:val="tx1"/>
                  </w14:solidFill>
                </w14:textFill>
              </w:rPr>
              <w:t>施工用</w:t>
            </w:r>
            <w:r>
              <w:rPr>
                <w:rFonts w:ascii="Times New Roman" w:hAnsi="Times New Roman"/>
                <w:color w:val="auto"/>
                <w:highlight w:val="none"/>
              </w:rPr>
              <w:t>地面积为</w:t>
            </w:r>
            <w:r>
              <w:rPr>
                <w:rFonts w:hint="eastAsia" w:ascii="Times New Roman" w:hAnsi="Times New Roman"/>
                <w:color w:val="auto"/>
                <w:highlight w:val="none"/>
                <w:lang w:val="en-US" w:eastAsia="zh-CN"/>
              </w:rPr>
              <w:t>9379</w:t>
            </w:r>
            <w:r>
              <w:rPr>
                <w:rFonts w:ascii="Times New Roman" w:hAnsi="Times New Roman"/>
                <w:color w:val="auto"/>
                <w:highlight w:val="none"/>
              </w:rPr>
              <w:t>m</w:t>
            </w:r>
            <w:r>
              <w:rPr>
                <w:rFonts w:ascii="Times New Roman" w:hAnsi="Times New Roman"/>
                <w:color w:val="auto"/>
                <w:highlight w:val="none"/>
                <w:vertAlign w:val="superscript"/>
              </w:rPr>
              <w:t>2</w:t>
            </w:r>
            <w:r>
              <w:rPr>
                <w:rFonts w:ascii="Times New Roman" w:hAnsi="Times New Roman"/>
                <w:color w:val="auto"/>
                <w:highlight w:val="none"/>
              </w:rPr>
              <w:t>，</w:t>
            </w:r>
            <w:r>
              <w:rPr>
                <w:rFonts w:ascii="Times New Roman" w:hAnsi="Times New Roman"/>
                <w:color w:val="000000" w:themeColor="text1"/>
                <w:highlight w:val="none"/>
                <w14:textFill>
                  <w14:solidFill>
                    <w14:schemeClr w14:val="tx1"/>
                  </w14:solidFill>
                </w14:textFill>
              </w:rPr>
              <w:t>施工</w:t>
            </w:r>
            <w:r>
              <w:rPr>
                <w:rFonts w:ascii="Times New Roman" w:hAnsi="Times New Roman"/>
                <w:color w:val="auto"/>
                <w:highlight w:val="none"/>
              </w:rPr>
              <w:t>期预计为</w:t>
            </w:r>
            <w:r>
              <w:rPr>
                <w:rFonts w:hint="eastAsia" w:ascii="Times New Roman" w:hAnsi="Times New Roman"/>
                <w:color w:val="auto"/>
                <w:highlight w:val="none"/>
                <w:lang w:val="en-US" w:eastAsia="zh-CN"/>
              </w:rPr>
              <w:t>12个月</w:t>
            </w:r>
            <w:r>
              <w:rPr>
                <w:rFonts w:ascii="Times New Roman" w:hAnsi="Times New Roman"/>
                <w:color w:val="auto"/>
                <w:highlight w:val="none"/>
              </w:rPr>
              <w:t>。项目不属于中华人民共和国国家发展和改革委员会颁布的《产业结构调整指导目录》(2024年本)中限制类和淘汰类项目；不属于环境保护部发布《环境保护综合目录（2021年版）》中高污染、高环境风险产品。项目符合《</w:t>
            </w:r>
            <w:r>
              <w:rPr>
                <w:rFonts w:ascii="Times New Roman" w:hAnsi="Times New Roman"/>
                <w:bCs/>
                <w:color w:val="auto"/>
                <w:highlight w:val="none"/>
              </w:rPr>
              <w:t>安徽省淮河流域水污染防治条例</w:t>
            </w:r>
            <w:r>
              <w:rPr>
                <w:rFonts w:ascii="Times New Roman" w:hAnsi="Times New Roman"/>
                <w:color w:val="auto"/>
                <w:highlight w:val="none"/>
              </w:rPr>
              <w:t>》中的相关要求。</w:t>
            </w:r>
          </w:p>
          <w:p w14:paraId="6D79CDB3">
            <w:pPr>
              <w:spacing w:line="360" w:lineRule="auto"/>
              <w:ind w:firstLine="482" w:firstLineChars="200"/>
              <w:rPr>
                <w:b/>
                <w:bCs/>
                <w:color w:val="auto"/>
                <w:sz w:val="24"/>
                <w:highlight w:val="none"/>
              </w:rPr>
            </w:pPr>
            <w:r>
              <w:rPr>
                <w:rFonts w:hint="eastAsia" w:ascii="宋体" w:hAnsi="宋体" w:eastAsia="宋体" w:cs="宋体"/>
                <w:b/>
                <w:bCs/>
                <w:color w:val="auto"/>
                <w:sz w:val="24"/>
                <w:highlight w:val="none"/>
              </w:rPr>
              <w:t>（</w:t>
            </w:r>
            <w:r>
              <w:rPr>
                <w:rFonts w:hint="eastAsia" w:ascii="宋体" w:hAnsi="宋体" w:cs="宋体"/>
                <w:b/>
                <w:bCs/>
                <w:color w:val="auto"/>
                <w:sz w:val="24"/>
                <w:highlight w:val="none"/>
                <w:lang w:val="en-US" w:eastAsia="zh-CN"/>
              </w:rPr>
              <w:t>9</w:t>
            </w:r>
            <w:r>
              <w:rPr>
                <w:rFonts w:hint="eastAsia" w:ascii="宋体" w:hAnsi="宋体" w:eastAsia="宋体" w:cs="宋体"/>
                <w:b/>
                <w:bCs/>
                <w:color w:val="auto"/>
                <w:sz w:val="24"/>
                <w:highlight w:val="none"/>
              </w:rPr>
              <w:t>）与《淮南市“十四五”生态环境保护规划》(淮环通〔2022〕46号)符合性分析</w:t>
            </w:r>
          </w:p>
          <w:p w14:paraId="311CA8A5">
            <w:pPr>
              <w:spacing w:line="360" w:lineRule="auto"/>
              <w:ind w:firstLine="480" w:firstLineChars="200"/>
              <w:rPr>
                <w:rFonts w:hint="eastAsia" w:ascii="Times New Roman" w:hAnsi="Times New Roman" w:eastAsia="宋体" w:cs="Times New Roman"/>
                <w:color w:val="auto"/>
                <w:sz w:val="24"/>
                <w:highlight w:val="none"/>
                <w:lang w:eastAsia="zh-CN"/>
              </w:rPr>
            </w:pPr>
            <w:r>
              <w:rPr>
                <w:color w:val="auto"/>
                <w:sz w:val="24"/>
                <w:highlight w:val="none"/>
              </w:rPr>
              <w:t>根据《淮南市“十四五”生态环境保护规划》中：</w:t>
            </w:r>
            <w:r>
              <w:rPr>
                <w:rFonts w:hint="eastAsia"/>
                <w:color w:val="auto"/>
                <w:sz w:val="24"/>
                <w:highlight w:val="none"/>
                <w:lang w:eastAsia="zh-CN"/>
              </w:rPr>
              <w:t>“</w:t>
            </w:r>
            <w:r>
              <w:rPr>
                <w:color w:val="auto"/>
                <w:sz w:val="24"/>
                <w:highlight w:val="none"/>
              </w:rPr>
              <w:t>（二）深度调整产业结构：打造国家煤炭绿色开发利用基地。推动煤炭产业结构优化升级和绿色转型发展，促进煤炭生产集约化、组织管理专业化、产业园区集群化发展，建设安全、高效、智能、绿色</w:t>
            </w:r>
            <w:r>
              <w:rPr>
                <w:rFonts w:hint="eastAsia"/>
                <w:color w:val="auto"/>
                <w:sz w:val="24"/>
                <w:highlight w:val="none"/>
                <w:lang w:eastAsia="zh-CN"/>
              </w:rPr>
              <w:t>“</w:t>
            </w:r>
            <w:r>
              <w:rPr>
                <w:color w:val="auto"/>
                <w:sz w:val="24"/>
                <w:highlight w:val="none"/>
              </w:rPr>
              <w:t>四型</w:t>
            </w:r>
            <w:r>
              <w:rPr>
                <w:rFonts w:hint="eastAsia"/>
                <w:color w:val="auto"/>
                <w:sz w:val="24"/>
                <w:highlight w:val="none"/>
                <w:lang w:eastAsia="zh-CN"/>
              </w:rPr>
              <w:t>”</w:t>
            </w:r>
            <w:r>
              <w:rPr>
                <w:color w:val="auto"/>
                <w:sz w:val="24"/>
                <w:highlight w:val="none"/>
              </w:rPr>
              <w:t>矿井，发展现代化矿井集群。优化煤炭产品结构，推进煤炭产、洗、用各环节协同发展，持续提高原煤入洗比例，大力发展高精度煤炭洗选加工、低阶煤提质等深加工技术，提升煤炭附加值。打造煤炭清洁开发利用价值</w:t>
            </w:r>
            <w:r>
              <w:rPr>
                <w:rFonts w:ascii="Times New Roman" w:hAnsi="Times New Roman" w:eastAsia="宋体" w:cs="Times New Roman"/>
                <w:color w:val="auto"/>
                <w:sz w:val="24"/>
                <w:highlight w:val="none"/>
              </w:rPr>
              <w:t>链，加大科研投入，结合煤种特点，以煤基多联产、系列化为目标，打通煤、电、化、气全产业链路径，促进产业提档升级。</w:t>
            </w:r>
            <w:r>
              <w:rPr>
                <w:rFonts w:hint="eastAsia" w:ascii="Times New Roman" w:hAnsi="Times New Roman" w:eastAsia="宋体" w:cs="Times New Roman"/>
                <w:color w:val="auto"/>
                <w:sz w:val="24"/>
                <w:highlight w:val="none"/>
                <w:lang w:eastAsia="zh-CN"/>
              </w:rPr>
              <w:t>”</w:t>
            </w:r>
          </w:p>
          <w:p w14:paraId="4F1B7F04">
            <w:pPr>
              <w:spacing w:line="360" w:lineRule="auto"/>
              <w:ind w:firstLine="480" w:firstLineChars="20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本项目是针对新集一矿360610工作面受多煤层重复采动及推覆构造影响、地表沉降规律复杂且威胁阜淮铁路运行安全的问题，通过探查上覆推覆体片麻岩及煤系地层离层发育情况，采用覆岩离层注浆充填技术提前干预覆岩活动、形成充填压实承载区，并在铁路维护带以北设置预警线和控制线开展专项监测，从而控制采空区覆岩沉降过程、减小地表最终静态沉降量，保障铁路等地表设施安全稳定，同时保障矿井正常采掘接续，实现覆岩离层注浆减沉控沉绿色开采治理目标。因此，本项目符合《淮南市</w:t>
            </w:r>
            <w:r>
              <w:rPr>
                <w:rFonts w:hint="eastAsia" w:ascii="Times New Roman" w:hAnsi="Times New Roman" w:eastAsia="宋体" w:cs="Times New Roman"/>
                <w:color w:val="auto"/>
                <w:sz w:val="24"/>
                <w:highlight w:val="none"/>
                <w:lang w:eastAsia="zh-CN"/>
              </w:rPr>
              <w:t>“</w:t>
            </w:r>
            <w:r>
              <w:rPr>
                <w:rFonts w:ascii="Times New Roman" w:hAnsi="Times New Roman" w:eastAsia="宋体" w:cs="Times New Roman"/>
                <w:color w:val="auto"/>
                <w:sz w:val="24"/>
                <w:highlight w:val="none"/>
              </w:rPr>
              <w:t>十四五</w:t>
            </w:r>
            <w:r>
              <w:rPr>
                <w:rFonts w:hint="eastAsia" w:ascii="Times New Roman" w:hAnsi="Times New Roman" w:eastAsia="宋体" w:cs="Times New Roman"/>
                <w:color w:val="auto"/>
                <w:sz w:val="24"/>
                <w:highlight w:val="none"/>
                <w:lang w:eastAsia="zh-CN"/>
              </w:rPr>
              <w:t>”</w:t>
            </w:r>
            <w:r>
              <w:rPr>
                <w:rFonts w:ascii="Times New Roman" w:hAnsi="Times New Roman" w:eastAsia="宋体" w:cs="Times New Roman"/>
                <w:color w:val="auto"/>
                <w:sz w:val="24"/>
                <w:highlight w:val="none"/>
              </w:rPr>
              <w:t>生态环境保护规划》(淮环通〔2022〕46号)。</w:t>
            </w:r>
          </w:p>
          <w:p w14:paraId="2FF7412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eastAsia="zh-CN"/>
              </w:rPr>
              <w:t>（</w:t>
            </w:r>
            <w:r>
              <w:rPr>
                <w:rFonts w:hint="eastAsia" w:ascii="宋体" w:hAnsi="宋体" w:cs="宋体"/>
                <w:b/>
                <w:bCs/>
                <w:color w:val="auto"/>
                <w:sz w:val="24"/>
                <w:highlight w:val="none"/>
                <w:lang w:val="en-US" w:eastAsia="zh-CN"/>
              </w:rPr>
              <w:t>10</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与《关于规范临时用地管理的通知》的符合性分析</w:t>
            </w:r>
          </w:p>
          <w:p w14:paraId="201AFF59">
            <w:pPr>
              <w:spacing w:line="460" w:lineRule="exact"/>
              <w:ind w:firstLine="480" w:firstLineChars="200"/>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本项目为矿产资源地质勘查项目，临时用地位于</w:t>
            </w:r>
            <w:r>
              <w:rPr>
                <w:rFonts w:hint="eastAsia" w:ascii="Times New Roman" w:hAnsi="Times New Roman" w:eastAsia="宋体" w:cs="Times New Roman"/>
                <w:sz w:val="24"/>
                <w:highlight w:val="none"/>
                <w:lang w:val="en-US" w:eastAsia="zh-CN"/>
              </w:rPr>
              <w:t>安徽省淮南市凤台县新集镇王集村，安徽省淮南市新集一矿3608(6)采区东翼</w:t>
            </w:r>
            <w:r>
              <w:rPr>
                <w:rFonts w:hint="eastAsia" w:ascii="Times New Roman" w:hAnsi="Times New Roman" w:eastAsia="宋体" w:cs="Times New Roman"/>
                <w:sz w:val="24"/>
                <w:highlight w:val="none"/>
              </w:rPr>
              <w:t>，总面积0.</w:t>
            </w:r>
            <w:r>
              <w:rPr>
                <w:rFonts w:hint="eastAsia" w:ascii="Times New Roman" w:hAnsi="Times New Roman" w:eastAsia="宋体" w:cs="Times New Roman"/>
                <w:sz w:val="24"/>
                <w:highlight w:val="none"/>
                <w:lang w:val="en-US" w:eastAsia="zh-CN"/>
              </w:rPr>
              <w:t>9379</w:t>
            </w:r>
            <w:r>
              <w:rPr>
                <w:rFonts w:hint="eastAsia" w:ascii="Times New Roman" w:hAnsi="Times New Roman" w:eastAsia="宋体" w:cs="Times New Roman"/>
                <w:sz w:val="24"/>
                <w:highlight w:val="none"/>
              </w:rPr>
              <w:t>hm²，其中：农用地0.1</w:t>
            </w:r>
            <w:r>
              <w:rPr>
                <w:rFonts w:hint="eastAsia" w:ascii="Times New Roman" w:hAnsi="Times New Roman" w:eastAsia="宋体" w:cs="Times New Roman"/>
                <w:sz w:val="24"/>
                <w:highlight w:val="none"/>
                <w:lang w:val="en-US" w:eastAsia="zh-CN"/>
              </w:rPr>
              <w:t>531</w:t>
            </w:r>
            <w:r>
              <w:rPr>
                <w:rFonts w:hint="eastAsia" w:ascii="Times New Roman" w:hAnsi="Times New Roman" w:eastAsia="宋体" w:cs="Times New Roman"/>
                <w:sz w:val="24"/>
                <w:highlight w:val="none"/>
              </w:rPr>
              <w:t>hm²（耕地</w:t>
            </w:r>
            <w:r>
              <w:rPr>
                <w:rFonts w:hint="eastAsia" w:ascii="Times New Roman" w:hAnsi="Times New Roman" w:eastAsia="宋体" w:cs="Times New Roman"/>
                <w:sz w:val="24"/>
                <w:highlight w:val="none"/>
                <w:lang w:val="en-US" w:eastAsia="zh-CN"/>
              </w:rPr>
              <w:t>0.1304</w:t>
            </w:r>
            <w:r>
              <w:rPr>
                <w:rFonts w:hint="eastAsia" w:ascii="Times New Roman" w:hAnsi="Times New Roman" w:eastAsia="宋体" w:cs="Times New Roman"/>
                <w:sz w:val="24"/>
                <w:highlight w:val="none"/>
              </w:rPr>
              <w:t>hm²，含永久基本农田0.</w:t>
            </w:r>
            <w:r>
              <w:rPr>
                <w:rFonts w:hint="eastAsia" w:ascii="Times New Roman" w:hAnsi="Times New Roman" w:eastAsia="宋体" w:cs="Times New Roman"/>
                <w:sz w:val="24"/>
                <w:highlight w:val="none"/>
                <w:lang w:val="en-US" w:eastAsia="zh-CN"/>
              </w:rPr>
              <w:t>0845</w:t>
            </w:r>
            <w:r>
              <w:rPr>
                <w:rFonts w:hint="eastAsia" w:ascii="Times New Roman" w:hAnsi="Times New Roman" w:eastAsia="宋体" w:cs="Times New Roman"/>
                <w:sz w:val="24"/>
                <w:highlight w:val="none"/>
              </w:rPr>
              <w:t>hm²）、建设用地0.</w:t>
            </w:r>
            <w:r>
              <w:rPr>
                <w:rFonts w:hint="eastAsia" w:eastAsia="宋体" w:cs="Times New Roman"/>
                <w:sz w:val="24"/>
                <w:highlight w:val="none"/>
                <w:lang w:val="en-US" w:eastAsia="zh-CN"/>
              </w:rPr>
              <w:t>7848</w:t>
            </w:r>
            <w:r>
              <w:rPr>
                <w:rFonts w:hint="eastAsia" w:ascii="Times New Roman" w:hAnsi="Times New Roman" w:eastAsia="宋体" w:cs="Times New Roman"/>
                <w:sz w:val="24"/>
                <w:highlight w:val="none"/>
              </w:rPr>
              <w:t>hm²，用途为表土剥离堆放场、材料堆场、临时工棚等，不涉及生态保护红线。对照《自然资源部关于规范临时用地管理的通知》（自然资规〔2021〕2号）相关要求，符合性分析如下：</w:t>
            </w:r>
          </w:p>
          <w:p w14:paraId="0B64AC5A">
            <w:pPr>
              <w:pStyle w:val="15"/>
              <w:rPr>
                <w:rFonts w:hint="eastAsia"/>
                <w:highlight w:val="none"/>
              </w:rPr>
            </w:pPr>
          </w:p>
          <w:p w14:paraId="6794BF82">
            <w:pPr>
              <w:spacing w:line="240" w:lineRule="atLeast"/>
              <w:jc w:val="center"/>
              <w:rPr>
                <w:rFonts w:eastAsia="黑体"/>
                <w:szCs w:val="20"/>
                <w:highlight w:val="none"/>
              </w:rPr>
            </w:pPr>
            <w:r>
              <w:rPr>
                <w:rFonts w:eastAsia="黑体"/>
                <w:szCs w:val="20"/>
                <w:highlight w:val="none"/>
              </w:rPr>
              <w:t>表1-</w:t>
            </w:r>
            <w:r>
              <w:rPr>
                <w:rFonts w:hint="eastAsia" w:eastAsia="黑体"/>
                <w:szCs w:val="20"/>
                <w:highlight w:val="none"/>
                <w:lang w:val="en-US" w:eastAsia="zh-CN"/>
              </w:rPr>
              <w:t>10</w:t>
            </w:r>
            <w:r>
              <w:rPr>
                <w:rFonts w:eastAsia="黑体"/>
                <w:szCs w:val="20"/>
                <w:highlight w:val="none"/>
              </w:rPr>
              <w:t xml:space="preserve">  与</w:t>
            </w:r>
            <w:r>
              <w:rPr>
                <w:rFonts w:ascii="Calibri" w:hAnsi="Calibri" w:eastAsia="黑体" w:cs="Times New Roman"/>
                <w:kern w:val="2"/>
                <w:sz w:val="21"/>
                <w:szCs w:val="20"/>
                <w:highlight w:val="none"/>
                <w:lang w:val="en-US" w:eastAsia="zh-CN" w:bidi="ar-SA"/>
              </w:rPr>
              <w:t>《关于规范临时用地管理的通知》（自然资规〔2021〕2号）</w:t>
            </w:r>
            <w:r>
              <w:rPr>
                <w:rFonts w:eastAsia="黑体"/>
                <w:szCs w:val="20"/>
                <w:highlight w:val="none"/>
              </w:rPr>
              <w:t>相符性分析</w:t>
            </w:r>
          </w:p>
          <w:tbl>
            <w:tblPr>
              <w:tblStyle w:val="2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85" w:type="dxa"/>
                <w:bottom w:w="0" w:type="dxa"/>
                <w:right w:w="85" w:type="dxa"/>
              </w:tblCellMar>
            </w:tblPr>
            <w:tblGrid>
              <w:gridCol w:w="3840"/>
              <w:gridCol w:w="3780"/>
              <w:gridCol w:w="470"/>
            </w:tblGrid>
            <w:tr w14:paraId="01AB2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85" w:type="dxa"/>
                  <w:bottom w:w="0" w:type="dxa"/>
                  <w:right w:w="85" w:type="dxa"/>
                </w:tblCellMar>
              </w:tblPrEx>
              <w:trPr>
                <w:trHeight w:val="23" w:hRule="atLeast"/>
                <w:jc w:val="center"/>
              </w:trPr>
              <w:tc>
                <w:tcPr>
                  <w:tcW w:w="0" w:type="auto"/>
                  <w:tcBorders>
                    <w:tl2br w:val="nil"/>
                    <w:tr2bl w:val="nil"/>
                  </w:tcBorders>
                  <w:noWrap w:val="0"/>
                  <w:vAlign w:val="center"/>
                </w:tcPr>
                <w:p w14:paraId="50497F51">
                  <w:pPr>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通知要求</w:t>
                  </w:r>
                </w:p>
              </w:tc>
              <w:tc>
                <w:tcPr>
                  <w:tcW w:w="0" w:type="auto"/>
                  <w:tcBorders>
                    <w:tl2br w:val="nil"/>
                    <w:tr2bl w:val="nil"/>
                  </w:tcBorders>
                  <w:noWrap w:val="0"/>
                  <w:vAlign w:val="center"/>
                </w:tcPr>
                <w:p w14:paraId="472F535A">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建设项目情况</w:t>
                  </w:r>
                </w:p>
              </w:tc>
              <w:tc>
                <w:tcPr>
                  <w:tcW w:w="0" w:type="auto"/>
                  <w:tcBorders>
                    <w:tl2br w:val="nil"/>
                    <w:tr2bl w:val="nil"/>
                  </w:tcBorders>
                  <w:noWrap w:val="0"/>
                  <w:vAlign w:val="center"/>
                </w:tcPr>
                <w:p w14:paraId="78A22606">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是否符合</w:t>
                  </w:r>
                </w:p>
              </w:tc>
            </w:tr>
            <w:tr w14:paraId="5845A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85" w:type="dxa"/>
                  <w:bottom w:w="0" w:type="dxa"/>
                  <w:right w:w="85" w:type="dxa"/>
                </w:tblCellMar>
              </w:tblPrEx>
              <w:trPr>
                <w:trHeight w:val="23" w:hRule="atLeast"/>
                <w:jc w:val="center"/>
              </w:trPr>
              <w:tc>
                <w:tcPr>
                  <w:tcW w:w="0" w:type="auto"/>
                  <w:tcBorders>
                    <w:tl2br w:val="nil"/>
                    <w:tr2bl w:val="nil"/>
                  </w:tcBorders>
                  <w:noWrap w:val="0"/>
                  <w:vAlign w:val="top"/>
                </w:tcPr>
                <w:p w14:paraId="034CE6CA">
                  <w:pPr>
                    <w:pStyle w:val="10"/>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（1）与“临时用地使用范围”的符合性：文件明确：临时用地适用于建设项目施工、地质勘查等临时使用，不修建永久性建（构）筑物，使用后可恢复的土地</w:t>
                  </w:r>
                </w:p>
              </w:tc>
              <w:tc>
                <w:tcPr>
                  <w:tcW w:w="0" w:type="auto"/>
                  <w:tcBorders>
                    <w:tl2br w:val="nil"/>
                    <w:tr2bl w:val="nil"/>
                  </w:tcBorders>
                  <w:noWrap w:val="0"/>
                  <w:vAlign w:val="top"/>
                </w:tcPr>
                <w:p w14:paraId="6B5AE481">
                  <w:pPr>
                    <w:pStyle w:val="10"/>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本项目属于陆地矿产资源地质勘查，临时用地用途为表土剥离堆放场、材料堆场、临时工棚，不建设永久性建（构）筑物，使用后可通过复垦恢复原地类，完全符合临时用地的定义及使用范围要求。</w:t>
                  </w:r>
                </w:p>
                <w:p w14:paraId="5BB60520">
                  <w:pPr>
                    <w:pStyle w:val="10"/>
                    <w:rPr>
                      <w:rFonts w:hint="eastAsia" w:ascii="宋体" w:hAnsi="宋体" w:eastAsia="宋体" w:cs="宋体"/>
                      <w:kern w:val="2"/>
                      <w:sz w:val="21"/>
                      <w:szCs w:val="21"/>
                      <w:highlight w:val="none"/>
                      <w:lang w:val="en-US" w:eastAsia="zh-CN"/>
                    </w:rPr>
                  </w:pPr>
                </w:p>
              </w:tc>
              <w:tc>
                <w:tcPr>
                  <w:tcW w:w="0" w:type="auto"/>
                  <w:tcBorders>
                    <w:tl2br w:val="nil"/>
                    <w:tr2bl w:val="nil"/>
                  </w:tcBorders>
                  <w:noWrap w:val="0"/>
                  <w:vAlign w:val="top"/>
                </w:tcPr>
                <w:p w14:paraId="5C34BC56">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符合</w:t>
                  </w:r>
                </w:p>
              </w:tc>
            </w:tr>
            <w:tr w14:paraId="511C6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85" w:type="dxa"/>
                  <w:bottom w:w="0" w:type="dxa"/>
                  <w:right w:w="85" w:type="dxa"/>
                </w:tblCellMar>
              </w:tblPrEx>
              <w:trPr>
                <w:trHeight w:val="23" w:hRule="atLeast"/>
                <w:jc w:val="center"/>
              </w:trPr>
              <w:tc>
                <w:tcPr>
                  <w:tcW w:w="0" w:type="auto"/>
                  <w:tcBorders>
                    <w:tl2br w:val="nil"/>
                    <w:tr2bl w:val="nil"/>
                  </w:tcBorders>
                  <w:noWrap w:val="0"/>
                  <w:vAlign w:val="top"/>
                </w:tcPr>
                <w:p w14:paraId="288076D9">
                  <w:pPr>
                    <w:pStyle w:val="10"/>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（2）与“选址要求、耕地及永久基本农田保护”的符合性</w:t>
                  </w:r>
                </w:p>
                <w:p w14:paraId="54BB8D1F">
                  <w:pPr>
                    <w:pStyle w:val="10"/>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①坚持节约集约、尽量少占耕地文件要求临时用地坚持“用多少、批多少、占多少、恢复多少”，尽量不占或少占耕地；</w:t>
                  </w:r>
                </w:p>
                <w:p w14:paraId="5C3001CC">
                  <w:pPr>
                    <w:pStyle w:val="10"/>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②永久基本农田占用合规性文件规定：临时用地确需占用永久基本农田的，必须能够恢复原种植条件，并落实耕作层土壤剥离、复垦验收等要求；制梁场、拌合站等难以恢复原种植条件的，不得以临时用地方式占用耕地和永久基本农田。</w:t>
                  </w:r>
                </w:p>
                <w:p w14:paraId="3C5E1289">
                  <w:pPr>
                    <w:pStyle w:val="10"/>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③生态保护红线避让文件要求临时用地避让生态保护红线。</w:t>
                  </w:r>
                </w:p>
              </w:tc>
              <w:tc>
                <w:tcPr>
                  <w:tcW w:w="0" w:type="auto"/>
                  <w:tcBorders>
                    <w:tl2br w:val="nil"/>
                    <w:tr2bl w:val="nil"/>
                  </w:tcBorders>
                  <w:noWrap w:val="0"/>
                  <w:vAlign w:val="top"/>
                </w:tcPr>
                <w:p w14:paraId="6811CD0D">
                  <w:pPr>
                    <w:pStyle w:val="10"/>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①本项目为陆地矿产资源勘查工程，临时用地规模严格按勘查实际需求核定，面积最小化、布局紧凑化，未扩大用地范围，符合节约集约用地原则。</w:t>
                  </w:r>
                </w:p>
                <w:p w14:paraId="74D20C92">
                  <w:pPr>
                    <w:pStyle w:val="10"/>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②本项目临时用地为表土剥离堆放场、材料堆场、临时工棚，不属于难以恢复的制梁场、拌合站类工程；通过表土剥离集中堆放、施工结束后回填复垦，可恢复原耕地种植条件，符合占用永久基本农田的前提条件。</w:t>
                  </w:r>
                </w:p>
                <w:p w14:paraId="445531FD">
                  <w:pPr>
                    <w:pStyle w:val="10"/>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③本项目用地不涉及生态保护红线，符合空间管控要求。</w:t>
                  </w:r>
                </w:p>
              </w:tc>
              <w:tc>
                <w:tcPr>
                  <w:tcW w:w="0" w:type="auto"/>
                  <w:tcBorders>
                    <w:tl2br w:val="nil"/>
                    <w:tr2bl w:val="nil"/>
                  </w:tcBorders>
                  <w:noWrap w:val="0"/>
                  <w:vAlign w:val="top"/>
                </w:tcPr>
                <w:p w14:paraId="425431C5">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符合</w:t>
                  </w:r>
                </w:p>
              </w:tc>
            </w:tr>
            <w:tr w14:paraId="236AB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85" w:type="dxa"/>
                  <w:bottom w:w="0" w:type="dxa"/>
                  <w:right w:w="85" w:type="dxa"/>
                </w:tblCellMar>
              </w:tblPrEx>
              <w:trPr>
                <w:trHeight w:val="23" w:hRule="atLeast"/>
                <w:jc w:val="center"/>
              </w:trPr>
              <w:tc>
                <w:tcPr>
                  <w:tcW w:w="0" w:type="auto"/>
                  <w:tcBorders>
                    <w:tl2br w:val="nil"/>
                    <w:tr2bl w:val="nil"/>
                  </w:tcBorders>
                  <w:noWrap w:val="0"/>
                  <w:vAlign w:val="top"/>
                </w:tcPr>
                <w:p w14:paraId="2798DDD9">
                  <w:pPr>
                    <w:pStyle w:val="10"/>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（3）与“使用期限”的符合性</w:t>
                  </w:r>
                </w:p>
                <w:p w14:paraId="5E3091BB">
                  <w:pPr>
                    <w:pStyle w:val="10"/>
                    <w:rPr>
                      <w:rFonts w:hint="default"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地质勘查类临时用地使用期限一般不超过2年中华人民共和国自然资源部政策法规库。</w:t>
                  </w:r>
                </w:p>
              </w:tc>
              <w:tc>
                <w:tcPr>
                  <w:tcW w:w="0" w:type="auto"/>
                  <w:tcBorders>
                    <w:tl2br w:val="nil"/>
                    <w:tr2bl w:val="nil"/>
                  </w:tcBorders>
                  <w:noWrap w:val="0"/>
                  <w:vAlign w:val="top"/>
                </w:tcPr>
                <w:p w14:paraId="5ED12E3F">
                  <w:pPr>
                    <w:pStyle w:val="10"/>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本项目为陆地矿产资源勘查，项目选址安徽省淮南市凤台县新集镇王集村，安徽省淮南市新集一矿3608(6)采区东翼。项目用地为临时用地，用地时限为一年，待勘察结束后进行现场清理和生态修复工作。</w:t>
                  </w:r>
                </w:p>
              </w:tc>
              <w:tc>
                <w:tcPr>
                  <w:tcW w:w="0" w:type="auto"/>
                  <w:tcBorders>
                    <w:tl2br w:val="nil"/>
                    <w:tr2bl w:val="nil"/>
                  </w:tcBorders>
                  <w:noWrap w:val="0"/>
                  <w:vAlign w:val="top"/>
                </w:tcPr>
                <w:p w14:paraId="2BC850D0">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符合</w:t>
                  </w:r>
                </w:p>
              </w:tc>
            </w:tr>
            <w:tr w14:paraId="1C42F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85" w:type="dxa"/>
                  <w:bottom w:w="0" w:type="dxa"/>
                  <w:right w:w="85" w:type="dxa"/>
                </w:tblCellMar>
              </w:tblPrEx>
              <w:trPr>
                <w:trHeight w:val="23" w:hRule="atLeast"/>
                <w:jc w:val="center"/>
              </w:trPr>
              <w:tc>
                <w:tcPr>
                  <w:tcW w:w="0" w:type="auto"/>
                  <w:tcBorders>
                    <w:tl2br w:val="nil"/>
                    <w:tr2bl w:val="nil"/>
                  </w:tcBorders>
                  <w:noWrap w:val="0"/>
                  <w:vAlign w:val="top"/>
                </w:tcPr>
                <w:p w14:paraId="4D53BCE4">
                  <w:pPr>
                    <w:pStyle w:val="10"/>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（4）与“审批及复垦管理”的符合性</w:t>
                  </w:r>
                </w:p>
                <w:p w14:paraId="634AFEBA">
                  <w:pPr>
                    <w:pStyle w:val="10"/>
                    <w:rPr>
                      <w:rFonts w:hint="default"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文件要求：临时用地涉及占用耕地和永久基本农田的，由市级及以上自然资源主管部门审批；申请人应编制土地复垦方案报告表，落实土壤剥离、复垦验收等制度中华人民共和国自然资源部。</w:t>
                  </w:r>
                </w:p>
              </w:tc>
              <w:tc>
                <w:tcPr>
                  <w:tcW w:w="0" w:type="auto"/>
                  <w:tcBorders>
                    <w:tl2br w:val="nil"/>
                    <w:tr2bl w:val="nil"/>
                  </w:tcBorders>
                  <w:noWrap w:val="0"/>
                  <w:vAlign w:val="top"/>
                </w:tcPr>
                <w:p w14:paraId="6F888634">
                  <w:pPr>
                    <w:pStyle w:val="10"/>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本项目已按规定编制临时用地土地复垦方案，明确耕作层剥离、表土回填、地力恢复等技术措施，确保到期恢复耕地（含永久基本农田）种植条件；后续将按程序报市级自然资源主管部门审批，审批流程与材料符合文件要求。</w:t>
                  </w:r>
                </w:p>
              </w:tc>
              <w:tc>
                <w:tcPr>
                  <w:tcW w:w="0" w:type="auto"/>
                  <w:tcBorders>
                    <w:tl2br w:val="nil"/>
                    <w:tr2bl w:val="nil"/>
                  </w:tcBorders>
                  <w:noWrap w:val="0"/>
                  <w:vAlign w:val="top"/>
                </w:tcPr>
                <w:p w14:paraId="77342451">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符合</w:t>
                  </w:r>
                </w:p>
              </w:tc>
            </w:tr>
          </w:tbl>
          <w:p w14:paraId="62E4A9DE">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0000FF"/>
                <w:sz w:val="24"/>
                <w:szCs w:val="24"/>
                <w:highlight w:val="none"/>
              </w:rPr>
            </w:pPr>
            <w:r>
              <w:rPr>
                <w:rFonts w:hint="eastAsia" w:ascii="宋体" w:hAnsi="宋体" w:eastAsia="宋体" w:cs="宋体"/>
                <w:sz w:val="24"/>
                <w:highlight w:val="none"/>
                <w:lang w:val="en-US" w:eastAsia="zh-CN"/>
              </w:rPr>
              <w:t>综上，新集</w:t>
            </w:r>
            <w:r>
              <w:rPr>
                <w:rFonts w:hint="eastAsia" w:ascii="宋体" w:hAnsi="宋体" w:cs="宋体"/>
                <w:sz w:val="24"/>
                <w:highlight w:val="none"/>
                <w:lang w:val="en-US" w:eastAsia="zh-CN"/>
              </w:rPr>
              <w:t>一</w:t>
            </w:r>
            <w:r>
              <w:rPr>
                <w:rFonts w:hint="eastAsia" w:ascii="宋体" w:hAnsi="宋体" w:eastAsia="宋体" w:cs="宋体"/>
                <w:sz w:val="24"/>
                <w:highlight w:val="none"/>
                <w:lang w:val="en-US" w:eastAsia="zh-CN"/>
              </w:rPr>
              <w:t>矿</w:t>
            </w:r>
            <w:r>
              <w:rPr>
                <w:rFonts w:hint="eastAsia" w:ascii="宋体" w:hAnsi="宋体" w:cs="宋体"/>
                <w:sz w:val="24"/>
                <w:highlight w:val="none"/>
                <w:lang w:val="en-US" w:eastAsia="zh-CN"/>
              </w:rPr>
              <w:t>覆岩离层注浆减沉控沉绿色开采治理工程</w:t>
            </w:r>
            <w:r>
              <w:rPr>
                <w:rFonts w:hint="eastAsia" w:ascii="宋体" w:hAnsi="宋体" w:eastAsia="宋体" w:cs="宋体"/>
                <w:sz w:val="24"/>
                <w:highlight w:val="none"/>
                <w:lang w:val="en-US" w:eastAsia="zh-CN"/>
              </w:rPr>
              <w:t>项目临时用地的用途、规模、选址、期限、复垦措施，均符合《关于规范临时用地管理的通知》（自然资规〔2021〕2号）各项规定；占用永久基本农田具备合理必要性，且可通过工程措施恢复原种植条件，满足耕地与永久基本农田保护要求。</w:t>
            </w:r>
          </w:p>
          <w:p w14:paraId="668959E2">
            <w:pPr>
              <w:spacing w:line="460" w:lineRule="exact"/>
              <w:ind w:firstLine="482" w:firstLineChars="200"/>
              <w:rPr>
                <w:rFonts w:hint="eastAsia" w:ascii="宋体" w:hAnsi="宋体" w:cs="宋体"/>
                <w:b/>
                <w:bCs/>
                <w:sz w:val="24"/>
                <w:highlight w:val="none"/>
              </w:rPr>
            </w:pPr>
            <w:r>
              <w:rPr>
                <w:rFonts w:hint="eastAsia" w:ascii="宋体" w:hAnsi="宋体" w:cs="宋体"/>
                <w:b/>
                <w:bCs/>
                <w:sz w:val="24"/>
                <w:highlight w:val="none"/>
              </w:rPr>
              <w:t>（</w:t>
            </w:r>
            <w:r>
              <w:rPr>
                <w:rFonts w:hint="eastAsia" w:ascii="宋体" w:hAnsi="宋体" w:cs="宋体"/>
                <w:b/>
                <w:bCs/>
                <w:sz w:val="24"/>
                <w:highlight w:val="none"/>
                <w:lang w:val="en-US" w:eastAsia="zh-CN"/>
              </w:rPr>
              <w:t>11</w:t>
            </w:r>
            <w:r>
              <w:rPr>
                <w:rFonts w:hint="eastAsia" w:ascii="宋体" w:hAnsi="宋体" w:cs="宋体"/>
                <w:b/>
                <w:bCs/>
                <w:sz w:val="24"/>
                <w:highlight w:val="none"/>
              </w:rPr>
              <w:t>）与《安徽省临时用地管理实施办法》的符合性分析</w:t>
            </w:r>
          </w:p>
          <w:p w14:paraId="56E56FC9">
            <w:pPr>
              <w:widowControl/>
              <w:spacing w:line="460" w:lineRule="exact"/>
              <w:ind w:firstLine="480" w:firstLineChars="200"/>
              <w:rPr>
                <w:rFonts w:hint="default" w:ascii="Times New Roman" w:hAnsi="Times New Roman" w:cs="Times New Roman"/>
                <w:color w:val="000000"/>
                <w:sz w:val="24"/>
                <w:highlight w:val="none"/>
              </w:rPr>
            </w:pPr>
            <w:r>
              <w:rPr>
                <w:rFonts w:ascii="Segoe UI" w:hAnsi="Segoe UI" w:eastAsia="Segoe UI" w:cs="Segoe UI"/>
                <w:i w:val="0"/>
                <w:iCs w:val="0"/>
                <w:caps w:val="0"/>
                <w:color w:val="0F1115"/>
                <w:spacing w:val="0"/>
                <w:sz w:val="24"/>
                <w:szCs w:val="24"/>
                <w:shd w:val="clear" w:fill="FFFFFF"/>
              </w:rPr>
              <w:t>本项目为覆岩离层注浆减沉控沉绿色开采治理工程</w:t>
            </w:r>
            <w:r>
              <w:rPr>
                <w:rFonts w:hint="eastAsia" w:ascii="宋体" w:hAnsi="宋体" w:cs="宋体"/>
                <w:color w:val="000000"/>
                <w:sz w:val="24"/>
                <w:highlight w:val="none"/>
              </w:rPr>
              <w:t>，为《安徽省临时用地管理实施办法》明确的</w:t>
            </w:r>
            <w:r>
              <w:rPr>
                <w:rStyle w:val="32"/>
                <w:rFonts w:hint="eastAsia" w:ascii="宋体" w:hAnsi="宋体" w:cs="宋体"/>
                <w:b w:val="0"/>
                <w:color w:val="000000"/>
                <w:sz w:val="24"/>
                <w:highlight w:val="none"/>
              </w:rPr>
              <w:t>地质勘查类临时用地</w:t>
            </w:r>
            <w:r>
              <w:rPr>
                <w:rFonts w:hint="eastAsia" w:ascii="宋体" w:hAnsi="宋体" w:cs="宋体"/>
                <w:color w:val="000000"/>
                <w:sz w:val="24"/>
                <w:highlight w:val="none"/>
              </w:rPr>
              <w:t>范畴，用地全部为钻探、便道、堆场、简易板房等</w:t>
            </w:r>
            <w:r>
              <w:rPr>
                <w:rStyle w:val="32"/>
                <w:rFonts w:hint="eastAsia" w:ascii="宋体" w:hAnsi="宋体" w:cs="宋体"/>
                <w:b w:val="0"/>
                <w:color w:val="000000"/>
                <w:sz w:val="24"/>
                <w:highlight w:val="none"/>
              </w:rPr>
              <w:t>临时设施</w:t>
            </w:r>
            <w:r>
              <w:rPr>
                <w:rFonts w:hint="eastAsia" w:ascii="宋体" w:hAnsi="宋体" w:cs="宋体"/>
                <w:color w:val="000000"/>
                <w:sz w:val="24"/>
                <w:highlight w:val="none"/>
              </w:rPr>
              <w:t>，无</w:t>
            </w:r>
            <w:r>
              <w:rPr>
                <w:rFonts w:hint="default" w:ascii="Times New Roman" w:hAnsi="Times New Roman" w:cs="Times New Roman"/>
                <w:color w:val="000000"/>
                <w:sz w:val="24"/>
                <w:highlight w:val="none"/>
              </w:rPr>
              <w:t>永久性建筑，使用后可100%拆除清理。用地规模、布局严格匹配补勘作业需求，无与勘查无关的用地内容，符合“临时、必需、可恢复”原则。</w:t>
            </w:r>
          </w:p>
          <w:p w14:paraId="282A263B">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sz w:val="24"/>
                <w:highlight w:val="none"/>
              </w:rPr>
              <w:t>项目用地为临时用地，用地时限为</w:t>
            </w:r>
            <w:r>
              <w:rPr>
                <w:rFonts w:hint="eastAsia" w:cs="Times New Roman"/>
                <w:color w:val="000000"/>
                <w:sz w:val="24"/>
                <w:highlight w:val="none"/>
                <w:lang w:val="en-US" w:eastAsia="zh-CN"/>
              </w:rPr>
              <w:t>12个月</w:t>
            </w:r>
            <w:r>
              <w:rPr>
                <w:rFonts w:hint="default" w:ascii="Times New Roman" w:hAnsi="Times New Roman" w:cs="Times New Roman"/>
                <w:color w:val="000000"/>
                <w:sz w:val="24"/>
                <w:highlight w:val="none"/>
              </w:rPr>
              <w:t>，施工及配套设施，待</w:t>
            </w:r>
            <w:r>
              <w:rPr>
                <w:rFonts w:hint="eastAsia" w:cs="Times New Roman"/>
                <w:color w:val="000000"/>
                <w:sz w:val="24"/>
                <w:highlight w:val="none"/>
                <w:lang w:val="en-US" w:eastAsia="zh-CN"/>
              </w:rPr>
              <w:t>治理</w:t>
            </w:r>
            <w:r>
              <w:rPr>
                <w:rFonts w:hint="default" w:ascii="Times New Roman" w:hAnsi="Times New Roman" w:cs="Times New Roman"/>
                <w:color w:val="000000"/>
                <w:sz w:val="24"/>
                <w:highlight w:val="none"/>
              </w:rPr>
              <w:t>结束后进行现场清理和生态修复工作。</w:t>
            </w:r>
            <w:r>
              <w:rPr>
                <w:rFonts w:hint="default" w:ascii="Times New Roman" w:hAnsi="Times New Roman" w:cs="Times New Roman"/>
                <w:sz w:val="24"/>
                <w:highlight w:val="none"/>
              </w:rPr>
              <w:t>根据《土地复垦条例》和《土地复垦条例实施办法》中有关要求，是指对生产建设活动和自然灾害损毁的土地，采取整治措施，使其达到可供利用状态的活动。按照“谁损毁，谁复垦”的原则，由生产建设单位或者个人负责复垦，以恢复其原有使用功能予以合理利用。为保护和合理利用耕作层土壤，施工前将耕作层土壤取出集中堆置贮存，用作本项目土地复垦后的表层土壤，改良复垦土地的土壤，使</w:t>
            </w:r>
            <w:r>
              <w:rPr>
                <w:rFonts w:hint="default" w:ascii="Times New Roman" w:hAnsi="Times New Roman" w:cs="Times New Roman"/>
                <w:color w:val="000000" w:themeColor="text1"/>
                <w:sz w:val="24"/>
                <w:highlight w:val="none"/>
                <w14:textFill>
                  <w14:solidFill>
                    <w14:schemeClr w14:val="tx1"/>
                  </w14:solidFill>
                </w14:textFill>
              </w:rPr>
              <w:t>其尽快熟化以利于农业耕作，恢复原有使用功能。</w:t>
            </w:r>
          </w:p>
          <w:p w14:paraId="5C8406B0">
            <w:pPr>
              <w:widowControl/>
              <w:spacing w:line="360" w:lineRule="auto"/>
              <w:ind w:firstLine="480" w:firstLineChars="200"/>
              <w:rPr>
                <w:rFonts w:hint="eastAsia"/>
              </w:rPr>
            </w:pPr>
            <w:r>
              <w:rPr>
                <w:rFonts w:hint="default" w:ascii="Times New Roman" w:hAnsi="Times New Roman" w:eastAsia="宋体" w:cs="Times New Roman"/>
                <w:color w:val="000000" w:themeColor="text1"/>
                <w:kern w:val="0"/>
                <w:sz w:val="24"/>
                <w:highlight w:val="none"/>
                <w14:textFill>
                  <w14:solidFill>
                    <w14:schemeClr w14:val="tx1"/>
                  </w14:solidFill>
                </w14:textFill>
              </w:rPr>
              <w:t>因此本项目建设符合</w:t>
            </w:r>
            <w:r>
              <w:rPr>
                <w:rFonts w:hint="default" w:ascii="Times New Roman" w:hAnsi="Times New Roman" w:eastAsia="宋体" w:cs="Times New Roman"/>
                <w:color w:val="000000" w:themeColor="text1"/>
                <w:sz w:val="24"/>
                <w:highlight w:val="none"/>
                <w14:textFill>
                  <w14:solidFill>
                    <w14:schemeClr w14:val="tx1"/>
                  </w14:solidFill>
                </w14:textFill>
              </w:rPr>
              <w:t>《安徽省临时用地管理实施办法》</w:t>
            </w:r>
            <w:r>
              <w:rPr>
                <w:rFonts w:hint="eastAsia" w:ascii="宋体" w:hAnsi="宋体" w:eastAsia="宋体" w:cs="宋体"/>
                <w:color w:val="000000" w:themeColor="text1"/>
                <w:sz w:val="24"/>
                <w:highlight w:val="none"/>
                <w14:textFill>
                  <w14:solidFill>
                    <w14:schemeClr w14:val="tx1"/>
                  </w14:solidFill>
                </w14:textFill>
              </w:rPr>
              <w:t>中相关要求。</w:t>
            </w:r>
          </w:p>
          <w:p w14:paraId="35A8A3AD">
            <w:pPr>
              <w:spacing w:line="360" w:lineRule="auto"/>
              <w:ind w:firstLine="482" w:firstLineChars="20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w:t>
            </w:r>
            <w:r>
              <w:rPr>
                <w:rFonts w:hint="eastAsia" w:ascii="宋体" w:hAnsi="宋体" w:eastAsia="宋体" w:cs="宋体"/>
                <w:b/>
                <w:bCs/>
                <w:color w:val="000000" w:themeColor="text1"/>
                <w:sz w:val="24"/>
                <w:highlight w:val="none"/>
                <w:lang w:val="en-US" w:eastAsia="zh-CN"/>
                <w14:textFill>
                  <w14:solidFill>
                    <w14:schemeClr w14:val="tx1"/>
                  </w14:solidFill>
                </w14:textFill>
              </w:rPr>
              <w:t>1</w:t>
            </w:r>
            <w:r>
              <w:rPr>
                <w:rFonts w:hint="eastAsia" w:ascii="宋体" w:hAnsi="宋体" w:cs="宋体"/>
                <w:b/>
                <w:bCs/>
                <w:color w:val="000000" w:themeColor="text1"/>
                <w:sz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highlight w:val="none"/>
                <w14:textFill>
                  <w14:solidFill>
                    <w14:schemeClr w14:val="tx1"/>
                  </w14:solidFill>
                </w14:textFill>
              </w:rPr>
              <w:t>）与《</w:t>
            </w:r>
            <w:r>
              <w:rPr>
                <w:rFonts w:hint="eastAsia" w:ascii="宋体" w:hAnsi="宋体" w:eastAsia="宋体" w:cs="宋体"/>
                <w:b/>
                <w:bCs/>
                <w:color w:val="000000" w:themeColor="text1"/>
                <w:sz w:val="24"/>
                <w:highlight w:val="none"/>
                <w:lang w:val="en-US" w:eastAsia="zh-CN"/>
                <w14:textFill>
                  <w14:solidFill>
                    <w14:schemeClr w14:val="tx1"/>
                  </w14:solidFill>
                </w14:textFill>
              </w:rPr>
              <w:t>基本农田保护条例</w:t>
            </w:r>
            <w:r>
              <w:rPr>
                <w:rFonts w:hint="eastAsia" w:ascii="宋体" w:hAnsi="宋体" w:eastAsia="宋体" w:cs="宋体"/>
                <w:b/>
                <w:bCs/>
                <w:color w:val="000000" w:themeColor="text1"/>
                <w:sz w:val="24"/>
                <w:highlight w:val="none"/>
                <w14:textFill>
                  <w14:solidFill>
                    <w14:schemeClr w14:val="tx1"/>
                  </w14:solidFill>
                </w14:textFill>
              </w:rPr>
              <w:t>》的符合性分析</w:t>
            </w:r>
          </w:p>
          <w:p w14:paraId="776FB77D">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auto"/>
                <w:sz w:val="24"/>
                <w:szCs w:val="24"/>
                <w:highlight w:val="none"/>
              </w:rPr>
              <w:t>本项目为</w:t>
            </w:r>
            <w:r>
              <w:rPr>
                <w:rFonts w:hint="eastAsia" w:ascii="宋体" w:hAnsi="宋体" w:cs="宋体"/>
                <w:color w:val="auto"/>
                <w:sz w:val="24"/>
                <w:szCs w:val="24"/>
                <w:highlight w:val="none"/>
                <w:lang w:val="en-US" w:eastAsia="zh-CN"/>
              </w:rPr>
              <w:t>陆地</w:t>
            </w:r>
            <w:r>
              <w:rPr>
                <w:rFonts w:hint="eastAsia" w:ascii="Times New Roman" w:hAnsi="Times New Roman" w:eastAsia="宋体" w:cs="Times New Roman"/>
                <w:color w:val="auto"/>
                <w:sz w:val="24"/>
                <w:highlight w:val="none"/>
              </w:rPr>
              <w:t>矿产资源地质勘查项目</w:t>
            </w:r>
            <w:r>
              <w:rPr>
                <w:rFonts w:hint="eastAsia" w:ascii="宋体" w:hAnsi="宋体" w:eastAsia="宋体" w:cs="宋体"/>
                <w:i w:val="0"/>
                <w:iCs w:val="0"/>
                <w:caps w:val="0"/>
                <w:color w:val="auto"/>
                <w:spacing w:val="0"/>
                <w:sz w:val="24"/>
                <w:szCs w:val="24"/>
                <w:shd w:val="clear" w:fill="FFFFFF"/>
              </w:rPr>
              <w:t>，属</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能源类重点项目</w:t>
            </w:r>
            <w:r>
              <w:rPr>
                <w:rFonts w:hint="eastAsia" w:ascii="宋体" w:hAnsi="宋体" w:eastAsia="宋体" w:cs="宋体"/>
                <w:i w:val="0"/>
                <w:iCs w:val="0"/>
                <w:caps w:val="0"/>
                <w:color w:val="000000" w:themeColor="text1"/>
                <w:spacing w:val="0"/>
                <w:sz w:val="24"/>
                <w:szCs w:val="24"/>
                <w:shd w:val="clear" w:fill="FFFFFF"/>
                <w:lang w:eastAsia="zh-CN"/>
                <w14:textFill>
                  <w14:solidFill>
                    <w14:schemeClr w14:val="tx1"/>
                  </w14:solidFill>
                </w14:textFill>
              </w:rPr>
              <w:t>。</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根据《基本农田保护条例》第十五条规定：基本农田保护区经依法划定后，任何单位和个人不得改变或者占用。国家能源、交通、水利、军事设施等重点建设项目选址确实无法避开基本农</w:t>
            </w:r>
            <w:r>
              <w:rPr>
                <w:rFonts w:hint="default" w:ascii="Times New Roman" w:hAnsi="Times New Roman" w:eastAsia="宋体" w:cs="Times New Roman"/>
                <w:i w:val="0"/>
                <w:iCs w:val="0"/>
                <w:caps w:val="0"/>
                <w:color w:val="000000" w:themeColor="text1"/>
                <w:spacing w:val="0"/>
                <w:sz w:val="24"/>
                <w:szCs w:val="24"/>
                <w:shd w:val="clear" w:fill="FFFFFF"/>
                <w14:textFill>
                  <w14:solidFill>
                    <w14:schemeClr w14:val="tx1"/>
                  </w14:solidFill>
                </w14:textFill>
              </w:rPr>
              <w:t>田保护区，需要占用基本农田，涉及农用地转用或者征收土地的，必须经国务院批准。同时，根据自然资源部《关于规范临时用地管理的通知》（自然资规〔2021〕2号）及《自然资源部农业农村部关于加强和改进永久基本农田保护工作的通知》（自然资规〔2019〕1号），临时用地确需占用永久基本农田的，必须能够恢复原种植条件。本项目已按照法定程序申请临时用地并编制土地复垦方案，经淮南市自然资源和规划局批准（淮自然资规〔2025〕183号），符合《基本农田保护条例》的相关要求。</w:t>
            </w:r>
          </w:p>
          <w:p w14:paraId="1811800C">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000000" w:themeColor="text1"/>
                <w:sz w:val="24"/>
                <w:szCs w:val="24"/>
                <w:highlight w:val="none"/>
                <w14:textFill>
                  <w14:solidFill>
                    <w14:schemeClr w14:val="tx1"/>
                  </w14:solidFill>
                </w14:textFill>
              </w:rPr>
            </w:pPr>
          </w:p>
          <w:p w14:paraId="0ABC0FFA">
            <w:pPr>
              <w:pStyle w:val="15"/>
              <w:ind w:left="0" w:leftChars="0" w:firstLine="0" w:firstLineChars="0"/>
            </w:pPr>
          </w:p>
        </w:tc>
      </w:tr>
    </w:tbl>
    <w:p w14:paraId="43E66AF7">
      <w:pPr>
        <w:spacing w:line="360" w:lineRule="auto"/>
        <w:outlineLvl w:val="0"/>
        <w:rPr>
          <w:rFonts w:eastAsia="黑体"/>
          <w:color w:val="auto"/>
          <w:sz w:val="30"/>
          <w:highlight w:val="none"/>
        </w:rPr>
        <w:sectPr>
          <w:footerReference r:id="rId6"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421FBADB">
      <w:pPr>
        <w:pStyle w:val="26"/>
        <w:jc w:val="center"/>
        <w:outlineLvl w:val="0"/>
        <w:rPr>
          <w:rFonts w:ascii="Times New Roman" w:hAnsi="Times New Roman" w:eastAsia="黑体"/>
          <w:snapToGrid w:val="0"/>
          <w:color w:val="auto"/>
          <w:sz w:val="30"/>
          <w:szCs w:val="30"/>
          <w:highlight w:val="none"/>
        </w:rPr>
      </w:pPr>
      <w:r>
        <w:rPr>
          <w:rFonts w:ascii="Times New Roman" w:hAnsi="Times New Roman" w:eastAsia="黑体"/>
          <w:snapToGrid w:val="0"/>
          <w:color w:val="auto"/>
          <w:sz w:val="30"/>
          <w:szCs w:val="30"/>
          <w:highlight w:val="none"/>
        </w:rPr>
        <w:t>二、建设内容</w:t>
      </w:r>
    </w:p>
    <w:tbl>
      <w:tblPr>
        <w:tblStyle w:val="29"/>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3"/>
        <w:gridCol w:w="8075"/>
      </w:tblGrid>
      <w:tr w14:paraId="1133B1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4" w:hRule="atLeast"/>
          <w:jc w:val="center"/>
        </w:trPr>
        <w:tc>
          <w:tcPr>
            <w:tcW w:w="249" w:type="pct"/>
            <w:noWrap w:val="0"/>
            <w:vAlign w:val="center"/>
          </w:tcPr>
          <w:p w14:paraId="5D31C0FD">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地理位置</w:t>
            </w:r>
          </w:p>
        </w:tc>
        <w:tc>
          <w:tcPr>
            <w:tcW w:w="4751" w:type="pct"/>
            <w:noWrap w:val="0"/>
            <w:vAlign w:val="center"/>
          </w:tcPr>
          <w:p w14:paraId="3C12F57D">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本项目临时施工场地位于</w:t>
            </w:r>
            <w:r>
              <w:rPr>
                <w:rFonts w:hint="default" w:ascii="Times New Roman" w:hAnsi="Times New Roman" w:eastAsia="宋体" w:cs="Times New Roman"/>
                <w:sz w:val="24"/>
                <w:highlight w:val="none"/>
                <w:lang w:val="en-US" w:eastAsia="zh-CN"/>
              </w:rPr>
              <w:t>安徽省淮南市</w:t>
            </w:r>
            <w:r>
              <w:rPr>
                <w:rFonts w:hint="eastAsia" w:ascii="Times New Roman" w:hAnsi="Times New Roman" w:eastAsia="宋体" w:cs="Times New Roman"/>
                <w:sz w:val="24"/>
                <w:highlight w:val="none"/>
                <w:lang w:val="en-US" w:eastAsia="zh-CN"/>
              </w:rPr>
              <w:t>凤台县新集镇王集村</w:t>
            </w:r>
            <w:r>
              <w:rPr>
                <w:rFonts w:hint="default" w:ascii="Times New Roman" w:hAnsi="Times New Roman" w:eastAsia="宋体" w:cs="Times New Roman"/>
                <w:sz w:val="24"/>
                <w:highlight w:val="none"/>
                <w:lang w:val="en-US" w:eastAsia="zh-CN"/>
              </w:rPr>
              <w:t>，</w:t>
            </w:r>
            <w:r>
              <w:rPr>
                <w:rFonts w:hint="eastAsia" w:ascii="Times New Roman" w:hAnsi="Times New Roman" w:eastAsia="宋体" w:cs="Times New Roman"/>
                <w:sz w:val="24"/>
                <w:highlight w:val="none"/>
                <w:lang w:val="en-US" w:eastAsia="zh-CN"/>
              </w:rPr>
              <w:t>安徽省淮南市新集一矿3608(6)采区东翼</w:t>
            </w:r>
            <w:r>
              <w:rPr>
                <w:rFonts w:hint="default" w:ascii="Times New Roman" w:hAnsi="Times New Roman" w:eastAsia="宋体" w:cs="Times New Roman"/>
                <w:sz w:val="24"/>
                <w:highlight w:val="none"/>
              </w:rPr>
              <w:t>，</w:t>
            </w:r>
            <w:r>
              <w:rPr>
                <w:rFonts w:hint="eastAsia" w:ascii="Times New Roman" w:hAnsi="Times New Roman" w:eastAsia="宋体" w:cs="Times New Roman"/>
                <w:sz w:val="24"/>
                <w:highlight w:val="none"/>
                <w:lang w:val="en-US" w:eastAsia="zh-CN"/>
              </w:rPr>
              <w:t>新集一矿覆岩离层注浆减沉控沉绿色开采治理工程计划布置1个注浆站和</w:t>
            </w:r>
            <w:r>
              <w:rPr>
                <w:rFonts w:hint="default" w:ascii="Times New Roman" w:hAnsi="Times New Roman" w:eastAsia="宋体" w:cs="Times New Roman"/>
                <w:sz w:val="24"/>
                <w:highlight w:val="none"/>
              </w:rPr>
              <w:t>敷设8条输浆管道（1趟Φ114.3×6.35mm、7趟Φ89×6.45mm，耐压不小于15MPa</w:t>
            </w:r>
            <w:r>
              <w:rPr>
                <w:rFonts w:hint="eastAsia" w:cs="Times New Roman"/>
                <w:sz w:val="24"/>
                <w:highlight w:val="none"/>
                <w:lang w:eastAsia="zh-CN"/>
              </w:rPr>
              <w:t>，</w:t>
            </w:r>
            <w:r>
              <w:rPr>
                <w:rFonts w:hint="eastAsia" w:cs="Times New Roman"/>
                <w:sz w:val="24"/>
                <w:highlight w:val="none"/>
                <w:lang w:val="en-US" w:eastAsia="zh-CN"/>
              </w:rPr>
              <w:t>总长约8500m</w:t>
            </w:r>
            <w:r>
              <w:rPr>
                <w:rFonts w:hint="default" w:ascii="Times New Roman" w:hAnsi="Times New Roman" w:eastAsia="宋体" w:cs="Times New Roman"/>
                <w:sz w:val="24"/>
                <w:highlight w:val="none"/>
              </w:rPr>
              <w:t>），</w:t>
            </w:r>
            <w:r>
              <w:rPr>
                <w:rFonts w:hint="eastAsia" w:ascii="Times New Roman" w:hAnsi="Times New Roman" w:eastAsia="宋体" w:cs="Times New Roman"/>
                <w:sz w:val="24"/>
                <w:highlight w:val="none"/>
                <w:lang w:val="en-US" w:eastAsia="zh-CN"/>
              </w:rPr>
              <w:t>施工钻孔11个</w:t>
            </w:r>
            <w:r>
              <w:rPr>
                <w:rFonts w:hint="default" w:ascii="Times New Roman" w:hAnsi="Times New Roman" w:eastAsia="宋体" w:cs="Times New Roman"/>
                <w:sz w:val="24"/>
                <w:highlight w:val="none"/>
              </w:rPr>
              <w:t>，</w:t>
            </w:r>
            <w:r>
              <w:rPr>
                <w:rFonts w:hint="eastAsia" w:ascii="Times New Roman" w:hAnsi="Times New Roman" w:eastAsia="宋体" w:cs="Times New Roman"/>
                <w:sz w:val="24"/>
                <w:highlight w:val="none"/>
                <w:lang w:val="en-US" w:eastAsia="zh-CN"/>
              </w:rPr>
              <w:t>其中2个位岩移观测孔，9个注浆孔</w:t>
            </w:r>
            <w:r>
              <w:rPr>
                <w:rFonts w:hint="default" w:ascii="Times New Roman" w:hAnsi="Times New Roman" w:eastAsia="宋体" w:cs="Times New Roman"/>
                <w:sz w:val="24"/>
                <w:highlight w:val="none"/>
              </w:rPr>
              <w:t>，钻探</w:t>
            </w:r>
            <w:r>
              <w:rPr>
                <w:rFonts w:hint="eastAsia" w:ascii="Times New Roman" w:hAnsi="Times New Roman" w:eastAsia="宋体" w:cs="Times New Roman"/>
                <w:sz w:val="24"/>
                <w:highlight w:val="none"/>
                <w:lang w:val="en-US" w:eastAsia="zh-CN"/>
              </w:rPr>
              <w:t>总</w:t>
            </w:r>
            <w:r>
              <w:rPr>
                <w:rFonts w:hint="default" w:ascii="Times New Roman" w:hAnsi="Times New Roman" w:eastAsia="宋体" w:cs="Times New Roman"/>
                <w:sz w:val="24"/>
                <w:highlight w:val="none"/>
              </w:rPr>
              <w:t>工程量</w:t>
            </w:r>
            <w:r>
              <w:rPr>
                <w:rFonts w:hint="eastAsia" w:ascii="Times New Roman" w:hAnsi="Times New Roman" w:eastAsia="宋体" w:cs="Times New Roman"/>
                <w:sz w:val="24"/>
                <w:highlight w:val="none"/>
                <w:lang w:val="en-US" w:eastAsia="zh-CN"/>
              </w:rPr>
              <w:t>3200</w:t>
            </w:r>
            <w:r>
              <w:rPr>
                <w:rFonts w:hint="default" w:ascii="Times New Roman" w:hAnsi="Times New Roman" w:eastAsia="宋体" w:cs="Times New Roman"/>
                <w:sz w:val="24"/>
                <w:highlight w:val="none"/>
              </w:rPr>
              <w:t>m，</w:t>
            </w:r>
            <w:r>
              <w:rPr>
                <w:rFonts w:hint="eastAsia" w:ascii="Times New Roman" w:hAnsi="Times New Roman" w:eastAsia="宋体" w:cs="Times New Roman"/>
                <w:sz w:val="24"/>
                <w:highlight w:val="none"/>
                <w:lang w:val="en-US" w:eastAsia="zh-CN"/>
              </w:rPr>
              <w:t>11</w:t>
            </w:r>
            <w:r>
              <w:rPr>
                <w:rFonts w:hint="default" w:ascii="Times New Roman" w:hAnsi="Times New Roman" w:eastAsia="宋体" w:cs="Times New Roman"/>
                <w:sz w:val="24"/>
                <w:highlight w:val="none"/>
              </w:rPr>
              <w:t>处钻孔坐标为：</w:t>
            </w:r>
          </w:p>
          <w:p w14:paraId="6993C9A9">
            <w:pPr>
              <w:spacing w:line="360" w:lineRule="auto"/>
              <w:ind w:firstLine="480" w:firstLineChars="200"/>
              <w:rPr>
                <w:rFonts w:hint="default" w:ascii="Times New Roman" w:hAnsi="Times New Roman" w:eastAsia="宋体" w:cs="Times New Roman"/>
                <w:sz w:val="24"/>
                <w:highlight w:val="none"/>
                <w:lang w:val="en-US"/>
              </w:rPr>
            </w:pPr>
            <w:r>
              <w:rPr>
                <w:rFonts w:hint="eastAsia" w:ascii="Times New Roman" w:hAnsi="Times New Roman" w:eastAsia="宋体" w:cs="Times New Roman"/>
                <w:sz w:val="24"/>
                <w:highlight w:val="none"/>
                <w:lang w:val="en-US" w:eastAsia="zh-CN"/>
              </w:rPr>
              <w:t>钻孔1坐标</w:t>
            </w:r>
            <w:r>
              <w:rPr>
                <w:rFonts w:hint="default" w:ascii="Times New Roman" w:hAnsi="Times New Roman" w:eastAsia="宋体" w:cs="Times New Roman"/>
                <w:sz w:val="24"/>
                <w:highlight w:val="none"/>
              </w:rPr>
              <w:t>：E116度3</w:t>
            </w:r>
            <w:r>
              <w:rPr>
                <w:rFonts w:hint="eastAsia" w:ascii="Times New Roman" w:hAnsi="Times New Roman" w:eastAsia="宋体" w:cs="Times New Roman"/>
                <w:sz w:val="24"/>
                <w:highlight w:val="none"/>
                <w:lang w:val="en-US" w:eastAsia="zh-CN"/>
              </w:rPr>
              <w:t>1</w:t>
            </w:r>
            <w:r>
              <w:rPr>
                <w:rFonts w:hint="default" w:ascii="Times New Roman" w:hAnsi="Times New Roman" w:eastAsia="宋体" w:cs="Times New Roman"/>
                <w:sz w:val="24"/>
                <w:highlight w:val="none"/>
              </w:rPr>
              <w:t>分</w:t>
            </w:r>
            <w:r>
              <w:rPr>
                <w:rFonts w:hint="eastAsia" w:ascii="Times New Roman" w:hAnsi="Times New Roman" w:eastAsia="宋体" w:cs="Times New Roman"/>
                <w:sz w:val="24"/>
                <w:highlight w:val="none"/>
                <w:lang w:val="en-US" w:eastAsia="zh-CN"/>
              </w:rPr>
              <w:t>23.924</w:t>
            </w:r>
            <w:r>
              <w:rPr>
                <w:rFonts w:hint="default" w:ascii="Times New Roman" w:hAnsi="Times New Roman" w:eastAsia="宋体" w:cs="Times New Roman"/>
                <w:sz w:val="24"/>
                <w:highlight w:val="none"/>
              </w:rPr>
              <w:t>秒，N32度</w:t>
            </w:r>
            <w:r>
              <w:rPr>
                <w:rFonts w:hint="eastAsia" w:ascii="Times New Roman" w:hAnsi="Times New Roman" w:eastAsia="宋体" w:cs="Times New Roman"/>
                <w:sz w:val="24"/>
                <w:highlight w:val="none"/>
                <w:lang w:val="en-US" w:eastAsia="zh-CN"/>
              </w:rPr>
              <w:t>42</w:t>
            </w:r>
            <w:r>
              <w:rPr>
                <w:rFonts w:hint="default" w:ascii="Times New Roman" w:hAnsi="Times New Roman" w:eastAsia="宋体" w:cs="Times New Roman"/>
                <w:sz w:val="24"/>
                <w:highlight w:val="none"/>
              </w:rPr>
              <w:t>分</w:t>
            </w:r>
            <w:r>
              <w:rPr>
                <w:rFonts w:hint="eastAsia" w:ascii="Times New Roman" w:hAnsi="Times New Roman" w:eastAsia="宋体" w:cs="Times New Roman"/>
                <w:sz w:val="24"/>
                <w:highlight w:val="none"/>
                <w:lang w:val="en-US" w:eastAsia="zh-CN"/>
              </w:rPr>
              <w:t>24.310秒</w:t>
            </w:r>
            <w:r>
              <w:rPr>
                <w:rFonts w:hint="eastAsia" w:eastAsia="宋体" w:cs="Times New Roman"/>
                <w:sz w:val="24"/>
                <w:highlight w:val="none"/>
                <w:lang w:val="en-US" w:eastAsia="zh-CN"/>
              </w:rPr>
              <w:t>；</w:t>
            </w:r>
          </w:p>
          <w:p w14:paraId="19402942">
            <w:pPr>
              <w:spacing w:line="360" w:lineRule="auto"/>
              <w:ind w:firstLine="480" w:firstLineChars="200"/>
              <w:rPr>
                <w:rFonts w:hint="default" w:ascii="Times New Roman" w:hAnsi="Times New Roman" w:eastAsia="宋体" w:cs="Times New Roman"/>
                <w:sz w:val="24"/>
                <w:highlight w:val="none"/>
              </w:rPr>
            </w:pPr>
            <w:r>
              <w:rPr>
                <w:rFonts w:hint="eastAsia" w:ascii="Times New Roman" w:hAnsi="Times New Roman" w:eastAsia="宋体" w:cs="Times New Roman"/>
                <w:sz w:val="24"/>
                <w:highlight w:val="none"/>
                <w:lang w:val="en-US" w:eastAsia="zh-CN"/>
              </w:rPr>
              <w:t>钻孔2</w:t>
            </w:r>
            <w:r>
              <w:rPr>
                <w:rFonts w:hint="default" w:ascii="Times New Roman" w:hAnsi="Times New Roman" w:eastAsia="宋体" w:cs="Times New Roman"/>
                <w:sz w:val="24"/>
                <w:highlight w:val="none"/>
              </w:rPr>
              <w:t>坐标：</w:t>
            </w:r>
            <w:r>
              <w:rPr>
                <w:rFonts w:hint="eastAsia" w:ascii="Times New Roman" w:hAnsi="Times New Roman" w:eastAsia="宋体" w:cs="Times New Roman"/>
                <w:sz w:val="24"/>
                <w:highlight w:val="none"/>
                <w:lang w:val="en-US" w:eastAsia="zh-CN"/>
              </w:rPr>
              <w:t>E116度31分20.718秒，N32度42分25.604秒</w:t>
            </w:r>
            <w:r>
              <w:rPr>
                <w:rFonts w:hint="eastAsia" w:eastAsia="宋体" w:cs="Times New Roman"/>
                <w:sz w:val="24"/>
                <w:highlight w:val="none"/>
                <w:lang w:val="en-US" w:eastAsia="zh-CN"/>
              </w:rPr>
              <w:t>；</w:t>
            </w:r>
          </w:p>
          <w:p w14:paraId="67F3D3BC">
            <w:pPr>
              <w:spacing w:line="360" w:lineRule="auto"/>
              <w:ind w:firstLine="480" w:firstLineChars="200"/>
              <w:rPr>
                <w:rFonts w:hint="default" w:ascii="Times New Roman" w:hAnsi="Times New Roman" w:eastAsia="宋体" w:cs="Times New Roman"/>
                <w:sz w:val="24"/>
                <w:highlight w:val="none"/>
                <w:lang w:val="en-US" w:eastAsia="zh-CN"/>
              </w:rPr>
            </w:pPr>
            <w:r>
              <w:rPr>
                <w:rFonts w:hint="eastAsia" w:ascii="Times New Roman" w:hAnsi="Times New Roman" w:eastAsia="宋体" w:cs="Times New Roman"/>
                <w:sz w:val="24"/>
                <w:highlight w:val="none"/>
                <w:lang w:val="en-US" w:eastAsia="zh-CN"/>
              </w:rPr>
              <w:t>钻孔3</w:t>
            </w:r>
            <w:r>
              <w:rPr>
                <w:rFonts w:hint="default" w:ascii="Times New Roman" w:hAnsi="Times New Roman" w:eastAsia="宋体" w:cs="Times New Roman"/>
                <w:sz w:val="24"/>
                <w:highlight w:val="none"/>
              </w:rPr>
              <w:t>坐标：</w:t>
            </w:r>
            <w:r>
              <w:rPr>
                <w:rFonts w:hint="eastAsia" w:ascii="Times New Roman" w:hAnsi="Times New Roman" w:eastAsia="宋体" w:cs="Times New Roman"/>
                <w:sz w:val="24"/>
                <w:highlight w:val="none"/>
                <w:lang w:val="en-US" w:eastAsia="zh-CN"/>
              </w:rPr>
              <w:t>E116度31分18.352秒，N32度42分26.493秒</w:t>
            </w:r>
            <w:r>
              <w:rPr>
                <w:rFonts w:hint="eastAsia" w:eastAsia="宋体" w:cs="Times New Roman"/>
                <w:sz w:val="24"/>
                <w:highlight w:val="none"/>
                <w:lang w:val="en-US" w:eastAsia="zh-CN"/>
              </w:rPr>
              <w:t>；</w:t>
            </w:r>
          </w:p>
          <w:p w14:paraId="11670ACC">
            <w:pPr>
              <w:spacing w:line="360" w:lineRule="auto"/>
              <w:ind w:firstLine="480" w:firstLineChars="200"/>
              <w:rPr>
                <w:rFonts w:hint="default" w:ascii="Times New Roman" w:hAnsi="Times New Roman" w:eastAsia="宋体" w:cs="Times New Roman"/>
                <w:sz w:val="24"/>
                <w:highlight w:val="none"/>
                <w:lang w:val="en-US" w:eastAsia="zh-CN"/>
              </w:rPr>
            </w:pPr>
            <w:r>
              <w:rPr>
                <w:rFonts w:hint="eastAsia" w:ascii="Times New Roman" w:hAnsi="Times New Roman" w:eastAsia="宋体" w:cs="Times New Roman"/>
                <w:sz w:val="24"/>
                <w:highlight w:val="none"/>
                <w:lang w:val="en-US" w:eastAsia="zh-CN"/>
              </w:rPr>
              <w:t>钻孔4</w:t>
            </w:r>
            <w:r>
              <w:rPr>
                <w:rFonts w:hint="default" w:ascii="Times New Roman" w:hAnsi="Times New Roman" w:eastAsia="宋体" w:cs="Times New Roman"/>
                <w:sz w:val="24"/>
                <w:highlight w:val="none"/>
              </w:rPr>
              <w:t>坐标：</w:t>
            </w:r>
            <w:r>
              <w:rPr>
                <w:rFonts w:hint="eastAsia" w:ascii="Times New Roman" w:hAnsi="Times New Roman" w:eastAsia="宋体" w:cs="Times New Roman"/>
                <w:sz w:val="24"/>
                <w:highlight w:val="none"/>
                <w:lang w:val="en-US" w:eastAsia="zh-CN"/>
              </w:rPr>
              <w:t>E116度31分16.875秒，N32度42分27.019秒</w:t>
            </w:r>
            <w:r>
              <w:rPr>
                <w:rFonts w:hint="eastAsia" w:eastAsia="宋体" w:cs="Times New Roman"/>
                <w:sz w:val="24"/>
                <w:highlight w:val="none"/>
                <w:lang w:val="en-US" w:eastAsia="zh-CN"/>
              </w:rPr>
              <w:t>；</w:t>
            </w:r>
          </w:p>
          <w:p w14:paraId="1EECC64D">
            <w:pPr>
              <w:spacing w:line="360" w:lineRule="auto"/>
              <w:ind w:firstLine="480" w:firstLineChars="200"/>
              <w:rPr>
                <w:rFonts w:hint="eastAsia" w:ascii="Times New Roman" w:hAnsi="Times New Roman" w:eastAsia="宋体" w:cs="Times New Roman"/>
                <w:sz w:val="24"/>
                <w:highlight w:val="none"/>
                <w:lang w:val="en-US" w:eastAsia="zh-CN"/>
              </w:rPr>
            </w:pPr>
            <w:r>
              <w:rPr>
                <w:rFonts w:hint="eastAsia" w:ascii="Times New Roman" w:hAnsi="Times New Roman" w:eastAsia="宋体" w:cs="Times New Roman"/>
                <w:sz w:val="24"/>
                <w:highlight w:val="none"/>
                <w:lang w:val="en-US" w:eastAsia="zh-CN"/>
              </w:rPr>
              <w:t>钻孔5</w:t>
            </w:r>
            <w:r>
              <w:rPr>
                <w:rFonts w:hint="default" w:ascii="Times New Roman" w:hAnsi="Times New Roman" w:eastAsia="宋体" w:cs="Times New Roman"/>
                <w:sz w:val="24"/>
                <w:highlight w:val="none"/>
              </w:rPr>
              <w:t>坐标：</w:t>
            </w:r>
            <w:r>
              <w:rPr>
                <w:rFonts w:hint="eastAsia" w:ascii="Times New Roman" w:hAnsi="Times New Roman" w:eastAsia="宋体" w:cs="Times New Roman"/>
                <w:sz w:val="24"/>
                <w:highlight w:val="none"/>
                <w:lang w:val="en-US" w:eastAsia="zh-CN"/>
              </w:rPr>
              <w:t>E116度31分15.711秒，N32度42分27.531秒</w:t>
            </w:r>
            <w:r>
              <w:rPr>
                <w:rFonts w:hint="eastAsia" w:eastAsia="宋体" w:cs="Times New Roman"/>
                <w:sz w:val="24"/>
                <w:highlight w:val="none"/>
                <w:lang w:val="en-US" w:eastAsia="zh-CN"/>
              </w:rPr>
              <w:t>；</w:t>
            </w:r>
          </w:p>
          <w:p w14:paraId="0B794A51">
            <w:pPr>
              <w:spacing w:line="360" w:lineRule="auto"/>
              <w:ind w:firstLine="480" w:firstLineChars="200"/>
              <w:rPr>
                <w:rFonts w:hint="eastAsia" w:ascii="Times New Roman" w:hAnsi="Times New Roman" w:eastAsia="宋体" w:cs="Times New Roman"/>
                <w:sz w:val="24"/>
                <w:highlight w:val="none"/>
                <w:lang w:val="en-US" w:eastAsia="zh-CN"/>
              </w:rPr>
            </w:pPr>
            <w:r>
              <w:rPr>
                <w:rFonts w:hint="eastAsia" w:ascii="Times New Roman" w:hAnsi="Times New Roman" w:eastAsia="宋体" w:cs="Times New Roman"/>
                <w:sz w:val="24"/>
                <w:highlight w:val="none"/>
                <w:lang w:val="en-US" w:eastAsia="zh-CN"/>
              </w:rPr>
              <w:t>钻孔6</w:t>
            </w:r>
            <w:r>
              <w:rPr>
                <w:rFonts w:hint="default" w:ascii="Times New Roman" w:hAnsi="Times New Roman" w:eastAsia="宋体" w:cs="Times New Roman"/>
                <w:sz w:val="24"/>
                <w:highlight w:val="none"/>
              </w:rPr>
              <w:t>坐标：</w:t>
            </w:r>
            <w:r>
              <w:rPr>
                <w:rFonts w:hint="eastAsia" w:ascii="Times New Roman" w:hAnsi="Times New Roman" w:eastAsia="宋体" w:cs="Times New Roman"/>
                <w:sz w:val="24"/>
                <w:highlight w:val="none"/>
                <w:lang w:val="en-US" w:eastAsia="zh-CN"/>
              </w:rPr>
              <w:t>E116度31分12.684秒，N32度42分28.762秒</w:t>
            </w:r>
            <w:r>
              <w:rPr>
                <w:rFonts w:hint="eastAsia" w:eastAsia="宋体" w:cs="Times New Roman"/>
                <w:sz w:val="24"/>
                <w:highlight w:val="none"/>
                <w:lang w:val="en-US" w:eastAsia="zh-CN"/>
              </w:rPr>
              <w:t>；</w:t>
            </w:r>
          </w:p>
          <w:p w14:paraId="79406699">
            <w:pPr>
              <w:spacing w:line="360" w:lineRule="auto"/>
              <w:ind w:firstLine="480" w:firstLineChars="200"/>
              <w:rPr>
                <w:rFonts w:hint="eastAsia" w:ascii="Times New Roman" w:hAnsi="Times New Roman" w:eastAsia="宋体" w:cs="Times New Roman"/>
                <w:sz w:val="24"/>
                <w:highlight w:val="none"/>
                <w:lang w:val="en-US" w:eastAsia="zh-CN"/>
              </w:rPr>
            </w:pPr>
            <w:r>
              <w:rPr>
                <w:rFonts w:hint="eastAsia" w:ascii="Times New Roman" w:hAnsi="Times New Roman" w:eastAsia="宋体" w:cs="Times New Roman"/>
                <w:sz w:val="24"/>
                <w:highlight w:val="none"/>
                <w:lang w:val="en-US" w:eastAsia="zh-CN"/>
              </w:rPr>
              <w:t>钻孔7</w:t>
            </w:r>
            <w:r>
              <w:rPr>
                <w:rFonts w:hint="default" w:ascii="Times New Roman" w:hAnsi="Times New Roman" w:eastAsia="宋体" w:cs="Times New Roman"/>
                <w:sz w:val="24"/>
                <w:highlight w:val="none"/>
              </w:rPr>
              <w:t>坐标：</w:t>
            </w:r>
            <w:r>
              <w:rPr>
                <w:rFonts w:hint="eastAsia" w:ascii="Times New Roman" w:hAnsi="Times New Roman" w:eastAsia="宋体" w:cs="Times New Roman"/>
                <w:sz w:val="24"/>
                <w:highlight w:val="none"/>
                <w:lang w:val="en-US" w:eastAsia="zh-CN"/>
              </w:rPr>
              <w:t>E116度31分11.443秒，N32度42分29.249秒</w:t>
            </w:r>
            <w:r>
              <w:rPr>
                <w:rFonts w:hint="eastAsia" w:eastAsia="宋体" w:cs="Times New Roman"/>
                <w:sz w:val="24"/>
                <w:highlight w:val="none"/>
                <w:lang w:val="en-US" w:eastAsia="zh-CN"/>
              </w:rPr>
              <w:t>；</w:t>
            </w:r>
          </w:p>
          <w:p w14:paraId="15507E9B">
            <w:pPr>
              <w:spacing w:line="360" w:lineRule="auto"/>
              <w:ind w:firstLine="480" w:firstLineChars="200"/>
              <w:rPr>
                <w:rFonts w:hint="eastAsia" w:ascii="Times New Roman" w:hAnsi="Times New Roman" w:eastAsia="宋体" w:cs="Times New Roman"/>
                <w:sz w:val="24"/>
                <w:highlight w:val="none"/>
                <w:lang w:val="en-US" w:eastAsia="zh-CN"/>
              </w:rPr>
            </w:pPr>
            <w:r>
              <w:rPr>
                <w:rFonts w:hint="eastAsia" w:ascii="Times New Roman" w:hAnsi="Times New Roman" w:eastAsia="宋体" w:cs="Times New Roman"/>
                <w:sz w:val="24"/>
                <w:highlight w:val="none"/>
                <w:lang w:val="en-US" w:eastAsia="zh-CN"/>
              </w:rPr>
              <w:t>钻孔8</w:t>
            </w:r>
            <w:r>
              <w:rPr>
                <w:rFonts w:hint="default" w:ascii="Times New Roman" w:hAnsi="Times New Roman" w:eastAsia="宋体" w:cs="Times New Roman"/>
                <w:sz w:val="24"/>
                <w:highlight w:val="none"/>
              </w:rPr>
              <w:t>坐标：</w:t>
            </w:r>
            <w:r>
              <w:rPr>
                <w:rFonts w:hint="eastAsia" w:ascii="Times New Roman" w:hAnsi="Times New Roman" w:eastAsia="宋体" w:cs="Times New Roman"/>
                <w:sz w:val="24"/>
                <w:highlight w:val="none"/>
                <w:lang w:val="en-US" w:eastAsia="zh-CN"/>
              </w:rPr>
              <w:t>E116度31分08.363秒，N32度42分30.485秒</w:t>
            </w:r>
            <w:r>
              <w:rPr>
                <w:rFonts w:hint="eastAsia" w:eastAsia="宋体" w:cs="Times New Roman"/>
                <w:sz w:val="24"/>
                <w:highlight w:val="none"/>
                <w:lang w:val="en-US" w:eastAsia="zh-CN"/>
              </w:rPr>
              <w:t>；</w:t>
            </w:r>
          </w:p>
          <w:p w14:paraId="1FC541F2">
            <w:pPr>
              <w:spacing w:line="360" w:lineRule="auto"/>
              <w:ind w:firstLine="480" w:firstLineChars="200"/>
              <w:rPr>
                <w:rFonts w:hint="eastAsia" w:ascii="Times New Roman" w:hAnsi="Times New Roman" w:eastAsia="宋体" w:cs="Times New Roman"/>
                <w:sz w:val="24"/>
                <w:highlight w:val="none"/>
                <w:lang w:val="en-US" w:eastAsia="zh-CN"/>
              </w:rPr>
            </w:pPr>
            <w:r>
              <w:rPr>
                <w:rFonts w:hint="eastAsia" w:ascii="Times New Roman" w:hAnsi="Times New Roman" w:eastAsia="宋体" w:cs="Times New Roman"/>
                <w:sz w:val="24"/>
                <w:highlight w:val="none"/>
                <w:lang w:val="en-US" w:eastAsia="zh-CN"/>
              </w:rPr>
              <w:t>钻孔9</w:t>
            </w:r>
            <w:r>
              <w:rPr>
                <w:rFonts w:hint="default" w:ascii="Times New Roman" w:hAnsi="Times New Roman" w:eastAsia="宋体" w:cs="Times New Roman"/>
                <w:sz w:val="24"/>
                <w:highlight w:val="none"/>
              </w:rPr>
              <w:t>坐标：</w:t>
            </w:r>
            <w:r>
              <w:rPr>
                <w:rFonts w:hint="eastAsia" w:ascii="Times New Roman" w:hAnsi="Times New Roman" w:eastAsia="宋体" w:cs="Times New Roman"/>
                <w:sz w:val="24"/>
                <w:highlight w:val="none"/>
                <w:lang w:val="en-US" w:eastAsia="zh-CN"/>
              </w:rPr>
              <w:t>E116度31分04.206秒，N32度42分32.127秒</w:t>
            </w:r>
            <w:r>
              <w:rPr>
                <w:rFonts w:hint="eastAsia" w:eastAsia="宋体" w:cs="Times New Roman"/>
                <w:sz w:val="24"/>
                <w:highlight w:val="none"/>
                <w:lang w:val="en-US" w:eastAsia="zh-CN"/>
              </w:rPr>
              <w:t>；</w:t>
            </w:r>
          </w:p>
          <w:p w14:paraId="6BEBF799">
            <w:pPr>
              <w:spacing w:line="360" w:lineRule="auto"/>
              <w:ind w:firstLine="480" w:firstLineChars="200"/>
              <w:rPr>
                <w:rFonts w:hint="eastAsia" w:ascii="Times New Roman" w:hAnsi="Times New Roman" w:eastAsia="宋体" w:cs="Times New Roman"/>
                <w:sz w:val="24"/>
                <w:highlight w:val="none"/>
                <w:lang w:val="en-US" w:eastAsia="zh-CN"/>
              </w:rPr>
            </w:pPr>
            <w:r>
              <w:rPr>
                <w:rFonts w:hint="eastAsia" w:ascii="Times New Roman" w:hAnsi="Times New Roman" w:eastAsia="宋体" w:cs="Times New Roman"/>
                <w:sz w:val="24"/>
                <w:highlight w:val="none"/>
                <w:lang w:val="en-US" w:eastAsia="zh-CN"/>
              </w:rPr>
              <w:t>钻孔10</w:t>
            </w:r>
            <w:r>
              <w:rPr>
                <w:rFonts w:hint="default" w:ascii="Times New Roman" w:hAnsi="Times New Roman" w:eastAsia="宋体" w:cs="Times New Roman"/>
                <w:sz w:val="24"/>
                <w:highlight w:val="none"/>
              </w:rPr>
              <w:t>坐标：</w:t>
            </w:r>
            <w:r>
              <w:rPr>
                <w:rFonts w:hint="eastAsia" w:ascii="Times New Roman" w:hAnsi="Times New Roman" w:eastAsia="宋体" w:cs="Times New Roman"/>
                <w:sz w:val="24"/>
                <w:highlight w:val="none"/>
                <w:lang w:val="en-US" w:eastAsia="zh-CN"/>
              </w:rPr>
              <w:t>E116度31分21.471秒，N32度42分22.669秒</w:t>
            </w:r>
            <w:r>
              <w:rPr>
                <w:rFonts w:hint="eastAsia" w:eastAsia="宋体" w:cs="Times New Roman"/>
                <w:sz w:val="24"/>
                <w:highlight w:val="none"/>
                <w:lang w:val="en-US" w:eastAsia="zh-CN"/>
              </w:rPr>
              <w:t>；</w:t>
            </w:r>
          </w:p>
          <w:p w14:paraId="47ACB5AB">
            <w:pPr>
              <w:spacing w:line="360" w:lineRule="auto"/>
              <w:ind w:firstLine="480" w:firstLineChars="200"/>
              <w:rPr>
                <w:rFonts w:hint="eastAsia" w:ascii="Times New Roman" w:hAnsi="Times New Roman" w:eastAsia="宋体" w:cs="Times New Roman"/>
                <w:sz w:val="24"/>
                <w:highlight w:val="none"/>
                <w:lang w:val="en-US" w:eastAsia="zh-CN"/>
              </w:rPr>
            </w:pPr>
            <w:r>
              <w:rPr>
                <w:rFonts w:hint="eastAsia" w:ascii="Times New Roman" w:hAnsi="Times New Roman" w:eastAsia="宋体" w:cs="Times New Roman"/>
                <w:sz w:val="24"/>
                <w:highlight w:val="none"/>
                <w:lang w:val="en-US" w:eastAsia="zh-CN"/>
              </w:rPr>
              <w:t>钻孔11坐标：E116度31分03.579秒，N32度42分30.915秒</w:t>
            </w:r>
            <w:r>
              <w:rPr>
                <w:rFonts w:hint="eastAsia" w:eastAsia="宋体" w:cs="Times New Roman"/>
                <w:sz w:val="24"/>
                <w:highlight w:val="none"/>
                <w:lang w:val="en-US" w:eastAsia="zh-CN"/>
              </w:rPr>
              <w:t>；</w:t>
            </w:r>
          </w:p>
          <w:p w14:paraId="1A60F88C">
            <w:pPr>
              <w:spacing w:line="360" w:lineRule="auto"/>
              <w:ind w:firstLine="480" w:firstLineChars="200"/>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sz w:val="24"/>
                <w:highlight w:val="none"/>
                <w:lang w:val="en-US" w:eastAsia="zh-CN"/>
              </w:rPr>
              <w:t>注浆站坐标：E116度30分39.453秒，N32度42分38.929秒</w:t>
            </w:r>
            <w:r>
              <w:rPr>
                <w:rFonts w:hint="eastAsia" w:eastAsia="宋体" w:cs="Times New Roman"/>
                <w:sz w:val="24"/>
                <w:highlight w:val="none"/>
                <w:lang w:val="en-US" w:eastAsia="zh-CN"/>
              </w:rPr>
              <w:t>。</w:t>
            </w:r>
          </w:p>
        </w:tc>
      </w:tr>
      <w:tr w14:paraId="78E18F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9" w:type="pct"/>
            <w:noWrap w:val="0"/>
            <w:vAlign w:val="center"/>
          </w:tcPr>
          <w:p w14:paraId="21A595BC">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项目组成及规模</w:t>
            </w:r>
          </w:p>
        </w:tc>
        <w:tc>
          <w:tcPr>
            <w:tcW w:w="4751" w:type="pct"/>
            <w:noWrap w:val="0"/>
            <w:vAlign w:val="center"/>
          </w:tcPr>
          <w:p w14:paraId="7E9D27C8">
            <w:pPr>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1、项目建设背景</w:t>
            </w:r>
          </w:p>
          <w:p w14:paraId="181CD37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新集一矿是中煤新集能源股份有限公司开发建设的首对矿井，也是其发祥地，地处安徽省淮南市凤台县新集镇。矿井始建于1989年，1993年7月正式投产，最初设计产能为90万吨/年，后于1995年扩建为300万吨/年的大型矿井。目前，根据安徽省经信委批复，新集一矿按180万吨/年组织生产。</w:t>
            </w:r>
          </w:p>
          <w:p w14:paraId="203A9CD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新集一矿的开采条件极为特殊，其核心地质特征是典型的厚层推覆体下多煤层开采。受阜凤逆冲推覆构造影响，全井田约3/4区域被巨厚推覆体覆盖，外来系统的下元古界片麻岩、寒武系地层等被推覆于煤系地层之上，推覆体厚度一般为150～300m，最大达714.48m。井田内主要含煤地层为二叠系山西组和上、下石盒子组，含煤45层，其中可采煤层11层，累积采厚达27.5m。矿井为煤与瓦斯突出矿井，13-1、11-2、7、6-1煤层均为突出煤层，6#、8#、9#、13#煤层及顶底板岩层冲击倾向性均属I类（无冲击倾向性）。</w:t>
            </w:r>
          </w:p>
          <w:p w14:paraId="6A7E921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在采掘现状方面，矿井现有-550m和-706m两个生产水平，目前及中长期采掘活动集中在三采区、六采区、八采区。按照</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一井一面</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格局组织生产，3608（6）采区是当前的主力生产采区之一。360610工作面即为该采区东翼南部的接续工作面，开采6-1煤层，可采储量52.1万t。</w:t>
            </w:r>
          </w:p>
          <w:p w14:paraId="4E896E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由于360610工作面工作面上覆的13-1煤、11-2煤、8煤均已回采完毕，处于多煤层重复采动状态，覆岩结构已受多次扰动，地表为大面积塌陷积水区，并有潘谢路、张集进矿路及八丈沟穿过。更关键的是，该工作面虽位于阜淮铁路保护煤柱线之外，但受多煤层重复采动及推覆构造特殊地质条件叠加影响，地表沉降规律极为复杂，对阜淮铁路运行安全构成潜在威胁。在此背景下，中煤新集能源股份有限公司于2026年公开招标，采用覆岩隔离注浆技术对360610工作面实施减沉控沉绿色开采治理，以保障铁路安全、验证该技术在特殊地质条件下的可行性，并确保工作面安全顺利回采。</w:t>
            </w:r>
          </w:p>
          <w:p w14:paraId="7F525B9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新集一矿覆岩离层注浆减沉控沉绿色开采治理工程布置</w:t>
            </w:r>
            <w:r>
              <w:rPr>
                <w:rFonts w:hint="eastAsia" w:cs="Times New Roman"/>
                <w:color w:val="auto"/>
                <w:sz w:val="24"/>
                <w:szCs w:val="24"/>
                <w:highlight w:val="none"/>
                <w:lang w:val="en-US" w:eastAsia="zh-CN"/>
              </w:rPr>
              <w:t>1个注浆站、</w:t>
            </w:r>
            <w:r>
              <w:rPr>
                <w:rFonts w:hint="default" w:ascii="Times New Roman" w:hAnsi="Times New Roman" w:eastAsia="宋体" w:cs="Times New Roman"/>
                <w:sz w:val="24"/>
                <w:highlight w:val="none"/>
              </w:rPr>
              <w:t>敷设8条输浆管道（1趟Φ114.3×6.35mm、7趟Φ89×6.45mm，耐压不小于15MPa</w:t>
            </w:r>
            <w:r>
              <w:rPr>
                <w:rFonts w:hint="eastAsia" w:cs="Times New Roman"/>
                <w:sz w:val="24"/>
                <w:highlight w:val="none"/>
                <w:lang w:eastAsia="zh-CN"/>
              </w:rPr>
              <w:t>，</w:t>
            </w:r>
            <w:r>
              <w:rPr>
                <w:rFonts w:hint="eastAsia" w:cs="Times New Roman"/>
                <w:sz w:val="24"/>
                <w:highlight w:val="none"/>
                <w:lang w:val="en-US" w:eastAsia="zh-CN"/>
              </w:rPr>
              <w:t>总长约8500m</w:t>
            </w:r>
            <w:r>
              <w:rPr>
                <w:rFonts w:hint="default" w:ascii="Times New Roman" w:hAnsi="Times New Roman" w:eastAsia="宋体" w:cs="Times New Roman"/>
                <w:sz w:val="24"/>
                <w:highlight w:val="none"/>
              </w:rPr>
              <w:t>）</w:t>
            </w:r>
            <w:r>
              <w:rPr>
                <w:rFonts w:hint="eastAsia" w:ascii="Times New Roman" w:hAnsi="Times New Roman" w:eastAsia="宋体" w:cs="Times New Roman"/>
                <w:sz w:val="24"/>
                <w:highlight w:val="none"/>
                <w:lang w:eastAsia="zh-CN"/>
              </w:rPr>
              <w:t>、</w:t>
            </w:r>
            <w:r>
              <w:rPr>
                <w:rFonts w:hint="default" w:ascii="Times New Roman" w:hAnsi="Times New Roman" w:cs="Times New Roman"/>
                <w:color w:val="auto"/>
                <w:sz w:val="24"/>
                <w:szCs w:val="24"/>
                <w:highlight w:val="none"/>
                <w:lang w:val="en-US" w:eastAsia="zh-CN"/>
              </w:rPr>
              <w:t>11个井场，施工钻孔11个，其中2个位岩移观测孔，9个注浆孔，钻探总工程量3200m。</w:t>
            </w:r>
          </w:p>
          <w:p w14:paraId="40970184">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为陆地矿产资源地质勘查工程，不涉及煤炭开采工作，项目实施的目的是针对新集一矿360610工作面受多煤层重复采动及推覆构造影响、地表沉降规律复杂且威胁阜淮铁路运行安全的问题，通过探查上覆推覆体片麻岩及煤系地层离层发育情况，采用覆岩离层注浆充填技术提前干预覆岩活动、形成充填压实承载区，并在铁路维护带以北设置预警线和控制线开展专项监测，从而控制采空区覆岩沉降过程、减小地表最终静态沉降量，保障铁路等地表设施安全稳定，同时保障矿井正常采掘接续，实现覆岩离层注浆减沉控沉绿色开采治理目标。施工及配套设施，待勘察结束后进行现场清理和生态修复工作。</w:t>
            </w:r>
          </w:p>
          <w:p w14:paraId="5666154A">
            <w:pPr>
              <w:spacing w:line="360" w:lineRule="auto"/>
              <w:ind w:firstLine="482" w:firstLineChars="200"/>
              <w:rPr>
                <w:rFonts w:hint="default" w:ascii="Times New Roman" w:hAnsi="Times New Roman" w:cs="Times New Roman"/>
                <w:b/>
                <w:bCs/>
                <w:color w:val="auto"/>
                <w:sz w:val="24"/>
                <w:highlight w:val="none"/>
                <w:shd w:val="clear" w:color="auto" w:fill="FFFFFF"/>
              </w:rPr>
            </w:pPr>
          </w:p>
          <w:p w14:paraId="4D7CCF8B">
            <w:pPr>
              <w:spacing w:line="360" w:lineRule="auto"/>
              <w:ind w:firstLine="482" w:firstLineChars="200"/>
              <w:rPr>
                <w:rFonts w:hint="default" w:ascii="Times New Roman" w:hAnsi="Times New Roman" w:cs="Times New Roman"/>
                <w:b/>
                <w:bCs/>
                <w:color w:val="auto"/>
                <w:sz w:val="24"/>
                <w:highlight w:val="none"/>
                <w:shd w:val="clear" w:color="auto" w:fill="FFFFFF"/>
              </w:rPr>
            </w:pPr>
            <w:r>
              <w:rPr>
                <w:rFonts w:hint="default" w:ascii="Times New Roman" w:hAnsi="Times New Roman" w:cs="Times New Roman"/>
                <w:b/>
                <w:bCs/>
                <w:color w:val="auto"/>
                <w:sz w:val="24"/>
                <w:highlight w:val="none"/>
                <w:shd w:val="clear" w:color="auto" w:fill="FFFFFF"/>
              </w:rPr>
              <w:t>2、项目概况</w:t>
            </w:r>
          </w:p>
          <w:p w14:paraId="287BA32D">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项目于202</w:t>
            </w:r>
            <w:r>
              <w:rPr>
                <w:rFonts w:hint="eastAsia" w:cs="Times New Roman"/>
                <w:color w:val="auto"/>
                <w:sz w:val="24"/>
                <w:highlight w:val="none"/>
                <w:lang w:val="en-US" w:eastAsia="zh-CN"/>
              </w:rPr>
              <w:t>6</w:t>
            </w:r>
            <w:r>
              <w:rPr>
                <w:rFonts w:hint="default" w:ascii="Times New Roman" w:hAnsi="Times New Roman" w:cs="Times New Roman"/>
                <w:color w:val="auto"/>
                <w:sz w:val="24"/>
                <w:highlight w:val="none"/>
              </w:rPr>
              <w:t>年</w:t>
            </w:r>
            <w:r>
              <w:rPr>
                <w:rFonts w:hint="eastAsia" w:cs="Times New Roman"/>
                <w:color w:val="auto"/>
                <w:sz w:val="24"/>
                <w:highlight w:val="none"/>
                <w:lang w:val="en-US" w:eastAsia="zh-CN"/>
              </w:rPr>
              <w:t>4</w:t>
            </w:r>
            <w:r>
              <w:rPr>
                <w:rFonts w:hint="default" w:ascii="Times New Roman" w:hAnsi="Times New Roman" w:cs="Times New Roman"/>
                <w:color w:val="auto"/>
                <w:sz w:val="24"/>
                <w:highlight w:val="none"/>
              </w:rPr>
              <w:t>月</w:t>
            </w:r>
            <w:r>
              <w:rPr>
                <w:rFonts w:hint="eastAsia" w:cs="Times New Roman"/>
                <w:color w:val="auto"/>
                <w:sz w:val="24"/>
                <w:highlight w:val="none"/>
                <w:lang w:val="en-US" w:eastAsia="zh-CN"/>
              </w:rPr>
              <w:t>30</w:t>
            </w:r>
            <w:r>
              <w:rPr>
                <w:rFonts w:hint="default" w:ascii="Times New Roman" w:hAnsi="Times New Roman" w:cs="Times New Roman"/>
                <w:color w:val="auto"/>
                <w:sz w:val="24"/>
                <w:highlight w:val="none"/>
              </w:rPr>
              <w:t>日经凤台县发展和改革委员会首次立项备案</w:t>
            </w:r>
            <w:r>
              <w:rPr>
                <w:rFonts w:hint="eastAsia" w:cs="Times New Roman"/>
                <w:color w:val="auto"/>
                <w:sz w:val="24"/>
                <w:highlight w:val="none"/>
                <w:lang w:eastAsia="zh-CN"/>
              </w:rPr>
              <w:t>，</w:t>
            </w:r>
            <w:r>
              <w:rPr>
                <w:rFonts w:hint="default" w:ascii="Times New Roman" w:hAnsi="Times New Roman" w:cs="Times New Roman"/>
                <w:sz w:val="24"/>
                <w:highlight w:val="none"/>
              </w:rPr>
              <w:t>备案编号为：</w:t>
            </w:r>
            <w:r>
              <w:rPr>
                <w:rFonts w:hint="eastAsia" w:cs="Times New Roman"/>
                <w:sz w:val="24"/>
                <w:highlight w:val="none"/>
                <w:lang w:val="en-US" w:eastAsia="zh-CN"/>
              </w:rPr>
              <w:t>2604-340421-04-01-126681</w:t>
            </w:r>
            <w:r>
              <w:rPr>
                <w:rFonts w:hint="default" w:ascii="Times New Roman" w:hAnsi="Times New Roman" w:cs="Times New Roman"/>
                <w:sz w:val="24"/>
                <w:highlight w:val="none"/>
              </w:rPr>
              <w:t>，项目总投资</w:t>
            </w:r>
            <w:r>
              <w:rPr>
                <w:rFonts w:hint="eastAsia" w:cs="Times New Roman"/>
                <w:sz w:val="24"/>
                <w:highlight w:val="none"/>
                <w:lang w:val="en-US" w:eastAsia="zh-CN"/>
              </w:rPr>
              <w:t>2178</w:t>
            </w:r>
            <w:r>
              <w:rPr>
                <w:rFonts w:hint="default" w:ascii="Times New Roman" w:hAnsi="Times New Roman" w:cs="Times New Roman"/>
                <w:sz w:val="24"/>
                <w:highlight w:val="none"/>
              </w:rPr>
              <w:t>万元。项目建设内容为：</w:t>
            </w:r>
            <w:r>
              <w:rPr>
                <w:rFonts w:hint="eastAsia" w:cs="Times New Roman"/>
                <w:sz w:val="24"/>
                <w:highlight w:val="none"/>
                <w:lang w:val="en-US" w:eastAsia="zh-CN"/>
              </w:rPr>
              <w:t>通过开展本项目达到地面减沉控沉目的，实现地表设施安全稳定、验证多煤层重复采动及上覆厚层推覆体片麻岩的特殊地质条件下覆岩隔离注浆技术的可行性及保护效果，保障360610工作面安全顺利回采</w:t>
            </w:r>
            <w:r>
              <w:rPr>
                <w:rFonts w:hint="default" w:ascii="Times New Roman" w:hAnsi="Times New Roman" w:cs="Times New Roman"/>
                <w:sz w:val="24"/>
                <w:highlight w:val="none"/>
              </w:rPr>
              <w:t>。</w:t>
            </w:r>
            <w:r>
              <w:rPr>
                <w:rFonts w:hint="eastAsia" w:cs="Times New Roman"/>
                <w:sz w:val="24"/>
                <w:highlight w:val="none"/>
                <w:lang w:val="en-US" w:eastAsia="zh-CN"/>
              </w:rPr>
              <w:t>计划布置11个井场，</w:t>
            </w:r>
            <w:r>
              <w:rPr>
                <w:rFonts w:hint="default" w:ascii="Times New Roman" w:hAnsi="Times New Roman" w:eastAsia="宋体" w:cs="Times New Roman"/>
                <w:sz w:val="24"/>
                <w:highlight w:val="none"/>
              </w:rPr>
              <w:t>敷设8条输浆管道（1趟Φ114.3×6.35mm、7趟Φ89×6.45mm，耐压不小于15MPa</w:t>
            </w:r>
            <w:r>
              <w:rPr>
                <w:rFonts w:hint="eastAsia" w:cs="Times New Roman"/>
                <w:sz w:val="24"/>
                <w:highlight w:val="none"/>
                <w:lang w:eastAsia="zh-CN"/>
              </w:rPr>
              <w:t>，</w:t>
            </w:r>
            <w:r>
              <w:rPr>
                <w:rFonts w:hint="eastAsia" w:cs="Times New Roman"/>
                <w:sz w:val="24"/>
                <w:highlight w:val="none"/>
                <w:lang w:val="en-US" w:eastAsia="zh-CN"/>
              </w:rPr>
              <w:t>总长约8500m</w:t>
            </w:r>
            <w:r>
              <w:rPr>
                <w:rFonts w:hint="default" w:ascii="Times New Roman" w:hAnsi="Times New Roman" w:eastAsia="宋体" w:cs="Times New Roman"/>
                <w:sz w:val="24"/>
                <w:highlight w:val="none"/>
              </w:rPr>
              <w:t>）</w:t>
            </w:r>
            <w:r>
              <w:rPr>
                <w:rFonts w:hint="eastAsia" w:cs="Times New Roman"/>
                <w:sz w:val="24"/>
                <w:highlight w:val="none"/>
                <w:lang w:val="en-US" w:eastAsia="zh-CN"/>
              </w:rPr>
              <w:t>，施工钻孔11个，其中2个位岩移观测孔，9个注浆孔，总工程量3200m。</w:t>
            </w:r>
            <w:r>
              <w:rPr>
                <w:rFonts w:hint="default" w:ascii="Times New Roman" w:hAnsi="Times New Roman" w:cs="Times New Roman"/>
                <w:sz w:val="24"/>
                <w:highlight w:val="none"/>
              </w:rPr>
              <w:t>项目结束后恢复农</w:t>
            </w:r>
            <w:r>
              <w:rPr>
                <w:rFonts w:hint="default" w:ascii="Times New Roman" w:hAnsi="Times New Roman" w:cs="Times New Roman"/>
                <w:color w:val="auto"/>
                <w:sz w:val="24"/>
                <w:highlight w:val="none"/>
              </w:rPr>
              <w:t>业用地原貌。本项目不涉及瓦斯抽采和煤炭开采工作，仅为安全辅助钻井工程。本项目建设单位“中煤新集能源股份有限公司新集</w:t>
            </w:r>
            <w:r>
              <w:rPr>
                <w:rFonts w:hint="eastAsia" w:cs="Times New Roman"/>
                <w:color w:val="auto"/>
                <w:sz w:val="24"/>
                <w:highlight w:val="none"/>
                <w:lang w:val="en-US" w:eastAsia="zh-CN"/>
              </w:rPr>
              <w:t>一</w:t>
            </w:r>
            <w:r>
              <w:rPr>
                <w:rFonts w:hint="default" w:ascii="Times New Roman" w:hAnsi="Times New Roman" w:cs="Times New Roman"/>
                <w:color w:val="auto"/>
                <w:sz w:val="24"/>
                <w:highlight w:val="none"/>
              </w:rPr>
              <w:t>矿”委托本项目施工单位“</w:t>
            </w:r>
            <w:r>
              <w:rPr>
                <w:rFonts w:hint="eastAsia" w:cs="Times New Roman"/>
                <w:color w:val="auto"/>
                <w:sz w:val="24"/>
                <w:highlight w:val="none"/>
                <w:lang w:val="en-US" w:eastAsia="zh-CN"/>
              </w:rPr>
              <w:t>中煤科工生态环境科技有限公司”</w:t>
            </w:r>
            <w:r>
              <w:rPr>
                <w:rFonts w:hint="default" w:ascii="Times New Roman" w:hAnsi="Times New Roman" w:cs="Times New Roman"/>
                <w:color w:val="auto"/>
                <w:sz w:val="24"/>
                <w:highlight w:val="none"/>
              </w:rPr>
              <w:t>代为办理临时用地手续。因此临时用地租赁协议，协议签订单位为</w:t>
            </w:r>
            <w:r>
              <w:rPr>
                <w:rFonts w:hint="eastAsia" w:cs="Times New Roman"/>
                <w:color w:val="auto"/>
                <w:sz w:val="24"/>
                <w:highlight w:val="none"/>
                <w:lang w:eastAsia="zh-CN"/>
              </w:rPr>
              <w:t>“</w:t>
            </w:r>
            <w:r>
              <w:rPr>
                <w:rFonts w:hint="eastAsia" w:cs="Times New Roman"/>
                <w:color w:val="auto"/>
                <w:sz w:val="24"/>
                <w:highlight w:val="none"/>
                <w:lang w:val="en-US" w:eastAsia="zh-CN"/>
              </w:rPr>
              <w:t>中煤科工生态环境科技有限公司”</w:t>
            </w:r>
            <w:r>
              <w:rPr>
                <w:rFonts w:hint="default" w:ascii="Times New Roman" w:hAnsi="Times New Roman" w:cs="Times New Roman"/>
                <w:color w:val="auto"/>
                <w:sz w:val="24"/>
                <w:highlight w:val="none"/>
              </w:rPr>
              <w:t>。</w:t>
            </w:r>
          </w:p>
          <w:p w14:paraId="67CD5B46">
            <w:pPr>
              <w:spacing w:line="360" w:lineRule="auto"/>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本项目实施为</w:t>
            </w:r>
            <w:r>
              <w:rPr>
                <w:rFonts w:hint="eastAsia" w:cs="Times New Roman"/>
                <w:sz w:val="24"/>
                <w:highlight w:val="none"/>
                <w:lang w:val="en-US" w:eastAsia="zh-CN"/>
              </w:rPr>
              <w:t>陆地</w:t>
            </w:r>
            <w:r>
              <w:rPr>
                <w:rFonts w:hint="default" w:ascii="Times New Roman" w:hAnsi="Times New Roman" w:cs="Times New Roman"/>
                <w:sz w:val="24"/>
                <w:highlight w:val="none"/>
                <w:lang w:val="en-US" w:eastAsia="zh-CN"/>
              </w:rPr>
              <w:t>矿产资源地质勘查</w:t>
            </w:r>
            <w:r>
              <w:rPr>
                <w:rFonts w:hint="default" w:ascii="Times New Roman" w:hAnsi="Times New Roman" w:cs="Times New Roman"/>
                <w:sz w:val="24"/>
                <w:highlight w:val="none"/>
              </w:rPr>
              <w:t>，本项目不涉及瓦斯抽采工程，根据《中华人民共和国</w:t>
            </w:r>
            <w:r>
              <w:rPr>
                <w:rFonts w:hint="eastAsia" w:cs="Times New Roman"/>
                <w:sz w:val="24"/>
                <w:highlight w:val="none"/>
                <w:lang w:val="en-US" w:eastAsia="zh-CN"/>
              </w:rPr>
              <w:t>生态环境法典</w:t>
            </w:r>
            <w:r>
              <w:rPr>
                <w:rFonts w:hint="default" w:ascii="Times New Roman" w:hAnsi="Times New Roman" w:cs="Times New Roman"/>
                <w:sz w:val="24"/>
                <w:highlight w:val="none"/>
              </w:rPr>
              <w:t>》《建设项目环境保护管理条例》和《建设项目环境影响评价分类管理名录》（2021年版），本项目属于</w:t>
            </w:r>
            <w:r>
              <w:rPr>
                <w:rFonts w:hint="eastAsia" w:cs="Times New Roman"/>
                <w:sz w:val="24"/>
                <w:highlight w:val="none"/>
                <w:lang w:eastAsia="zh-CN"/>
              </w:rPr>
              <w:t>“</w:t>
            </w:r>
            <w:r>
              <w:rPr>
                <w:rFonts w:hint="default" w:ascii="Times New Roman" w:hAnsi="Times New Roman" w:cs="Times New Roman"/>
                <w:sz w:val="24"/>
                <w:highlight w:val="none"/>
              </w:rPr>
              <w:t>四十六、专业技术服务业99中的陆地矿产资源地质勘查（含油气资源勘探）；二氧化碳地质封存</w:t>
            </w:r>
            <w:r>
              <w:rPr>
                <w:rFonts w:hint="eastAsia" w:cs="Times New Roman"/>
                <w:sz w:val="24"/>
                <w:highlight w:val="none"/>
                <w:lang w:eastAsia="zh-CN"/>
              </w:rPr>
              <w:t>”</w:t>
            </w:r>
            <w:r>
              <w:rPr>
                <w:rFonts w:hint="default" w:ascii="Times New Roman" w:hAnsi="Times New Roman" w:cs="Times New Roman"/>
                <w:sz w:val="24"/>
                <w:highlight w:val="none"/>
              </w:rPr>
              <w:t>，应全部编制环境影响报告表，项目环评类别判定依据如下。</w:t>
            </w:r>
          </w:p>
          <w:p w14:paraId="54C602DA">
            <w:pPr>
              <w:spacing w:line="240" w:lineRule="atLeast"/>
              <w:jc w:val="center"/>
              <w:rPr>
                <w:rFonts w:hint="default" w:ascii="Times New Roman" w:hAnsi="Times New Roman" w:eastAsia="黑体" w:cs="Times New Roman"/>
                <w:szCs w:val="20"/>
                <w:highlight w:val="none"/>
              </w:rPr>
            </w:pPr>
            <w:r>
              <w:rPr>
                <w:rFonts w:hint="default" w:ascii="Times New Roman" w:hAnsi="Times New Roman" w:eastAsia="黑体" w:cs="Times New Roman"/>
                <w:szCs w:val="20"/>
                <w:highlight w:val="none"/>
              </w:rPr>
              <w:t>表2-1  建设项目环境影响评价分类管理名录</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23"/>
              <w:gridCol w:w="1418"/>
              <w:gridCol w:w="2407"/>
              <w:gridCol w:w="1501"/>
            </w:tblGrid>
            <w:tr w14:paraId="16B86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8" w:type="pct"/>
                  <w:tcBorders>
                    <w:tl2br w:val="single" w:color="auto" w:sz="4" w:space="0"/>
                  </w:tcBorders>
                  <w:shd w:val="clear" w:color="auto" w:fill="auto"/>
                  <w:noWrap w:val="0"/>
                  <w:vAlign w:val="center"/>
                </w:tcPr>
                <w:p w14:paraId="6701FABA">
                  <w:pPr>
                    <w:spacing w:line="240" w:lineRule="atLeast"/>
                    <w:jc w:val="right"/>
                    <w:rPr>
                      <w:rFonts w:hint="default" w:ascii="Times New Roman" w:hAnsi="Times New Roman" w:cs="Times New Roman"/>
                      <w:b/>
                      <w:szCs w:val="21"/>
                      <w:highlight w:val="none"/>
                    </w:rPr>
                  </w:pPr>
                  <w:r>
                    <w:rPr>
                      <w:rFonts w:hint="default" w:ascii="Times New Roman" w:hAnsi="Times New Roman" w:cs="Times New Roman"/>
                      <w:b/>
                      <w:szCs w:val="21"/>
                      <w:highlight w:val="none"/>
                    </w:rPr>
                    <w:t>环评类别</w:t>
                  </w:r>
                </w:p>
                <w:p w14:paraId="5A97EBD3">
                  <w:pPr>
                    <w:spacing w:line="240" w:lineRule="atLeast"/>
                    <w:rPr>
                      <w:rFonts w:hint="default" w:ascii="Times New Roman" w:hAnsi="Times New Roman" w:cs="Times New Roman"/>
                      <w:b/>
                      <w:szCs w:val="21"/>
                      <w:highlight w:val="none"/>
                    </w:rPr>
                  </w:pPr>
                  <w:r>
                    <w:rPr>
                      <w:rFonts w:hint="default" w:ascii="Times New Roman" w:hAnsi="Times New Roman" w:cs="Times New Roman"/>
                      <w:b/>
                      <w:szCs w:val="21"/>
                      <w:highlight w:val="none"/>
                    </w:rPr>
                    <w:t>项目类别</w:t>
                  </w:r>
                </w:p>
              </w:tc>
              <w:tc>
                <w:tcPr>
                  <w:tcW w:w="903" w:type="pct"/>
                  <w:shd w:val="clear" w:color="auto" w:fill="auto"/>
                  <w:noWrap w:val="0"/>
                  <w:vAlign w:val="center"/>
                </w:tcPr>
                <w:p w14:paraId="790E1BA3">
                  <w:pPr>
                    <w:spacing w:line="240" w:lineRule="atLeast"/>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报告书</w:t>
                  </w:r>
                </w:p>
              </w:tc>
              <w:tc>
                <w:tcPr>
                  <w:tcW w:w="1533" w:type="pct"/>
                  <w:shd w:val="clear" w:color="auto" w:fill="D9D9D9"/>
                  <w:noWrap w:val="0"/>
                  <w:vAlign w:val="center"/>
                </w:tcPr>
                <w:p w14:paraId="6216FD36">
                  <w:pPr>
                    <w:spacing w:line="240" w:lineRule="atLeast"/>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报告表</w:t>
                  </w:r>
                </w:p>
              </w:tc>
              <w:tc>
                <w:tcPr>
                  <w:tcW w:w="956" w:type="pct"/>
                  <w:noWrap w:val="0"/>
                  <w:vAlign w:val="center"/>
                </w:tcPr>
                <w:p w14:paraId="38298A51">
                  <w:pPr>
                    <w:spacing w:line="240" w:lineRule="atLeast"/>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登记表</w:t>
                  </w:r>
                </w:p>
              </w:tc>
            </w:tr>
            <w:tr w14:paraId="6161B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noWrap w:val="0"/>
                  <w:vAlign w:val="center"/>
                </w:tcPr>
                <w:p w14:paraId="13D65F20">
                  <w:pPr>
                    <w:spacing w:line="240" w:lineRule="atLeast"/>
                    <w:rPr>
                      <w:rFonts w:hint="default" w:ascii="Times New Roman" w:hAnsi="Times New Roman" w:cs="Times New Roman"/>
                      <w:szCs w:val="21"/>
                      <w:highlight w:val="none"/>
                    </w:rPr>
                  </w:pPr>
                  <w:r>
                    <w:rPr>
                      <w:rFonts w:hint="default" w:ascii="Times New Roman" w:hAnsi="Times New Roman" w:cs="Times New Roman"/>
                      <w:highlight w:val="none"/>
                    </w:rPr>
                    <w:t>四十六、专业技术服务业</w:t>
                  </w:r>
                </w:p>
              </w:tc>
            </w:tr>
            <w:tr w14:paraId="42B6E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8" w:type="pct"/>
                  <w:shd w:val="clear" w:color="auto" w:fill="auto"/>
                  <w:noWrap w:val="0"/>
                  <w:vAlign w:val="center"/>
                </w:tcPr>
                <w:p w14:paraId="3DF6A1B9">
                  <w:pPr>
                    <w:autoSpaceDE w:val="0"/>
                    <w:autoSpaceDN w:val="0"/>
                    <w:spacing w:line="240" w:lineRule="atLeast"/>
                    <w:rPr>
                      <w:rFonts w:hint="default" w:ascii="Times New Roman" w:hAnsi="Times New Roman" w:cs="Times New Roman"/>
                      <w:szCs w:val="21"/>
                      <w:highlight w:val="none"/>
                    </w:rPr>
                  </w:pPr>
                  <w:r>
                    <w:rPr>
                      <w:rFonts w:hint="default" w:ascii="Times New Roman" w:hAnsi="Times New Roman" w:cs="Times New Roman"/>
                      <w:highlight w:val="none"/>
                    </w:rPr>
                    <w:t>99  陆地矿产资源地质勘查（含油气资源勘探）；二氧化碳地质封存</w:t>
                  </w:r>
                </w:p>
              </w:tc>
              <w:tc>
                <w:tcPr>
                  <w:tcW w:w="903" w:type="pct"/>
                  <w:shd w:val="clear" w:color="auto" w:fill="auto"/>
                  <w:noWrap w:val="0"/>
                  <w:vAlign w:val="center"/>
                </w:tcPr>
                <w:p w14:paraId="0E6CCEC8">
                  <w:pPr>
                    <w:autoSpaceDE w:val="0"/>
                    <w:autoSpaceDN w:val="0"/>
                    <w:spacing w:line="240" w:lineRule="atLeast"/>
                    <w:jc w:val="center"/>
                    <w:rPr>
                      <w:rFonts w:hint="default" w:ascii="Times New Roman" w:hAnsi="Times New Roman" w:cs="Times New Roman"/>
                      <w:szCs w:val="21"/>
                      <w:highlight w:val="none"/>
                    </w:rPr>
                  </w:pPr>
                  <w:r>
                    <w:rPr>
                      <w:rFonts w:hint="default" w:ascii="Times New Roman" w:hAnsi="Times New Roman" w:cs="Times New Roman"/>
                      <w:highlight w:val="none"/>
                    </w:rPr>
                    <w:t>/</w:t>
                  </w:r>
                </w:p>
              </w:tc>
              <w:tc>
                <w:tcPr>
                  <w:tcW w:w="1533" w:type="pct"/>
                  <w:shd w:val="clear" w:color="auto" w:fill="D9D9D9"/>
                  <w:noWrap w:val="0"/>
                  <w:vAlign w:val="center"/>
                </w:tcPr>
                <w:p w14:paraId="2EFDB7E1">
                  <w:pPr>
                    <w:autoSpaceDE w:val="0"/>
                    <w:autoSpaceDN w:val="0"/>
                    <w:spacing w:line="240" w:lineRule="atLeast"/>
                    <w:jc w:val="center"/>
                    <w:rPr>
                      <w:rFonts w:hint="default" w:ascii="Times New Roman" w:hAnsi="Times New Roman" w:cs="Times New Roman"/>
                      <w:szCs w:val="21"/>
                      <w:highlight w:val="none"/>
                    </w:rPr>
                  </w:pPr>
                  <w:r>
                    <w:rPr>
                      <w:rFonts w:hint="default" w:ascii="Times New Roman" w:hAnsi="Times New Roman" w:cs="Times New Roman"/>
                      <w:highlight w:val="none"/>
                    </w:rPr>
                    <w:t>全部</w:t>
                  </w:r>
                </w:p>
              </w:tc>
              <w:tc>
                <w:tcPr>
                  <w:tcW w:w="956" w:type="pct"/>
                  <w:noWrap w:val="0"/>
                  <w:vAlign w:val="center"/>
                </w:tcPr>
                <w:p w14:paraId="4327A84A">
                  <w:pPr>
                    <w:spacing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r>
          </w:tbl>
          <w:p w14:paraId="258B0CAD">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sz w:val="24"/>
                <w:highlight w:val="none"/>
              </w:rPr>
              <w:t>为了对建设项目可能造成的环境影响进行分析、预测和评估，依据《中华人民共和国</w:t>
            </w:r>
            <w:r>
              <w:rPr>
                <w:rFonts w:hint="eastAsia" w:cs="Times New Roman"/>
                <w:sz w:val="24"/>
                <w:highlight w:val="none"/>
                <w:lang w:val="en-US" w:eastAsia="zh-CN"/>
              </w:rPr>
              <w:t>生态环境法典</w:t>
            </w:r>
            <w:r>
              <w:rPr>
                <w:rFonts w:hint="default" w:ascii="Times New Roman" w:hAnsi="Times New Roman" w:cs="Times New Roman"/>
                <w:sz w:val="24"/>
                <w:highlight w:val="none"/>
              </w:rPr>
              <w:t>》和《建设项目环境保护管理条例》等相关法律法规，本项目需进行环境影响评价，中煤新集能源股份有限公司新集</w:t>
            </w:r>
            <w:r>
              <w:rPr>
                <w:rFonts w:hint="eastAsia" w:cs="Times New Roman"/>
                <w:sz w:val="24"/>
                <w:highlight w:val="none"/>
                <w:lang w:val="en-US" w:eastAsia="zh-CN"/>
              </w:rPr>
              <w:t>一</w:t>
            </w:r>
            <w:r>
              <w:rPr>
                <w:rFonts w:hint="default" w:ascii="Times New Roman" w:hAnsi="Times New Roman" w:cs="Times New Roman"/>
                <w:sz w:val="24"/>
                <w:highlight w:val="none"/>
              </w:rPr>
              <w:t>矿委托我公司对</w:t>
            </w:r>
            <w:r>
              <w:rPr>
                <w:rFonts w:hint="eastAsia" w:cs="Times New Roman"/>
                <w:sz w:val="24"/>
                <w:highlight w:val="none"/>
                <w:lang w:eastAsia="zh-CN"/>
              </w:rPr>
              <w:t>“</w:t>
            </w:r>
            <w:r>
              <w:rPr>
                <w:rFonts w:hint="eastAsia" w:cs="Times New Roman"/>
                <w:sz w:val="24"/>
                <w:highlight w:val="none"/>
                <w:lang w:val="en-US" w:eastAsia="zh-CN"/>
              </w:rPr>
              <w:t>新集一矿覆岩离层注浆减沉控沉绿色开采治理工程”</w:t>
            </w:r>
            <w:r>
              <w:rPr>
                <w:rFonts w:hint="default" w:ascii="Times New Roman" w:hAnsi="Times New Roman" w:cs="Times New Roman"/>
                <w:sz w:val="24"/>
                <w:highlight w:val="none"/>
              </w:rPr>
              <w:t>进行环境影响评价工作。接受委托后我单位即组织有关技术人员进行现场踏勘、收集资料。依据国家环境保护有关文件和环境影响评价技术导则，编制了该项目环境影响报告表，报请生态环境行政主管部门审查、审批，以期为项目管理提供参考依据。</w:t>
            </w:r>
          </w:p>
          <w:p w14:paraId="5DDB8230">
            <w:pPr>
              <w:pStyle w:val="22"/>
              <w:numPr>
                <w:ilvl w:val="0"/>
                <w:numId w:val="2"/>
              </w:numPr>
              <w:spacing w:line="360" w:lineRule="auto"/>
              <w:ind w:firstLine="482" w:firstLineChars="200"/>
              <w:jc w:val="left"/>
              <w:rPr>
                <w:rFonts w:hint="default" w:ascii="Times New Roman" w:hAnsi="Times New Roman" w:cs="Times New Roman"/>
                <w:b/>
                <w:bCs/>
                <w:color w:val="auto"/>
                <w:kern w:val="2"/>
                <w:sz w:val="24"/>
                <w:szCs w:val="24"/>
                <w:highlight w:val="none"/>
                <w:shd w:val="clear" w:color="auto" w:fill="FFFFFF"/>
                <w:lang w:val="zh-CN"/>
              </w:rPr>
            </w:pPr>
            <w:r>
              <w:rPr>
                <w:rFonts w:hint="default" w:ascii="Times New Roman" w:hAnsi="Times New Roman" w:cs="Times New Roman"/>
                <w:b/>
                <w:bCs/>
                <w:color w:val="auto"/>
                <w:kern w:val="2"/>
                <w:sz w:val="24"/>
                <w:szCs w:val="24"/>
                <w:highlight w:val="none"/>
                <w:shd w:val="clear" w:color="auto" w:fill="FFFFFF"/>
              </w:rPr>
              <w:t>工程内容</w:t>
            </w:r>
          </w:p>
          <w:p w14:paraId="4A4CE7B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黑体" w:cs="Times New Roman"/>
                <w:highlight w:val="none"/>
              </w:rPr>
            </w:pPr>
            <w:r>
              <w:rPr>
                <w:rFonts w:hint="default" w:ascii="Times New Roman" w:hAnsi="Times New Roman" w:eastAsia="宋体" w:cs="Times New Roman"/>
                <w:color w:val="auto"/>
                <w:sz w:val="24"/>
                <w:highlight w:val="none"/>
              </w:rPr>
              <w:t>本工程设置</w:t>
            </w:r>
            <w:r>
              <w:rPr>
                <w:rFonts w:hint="eastAsia" w:eastAsia="宋体" w:cs="Times New Roman"/>
                <w:color w:val="auto"/>
                <w:sz w:val="24"/>
                <w:highlight w:val="none"/>
                <w:lang w:val="en-US" w:eastAsia="zh-CN"/>
              </w:rPr>
              <w:t>1</w:t>
            </w:r>
            <w:r>
              <w:rPr>
                <w:rFonts w:hint="eastAsia" w:cs="Times New Roman"/>
                <w:color w:val="auto"/>
                <w:sz w:val="24"/>
                <w:highlight w:val="none"/>
                <w:lang w:val="en-US" w:eastAsia="zh-CN"/>
              </w:rPr>
              <w:t>2</w:t>
            </w:r>
            <w:r>
              <w:rPr>
                <w:rFonts w:hint="default" w:ascii="Times New Roman" w:hAnsi="Times New Roman" w:eastAsia="宋体" w:cs="Times New Roman"/>
                <w:color w:val="auto"/>
                <w:sz w:val="24"/>
                <w:highlight w:val="none"/>
              </w:rPr>
              <w:t>个</w:t>
            </w:r>
            <w:r>
              <w:rPr>
                <w:rFonts w:hint="eastAsia" w:eastAsia="宋体" w:cs="Times New Roman"/>
                <w:color w:val="auto"/>
                <w:sz w:val="24"/>
                <w:highlight w:val="none"/>
                <w:lang w:val="en-US" w:eastAsia="zh-CN"/>
              </w:rPr>
              <w:t>地块</w:t>
            </w:r>
            <w:r>
              <w:rPr>
                <w:rFonts w:hint="default" w:ascii="Times New Roman" w:hAnsi="Times New Roman" w:eastAsia="宋体" w:cs="Times New Roman"/>
                <w:color w:val="auto"/>
                <w:sz w:val="24"/>
                <w:highlight w:val="none"/>
              </w:rPr>
              <w:t>，</w:t>
            </w:r>
            <w:r>
              <w:rPr>
                <w:rFonts w:hint="eastAsia" w:eastAsia="宋体" w:cs="Times New Roman"/>
                <w:color w:val="auto"/>
                <w:sz w:val="24"/>
                <w:highlight w:val="none"/>
                <w:lang w:val="en-US" w:eastAsia="zh-CN"/>
              </w:rPr>
              <w:t>计划布置</w:t>
            </w:r>
            <w:r>
              <w:rPr>
                <w:rFonts w:hint="eastAsia" w:cs="Times New Roman"/>
                <w:color w:val="auto"/>
                <w:sz w:val="24"/>
                <w:highlight w:val="none"/>
                <w:lang w:val="en-US" w:eastAsia="zh-CN"/>
              </w:rPr>
              <w:t>1个注浆站，</w:t>
            </w:r>
            <w:r>
              <w:rPr>
                <w:rFonts w:hint="default" w:ascii="Times New Roman" w:hAnsi="Times New Roman" w:eastAsia="宋体" w:cs="Times New Roman"/>
                <w:sz w:val="24"/>
                <w:highlight w:val="none"/>
              </w:rPr>
              <w:t>敷设8条输浆管道（1趟Φ114.3×6.35mm、7趟Φ89×6.45mm，耐压不小于15MPa</w:t>
            </w:r>
            <w:r>
              <w:rPr>
                <w:rFonts w:hint="eastAsia" w:cs="Times New Roman"/>
                <w:sz w:val="24"/>
                <w:highlight w:val="none"/>
                <w:lang w:eastAsia="zh-CN"/>
              </w:rPr>
              <w:t>，</w:t>
            </w:r>
            <w:r>
              <w:rPr>
                <w:rFonts w:hint="eastAsia" w:cs="Times New Roman"/>
                <w:sz w:val="24"/>
                <w:highlight w:val="none"/>
                <w:lang w:val="en-US" w:eastAsia="zh-CN"/>
              </w:rPr>
              <w:t>总长约8500m</w:t>
            </w:r>
            <w:r>
              <w:rPr>
                <w:rFonts w:hint="default" w:ascii="Times New Roman" w:hAnsi="Times New Roman" w:eastAsia="宋体" w:cs="Times New Roman"/>
                <w:sz w:val="24"/>
                <w:highlight w:val="none"/>
              </w:rPr>
              <w:t>）</w:t>
            </w:r>
            <w:r>
              <w:rPr>
                <w:rFonts w:hint="eastAsia" w:ascii="Times New Roman" w:hAnsi="Times New Roman" w:eastAsia="宋体" w:cs="Times New Roman"/>
                <w:sz w:val="24"/>
                <w:highlight w:val="none"/>
                <w:lang w:eastAsia="zh-CN"/>
              </w:rPr>
              <w:t>，</w:t>
            </w:r>
            <w:r>
              <w:rPr>
                <w:rFonts w:hint="eastAsia" w:eastAsia="宋体" w:cs="Times New Roman"/>
                <w:color w:val="auto"/>
                <w:sz w:val="24"/>
                <w:highlight w:val="none"/>
                <w:lang w:val="en-US" w:eastAsia="zh-CN"/>
              </w:rPr>
              <w:t>11个井场，施工钻孔11</w:t>
            </w:r>
            <w:r>
              <w:rPr>
                <w:rFonts w:hint="default" w:ascii="Times New Roman" w:hAnsi="Times New Roman" w:cs="Times New Roman"/>
                <w:color w:val="auto"/>
                <w:sz w:val="24"/>
                <w:szCs w:val="24"/>
                <w:highlight w:val="none"/>
              </w:rPr>
              <w:t>个，</w:t>
            </w:r>
            <w:r>
              <w:rPr>
                <w:rFonts w:hint="eastAsia" w:cs="Times New Roman"/>
                <w:sz w:val="24"/>
                <w:highlight w:val="none"/>
                <w:lang w:val="en-US" w:eastAsia="zh-CN"/>
              </w:rPr>
              <w:t>其中2个位岩移观测孔，9个注浆孔，总</w:t>
            </w:r>
            <w:r>
              <w:rPr>
                <w:rFonts w:hint="eastAsia" w:cs="Times New Roman"/>
                <w:color w:val="auto"/>
                <w:sz w:val="24"/>
                <w:highlight w:val="none"/>
                <w:lang w:val="en-US" w:eastAsia="zh-CN"/>
              </w:rPr>
              <w:t>工程量3200m</w:t>
            </w:r>
            <w:r>
              <w:rPr>
                <w:rFonts w:hint="default" w:ascii="Times New Roman" w:hAnsi="Times New Roman" w:cs="Times New Roman"/>
                <w:color w:val="auto"/>
                <w:sz w:val="24"/>
                <w:szCs w:val="24"/>
                <w:highlight w:val="none"/>
              </w:rPr>
              <w:t>。</w:t>
            </w:r>
          </w:p>
          <w:p w14:paraId="20370BD5">
            <w:pPr>
              <w:pStyle w:val="16"/>
              <w:adjustRightInd w:val="0"/>
              <w:spacing w:line="240" w:lineRule="auto"/>
              <w:jc w:val="center"/>
              <w:rPr>
                <w:rFonts w:hint="default" w:ascii="Times New Roman" w:hAnsi="Times New Roman" w:eastAsia="黑体" w:cs="Times New Roman"/>
                <w:highlight w:val="none"/>
              </w:rPr>
            </w:pPr>
            <w:r>
              <w:rPr>
                <w:rFonts w:hint="default" w:ascii="Times New Roman" w:hAnsi="Times New Roman" w:eastAsia="黑体" w:cs="Times New Roman"/>
                <w:highlight w:val="none"/>
              </w:rPr>
              <w:t>表2-</w:t>
            </w:r>
            <w:r>
              <w:rPr>
                <w:rFonts w:hint="eastAsia" w:ascii="Times New Roman" w:hAnsi="Times New Roman" w:eastAsia="黑体" w:cs="Times New Roman"/>
                <w:highlight w:val="none"/>
                <w:lang w:val="en-US" w:eastAsia="zh-CN"/>
              </w:rPr>
              <w:t>2</w:t>
            </w:r>
            <w:r>
              <w:rPr>
                <w:rFonts w:hint="default" w:ascii="Times New Roman" w:hAnsi="Times New Roman" w:eastAsia="黑体" w:cs="Times New Roman"/>
                <w:highlight w:val="none"/>
              </w:rPr>
              <w:t xml:space="preserve">  本项目11个钻孔设计明细表</w:t>
            </w:r>
          </w:p>
          <w:tbl>
            <w:tblPr>
              <w:tblStyle w:val="29"/>
              <w:tblW w:w="5000" w:type="pct"/>
              <w:jc w:val="center"/>
              <w:tblLayout w:type="autofit"/>
              <w:tblCellMar>
                <w:top w:w="0" w:type="dxa"/>
                <w:left w:w="108" w:type="dxa"/>
                <w:bottom w:w="0" w:type="dxa"/>
                <w:right w:w="108" w:type="dxa"/>
              </w:tblCellMar>
            </w:tblPr>
            <w:tblGrid>
              <w:gridCol w:w="1068"/>
              <w:gridCol w:w="1069"/>
              <w:gridCol w:w="2481"/>
              <w:gridCol w:w="1824"/>
              <w:gridCol w:w="1417"/>
            </w:tblGrid>
            <w:tr w14:paraId="6FC1DFC0">
              <w:tblPrEx>
                <w:tblCellMar>
                  <w:top w:w="0" w:type="dxa"/>
                  <w:left w:w="108" w:type="dxa"/>
                  <w:bottom w:w="0" w:type="dxa"/>
                  <w:right w:w="108" w:type="dxa"/>
                </w:tblCellMar>
              </w:tblPrEx>
              <w:trPr>
                <w:trHeight w:val="495" w:hRule="atLeast"/>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07F7F62B">
                  <w:pPr>
                    <w:widowControl/>
                    <w:jc w:val="center"/>
                    <w:textAlignment w:val="center"/>
                    <w:rPr>
                      <w:rFonts w:hint="eastAsia" w:ascii="Times New Roman" w:hAnsi="Times New Roman" w:eastAsia="宋体" w:cs="Times New Roman"/>
                      <w:b/>
                      <w:kern w:val="0"/>
                      <w:szCs w:val="21"/>
                      <w:highlight w:val="none"/>
                      <w:lang w:val="en-US" w:eastAsia="zh-CN" w:bidi="ar"/>
                    </w:rPr>
                  </w:pPr>
                  <w:r>
                    <w:rPr>
                      <w:rFonts w:hint="eastAsia" w:cs="Times New Roman"/>
                      <w:b/>
                      <w:kern w:val="0"/>
                      <w:szCs w:val="21"/>
                      <w:highlight w:val="none"/>
                      <w:lang w:val="en-US" w:eastAsia="zh-CN" w:bidi="ar"/>
                    </w:rPr>
                    <w:t>序号</w:t>
                  </w:r>
                </w:p>
              </w:tc>
              <w:tc>
                <w:tcPr>
                  <w:tcW w:w="638" w:type="dxa"/>
                  <w:tcBorders>
                    <w:top w:val="single" w:color="000000" w:sz="4" w:space="0"/>
                    <w:left w:val="single" w:color="000000" w:sz="4" w:space="0"/>
                    <w:right w:val="single" w:color="000000" w:sz="4" w:space="0"/>
                  </w:tcBorders>
                  <w:noWrap/>
                  <w:vAlign w:val="center"/>
                </w:tcPr>
                <w:p w14:paraId="78544CAC">
                  <w:pPr>
                    <w:widowControl/>
                    <w:jc w:val="center"/>
                    <w:textAlignment w:val="center"/>
                    <w:rPr>
                      <w:rFonts w:hint="default" w:ascii="Times New Roman" w:hAnsi="Times New Roman" w:cs="Times New Roman"/>
                      <w:b/>
                      <w:szCs w:val="21"/>
                      <w:highlight w:val="none"/>
                    </w:rPr>
                  </w:pPr>
                  <w:r>
                    <w:rPr>
                      <w:rFonts w:hint="default" w:ascii="Times New Roman" w:hAnsi="Times New Roman" w:cs="Times New Roman"/>
                      <w:b/>
                      <w:kern w:val="0"/>
                      <w:szCs w:val="21"/>
                      <w:highlight w:val="none"/>
                      <w:lang w:bidi="ar"/>
                    </w:rPr>
                    <w:t>孔号</w:t>
                  </w:r>
                </w:p>
              </w:tc>
              <w:tc>
                <w:tcPr>
                  <w:tcW w:w="1481" w:type="dxa"/>
                  <w:tcBorders>
                    <w:top w:val="single" w:color="000000" w:sz="4" w:space="0"/>
                    <w:left w:val="single" w:color="000000" w:sz="4" w:space="0"/>
                    <w:right w:val="single" w:color="000000" w:sz="4" w:space="0"/>
                  </w:tcBorders>
                  <w:noWrap/>
                  <w:vAlign w:val="center"/>
                </w:tcPr>
                <w:p w14:paraId="030BEC88">
                  <w:pPr>
                    <w:widowControl/>
                    <w:jc w:val="center"/>
                    <w:textAlignment w:val="center"/>
                    <w:rPr>
                      <w:rFonts w:hint="default" w:ascii="Times New Roman" w:hAnsi="Times New Roman" w:cs="Times New Roman"/>
                      <w:b/>
                      <w:szCs w:val="21"/>
                      <w:highlight w:val="none"/>
                    </w:rPr>
                  </w:pPr>
                  <w:r>
                    <w:rPr>
                      <w:rFonts w:hint="default" w:ascii="Times New Roman" w:hAnsi="Times New Roman" w:cs="Times New Roman"/>
                      <w:b/>
                      <w:kern w:val="0"/>
                      <w:szCs w:val="21"/>
                      <w:highlight w:val="none"/>
                      <w:lang w:bidi="ar"/>
                    </w:rPr>
                    <w:t>设计</w:t>
                  </w:r>
                  <w:r>
                    <w:rPr>
                      <w:rFonts w:hint="eastAsia" w:cs="Times New Roman"/>
                      <w:b/>
                      <w:kern w:val="0"/>
                      <w:szCs w:val="21"/>
                      <w:highlight w:val="none"/>
                      <w:lang w:val="en-US" w:eastAsia="zh-CN" w:bidi="ar"/>
                    </w:rPr>
                    <w:t>钻孔</w:t>
                  </w:r>
                  <w:r>
                    <w:rPr>
                      <w:rFonts w:hint="default" w:ascii="Times New Roman" w:hAnsi="Times New Roman" w:cs="Times New Roman"/>
                      <w:b/>
                      <w:szCs w:val="21"/>
                      <w:highlight w:val="none"/>
                    </w:rPr>
                    <w:t>深度</w:t>
                  </w:r>
                </w:p>
                <w:p w14:paraId="1A08F6B9">
                  <w:pPr>
                    <w:widowControl/>
                    <w:jc w:val="center"/>
                    <w:textAlignment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（m）</w:t>
                  </w:r>
                </w:p>
              </w:tc>
              <w:tc>
                <w:tcPr>
                  <w:tcW w:w="1089" w:type="dxa"/>
                  <w:tcBorders>
                    <w:top w:val="single" w:color="000000" w:sz="4" w:space="0"/>
                    <w:left w:val="single" w:color="000000" w:sz="4" w:space="0"/>
                    <w:right w:val="single" w:color="000000" w:sz="4" w:space="0"/>
                  </w:tcBorders>
                  <w:vAlign w:val="center"/>
                </w:tcPr>
                <w:p w14:paraId="6338D7B1">
                  <w:pPr>
                    <w:widowControl/>
                    <w:jc w:val="center"/>
                    <w:textAlignment w:val="center"/>
                    <w:rPr>
                      <w:rFonts w:hint="default" w:ascii="Times New Roman" w:hAnsi="Times New Roman" w:cs="Times New Roman"/>
                      <w:b/>
                      <w:szCs w:val="21"/>
                      <w:highlight w:val="none"/>
                    </w:rPr>
                  </w:pPr>
                  <w:r>
                    <w:rPr>
                      <w:rFonts w:hint="default" w:ascii="Times New Roman" w:hAnsi="Times New Roman" w:cs="Times New Roman"/>
                      <w:b/>
                      <w:kern w:val="0"/>
                      <w:szCs w:val="21"/>
                      <w:highlight w:val="none"/>
                      <w:lang w:bidi="ar"/>
                    </w:rPr>
                    <w:t>设计目的</w:t>
                  </w:r>
                </w:p>
              </w:tc>
              <w:tc>
                <w:tcPr>
                  <w:tcW w:w="846" w:type="dxa"/>
                  <w:tcBorders>
                    <w:top w:val="single" w:color="000000" w:sz="4" w:space="0"/>
                    <w:left w:val="single" w:color="000000" w:sz="4" w:space="0"/>
                    <w:right w:val="single" w:color="000000" w:sz="4" w:space="0"/>
                  </w:tcBorders>
                  <w:noWrap/>
                  <w:vAlign w:val="center"/>
                </w:tcPr>
                <w:p w14:paraId="39609B25">
                  <w:pPr>
                    <w:widowControl/>
                    <w:jc w:val="center"/>
                    <w:textAlignment w:val="center"/>
                    <w:rPr>
                      <w:rFonts w:hint="default" w:ascii="Times New Roman" w:hAnsi="Times New Roman" w:cs="Times New Roman"/>
                      <w:b/>
                      <w:szCs w:val="21"/>
                      <w:highlight w:val="none"/>
                    </w:rPr>
                  </w:pPr>
                  <w:r>
                    <w:rPr>
                      <w:rFonts w:hint="default" w:ascii="Times New Roman" w:hAnsi="Times New Roman" w:cs="Times New Roman"/>
                      <w:b/>
                      <w:kern w:val="0"/>
                      <w:szCs w:val="21"/>
                      <w:highlight w:val="none"/>
                      <w:lang w:bidi="ar"/>
                    </w:rPr>
                    <w:t>备注</w:t>
                  </w:r>
                </w:p>
              </w:tc>
            </w:tr>
            <w:tr w14:paraId="7A62BA75">
              <w:tblPrEx>
                <w:tblCellMar>
                  <w:top w:w="0" w:type="dxa"/>
                  <w:left w:w="108" w:type="dxa"/>
                  <w:bottom w:w="0" w:type="dxa"/>
                  <w:right w:w="108" w:type="dxa"/>
                </w:tblCellMar>
              </w:tblPrEx>
              <w:trPr>
                <w:trHeight w:val="20" w:hRule="atLeast"/>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7EA54777">
                  <w:pPr>
                    <w:widowControl/>
                    <w:jc w:val="center"/>
                    <w:textAlignment w:val="center"/>
                    <w:rPr>
                      <w:rFonts w:hint="default" w:cs="Times New Roman"/>
                      <w:szCs w:val="21"/>
                      <w:highlight w:val="none"/>
                      <w:lang w:val="en-US" w:eastAsia="zh-CN"/>
                    </w:rPr>
                  </w:pPr>
                  <w:r>
                    <w:rPr>
                      <w:rFonts w:hint="eastAsia" w:cs="Times New Roman"/>
                      <w:szCs w:val="21"/>
                      <w:highlight w:val="none"/>
                      <w:lang w:val="en-US" w:eastAsia="zh-CN"/>
                    </w:rPr>
                    <w:t>1</w:t>
                  </w:r>
                </w:p>
              </w:tc>
              <w:tc>
                <w:tcPr>
                  <w:tcW w:w="638" w:type="dxa"/>
                  <w:tcBorders>
                    <w:top w:val="single" w:color="000000" w:sz="4" w:space="0"/>
                    <w:left w:val="single" w:color="000000" w:sz="4" w:space="0"/>
                    <w:bottom w:val="single" w:color="000000" w:sz="4" w:space="0"/>
                    <w:right w:val="single" w:color="000000" w:sz="4" w:space="0"/>
                  </w:tcBorders>
                  <w:noWrap/>
                  <w:vAlign w:val="center"/>
                </w:tcPr>
                <w:p w14:paraId="29F8713C">
                  <w:pPr>
                    <w:widowControl/>
                    <w:jc w:val="center"/>
                    <w:textAlignment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1#</w:t>
                  </w:r>
                </w:p>
              </w:tc>
              <w:tc>
                <w:tcPr>
                  <w:tcW w:w="1481" w:type="dxa"/>
                  <w:tcBorders>
                    <w:top w:val="single" w:color="000000" w:sz="4" w:space="0"/>
                    <w:left w:val="single" w:color="000000" w:sz="4" w:space="0"/>
                    <w:bottom w:val="single" w:color="000000" w:sz="4" w:space="0"/>
                    <w:right w:val="single" w:color="000000" w:sz="4" w:space="0"/>
                  </w:tcBorders>
                  <w:noWrap/>
                  <w:vAlign w:val="center"/>
                </w:tcPr>
                <w:p w14:paraId="6DDE4159">
                  <w:pPr>
                    <w:widowControl/>
                    <w:jc w:val="center"/>
                    <w:textAlignment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432.5</w:t>
                  </w:r>
                </w:p>
              </w:tc>
              <w:tc>
                <w:tcPr>
                  <w:tcW w:w="1089" w:type="dxa"/>
                  <w:vMerge w:val="restart"/>
                  <w:tcBorders>
                    <w:top w:val="single" w:color="000000" w:sz="4" w:space="0"/>
                    <w:left w:val="single" w:color="000000" w:sz="4" w:space="0"/>
                    <w:right w:val="single" w:color="000000" w:sz="4" w:space="0"/>
                  </w:tcBorders>
                  <w:vAlign w:val="center"/>
                </w:tcPr>
                <w:p w14:paraId="399F2218">
                  <w:pPr>
                    <w:widowControl/>
                    <w:jc w:val="center"/>
                    <w:textAlignment w:val="center"/>
                    <w:rPr>
                      <w:rFonts w:hint="default" w:ascii="Times New Roman" w:hAnsi="Times New Roman" w:cs="Times New Roman"/>
                      <w:szCs w:val="21"/>
                      <w:highlight w:val="none"/>
                    </w:rPr>
                  </w:pPr>
                  <w:r>
                    <w:rPr>
                      <w:rFonts w:hint="default" w:ascii="Times New Roman" w:hAnsi="Times New Roman" w:cs="Times New Roman"/>
                      <w:kern w:val="0"/>
                      <w:szCs w:val="21"/>
                      <w:highlight w:val="none"/>
                      <w:lang w:bidi="ar"/>
                    </w:rPr>
                    <w:t>从地面井场定向钻进至360610工作面及回风顺槽正上方、推覆体片麻岩底界面处的离层区，向该离层空间注入粉煤灰浆液，形成充填压实承载区，控制覆岩沉降，保障阜淮铁路安全。</w:t>
                  </w:r>
                </w:p>
              </w:tc>
              <w:tc>
                <w:tcPr>
                  <w:tcW w:w="846" w:type="dxa"/>
                  <w:tcBorders>
                    <w:top w:val="single" w:color="000000" w:sz="4" w:space="0"/>
                    <w:left w:val="single" w:color="000000" w:sz="4" w:space="0"/>
                    <w:bottom w:val="single" w:color="000000" w:sz="4" w:space="0"/>
                    <w:right w:val="single" w:color="000000" w:sz="4" w:space="0"/>
                  </w:tcBorders>
                  <w:noWrap/>
                  <w:vAlign w:val="center"/>
                </w:tcPr>
                <w:p w14:paraId="53494A82">
                  <w:pPr>
                    <w:widowControl/>
                    <w:jc w:val="center"/>
                    <w:textAlignment w:val="center"/>
                    <w:rPr>
                      <w:rFonts w:hint="default" w:ascii="Times New Roman" w:hAnsi="Times New Roman" w:cs="Times New Roman"/>
                      <w:szCs w:val="21"/>
                      <w:highlight w:val="none"/>
                    </w:rPr>
                  </w:pPr>
                  <w:r>
                    <w:rPr>
                      <w:rFonts w:hint="eastAsia" w:cs="Times New Roman"/>
                      <w:kern w:val="0"/>
                      <w:szCs w:val="21"/>
                      <w:highlight w:val="none"/>
                      <w:lang w:val="en-US" w:eastAsia="zh-CN" w:bidi="ar"/>
                    </w:rPr>
                    <w:t>注浆</w:t>
                  </w:r>
                  <w:r>
                    <w:rPr>
                      <w:rFonts w:hint="default" w:ascii="Times New Roman" w:hAnsi="Times New Roman" w:cs="Times New Roman"/>
                      <w:kern w:val="0"/>
                      <w:szCs w:val="21"/>
                      <w:highlight w:val="none"/>
                      <w:lang w:bidi="ar"/>
                    </w:rPr>
                    <w:t>孔</w:t>
                  </w:r>
                </w:p>
              </w:tc>
            </w:tr>
            <w:tr w14:paraId="2C7C2F24">
              <w:tblPrEx>
                <w:tblCellMar>
                  <w:top w:w="0" w:type="dxa"/>
                  <w:left w:w="108" w:type="dxa"/>
                  <w:bottom w:w="0" w:type="dxa"/>
                  <w:right w:w="108" w:type="dxa"/>
                </w:tblCellMar>
              </w:tblPrEx>
              <w:trPr>
                <w:trHeight w:val="20" w:hRule="atLeast"/>
                <w:jc w:val="center"/>
              </w:trPr>
              <w:tc>
                <w:tcPr>
                  <w:tcW w:w="638" w:type="dxa"/>
                  <w:tcBorders>
                    <w:top w:val="single" w:color="000000" w:sz="4" w:space="0"/>
                    <w:left w:val="single" w:color="000000" w:sz="4" w:space="0"/>
                    <w:bottom w:val="single" w:color="000000" w:sz="4" w:space="0"/>
                    <w:right w:val="single" w:color="000000" w:sz="4" w:space="0"/>
                  </w:tcBorders>
                  <w:vAlign w:val="center"/>
                </w:tcPr>
                <w:p w14:paraId="54EB3F77">
                  <w:pPr>
                    <w:widowControl/>
                    <w:jc w:val="center"/>
                    <w:textAlignment w:val="center"/>
                    <w:rPr>
                      <w:rFonts w:hint="default" w:cs="Times New Roman"/>
                      <w:szCs w:val="21"/>
                      <w:highlight w:val="none"/>
                      <w:lang w:val="en-US" w:eastAsia="zh-CN"/>
                    </w:rPr>
                  </w:pPr>
                  <w:r>
                    <w:rPr>
                      <w:rFonts w:hint="eastAsia" w:cs="Times New Roman"/>
                      <w:szCs w:val="21"/>
                      <w:highlight w:val="none"/>
                      <w:lang w:val="en-US" w:eastAsia="zh-CN"/>
                    </w:rPr>
                    <w:t>2</w:t>
                  </w:r>
                </w:p>
              </w:tc>
              <w:tc>
                <w:tcPr>
                  <w:tcW w:w="638" w:type="dxa"/>
                  <w:tcBorders>
                    <w:top w:val="single" w:color="000000" w:sz="4" w:space="0"/>
                    <w:left w:val="single" w:color="000000" w:sz="4" w:space="0"/>
                    <w:bottom w:val="single" w:color="000000" w:sz="4" w:space="0"/>
                    <w:right w:val="single" w:color="000000" w:sz="4" w:space="0"/>
                  </w:tcBorders>
                  <w:vAlign w:val="center"/>
                </w:tcPr>
                <w:p w14:paraId="19941039">
                  <w:pPr>
                    <w:widowControl/>
                    <w:jc w:val="center"/>
                    <w:textAlignment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2#</w:t>
                  </w:r>
                </w:p>
              </w:tc>
              <w:tc>
                <w:tcPr>
                  <w:tcW w:w="1481" w:type="dxa"/>
                  <w:tcBorders>
                    <w:top w:val="single" w:color="000000" w:sz="4" w:space="0"/>
                    <w:left w:val="single" w:color="000000" w:sz="4" w:space="0"/>
                    <w:bottom w:val="single" w:color="000000" w:sz="4" w:space="0"/>
                    <w:right w:val="single" w:color="000000" w:sz="4" w:space="0"/>
                  </w:tcBorders>
                  <w:noWrap/>
                  <w:vAlign w:val="center"/>
                </w:tcPr>
                <w:p w14:paraId="264046A4">
                  <w:pPr>
                    <w:widowControl/>
                    <w:jc w:val="center"/>
                    <w:textAlignment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397.1</w:t>
                  </w:r>
                </w:p>
              </w:tc>
              <w:tc>
                <w:tcPr>
                  <w:tcW w:w="1089" w:type="dxa"/>
                  <w:vMerge w:val="continue"/>
                  <w:tcBorders>
                    <w:left w:val="single" w:color="000000" w:sz="4" w:space="0"/>
                    <w:right w:val="single" w:color="000000" w:sz="4" w:space="0"/>
                  </w:tcBorders>
                  <w:vAlign w:val="center"/>
                </w:tcPr>
                <w:p w14:paraId="6F407B62">
                  <w:pPr>
                    <w:widowControl/>
                    <w:jc w:val="center"/>
                    <w:textAlignment w:val="center"/>
                    <w:rPr>
                      <w:rFonts w:hint="default" w:ascii="Times New Roman" w:hAnsi="Times New Roman" w:cs="Times New Roman"/>
                      <w:szCs w:val="21"/>
                      <w:highlight w:val="none"/>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14:paraId="543114A3">
                  <w:pPr>
                    <w:widowControl/>
                    <w:jc w:val="center"/>
                    <w:textAlignment w:val="center"/>
                    <w:rPr>
                      <w:rFonts w:hint="default" w:ascii="Times New Roman" w:hAnsi="Times New Roman" w:cs="Times New Roman"/>
                      <w:szCs w:val="21"/>
                      <w:highlight w:val="none"/>
                    </w:rPr>
                  </w:pPr>
                  <w:r>
                    <w:rPr>
                      <w:rFonts w:hint="eastAsia" w:cs="Times New Roman"/>
                      <w:kern w:val="0"/>
                      <w:szCs w:val="21"/>
                      <w:highlight w:val="none"/>
                      <w:lang w:val="en-US" w:eastAsia="zh-CN" w:bidi="ar"/>
                    </w:rPr>
                    <w:t>注浆</w:t>
                  </w:r>
                  <w:r>
                    <w:rPr>
                      <w:rFonts w:hint="default" w:ascii="Times New Roman" w:hAnsi="Times New Roman" w:cs="Times New Roman"/>
                      <w:kern w:val="0"/>
                      <w:szCs w:val="21"/>
                      <w:highlight w:val="none"/>
                      <w:lang w:bidi="ar"/>
                    </w:rPr>
                    <w:t>孔</w:t>
                  </w:r>
                </w:p>
              </w:tc>
            </w:tr>
            <w:tr w14:paraId="09FF8CC1">
              <w:tblPrEx>
                <w:tblCellMar>
                  <w:top w:w="0" w:type="dxa"/>
                  <w:left w:w="108" w:type="dxa"/>
                  <w:bottom w:w="0" w:type="dxa"/>
                  <w:right w:w="108" w:type="dxa"/>
                </w:tblCellMar>
              </w:tblPrEx>
              <w:trPr>
                <w:trHeight w:val="20" w:hRule="atLeast"/>
                <w:jc w:val="center"/>
              </w:trPr>
              <w:tc>
                <w:tcPr>
                  <w:tcW w:w="638" w:type="dxa"/>
                  <w:tcBorders>
                    <w:top w:val="single" w:color="000000" w:sz="4" w:space="0"/>
                    <w:left w:val="single" w:color="000000" w:sz="4" w:space="0"/>
                    <w:bottom w:val="single" w:color="000000" w:sz="4" w:space="0"/>
                    <w:right w:val="single" w:color="000000" w:sz="4" w:space="0"/>
                  </w:tcBorders>
                  <w:vAlign w:val="center"/>
                </w:tcPr>
                <w:p w14:paraId="657970C3">
                  <w:pPr>
                    <w:widowControl/>
                    <w:jc w:val="center"/>
                    <w:textAlignment w:val="center"/>
                    <w:rPr>
                      <w:rFonts w:hint="default" w:cs="Times New Roman"/>
                      <w:szCs w:val="21"/>
                      <w:highlight w:val="none"/>
                      <w:lang w:val="en-US" w:eastAsia="zh-CN"/>
                    </w:rPr>
                  </w:pPr>
                  <w:r>
                    <w:rPr>
                      <w:rFonts w:hint="eastAsia" w:cs="Times New Roman"/>
                      <w:szCs w:val="21"/>
                      <w:highlight w:val="none"/>
                      <w:lang w:val="en-US" w:eastAsia="zh-CN"/>
                    </w:rPr>
                    <w:t>3</w:t>
                  </w:r>
                </w:p>
              </w:tc>
              <w:tc>
                <w:tcPr>
                  <w:tcW w:w="638" w:type="dxa"/>
                  <w:tcBorders>
                    <w:top w:val="single" w:color="000000" w:sz="4" w:space="0"/>
                    <w:left w:val="single" w:color="000000" w:sz="4" w:space="0"/>
                    <w:bottom w:val="single" w:color="000000" w:sz="4" w:space="0"/>
                    <w:right w:val="single" w:color="000000" w:sz="4" w:space="0"/>
                  </w:tcBorders>
                  <w:vAlign w:val="center"/>
                </w:tcPr>
                <w:p w14:paraId="2381B815">
                  <w:pPr>
                    <w:widowControl/>
                    <w:jc w:val="center"/>
                    <w:textAlignment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3#</w:t>
                  </w:r>
                </w:p>
              </w:tc>
              <w:tc>
                <w:tcPr>
                  <w:tcW w:w="1481" w:type="dxa"/>
                  <w:tcBorders>
                    <w:top w:val="single" w:color="000000" w:sz="4" w:space="0"/>
                    <w:left w:val="single" w:color="000000" w:sz="4" w:space="0"/>
                    <w:bottom w:val="single" w:color="000000" w:sz="4" w:space="0"/>
                    <w:right w:val="single" w:color="000000" w:sz="4" w:space="0"/>
                  </w:tcBorders>
                  <w:noWrap/>
                  <w:vAlign w:val="center"/>
                </w:tcPr>
                <w:p w14:paraId="2DF8ADC6">
                  <w:pPr>
                    <w:widowControl/>
                    <w:jc w:val="center"/>
                    <w:textAlignment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301.2</w:t>
                  </w:r>
                </w:p>
              </w:tc>
              <w:tc>
                <w:tcPr>
                  <w:tcW w:w="1089" w:type="dxa"/>
                  <w:vMerge w:val="continue"/>
                  <w:tcBorders>
                    <w:left w:val="single" w:color="000000" w:sz="4" w:space="0"/>
                    <w:right w:val="single" w:color="000000" w:sz="4" w:space="0"/>
                  </w:tcBorders>
                  <w:vAlign w:val="center"/>
                </w:tcPr>
                <w:p w14:paraId="2775B2FB">
                  <w:pPr>
                    <w:widowControl/>
                    <w:jc w:val="center"/>
                    <w:textAlignment w:val="center"/>
                    <w:rPr>
                      <w:rFonts w:hint="default" w:ascii="Times New Roman" w:hAnsi="Times New Roman" w:cs="Times New Roman"/>
                      <w:szCs w:val="21"/>
                      <w:highlight w:val="none"/>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14:paraId="09A037CB">
                  <w:pPr>
                    <w:widowControl/>
                    <w:jc w:val="center"/>
                    <w:textAlignment w:val="center"/>
                    <w:rPr>
                      <w:rFonts w:hint="default" w:ascii="Times New Roman" w:hAnsi="Times New Roman" w:cs="Times New Roman"/>
                      <w:szCs w:val="21"/>
                      <w:highlight w:val="none"/>
                    </w:rPr>
                  </w:pPr>
                  <w:r>
                    <w:rPr>
                      <w:rFonts w:hint="eastAsia" w:cs="Times New Roman"/>
                      <w:kern w:val="0"/>
                      <w:szCs w:val="21"/>
                      <w:highlight w:val="none"/>
                      <w:lang w:val="en-US" w:eastAsia="zh-CN" w:bidi="ar"/>
                    </w:rPr>
                    <w:t>注浆</w:t>
                  </w:r>
                  <w:r>
                    <w:rPr>
                      <w:rFonts w:hint="default" w:ascii="Times New Roman" w:hAnsi="Times New Roman" w:cs="Times New Roman"/>
                      <w:kern w:val="0"/>
                      <w:szCs w:val="21"/>
                      <w:highlight w:val="none"/>
                      <w:lang w:bidi="ar"/>
                    </w:rPr>
                    <w:t>孔</w:t>
                  </w:r>
                </w:p>
              </w:tc>
            </w:tr>
            <w:tr w14:paraId="33EC0F69">
              <w:tblPrEx>
                <w:tblCellMar>
                  <w:top w:w="0" w:type="dxa"/>
                  <w:left w:w="108" w:type="dxa"/>
                  <w:bottom w:w="0" w:type="dxa"/>
                  <w:right w:w="108" w:type="dxa"/>
                </w:tblCellMar>
              </w:tblPrEx>
              <w:trPr>
                <w:trHeight w:val="20" w:hRule="atLeast"/>
                <w:jc w:val="center"/>
              </w:trPr>
              <w:tc>
                <w:tcPr>
                  <w:tcW w:w="638" w:type="dxa"/>
                  <w:tcBorders>
                    <w:top w:val="single" w:color="000000" w:sz="4" w:space="0"/>
                    <w:left w:val="single" w:color="000000" w:sz="4" w:space="0"/>
                    <w:bottom w:val="single" w:color="000000" w:sz="4" w:space="0"/>
                    <w:right w:val="single" w:color="000000" w:sz="4" w:space="0"/>
                  </w:tcBorders>
                  <w:vAlign w:val="center"/>
                </w:tcPr>
                <w:p w14:paraId="645F1D22">
                  <w:pPr>
                    <w:widowControl/>
                    <w:jc w:val="center"/>
                    <w:textAlignment w:val="center"/>
                    <w:rPr>
                      <w:rFonts w:hint="default" w:cs="Times New Roman"/>
                      <w:szCs w:val="21"/>
                      <w:highlight w:val="none"/>
                      <w:lang w:val="en-US" w:eastAsia="zh-CN"/>
                    </w:rPr>
                  </w:pPr>
                  <w:r>
                    <w:rPr>
                      <w:rFonts w:hint="eastAsia" w:cs="Times New Roman"/>
                      <w:szCs w:val="21"/>
                      <w:highlight w:val="none"/>
                      <w:lang w:val="en-US" w:eastAsia="zh-CN"/>
                    </w:rPr>
                    <w:t>4</w:t>
                  </w:r>
                </w:p>
              </w:tc>
              <w:tc>
                <w:tcPr>
                  <w:tcW w:w="638" w:type="dxa"/>
                  <w:tcBorders>
                    <w:top w:val="single" w:color="000000" w:sz="4" w:space="0"/>
                    <w:left w:val="single" w:color="000000" w:sz="4" w:space="0"/>
                    <w:bottom w:val="single" w:color="000000" w:sz="4" w:space="0"/>
                    <w:right w:val="single" w:color="000000" w:sz="4" w:space="0"/>
                  </w:tcBorders>
                  <w:vAlign w:val="center"/>
                </w:tcPr>
                <w:p w14:paraId="67FB1216">
                  <w:pPr>
                    <w:widowControl/>
                    <w:jc w:val="center"/>
                    <w:textAlignment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4#</w:t>
                  </w:r>
                </w:p>
              </w:tc>
              <w:tc>
                <w:tcPr>
                  <w:tcW w:w="1481" w:type="dxa"/>
                  <w:tcBorders>
                    <w:top w:val="single" w:color="000000" w:sz="4" w:space="0"/>
                    <w:left w:val="single" w:color="000000" w:sz="4" w:space="0"/>
                    <w:bottom w:val="single" w:color="000000" w:sz="4" w:space="0"/>
                    <w:right w:val="single" w:color="000000" w:sz="4" w:space="0"/>
                  </w:tcBorders>
                  <w:noWrap/>
                  <w:vAlign w:val="center"/>
                </w:tcPr>
                <w:p w14:paraId="7E6882CC">
                  <w:pPr>
                    <w:widowControl/>
                    <w:jc w:val="center"/>
                    <w:textAlignment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352.3</w:t>
                  </w:r>
                </w:p>
              </w:tc>
              <w:tc>
                <w:tcPr>
                  <w:tcW w:w="1089" w:type="dxa"/>
                  <w:vMerge w:val="continue"/>
                  <w:tcBorders>
                    <w:left w:val="single" w:color="000000" w:sz="4" w:space="0"/>
                    <w:right w:val="single" w:color="000000" w:sz="4" w:space="0"/>
                  </w:tcBorders>
                  <w:vAlign w:val="center"/>
                </w:tcPr>
                <w:p w14:paraId="6E0C305C">
                  <w:pPr>
                    <w:widowControl/>
                    <w:jc w:val="center"/>
                    <w:textAlignment w:val="center"/>
                    <w:rPr>
                      <w:rFonts w:hint="default" w:ascii="Times New Roman" w:hAnsi="Times New Roman" w:cs="Times New Roman"/>
                      <w:szCs w:val="21"/>
                      <w:highlight w:val="none"/>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14:paraId="0CD06799">
                  <w:pPr>
                    <w:widowControl/>
                    <w:jc w:val="center"/>
                    <w:textAlignment w:val="center"/>
                    <w:rPr>
                      <w:rFonts w:hint="default" w:ascii="Times New Roman" w:hAnsi="Times New Roman" w:cs="Times New Roman"/>
                      <w:szCs w:val="21"/>
                      <w:highlight w:val="none"/>
                    </w:rPr>
                  </w:pPr>
                  <w:r>
                    <w:rPr>
                      <w:rFonts w:hint="eastAsia" w:cs="Times New Roman"/>
                      <w:kern w:val="0"/>
                      <w:szCs w:val="21"/>
                      <w:highlight w:val="none"/>
                      <w:lang w:val="en-US" w:eastAsia="zh-CN" w:bidi="ar"/>
                    </w:rPr>
                    <w:t>注浆</w:t>
                  </w:r>
                  <w:r>
                    <w:rPr>
                      <w:rFonts w:hint="default" w:ascii="Times New Roman" w:hAnsi="Times New Roman" w:cs="Times New Roman"/>
                      <w:kern w:val="0"/>
                      <w:szCs w:val="21"/>
                      <w:highlight w:val="none"/>
                      <w:lang w:bidi="ar"/>
                    </w:rPr>
                    <w:t>孔</w:t>
                  </w:r>
                </w:p>
              </w:tc>
            </w:tr>
            <w:tr w14:paraId="36731AD7">
              <w:tblPrEx>
                <w:tblCellMar>
                  <w:top w:w="0" w:type="dxa"/>
                  <w:left w:w="108" w:type="dxa"/>
                  <w:bottom w:w="0" w:type="dxa"/>
                  <w:right w:w="108" w:type="dxa"/>
                </w:tblCellMar>
              </w:tblPrEx>
              <w:trPr>
                <w:trHeight w:val="20" w:hRule="atLeast"/>
                <w:jc w:val="center"/>
              </w:trPr>
              <w:tc>
                <w:tcPr>
                  <w:tcW w:w="638" w:type="dxa"/>
                  <w:tcBorders>
                    <w:top w:val="single" w:color="000000" w:sz="4" w:space="0"/>
                    <w:left w:val="single" w:color="000000" w:sz="4" w:space="0"/>
                    <w:bottom w:val="single" w:color="000000" w:sz="4" w:space="0"/>
                    <w:right w:val="single" w:color="000000" w:sz="4" w:space="0"/>
                  </w:tcBorders>
                  <w:vAlign w:val="center"/>
                </w:tcPr>
                <w:p w14:paraId="7675F3E6">
                  <w:pPr>
                    <w:widowControl/>
                    <w:jc w:val="center"/>
                    <w:textAlignment w:val="center"/>
                    <w:rPr>
                      <w:rFonts w:hint="default" w:cs="Times New Roman"/>
                      <w:szCs w:val="21"/>
                      <w:highlight w:val="none"/>
                      <w:lang w:val="en-US" w:eastAsia="zh-CN"/>
                    </w:rPr>
                  </w:pPr>
                  <w:r>
                    <w:rPr>
                      <w:rFonts w:hint="eastAsia" w:cs="Times New Roman"/>
                      <w:szCs w:val="21"/>
                      <w:highlight w:val="none"/>
                      <w:lang w:val="en-US" w:eastAsia="zh-CN"/>
                    </w:rPr>
                    <w:t>5</w:t>
                  </w:r>
                </w:p>
              </w:tc>
              <w:tc>
                <w:tcPr>
                  <w:tcW w:w="638" w:type="dxa"/>
                  <w:tcBorders>
                    <w:top w:val="single" w:color="000000" w:sz="4" w:space="0"/>
                    <w:left w:val="single" w:color="000000" w:sz="4" w:space="0"/>
                    <w:bottom w:val="single" w:color="000000" w:sz="4" w:space="0"/>
                    <w:right w:val="single" w:color="000000" w:sz="4" w:space="0"/>
                  </w:tcBorders>
                  <w:vAlign w:val="center"/>
                </w:tcPr>
                <w:p w14:paraId="1CD72C46">
                  <w:pPr>
                    <w:widowControl/>
                    <w:jc w:val="center"/>
                    <w:textAlignment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5#</w:t>
                  </w:r>
                </w:p>
              </w:tc>
              <w:tc>
                <w:tcPr>
                  <w:tcW w:w="1481" w:type="dxa"/>
                  <w:tcBorders>
                    <w:top w:val="single" w:color="000000" w:sz="4" w:space="0"/>
                    <w:left w:val="single" w:color="000000" w:sz="4" w:space="0"/>
                    <w:bottom w:val="single" w:color="000000" w:sz="4" w:space="0"/>
                    <w:right w:val="single" w:color="000000" w:sz="4" w:space="0"/>
                  </w:tcBorders>
                  <w:noWrap/>
                  <w:vAlign w:val="center"/>
                </w:tcPr>
                <w:p w14:paraId="08C5C5F0">
                  <w:pPr>
                    <w:widowControl/>
                    <w:jc w:val="center"/>
                    <w:textAlignment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253</w:t>
                  </w:r>
                </w:p>
              </w:tc>
              <w:tc>
                <w:tcPr>
                  <w:tcW w:w="1089" w:type="dxa"/>
                  <w:vMerge w:val="continue"/>
                  <w:tcBorders>
                    <w:left w:val="single" w:color="000000" w:sz="4" w:space="0"/>
                    <w:right w:val="single" w:color="000000" w:sz="4" w:space="0"/>
                  </w:tcBorders>
                  <w:vAlign w:val="center"/>
                </w:tcPr>
                <w:p w14:paraId="568B41D4">
                  <w:pPr>
                    <w:widowControl/>
                    <w:jc w:val="center"/>
                    <w:textAlignment w:val="center"/>
                    <w:rPr>
                      <w:rFonts w:hint="default" w:ascii="Times New Roman" w:hAnsi="Times New Roman" w:cs="Times New Roman"/>
                      <w:szCs w:val="21"/>
                      <w:highlight w:val="none"/>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14:paraId="22C42EA5">
                  <w:pPr>
                    <w:widowControl/>
                    <w:jc w:val="center"/>
                    <w:textAlignment w:val="center"/>
                    <w:rPr>
                      <w:rFonts w:hint="default" w:ascii="Times New Roman" w:hAnsi="Times New Roman" w:cs="Times New Roman"/>
                      <w:szCs w:val="21"/>
                      <w:highlight w:val="none"/>
                    </w:rPr>
                  </w:pPr>
                  <w:r>
                    <w:rPr>
                      <w:rFonts w:hint="eastAsia" w:cs="Times New Roman"/>
                      <w:kern w:val="0"/>
                      <w:szCs w:val="21"/>
                      <w:highlight w:val="none"/>
                      <w:lang w:val="en-US" w:eastAsia="zh-CN" w:bidi="ar"/>
                    </w:rPr>
                    <w:t>注浆</w:t>
                  </w:r>
                  <w:r>
                    <w:rPr>
                      <w:rFonts w:hint="default" w:ascii="Times New Roman" w:hAnsi="Times New Roman" w:cs="Times New Roman"/>
                      <w:kern w:val="0"/>
                      <w:szCs w:val="21"/>
                      <w:highlight w:val="none"/>
                      <w:lang w:bidi="ar"/>
                    </w:rPr>
                    <w:t>孔</w:t>
                  </w:r>
                </w:p>
              </w:tc>
            </w:tr>
            <w:tr w14:paraId="71941D1E">
              <w:tblPrEx>
                <w:tblCellMar>
                  <w:top w:w="0" w:type="dxa"/>
                  <w:left w:w="108" w:type="dxa"/>
                  <w:bottom w:w="0" w:type="dxa"/>
                  <w:right w:w="108" w:type="dxa"/>
                </w:tblCellMar>
              </w:tblPrEx>
              <w:trPr>
                <w:trHeight w:val="20" w:hRule="atLeast"/>
                <w:jc w:val="center"/>
              </w:trPr>
              <w:tc>
                <w:tcPr>
                  <w:tcW w:w="638" w:type="dxa"/>
                  <w:tcBorders>
                    <w:top w:val="single" w:color="000000" w:sz="4" w:space="0"/>
                    <w:left w:val="single" w:color="000000" w:sz="4" w:space="0"/>
                    <w:bottom w:val="single" w:color="000000" w:sz="4" w:space="0"/>
                    <w:right w:val="single" w:color="000000" w:sz="4" w:space="0"/>
                  </w:tcBorders>
                  <w:vAlign w:val="center"/>
                </w:tcPr>
                <w:p w14:paraId="4312AAB1">
                  <w:pPr>
                    <w:widowControl/>
                    <w:jc w:val="center"/>
                    <w:textAlignment w:val="center"/>
                    <w:rPr>
                      <w:rFonts w:hint="default" w:cs="Times New Roman"/>
                      <w:szCs w:val="21"/>
                      <w:highlight w:val="none"/>
                      <w:lang w:val="en-US" w:eastAsia="zh-CN"/>
                    </w:rPr>
                  </w:pPr>
                  <w:r>
                    <w:rPr>
                      <w:rFonts w:hint="eastAsia" w:cs="Times New Roman"/>
                      <w:szCs w:val="21"/>
                      <w:highlight w:val="none"/>
                      <w:lang w:val="en-US" w:eastAsia="zh-CN"/>
                    </w:rPr>
                    <w:t>6</w:t>
                  </w:r>
                </w:p>
              </w:tc>
              <w:tc>
                <w:tcPr>
                  <w:tcW w:w="638" w:type="dxa"/>
                  <w:tcBorders>
                    <w:top w:val="single" w:color="000000" w:sz="4" w:space="0"/>
                    <w:left w:val="single" w:color="000000" w:sz="4" w:space="0"/>
                    <w:bottom w:val="single" w:color="000000" w:sz="4" w:space="0"/>
                    <w:right w:val="single" w:color="000000" w:sz="4" w:space="0"/>
                  </w:tcBorders>
                  <w:vAlign w:val="center"/>
                </w:tcPr>
                <w:p w14:paraId="7398FA76">
                  <w:pPr>
                    <w:widowControl/>
                    <w:jc w:val="center"/>
                    <w:textAlignment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6#</w:t>
                  </w:r>
                </w:p>
              </w:tc>
              <w:tc>
                <w:tcPr>
                  <w:tcW w:w="1481" w:type="dxa"/>
                  <w:tcBorders>
                    <w:top w:val="single" w:color="000000" w:sz="4" w:space="0"/>
                    <w:left w:val="single" w:color="000000" w:sz="4" w:space="0"/>
                    <w:bottom w:val="single" w:color="000000" w:sz="4" w:space="0"/>
                    <w:right w:val="single" w:color="000000" w:sz="4" w:space="0"/>
                  </w:tcBorders>
                  <w:noWrap/>
                  <w:vAlign w:val="center"/>
                </w:tcPr>
                <w:p w14:paraId="139CBC40">
                  <w:pPr>
                    <w:widowControl/>
                    <w:jc w:val="center"/>
                    <w:textAlignment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318.3</w:t>
                  </w:r>
                </w:p>
              </w:tc>
              <w:tc>
                <w:tcPr>
                  <w:tcW w:w="1089" w:type="dxa"/>
                  <w:vMerge w:val="continue"/>
                  <w:tcBorders>
                    <w:left w:val="single" w:color="000000" w:sz="4" w:space="0"/>
                    <w:right w:val="single" w:color="000000" w:sz="4" w:space="0"/>
                  </w:tcBorders>
                  <w:vAlign w:val="center"/>
                </w:tcPr>
                <w:p w14:paraId="0C1A5F70">
                  <w:pPr>
                    <w:widowControl/>
                    <w:jc w:val="center"/>
                    <w:textAlignment w:val="center"/>
                    <w:rPr>
                      <w:rFonts w:hint="default" w:ascii="Times New Roman" w:hAnsi="Times New Roman" w:cs="Times New Roman"/>
                      <w:szCs w:val="21"/>
                      <w:highlight w:val="none"/>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14:paraId="0D696653">
                  <w:pPr>
                    <w:widowControl/>
                    <w:jc w:val="center"/>
                    <w:textAlignment w:val="center"/>
                    <w:rPr>
                      <w:rFonts w:hint="default" w:ascii="Times New Roman" w:hAnsi="Times New Roman" w:cs="Times New Roman"/>
                      <w:szCs w:val="21"/>
                      <w:highlight w:val="none"/>
                    </w:rPr>
                  </w:pPr>
                  <w:r>
                    <w:rPr>
                      <w:rFonts w:hint="eastAsia" w:cs="Times New Roman"/>
                      <w:kern w:val="0"/>
                      <w:szCs w:val="21"/>
                      <w:highlight w:val="none"/>
                      <w:lang w:val="en-US" w:eastAsia="zh-CN" w:bidi="ar"/>
                    </w:rPr>
                    <w:t>注浆</w:t>
                  </w:r>
                  <w:r>
                    <w:rPr>
                      <w:rFonts w:hint="default" w:ascii="Times New Roman" w:hAnsi="Times New Roman" w:cs="Times New Roman"/>
                      <w:kern w:val="0"/>
                      <w:szCs w:val="21"/>
                      <w:highlight w:val="none"/>
                      <w:lang w:bidi="ar"/>
                    </w:rPr>
                    <w:t>孔</w:t>
                  </w:r>
                </w:p>
              </w:tc>
            </w:tr>
            <w:tr w14:paraId="19CF05E7">
              <w:tblPrEx>
                <w:tblCellMar>
                  <w:top w:w="0" w:type="dxa"/>
                  <w:left w:w="108" w:type="dxa"/>
                  <w:bottom w:w="0" w:type="dxa"/>
                  <w:right w:w="108" w:type="dxa"/>
                </w:tblCellMar>
              </w:tblPrEx>
              <w:trPr>
                <w:trHeight w:val="20" w:hRule="atLeast"/>
                <w:jc w:val="center"/>
              </w:trPr>
              <w:tc>
                <w:tcPr>
                  <w:tcW w:w="638" w:type="dxa"/>
                  <w:tcBorders>
                    <w:top w:val="single" w:color="000000" w:sz="4" w:space="0"/>
                    <w:left w:val="single" w:color="000000" w:sz="4" w:space="0"/>
                    <w:bottom w:val="single" w:color="000000" w:sz="4" w:space="0"/>
                    <w:right w:val="single" w:color="000000" w:sz="4" w:space="0"/>
                  </w:tcBorders>
                  <w:vAlign w:val="center"/>
                </w:tcPr>
                <w:p w14:paraId="20DC6E95">
                  <w:pPr>
                    <w:widowControl/>
                    <w:jc w:val="center"/>
                    <w:textAlignment w:val="center"/>
                    <w:rPr>
                      <w:rFonts w:hint="default" w:cs="Times New Roman"/>
                      <w:szCs w:val="21"/>
                      <w:highlight w:val="none"/>
                      <w:lang w:val="en-US" w:eastAsia="zh-CN"/>
                    </w:rPr>
                  </w:pPr>
                  <w:r>
                    <w:rPr>
                      <w:rFonts w:hint="eastAsia" w:cs="Times New Roman"/>
                      <w:szCs w:val="21"/>
                      <w:highlight w:val="none"/>
                      <w:lang w:val="en-US" w:eastAsia="zh-CN"/>
                    </w:rPr>
                    <w:t>7</w:t>
                  </w:r>
                </w:p>
              </w:tc>
              <w:tc>
                <w:tcPr>
                  <w:tcW w:w="638" w:type="dxa"/>
                  <w:tcBorders>
                    <w:top w:val="single" w:color="000000" w:sz="4" w:space="0"/>
                    <w:left w:val="single" w:color="000000" w:sz="4" w:space="0"/>
                    <w:bottom w:val="single" w:color="000000" w:sz="4" w:space="0"/>
                    <w:right w:val="single" w:color="000000" w:sz="4" w:space="0"/>
                  </w:tcBorders>
                  <w:vAlign w:val="center"/>
                </w:tcPr>
                <w:p w14:paraId="6AE1A1F6">
                  <w:pPr>
                    <w:widowControl/>
                    <w:jc w:val="center"/>
                    <w:textAlignment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7#</w:t>
                  </w:r>
                </w:p>
              </w:tc>
              <w:tc>
                <w:tcPr>
                  <w:tcW w:w="1481" w:type="dxa"/>
                  <w:tcBorders>
                    <w:top w:val="single" w:color="000000" w:sz="4" w:space="0"/>
                    <w:left w:val="single" w:color="000000" w:sz="4" w:space="0"/>
                    <w:bottom w:val="single" w:color="000000" w:sz="4" w:space="0"/>
                    <w:right w:val="single" w:color="000000" w:sz="4" w:space="0"/>
                  </w:tcBorders>
                  <w:noWrap/>
                  <w:vAlign w:val="center"/>
                </w:tcPr>
                <w:p w14:paraId="3769DD5A">
                  <w:pPr>
                    <w:widowControl/>
                    <w:jc w:val="center"/>
                    <w:textAlignment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228.6</w:t>
                  </w:r>
                </w:p>
              </w:tc>
              <w:tc>
                <w:tcPr>
                  <w:tcW w:w="1089" w:type="dxa"/>
                  <w:vMerge w:val="continue"/>
                  <w:tcBorders>
                    <w:left w:val="single" w:color="000000" w:sz="4" w:space="0"/>
                    <w:right w:val="single" w:color="000000" w:sz="4" w:space="0"/>
                  </w:tcBorders>
                  <w:vAlign w:val="center"/>
                </w:tcPr>
                <w:p w14:paraId="5632116A">
                  <w:pPr>
                    <w:widowControl/>
                    <w:jc w:val="center"/>
                    <w:textAlignment w:val="center"/>
                    <w:rPr>
                      <w:rFonts w:hint="default" w:ascii="Times New Roman" w:hAnsi="Times New Roman" w:cs="Times New Roman"/>
                      <w:szCs w:val="21"/>
                      <w:highlight w:val="none"/>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14:paraId="0E0F676D">
                  <w:pPr>
                    <w:widowControl/>
                    <w:jc w:val="center"/>
                    <w:textAlignment w:val="center"/>
                    <w:rPr>
                      <w:rFonts w:hint="default" w:ascii="Times New Roman" w:hAnsi="Times New Roman" w:cs="Times New Roman"/>
                      <w:szCs w:val="21"/>
                      <w:highlight w:val="none"/>
                    </w:rPr>
                  </w:pPr>
                  <w:r>
                    <w:rPr>
                      <w:rFonts w:hint="eastAsia" w:cs="Times New Roman"/>
                      <w:kern w:val="0"/>
                      <w:szCs w:val="21"/>
                      <w:highlight w:val="none"/>
                      <w:lang w:val="en-US" w:eastAsia="zh-CN" w:bidi="ar"/>
                    </w:rPr>
                    <w:t>注浆</w:t>
                  </w:r>
                  <w:r>
                    <w:rPr>
                      <w:rFonts w:hint="default" w:ascii="Times New Roman" w:hAnsi="Times New Roman" w:cs="Times New Roman"/>
                      <w:kern w:val="0"/>
                      <w:szCs w:val="21"/>
                      <w:highlight w:val="none"/>
                      <w:lang w:bidi="ar"/>
                    </w:rPr>
                    <w:t>孔</w:t>
                  </w:r>
                </w:p>
              </w:tc>
            </w:tr>
            <w:tr w14:paraId="7DF9A437">
              <w:tblPrEx>
                <w:tblCellMar>
                  <w:top w:w="0" w:type="dxa"/>
                  <w:left w:w="108" w:type="dxa"/>
                  <w:bottom w:w="0" w:type="dxa"/>
                  <w:right w:w="108" w:type="dxa"/>
                </w:tblCellMar>
              </w:tblPrEx>
              <w:trPr>
                <w:trHeight w:val="20" w:hRule="atLeast"/>
                <w:jc w:val="center"/>
              </w:trPr>
              <w:tc>
                <w:tcPr>
                  <w:tcW w:w="638" w:type="dxa"/>
                  <w:tcBorders>
                    <w:top w:val="single" w:color="000000" w:sz="4" w:space="0"/>
                    <w:left w:val="single" w:color="000000" w:sz="4" w:space="0"/>
                    <w:bottom w:val="single" w:color="000000" w:sz="4" w:space="0"/>
                    <w:right w:val="single" w:color="000000" w:sz="4" w:space="0"/>
                  </w:tcBorders>
                  <w:vAlign w:val="center"/>
                </w:tcPr>
                <w:p w14:paraId="7F60FEF7">
                  <w:pPr>
                    <w:widowControl/>
                    <w:jc w:val="center"/>
                    <w:textAlignment w:val="center"/>
                    <w:rPr>
                      <w:rFonts w:hint="default" w:cs="Times New Roman"/>
                      <w:szCs w:val="21"/>
                      <w:highlight w:val="none"/>
                      <w:lang w:val="en-US" w:eastAsia="zh-CN"/>
                    </w:rPr>
                  </w:pPr>
                  <w:r>
                    <w:rPr>
                      <w:rFonts w:hint="eastAsia" w:cs="Times New Roman"/>
                      <w:szCs w:val="21"/>
                      <w:highlight w:val="none"/>
                      <w:lang w:val="en-US" w:eastAsia="zh-CN"/>
                    </w:rPr>
                    <w:t>8</w:t>
                  </w:r>
                </w:p>
              </w:tc>
              <w:tc>
                <w:tcPr>
                  <w:tcW w:w="638" w:type="dxa"/>
                  <w:tcBorders>
                    <w:top w:val="single" w:color="000000" w:sz="4" w:space="0"/>
                    <w:left w:val="single" w:color="000000" w:sz="4" w:space="0"/>
                    <w:bottom w:val="single" w:color="000000" w:sz="4" w:space="0"/>
                    <w:right w:val="single" w:color="000000" w:sz="4" w:space="0"/>
                  </w:tcBorders>
                  <w:vAlign w:val="center"/>
                </w:tcPr>
                <w:p w14:paraId="27FE15F9">
                  <w:pPr>
                    <w:widowControl/>
                    <w:jc w:val="center"/>
                    <w:textAlignment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8#</w:t>
                  </w:r>
                </w:p>
              </w:tc>
              <w:tc>
                <w:tcPr>
                  <w:tcW w:w="1481" w:type="dxa"/>
                  <w:tcBorders>
                    <w:top w:val="single" w:color="000000" w:sz="4" w:space="0"/>
                    <w:left w:val="single" w:color="000000" w:sz="4" w:space="0"/>
                    <w:bottom w:val="single" w:color="000000" w:sz="4" w:space="0"/>
                    <w:right w:val="single" w:color="000000" w:sz="4" w:space="0"/>
                  </w:tcBorders>
                  <w:noWrap/>
                  <w:vAlign w:val="center"/>
                </w:tcPr>
                <w:p w14:paraId="3F38975E">
                  <w:pPr>
                    <w:widowControl/>
                    <w:jc w:val="center"/>
                    <w:textAlignment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295.2</w:t>
                  </w:r>
                </w:p>
              </w:tc>
              <w:tc>
                <w:tcPr>
                  <w:tcW w:w="1089" w:type="dxa"/>
                  <w:vMerge w:val="continue"/>
                  <w:tcBorders>
                    <w:left w:val="single" w:color="000000" w:sz="4" w:space="0"/>
                    <w:right w:val="single" w:color="000000" w:sz="4" w:space="0"/>
                  </w:tcBorders>
                  <w:vAlign w:val="center"/>
                </w:tcPr>
                <w:p w14:paraId="27204DF9">
                  <w:pPr>
                    <w:widowControl/>
                    <w:jc w:val="center"/>
                    <w:textAlignment w:val="center"/>
                    <w:rPr>
                      <w:rFonts w:hint="default" w:ascii="Times New Roman" w:hAnsi="Times New Roman" w:cs="Times New Roman"/>
                      <w:szCs w:val="21"/>
                      <w:highlight w:val="none"/>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14:paraId="2F0FCDED">
                  <w:pPr>
                    <w:widowControl/>
                    <w:jc w:val="center"/>
                    <w:textAlignment w:val="center"/>
                    <w:rPr>
                      <w:rFonts w:hint="default" w:ascii="Times New Roman" w:hAnsi="Times New Roman" w:cs="Times New Roman"/>
                      <w:szCs w:val="21"/>
                      <w:highlight w:val="none"/>
                    </w:rPr>
                  </w:pPr>
                  <w:r>
                    <w:rPr>
                      <w:rFonts w:hint="eastAsia" w:cs="Times New Roman"/>
                      <w:kern w:val="0"/>
                      <w:szCs w:val="21"/>
                      <w:highlight w:val="none"/>
                      <w:lang w:val="en-US" w:eastAsia="zh-CN" w:bidi="ar"/>
                    </w:rPr>
                    <w:t>注浆</w:t>
                  </w:r>
                  <w:r>
                    <w:rPr>
                      <w:rFonts w:hint="default" w:ascii="Times New Roman" w:hAnsi="Times New Roman" w:cs="Times New Roman"/>
                      <w:kern w:val="0"/>
                      <w:szCs w:val="21"/>
                      <w:highlight w:val="none"/>
                      <w:lang w:bidi="ar"/>
                    </w:rPr>
                    <w:t>孔</w:t>
                  </w:r>
                </w:p>
              </w:tc>
            </w:tr>
            <w:tr w14:paraId="01FAC479">
              <w:tblPrEx>
                <w:tblCellMar>
                  <w:top w:w="0" w:type="dxa"/>
                  <w:left w:w="108" w:type="dxa"/>
                  <w:bottom w:w="0" w:type="dxa"/>
                  <w:right w:w="108" w:type="dxa"/>
                </w:tblCellMar>
              </w:tblPrEx>
              <w:trPr>
                <w:trHeight w:val="20" w:hRule="atLeast"/>
                <w:jc w:val="center"/>
              </w:trPr>
              <w:tc>
                <w:tcPr>
                  <w:tcW w:w="638" w:type="dxa"/>
                  <w:tcBorders>
                    <w:top w:val="single" w:color="000000" w:sz="4" w:space="0"/>
                    <w:left w:val="single" w:color="000000" w:sz="4" w:space="0"/>
                    <w:bottom w:val="single" w:color="000000" w:sz="4" w:space="0"/>
                    <w:right w:val="single" w:color="000000" w:sz="4" w:space="0"/>
                  </w:tcBorders>
                  <w:vAlign w:val="center"/>
                </w:tcPr>
                <w:p w14:paraId="20D655DE">
                  <w:pPr>
                    <w:widowControl/>
                    <w:jc w:val="center"/>
                    <w:textAlignment w:val="center"/>
                    <w:rPr>
                      <w:rFonts w:hint="default" w:cs="Times New Roman"/>
                      <w:szCs w:val="21"/>
                      <w:highlight w:val="none"/>
                      <w:lang w:val="en-US" w:eastAsia="zh-CN"/>
                    </w:rPr>
                  </w:pPr>
                  <w:r>
                    <w:rPr>
                      <w:rFonts w:hint="eastAsia" w:cs="Times New Roman"/>
                      <w:szCs w:val="21"/>
                      <w:highlight w:val="none"/>
                      <w:lang w:val="en-US" w:eastAsia="zh-CN"/>
                    </w:rPr>
                    <w:t>9</w:t>
                  </w:r>
                </w:p>
              </w:tc>
              <w:tc>
                <w:tcPr>
                  <w:tcW w:w="638" w:type="dxa"/>
                  <w:tcBorders>
                    <w:top w:val="single" w:color="000000" w:sz="4" w:space="0"/>
                    <w:left w:val="single" w:color="000000" w:sz="4" w:space="0"/>
                    <w:bottom w:val="single" w:color="000000" w:sz="4" w:space="0"/>
                    <w:right w:val="single" w:color="000000" w:sz="4" w:space="0"/>
                  </w:tcBorders>
                  <w:vAlign w:val="center"/>
                </w:tcPr>
                <w:p w14:paraId="1F874272">
                  <w:pPr>
                    <w:widowControl/>
                    <w:jc w:val="center"/>
                    <w:textAlignment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9#</w:t>
                  </w:r>
                </w:p>
              </w:tc>
              <w:tc>
                <w:tcPr>
                  <w:tcW w:w="1481" w:type="dxa"/>
                  <w:tcBorders>
                    <w:top w:val="single" w:color="000000" w:sz="4" w:space="0"/>
                    <w:left w:val="single" w:color="000000" w:sz="4" w:space="0"/>
                    <w:bottom w:val="single" w:color="000000" w:sz="4" w:space="0"/>
                    <w:right w:val="single" w:color="000000" w:sz="4" w:space="0"/>
                  </w:tcBorders>
                  <w:noWrap/>
                  <w:vAlign w:val="center"/>
                </w:tcPr>
                <w:p w14:paraId="6038C988">
                  <w:pPr>
                    <w:widowControl/>
                    <w:jc w:val="center"/>
                    <w:textAlignment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284</w:t>
                  </w:r>
                </w:p>
              </w:tc>
              <w:tc>
                <w:tcPr>
                  <w:tcW w:w="1089" w:type="dxa"/>
                  <w:vMerge w:val="continue"/>
                  <w:tcBorders>
                    <w:left w:val="single" w:color="000000" w:sz="4" w:space="0"/>
                    <w:bottom w:val="single" w:color="000000" w:sz="4" w:space="0"/>
                    <w:right w:val="single" w:color="000000" w:sz="4" w:space="0"/>
                  </w:tcBorders>
                  <w:vAlign w:val="center"/>
                </w:tcPr>
                <w:p w14:paraId="389CC8FC">
                  <w:pPr>
                    <w:widowControl/>
                    <w:jc w:val="center"/>
                    <w:textAlignment w:val="center"/>
                    <w:rPr>
                      <w:rFonts w:hint="default" w:ascii="Times New Roman" w:hAnsi="Times New Roman" w:cs="Times New Roman"/>
                      <w:szCs w:val="21"/>
                      <w:highlight w:val="none"/>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14:paraId="0D3393D6">
                  <w:pPr>
                    <w:widowControl/>
                    <w:jc w:val="center"/>
                    <w:textAlignment w:val="center"/>
                    <w:rPr>
                      <w:rFonts w:hint="default" w:ascii="Times New Roman" w:hAnsi="Times New Roman" w:cs="Times New Roman"/>
                      <w:szCs w:val="21"/>
                      <w:highlight w:val="none"/>
                    </w:rPr>
                  </w:pPr>
                  <w:r>
                    <w:rPr>
                      <w:rFonts w:hint="eastAsia" w:cs="Times New Roman"/>
                      <w:kern w:val="0"/>
                      <w:szCs w:val="21"/>
                      <w:highlight w:val="none"/>
                      <w:lang w:val="en-US" w:eastAsia="zh-CN" w:bidi="ar"/>
                    </w:rPr>
                    <w:t>注浆</w:t>
                  </w:r>
                  <w:r>
                    <w:rPr>
                      <w:rFonts w:hint="default" w:ascii="Times New Roman" w:hAnsi="Times New Roman" w:cs="Times New Roman"/>
                      <w:kern w:val="0"/>
                      <w:szCs w:val="21"/>
                      <w:highlight w:val="none"/>
                      <w:lang w:bidi="ar"/>
                    </w:rPr>
                    <w:t>孔</w:t>
                  </w:r>
                </w:p>
              </w:tc>
            </w:tr>
            <w:tr w14:paraId="668796DE">
              <w:tblPrEx>
                <w:tblCellMar>
                  <w:top w:w="0" w:type="dxa"/>
                  <w:left w:w="108" w:type="dxa"/>
                  <w:bottom w:w="0" w:type="dxa"/>
                  <w:right w:w="108" w:type="dxa"/>
                </w:tblCellMar>
              </w:tblPrEx>
              <w:trPr>
                <w:trHeight w:val="20" w:hRule="atLeast"/>
                <w:jc w:val="center"/>
              </w:trPr>
              <w:tc>
                <w:tcPr>
                  <w:tcW w:w="638" w:type="dxa"/>
                  <w:tcBorders>
                    <w:top w:val="single" w:color="000000" w:sz="4" w:space="0"/>
                    <w:left w:val="single" w:color="000000" w:sz="4" w:space="0"/>
                    <w:bottom w:val="single" w:color="000000" w:sz="4" w:space="0"/>
                    <w:right w:val="single" w:color="000000" w:sz="4" w:space="0"/>
                  </w:tcBorders>
                  <w:vAlign w:val="center"/>
                </w:tcPr>
                <w:p w14:paraId="62B56962">
                  <w:pPr>
                    <w:widowControl/>
                    <w:jc w:val="center"/>
                    <w:textAlignment w:val="center"/>
                    <w:rPr>
                      <w:rFonts w:hint="default" w:cs="Times New Roman"/>
                      <w:szCs w:val="21"/>
                      <w:highlight w:val="none"/>
                      <w:lang w:val="en-US" w:eastAsia="zh-CN"/>
                    </w:rPr>
                  </w:pPr>
                  <w:r>
                    <w:rPr>
                      <w:rFonts w:hint="eastAsia" w:cs="Times New Roman"/>
                      <w:szCs w:val="21"/>
                      <w:highlight w:val="none"/>
                      <w:lang w:val="en-US" w:eastAsia="zh-CN"/>
                    </w:rPr>
                    <w:t>10</w:t>
                  </w:r>
                </w:p>
              </w:tc>
              <w:tc>
                <w:tcPr>
                  <w:tcW w:w="638" w:type="dxa"/>
                  <w:tcBorders>
                    <w:top w:val="single" w:color="000000" w:sz="4" w:space="0"/>
                    <w:left w:val="single" w:color="000000" w:sz="4" w:space="0"/>
                    <w:bottom w:val="single" w:color="000000" w:sz="4" w:space="0"/>
                    <w:right w:val="single" w:color="000000" w:sz="4" w:space="0"/>
                  </w:tcBorders>
                  <w:vAlign w:val="center"/>
                </w:tcPr>
                <w:p w14:paraId="76DCB47B">
                  <w:pPr>
                    <w:widowControl/>
                    <w:jc w:val="center"/>
                    <w:textAlignment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10#</w:t>
                  </w:r>
                </w:p>
              </w:tc>
              <w:tc>
                <w:tcPr>
                  <w:tcW w:w="1481" w:type="dxa"/>
                  <w:tcBorders>
                    <w:top w:val="single" w:color="000000" w:sz="4" w:space="0"/>
                    <w:left w:val="single" w:color="000000" w:sz="4" w:space="0"/>
                    <w:bottom w:val="single" w:color="000000" w:sz="4" w:space="0"/>
                    <w:right w:val="single" w:color="000000" w:sz="4" w:space="0"/>
                  </w:tcBorders>
                  <w:noWrap/>
                  <w:vAlign w:val="center"/>
                </w:tcPr>
                <w:p w14:paraId="0A2B83AB">
                  <w:pPr>
                    <w:widowControl/>
                    <w:jc w:val="center"/>
                    <w:textAlignment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82</w:t>
                  </w:r>
                </w:p>
              </w:tc>
              <w:tc>
                <w:tcPr>
                  <w:tcW w:w="1089" w:type="dxa"/>
                  <w:vMerge w:val="restart"/>
                  <w:tcBorders>
                    <w:top w:val="single" w:color="000000" w:sz="4" w:space="0"/>
                    <w:left w:val="single" w:color="000000" w:sz="4" w:space="0"/>
                    <w:right w:val="single" w:color="000000" w:sz="4" w:space="0"/>
                  </w:tcBorders>
                  <w:vAlign w:val="center"/>
                </w:tcPr>
                <w:p w14:paraId="28D168EC">
                  <w:pPr>
                    <w:widowControl/>
                    <w:jc w:val="center"/>
                    <w:textAlignment w:val="center"/>
                    <w:rPr>
                      <w:rFonts w:hint="default" w:ascii="Times New Roman" w:hAnsi="Times New Roman" w:cs="Times New Roman"/>
                      <w:szCs w:val="21"/>
                      <w:highlight w:val="none"/>
                    </w:rPr>
                  </w:pPr>
                  <w:r>
                    <w:rPr>
                      <w:rFonts w:hint="default" w:ascii="Times New Roman" w:hAnsi="Times New Roman" w:cs="Times New Roman"/>
                      <w:kern w:val="0"/>
                      <w:szCs w:val="21"/>
                      <w:highlight w:val="none"/>
                      <w:lang w:bidi="ar"/>
                    </w:rPr>
                    <w:t>作为岩移观测孔，在回采前完成施工及测试准备，用于在线监测和沉降观测，掌握覆岩离层发育状态及地表变形数据。</w:t>
                  </w:r>
                </w:p>
              </w:tc>
              <w:tc>
                <w:tcPr>
                  <w:tcW w:w="846" w:type="dxa"/>
                  <w:tcBorders>
                    <w:top w:val="single" w:color="000000" w:sz="4" w:space="0"/>
                    <w:left w:val="single" w:color="000000" w:sz="4" w:space="0"/>
                    <w:bottom w:val="single" w:color="000000" w:sz="4" w:space="0"/>
                    <w:right w:val="single" w:color="000000" w:sz="4" w:space="0"/>
                  </w:tcBorders>
                  <w:noWrap/>
                  <w:vAlign w:val="center"/>
                </w:tcPr>
                <w:p w14:paraId="3CB519DC">
                  <w:pPr>
                    <w:widowControl/>
                    <w:jc w:val="center"/>
                    <w:textAlignment w:val="center"/>
                    <w:rPr>
                      <w:rFonts w:hint="default" w:ascii="Times New Roman" w:hAnsi="Times New Roman" w:cs="Times New Roman"/>
                      <w:szCs w:val="21"/>
                      <w:highlight w:val="none"/>
                    </w:rPr>
                  </w:pPr>
                  <w:r>
                    <w:rPr>
                      <w:rFonts w:hint="eastAsia" w:cs="Times New Roman"/>
                      <w:kern w:val="0"/>
                      <w:szCs w:val="21"/>
                      <w:highlight w:val="none"/>
                      <w:lang w:val="en-US" w:eastAsia="zh-CN" w:bidi="ar"/>
                    </w:rPr>
                    <w:t>岩移观测</w:t>
                  </w:r>
                  <w:r>
                    <w:rPr>
                      <w:rFonts w:hint="default" w:ascii="Times New Roman" w:hAnsi="Times New Roman" w:cs="Times New Roman"/>
                      <w:kern w:val="0"/>
                      <w:szCs w:val="21"/>
                      <w:highlight w:val="none"/>
                      <w:lang w:bidi="ar"/>
                    </w:rPr>
                    <w:t>孔</w:t>
                  </w:r>
                </w:p>
              </w:tc>
            </w:tr>
            <w:tr w14:paraId="4D5C5EAA">
              <w:tblPrEx>
                <w:tblCellMar>
                  <w:top w:w="0" w:type="dxa"/>
                  <w:left w:w="108" w:type="dxa"/>
                  <w:bottom w:w="0" w:type="dxa"/>
                  <w:right w:w="108" w:type="dxa"/>
                </w:tblCellMar>
              </w:tblPrEx>
              <w:trPr>
                <w:trHeight w:val="20" w:hRule="atLeast"/>
                <w:jc w:val="center"/>
              </w:trPr>
              <w:tc>
                <w:tcPr>
                  <w:tcW w:w="638" w:type="dxa"/>
                  <w:tcBorders>
                    <w:top w:val="single" w:color="000000" w:sz="4" w:space="0"/>
                    <w:left w:val="single" w:color="000000" w:sz="4" w:space="0"/>
                    <w:bottom w:val="single" w:color="000000" w:sz="4" w:space="0"/>
                    <w:right w:val="single" w:color="000000" w:sz="4" w:space="0"/>
                  </w:tcBorders>
                  <w:vAlign w:val="center"/>
                </w:tcPr>
                <w:p w14:paraId="2A6EE2E3">
                  <w:pPr>
                    <w:widowControl/>
                    <w:jc w:val="center"/>
                    <w:textAlignment w:val="center"/>
                    <w:rPr>
                      <w:rFonts w:hint="default" w:cs="Times New Roman"/>
                      <w:szCs w:val="21"/>
                      <w:highlight w:val="none"/>
                      <w:lang w:val="en-US" w:eastAsia="zh-CN"/>
                    </w:rPr>
                  </w:pPr>
                  <w:r>
                    <w:rPr>
                      <w:rFonts w:hint="eastAsia" w:cs="Times New Roman"/>
                      <w:szCs w:val="21"/>
                      <w:highlight w:val="none"/>
                      <w:lang w:val="en-US" w:eastAsia="zh-CN"/>
                    </w:rPr>
                    <w:t>11</w:t>
                  </w:r>
                </w:p>
              </w:tc>
              <w:tc>
                <w:tcPr>
                  <w:tcW w:w="638" w:type="dxa"/>
                  <w:tcBorders>
                    <w:top w:val="single" w:color="000000" w:sz="4" w:space="0"/>
                    <w:left w:val="single" w:color="000000" w:sz="4" w:space="0"/>
                    <w:bottom w:val="single" w:color="000000" w:sz="4" w:space="0"/>
                    <w:right w:val="single" w:color="000000" w:sz="4" w:space="0"/>
                  </w:tcBorders>
                  <w:vAlign w:val="center"/>
                </w:tcPr>
                <w:p w14:paraId="77574F82">
                  <w:pPr>
                    <w:widowControl/>
                    <w:jc w:val="center"/>
                    <w:textAlignment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11#</w:t>
                  </w:r>
                </w:p>
              </w:tc>
              <w:tc>
                <w:tcPr>
                  <w:tcW w:w="1481" w:type="dxa"/>
                  <w:tcBorders>
                    <w:top w:val="single" w:color="000000" w:sz="4" w:space="0"/>
                    <w:left w:val="single" w:color="000000" w:sz="4" w:space="0"/>
                    <w:bottom w:val="single" w:color="000000" w:sz="4" w:space="0"/>
                    <w:right w:val="single" w:color="000000" w:sz="4" w:space="0"/>
                  </w:tcBorders>
                  <w:noWrap/>
                  <w:vAlign w:val="center"/>
                </w:tcPr>
                <w:p w14:paraId="3EAF8DF3">
                  <w:pPr>
                    <w:widowControl/>
                    <w:jc w:val="center"/>
                    <w:textAlignment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255.8</w:t>
                  </w:r>
                </w:p>
              </w:tc>
              <w:tc>
                <w:tcPr>
                  <w:tcW w:w="1089" w:type="dxa"/>
                  <w:vMerge w:val="continue"/>
                  <w:tcBorders>
                    <w:left w:val="single" w:color="000000" w:sz="4" w:space="0"/>
                    <w:bottom w:val="single" w:color="000000" w:sz="4" w:space="0"/>
                    <w:right w:val="single" w:color="000000" w:sz="4" w:space="0"/>
                  </w:tcBorders>
                  <w:vAlign w:val="center"/>
                </w:tcPr>
                <w:p w14:paraId="76D797C2">
                  <w:pPr>
                    <w:widowControl/>
                    <w:jc w:val="center"/>
                    <w:textAlignment w:val="center"/>
                    <w:rPr>
                      <w:rFonts w:hint="default" w:ascii="Times New Roman" w:hAnsi="Times New Roman" w:cs="Times New Roman"/>
                      <w:szCs w:val="21"/>
                      <w:highlight w:val="none"/>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14:paraId="0F7E4281">
                  <w:pPr>
                    <w:widowControl/>
                    <w:jc w:val="center"/>
                    <w:textAlignment w:val="center"/>
                    <w:rPr>
                      <w:rFonts w:hint="default" w:ascii="Times New Roman" w:hAnsi="Times New Roman" w:cs="Times New Roman"/>
                      <w:szCs w:val="21"/>
                      <w:highlight w:val="none"/>
                    </w:rPr>
                  </w:pPr>
                  <w:r>
                    <w:rPr>
                      <w:rFonts w:hint="eastAsia" w:cs="Times New Roman"/>
                      <w:kern w:val="0"/>
                      <w:szCs w:val="21"/>
                      <w:highlight w:val="none"/>
                      <w:lang w:val="en-US" w:eastAsia="zh-CN" w:bidi="ar"/>
                    </w:rPr>
                    <w:t>岩移观测</w:t>
                  </w:r>
                  <w:r>
                    <w:rPr>
                      <w:rFonts w:hint="default" w:ascii="Times New Roman" w:hAnsi="Times New Roman" w:cs="Times New Roman"/>
                      <w:kern w:val="0"/>
                      <w:szCs w:val="21"/>
                      <w:highlight w:val="none"/>
                      <w:lang w:bidi="ar"/>
                    </w:rPr>
                    <w:t>孔</w:t>
                  </w:r>
                </w:p>
              </w:tc>
            </w:tr>
            <w:tr w14:paraId="06C40B41">
              <w:tblPrEx>
                <w:tblCellMar>
                  <w:top w:w="0" w:type="dxa"/>
                  <w:left w:w="108" w:type="dxa"/>
                  <w:bottom w:w="0" w:type="dxa"/>
                  <w:right w:w="108" w:type="dxa"/>
                </w:tblCellMar>
              </w:tblPrEx>
              <w:trPr>
                <w:trHeight w:val="20" w:hRule="atLeast"/>
                <w:jc w:val="center"/>
              </w:trPr>
              <w:tc>
                <w:tcPr>
                  <w:tcW w:w="638" w:type="dxa"/>
                  <w:tcBorders>
                    <w:top w:val="single" w:color="000000" w:sz="4" w:space="0"/>
                    <w:left w:val="single" w:color="000000" w:sz="4" w:space="0"/>
                    <w:bottom w:val="single" w:color="000000" w:sz="4" w:space="0"/>
                    <w:right w:val="single" w:color="000000" w:sz="4" w:space="0"/>
                  </w:tcBorders>
                  <w:vAlign w:val="center"/>
                </w:tcPr>
                <w:p w14:paraId="73EB5FED">
                  <w:pPr>
                    <w:widowControl/>
                    <w:jc w:val="center"/>
                    <w:textAlignment w:val="center"/>
                    <w:rPr>
                      <w:rFonts w:hint="default" w:cs="Times New Roman"/>
                      <w:szCs w:val="21"/>
                      <w:highlight w:val="none"/>
                      <w:lang w:val="en-US" w:eastAsia="zh-CN"/>
                    </w:rPr>
                  </w:pPr>
                  <w:r>
                    <w:rPr>
                      <w:rFonts w:hint="eastAsia" w:cs="Times New Roman"/>
                      <w:szCs w:val="21"/>
                      <w:highlight w:val="none"/>
                      <w:lang w:val="en-US" w:eastAsia="zh-CN"/>
                    </w:rPr>
                    <w:t>12</w:t>
                  </w:r>
                </w:p>
              </w:tc>
              <w:tc>
                <w:tcPr>
                  <w:tcW w:w="638" w:type="dxa"/>
                  <w:tcBorders>
                    <w:top w:val="single" w:color="000000" w:sz="4" w:space="0"/>
                    <w:left w:val="single" w:color="000000" w:sz="4" w:space="0"/>
                    <w:bottom w:val="single" w:color="000000" w:sz="4" w:space="0"/>
                    <w:right w:val="single" w:color="000000" w:sz="4" w:space="0"/>
                  </w:tcBorders>
                  <w:vAlign w:val="center"/>
                </w:tcPr>
                <w:p w14:paraId="516B51B1">
                  <w:pPr>
                    <w:widowControl/>
                    <w:jc w:val="center"/>
                    <w:textAlignment w:val="center"/>
                    <w:rPr>
                      <w:rFonts w:hint="default" w:cs="Times New Roman"/>
                      <w:szCs w:val="21"/>
                      <w:highlight w:val="none"/>
                      <w:lang w:val="en-US" w:eastAsia="zh-CN"/>
                    </w:rPr>
                  </w:pPr>
                  <w:r>
                    <w:rPr>
                      <w:rFonts w:hint="eastAsia" w:cs="Times New Roman"/>
                      <w:szCs w:val="21"/>
                      <w:highlight w:val="none"/>
                      <w:lang w:val="en-US" w:eastAsia="zh-CN"/>
                    </w:rPr>
                    <w:t>合计</w:t>
                  </w:r>
                </w:p>
              </w:tc>
              <w:tc>
                <w:tcPr>
                  <w:tcW w:w="1481" w:type="dxa"/>
                  <w:tcBorders>
                    <w:top w:val="single" w:color="000000" w:sz="4" w:space="0"/>
                    <w:left w:val="single" w:color="000000" w:sz="4" w:space="0"/>
                    <w:bottom w:val="single" w:color="000000" w:sz="4" w:space="0"/>
                    <w:right w:val="single" w:color="000000" w:sz="4" w:space="0"/>
                  </w:tcBorders>
                  <w:noWrap/>
                  <w:vAlign w:val="center"/>
                </w:tcPr>
                <w:p w14:paraId="659F8E41">
                  <w:pPr>
                    <w:widowControl/>
                    <w:jc w:val="center"/>
                    <w:textAlignment w:val="center"/>
                    <w:rPr>
                      <w:rFonts w:hint="default" w:cs="Times New Roman"/>
                      <w:szCs w:val="21"/>
                      <w:highlight w:val="none"/>
                      <w:lang w:val="en-US" w:eastAsia="zh-CN"/>
                    </w:rPr>
                  </w:pPr>
                  <w:r>
                    <w:rPr>
                      <w:rFonts w:hint="eastAsia" w:cs="Times New Roman"/>
                      <w:szCs w:val="21"/>
                      <w:highlight w:val="none"/>
                      <w:lang w:val="en-US" w:eastAsia="zh-CN"/>
                    </w:rPr>
                    <w:t>3200</w:t>
                  </w:r>
                </w:p>
              </w:tc>
              <w:tc>
                <w:tcPr>
                  <w:tcW w:w="1089" w:type="dxa"/>
                  <w:tcBorders>
                    <w:top w:val="single" w:color="000000" w:sz="4" w:space="0"/>
                    <w:left w:val="single" w:color="000000" w:sz="4" w:space="0"/>
                    <w:bottom w:val="single" w:color="000000" w:sz="4" w:space="0"/>
                    <w:right w:val="single" w:color="000000" w:sz="4" w:space="0"/>
                  </w:tcBorders>
                  <w:vAlign w:val="center"/>
                </w:tcPr>
                <w:p w14:paraId="10A0BC47">
                  <w:pPr>
                    <w:widowControl/>
                    <w:jc w:val="center"/>
                    <w:textAlignment w:val="center"/>
                    <w:rPr>
                      <w:rFonts w:hint="eastAsia" w:ascii="Times New Roman" w:hAnsi="Times New Roman" w:eastAsia="宋体" w:cs="Times New Roman"/>
                      <w:kern w:val="0"/>
                      <w:szCs w:val="21"/>
                      <w:highlight w:val="none"/>
                      <w:lang w:val="en-US" w:eastAsia="zh-CN" w:bidi="ar"/>
                    </w:rPr>
                  </w:pPr>
                  <w:r>
                    <w:rPr>
                      <w:rFonts w:hint="eastAsia" w:cs="Times New Roman"/>
                      <w:kern w:val="0"/>
                      <w:szCs w:val="21"/>
                      <w:highlight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noWrap/>
                  <w:vAlign w:val="center"/>
                </w:tcPr>
                <w:p w14:paraId="59CE7359">
                  <w:pPr>
                    <w:widowControl/>
                    <w:jc w:val="center"/>
                    <w:textAlignment w:val="center"/>
                    <w:rPr>
                      <w:rFonts w:hint="eastAsia" w:ascii="Times New Roman" w:hAnsi="Times New Roman" w:eastAsia="宋体" w:cs="Times New Roman"/>
                      <w:kern w:val="0"/>
                      <w:szCs w:val="21"/>
                      <w:highlight w:val="none"/>
                      <w:lang w:val="en-US" w:eastAsia="zh-CN" w:bidi="ar"/>
                    </w:rPr>
                  </w:pPr>
                  <w:r>
                    <w:rPr>
                      <w:rFonts w:hint="eastAsia" w:cs="Times New Roman"/>
                      <w:kern w:val="0"/>
                      <w:szCs w:val="21"/>
                      <w:highlight w:val="none"/>
                      <w:lang w:val="en-US" w:eastAsia="zh-CN" w:bidi="ar"/>
                    </w:rPr>
                    <w:t>/</w:t>
                  </w:r>
                </w:p>
              </w:tc>
            </w:tr>
          </w:tbl>
          <w:p w14:paraId="06820437">
            <w:pPr>
              <w:spacing w:line="360" w:lineRule="auto"/>
              <w:ind w:firstLine="480" w:firstLineChars="200"/>
              <w:rPr>
                <w:rFonts w:hint="default" w:ascii="Times New Roman" w:hAnsi="Times New Roman" w:cs="Times New Roman"/>
                <w:color w:val="auto"/>
                <w:sz w:val="24"/>
                <w:highlight w:val="none"/>
                <w:shd w:val="clear" w:color="auto" w:fill="FFFFFF"/>
                <w:lang w:val="zh-CN"/>
              </w:rPr>
            </w:pPr>
            <w:r>
              <w:rPr>
                <w:rFonts w:hint="default" w:ascii="Times New Roman" w:hAnsi="Times New Roman" w:cs="Times New Roman"/>
                <w:color w:val="auto"/>
                <w:sz w:val="24"/>
                <w:highlight w:val="none"/>
                <w:shd w:val="clear" w:color="auto" w:fill="FFFFFF"/>
                <w:lang w:val="zh-CN"/>
              </w:rPr>
              <w:t>钻孔结构图见下图：</w:t>
            </w:r>
          </w:p>
          <w:p w14:paraId="749B2DC1">
            <w:pPr>
              <w:spacing w:line="360" w:lineRule="auto"/>
              <w:ind w:firstLine="480" w:firstLineChars="200"/>
              <w:rPr>
                <w:rFonts w:hint="default" w:ascii="Times New Roman" w:hAnsi="Times New Roman" w:cs="Times New Roman"/>
                <w:color w:val="auto"/>
                <w:sz w:val="24"/>
                <w:highlight w:val="none"/>
                <w:shd w:val="clear" w:color="auto" w:fill="FFFFFF"/>
                <w:lang w:val="zh-CN"/>
              </w:rPr>
            </w:pPr>
          </w:p>
          <w:p w14:paraId="595467AB">
            <w:pPr>
              <w:spacing w:line="360" w:lineRule="auto"/>
              <w:ind w:firstLine="480" w:firstLineChars="200"/>
              <w:rPr>
                <w:rFonts w:hint="default" w:ascii="Times New Roman" w:hAnsi="Times New Roman" w:cs="Times New Roman"/>
                <w:color w:val="auto"/>
                <w:sz w:val="24"/>
                <w:highlight w:val="none"/>
                <w:shd w:val="clear" w:color="auto" w:fill="FFFFFF"/>
                <w:lang w:val="zh-CN"/>
              </w:rPr>
            </w:pPr>
          </w:p>
          <w:p w14:paraId="75F9AC98">
            <w:pPr>
              <w:spacing w:line="360" w:lineRule="auto"/>
              <w:ind w:firstLine="480" w:firstLineChars="200"/>
              <w:rPr>
                <w:rFonts w:hint="default" w:ascii="Times New Roman" w:hAnsi="Times New Roman" w:cs="Times New Roman"/>
                <w:color w:val="auto"/>
                <w:sz w:val="24"/>
                <w:highlight w:val="none"/>
                <w:shd w:val="clear" w:color="auto" w:fill="FFFFFF"/>
                <w:lang w:val="zh-CN"/>
              </w:rPr>
            </w:pPr>
          </w:p>
          <w:p w14:paraId="1E78E4ED">
            <w:pPr>
              <w:spacing w:line="360" w:lineRule="auto"/>
              <w:ind w:firstLine="480" w:firstLineChars="200"/>
              <w:rPr>
                <w:rFonts w:hint="default" w:ascii="Times New Roman" w:hAnsi="Times New Roman" w:cs="Times New Roman"/>
                <w:color w:val="auto"/>
                <w:sz w:val="24"/>
                <w:highlight w:val="none"/>
                <w:shd w:val="clear" w:color="auto" w:fill="FFFFFF"/>
                <w:lang w:val="zh-CN"/>
              </w:rPr>
            </w:pPr>
          </w:p>
          <w:p w14:paraId="75FD2C4A">
            <w:pPr>
              <w:spacing w:line="360" w:lineRule="auto"/>
              <w:ind w:firstLine="480" w:firstLineChars="200"/>
              <w:rPr>
                <w:rFonts w:hint="default" w:ascii="Times New Roman" w:hAnsi="Times New Roman" w:cs="Times New Roman"/>
                <w:color w:val="auto"/>
                <w:sz w:val="24"/>
                <w:highlight w:val="none"/>
                <w:shd w:val="clear" w:color="auto" w:fill="FFFFFF"/>
                <w:lang w:val="zh-CN"/>
              </w:rPr>
            </w:pPr>
          </w:p>
          <w:p w14:paraId="2A9726FC">
            <w:pPr>
              <w:spacing w:line="360" w:lineRule="auto"/>
              <w:ind w:firstLine="480" w:firstLineChars="200"/>
              <w:rPr>
                <w:rFonts w:hint="default" w:ascii="Times New Roman" w:hAnsi="Times New Roman" w:cs="Times New Roman"/>
                <w:color w:val="auto"/>
                <w:sz w:val="24"/>
                <w:highlight w:val="none"/>
                <w:shd w:val="clear" w:color="auto" w:fill="FFFFFF"/>
                <w:lang w:val="zh-CN"/>
              </w:rPr>
            </w:pPr>
          </w:p>
          <w:p w14:paraId="66CF9F02">
            <w:pPr>
              <w:spacing w:line="360" w:lineRule="auto"/>
              <w:ind w:firstLine="480" w:firstLineChars="200"/>
              <w:rPr>
                <w:rFonts w:hint="default" w:ascii="Times New Roman" w:hAnsi="Times New Roman" w:cs="Times New Roman"/>
                <w:color w:val="auto"/>
                <w:sz w:val="24"/>
                <w:highlight w:val="none"/>
                <w:shd w:val="clear" w:color="auto" w:fill="FFFFFF"/>
                <w:lang w:val="zh-CN"/>
              </w:rPr>
            </w:pPr>
          </w:p>
          <w:p w14:paraId="3E828F89">
            <w:pPr>
              <w:spacing w:line="360" w:lineRule="auto"/>
              <w:ind w:firstLine="480" w:firstLineChars="200"/>
              <w:rPr>
                <w:rFonts w:hint="default" w:ascii="Times New Roman" w:hAnsi="Times New Roman" w:cs="Times New Roman"/>
                <w:color w:val="auto"/>
                <w:sz w:val="24"/>
                <w:highlight w:val="none"/>
                <w:shd w:val="clear" w:color="auto" w:fill="FFFFFF"/>
                <w:lang w:val="zh-CN"/>
              </w:rPr>
            </w:pPr>
          </w:p>
          <w:p w14:paraId="07F3E5AB">
            <w:pPr>
              <w:spacing w:line="360" w:lineRule="auto"/>
              <w:ind w:firstLine="480" w:firstLineChars="200"/>
              <w:rPr>
                <w:rFonts w:hint="default" w:ascii="Times New Roman" w:hAnsi="Times New Roman" w:cs="Times New Roman"/>
                <w:color w:val="auto"/>
                <w:sz w:val="24"/>
                <w:highlight w:val="none"/>
                <w:shd w:val="clear" w:color="auto" w:fill="FFFFFF"/>
                <w:lang w:val="zh-CN"/>
              </w:rPr>
            </w:pPr>
          </w:p>
          <w:p w14:paraId="58E88663">
            <w:pPr>
              <w:spacing w:line="360" w:lineRule="auto"/>
              <w:jc w:val="center"/>
              <w:rPr>
                <w:rFonts w:hint="default" w:ascii="Times New Roman" w:hAnsi="Times New Roman" w:cs="Times New Roman"/>
                <w:color w:val="auto"/>
                <w:highlight w:val="none"/>
              </w:rPr>
            </w:pPr>
            <w:r>
              <w:drawing>
                <wp:inline distT="0" distB="0" distL="114300" distR="114300">
                  <wp:extent cx="3866515" cy="3913505"/>
                  <wp:effectExtent l="0" t="0" r="635" b="10795"/>
                  <wp:docPr id="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2"/>
                          <pic:cNvPicPr>
                            <a:picLocks noChangeAspect="1"/>
                          </pic:cNvPicPr>
                        </pic:nvPicPr>
                        <pic:blipFill>
                          <a:blip r:embed="rId10"/>
                          <a:stretch>
                            <a:fillRect/>
                          </a:stretch>
                        </pic:blipFill>
                        <pic:spPr>
                          <a:xfrm>
                            <a:off x="0" y="0"/>
                            <a:ext cx="3866515" cy="3913505"/>
                          </a:xfrm>
                          <a:prstGeom prst="rect">
                            <a:avLst/>
                          </a:prstGeom>
                          <a:noFill/>
                          <a:ln>
                            <a:noFill/>
                          </a:ln>
                        </pic:spPr>
                      </pic:pic>
                    </a:graphicData>
                  </a:graphic>
                </wp:inline>
              </w:drawing>
            </w:r>
          </w:p>
          <w:p w14:paraId="579D7A98">
            <w:pPr>
              <w:spacing w:line="240" w:lineRule="atLeast"/>
              <w:jc w:val="center"/>
              <w:rPr>
                <w:rFonts w:hint="default" w:ascii="Times New Roman" w:hAnsi="Times New Roman" w:eastAsia="黑体" w:cs="Times New Roman"/>
                <w:color w:val="auto"/>
                <w:szCs w:val="20"/>
                <w:highlight w:val="none"/>
              </w:rPr>
            </w:pPr>
            <w:r>
              <w:rPr>
                <w:rFonts w:hint="default" w:ascii="Times New Roman" w:hAnsi="Times New Roman" w:eastAsia="黑体" w:cs="Times New Roman"/>
                <w:color w:val="auto"/>
                <w:szCs w:val="20"/>
                <w:highlight w:val="none"/>
              </w:rPr>
              <w:t>图2-1  钻孔结构图</w:t>
            </w:r>
          </w:p>
          <w:p w14:paraId="204F5D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rPr>
              <w:t>钻孔结构</w:t>
            </w:r>
            <w:r>
              <w:rPr>
                <w:rFonts w:hint="default" w:ascii="Times New Roman" w:hAnsi="Times New Roman" w:eastAsia="宋体" w:cs="Times New Roman"/>
                <w:color w:val="auto"/>
                <w:sz w:val="24"/>
                <w:szCs w:val="32"/>
                <w:highlight w:val="none"/>
                <w:lang w:val="en-US" w:eastAsia="zh-CN"/>
              </w:rPr>
              <w:t>概述：</w:t>
            </w:r>
          </w:p>
          <w:p w14:paraId="42972E68">
            <w:pPr>
              <w:spacing w:line="360" w:lineRule="auto"/>
              <w:ind w:firstLine="480" w:firstLineChars="200"/>
              <w:rPr>
                <w:rFonts w:hint="default" w:eastAsia="宋体" w:cs="Times New Roman"/>
                <w:sz w:val="24"/>
                <w:highlight w:val="none"/>
                <w:lang w:val="en-US" w:eastAsia="zh-CN"/>
              </w:rPr>
            </w:pPr>
            <w:r>
              <w:rPr>
                <w:rFonts w:hint="default" w:ascii="Times New Roman" w:hAnsi="Times New Roman" w:cs="Times New Roman"/>
                <w:color w:val="auto"/>
                <w:sz w:val="24"/>
                <w:szCs w:val="32"/>
                <w:highlight w:val="none"/>
              </w:rPr>
              <w:t>（1）</w:t>
            </w:r>
            <w:r>
              <w:rPr>
                <w:rFonts w:hint="default" w:eastAsia="宋体" w:cs="Times New Roman"/>
                <w:sz w:val="24"/>
                <w:highlight w:val="none"/>
                <w:lang w:val="en-US" w:eastAsia="zh-CN"/>
              </w:rPr>
              <w:t>一开</w:t>
            </w:r>
            <w:r>
              <w:rPr>
                <w:rFonts w:hint="eastAsia" w:eastAsia="宋体" w:cs="Times New Roman"/>
                <w:sz w:val="24"/>
                <w:highlight w:val="none"/>
                <w:lang w:val="en-US" w:eastAsia="zh-CN"/>
              </w:rPr>
              <w:t>垂直</w:t>
            </w:r>
            <w:r>
              <w:rPr>
                <w:rFonts w:hint="default" w:eastAsia="宋体" w:cs="Times New Roman"/>
                <w:sz w:val="24"/>
                <w:highlight w:val="none"/>
                <w:lang w:val="en-US" w:eastAsia="zh-CN"/>
              </w:rPr>
              <w:t>段：一开孔径为φ3</w:t>
            </w:r>
            <w:r>
              <w:rPr>
                <w:rFonts w:hint="eastAsia" w:eastAsia="宋体" w:cs="Times New Roman"/>
                <w:sz w:val="24"/>
                <w:highlight w:val="none"/>
                <w:lang w:val="en-US" w:eastAsia="zh-CN"/>
              </w:rPr>
              <w:t>11</w:t>
            </w:r>
            <w:r>
              <w:rPr>
                <w:rFonts w:hint="default" w:eastAsia="宋体" w:cs="Times New Roman"/>
                <w:sz w:val="24"/>
                <w:highlight w:val="none"/>
                <w:lang w:val="en-US" w:eastAsia="zh-CN"/>
              </w:rPr>
              <w:t>mm，</w:t>
            </w:r>
            <w:r>
              <w:rPr>
                <w:rFonts w:hint="eastAsia" w:eastAsia="宋体" w:cs="Times New Roman"/>
                <w:sz w:val="24"/>
                <w:highlight w:val="none"/>
                <w:lang w:val="en-US" w:eastAsia="zh-CN"/>
              </w:rPr>
              <w:t>垂直段长30～100m，结合松散层造斜率进行调整</w:t>
            </w:r>
            <w:r>
              <w:rPr>
                <w:rFonts w:hint="default" w:eastAsia="宋体" w:cs="Times New Roman"/>
                <w:sz w:val="24"/>
                <w:highlight w:val="none"/>
                <w:lang w:val="en-US" w:eastAsia="zh-CN"/>
              </w:rPr>
              <w:t>，</w:t>
            </w:r>
            <w:r>
              <w:rPr>
                <w:rFonts w:hint="eastAsia" w:eastAsia="宋体" w:cs="Times New Roman"/>
                <w:sz w:val="24"/>
                <w:highlight w:val="none"/>
                <w:lang w:val="en-US" w:eastAsia="zh-CN"/>
              </w:rPr>
              <w:t>一开直孔段采用正循环、机械回转钻进；垂直段后开始造斜，利用定向钻具在松散层内增斜钻进，钻进至基岩5～10m。</w:t>
            </w:r>
            <w:r>
              <w:rPr>
                <w:rFonts w:hint="default" w:eastAsia="宋体" w:cs="Times New Roman"/>
                <w:sz w:val="24"/>
                <w:highlight w:val="none"/>
                <w:lang w:val="en-US" w:eastAsia="zh-CN"/>
              </w:rPr>
              <w:t>下入φ2</w:t>
            </w:r>
            <w:r>
              <w:rPr>
                <w:rFonts w:hint="eastAsia" w:eastAsia="宋体" w:cs="Times New Roman"/>
                <w:sz w:val="24"/>
                <w:highlight w:val="none"/>
                <w:lang w:val="en-US" w:eastAsia="zh-CN"/>
              </w:rPr>
              <w:t>44.</w:t>
            </w:r>
            <w:r>
              <w:rPr>
                <w:rFonts w:hint="default" w:eastAsia="宋体" w:cs="Times New Roman"/>
                <w:sz w:val="24"/>
                <w:highlight w:val="none"/>
                <w:lang w:val="en-US" w:eastAsia="zh-CN"/>
              </w:rPr>
              <w:t>5×8.</w:t>
            </w:r>
            <w:r>
              <w:rPr>
                <w:rFonts w:hint="eastAsia" w:eastAsia="宋体" w:cs="Times New Roman"/>
                <w:sz w:val="24"/>
                <w:highlight w:val="none"/>
                <w:lang w:val="en-US" w:eastAsia="zh-CN"/>
              </w:rPr>
              <w:t>94</w:t>
            </w:r>
            <w:r>
              <w:rPr>
                <w:rFonts w:hint="default" w:eastAsia="宋体" w:cs="Times New Roman"/>
                <w:sz w:val="24"/>
                <w:highlight w:val="none"/>
                <w:lang w:val="en-US" w:eastAsia="zh-CN"/>
              </w:rPr>
              <w:t>mmJ55</w:t>
            </w:r>
            <w:r>
              <w:rPr>
                <w:rFonts w:hint="eastAsia" w:eastAsia="宋体" w:cs="Times New Roman"/>
                <w:sz w:val="24"/>
                <w:highlight w:val="none"/>
                <w:lang w:val="en-US" w:eastAsia="zh-CN"/>
              </w:rPr>
              <w:t>钢级标准</w:t>
            </w:r>
            <w:r>
              <w:rPr>
                <w:rFonts w:hint="default" w:eastAsia="宋体" w:cs="Times New Roman"/>
                <w:sz w:val="24"/>
                <w:highlight w:val="none"/>
                <w:lang w:val="en-US" w:eastAsia="zh-CN"/>
              </w:rPr>
              <w:t>石油套管，</w:t>
            </w:r>
            <w:r>
              <w:rPr>
                <w:rFonts w:hint="eastAsia" w:eastAsia="宋体" w:cs="Times New Roman"/>
                <w:sz w:val="24"/>
                <w:highlight w:val="none"/>
                <w:lang w:val="en-US" w:eastAsia="zh-CN"/>
              </w:rPr>
              <w:t>孔壁与套管间隙采用</w:t>
            </w:r>
            <w:r>
              <w:rPr>
                <w:rFonts w:hint="default" w:eastAsia="宋体" w:cs="Times New Roman"/>
                <w:sz w:val="24"/>
                <w:highlight w:val="none"/>
                <w:lang w:val="en-US" w:eastAsia="zh-CN"/>
              </w:rPr>
              <w:t>P.O42.5型水泥固</w:t>
            </w:r>
            <w:r>
              <w:rPr>
                <w:rFonts w:hint="eastAsia" w:eastAsia="宋体" w:cs="Times New Roman"/>
                <w:sz w:val="24"/>
                <w:highlight w:val="none"/>
                <w:lang w:val="en-US" w:eastAsia="zh-CN"/>
              </w:rPr>
              <w:t>管</w:t>
            </w:r>
            <w:r>
              <w:rPr>
                <w:rFonts w:hint="default" w:eastAsia="宋体" w:cs="Times New Roman"/>
                <w:sz w:val="24"/>
                <w:highlight w:val="none"/>
                <w:lang w:val="en-US" w:eastAsia="zh-CN"/>
              </w:rPr>
              <w:t>。</w:t>
            </w:r>
          </w:p>
          <w:p w14:paraId="630095CB">
            <w:pPr>
              <w:spacing w:line="360" w:lineRule="auto"/>
              <w:ind w:firstLine="480" w:firstLineChars="200"/>
              <w:rPr>
                <w:rFonts w:hint="default" w:eastAsia="宋体" w:cs="Times New Roman"/>
                <w:sz w:val="24"/>
                <w:highlight w:val="none"/>
                <w:lang w:val="en-US" w:eastAsia="zh-CN"/>
              </w:rPr>
            </w:pPr>
            <w:r>
              <w:rPr>
                <w:rFonts w:hint="default" w:eastAsia="宋体" w:cs="Times New Roman"/>
                <w:sz w:val="24"/>
                <w:highlight w:val="none"/>
                <w:lang w:val="en-US" w:eastAsia="zh-CN"/>
              </w:rPr>
              <w:t>（2）二开造斜段：二开孔径为φ</w:t>
            </w:r>
            <w:r>
              <w:rPr>
                <w:rFonts w:hint="eastAsia" w:eastAsia="宋体" w:cs="Times New Roman"/>
                <w:sz w:val="24"/>
                <w:highlight w:val="none"/>
                <w:lang w:val="en-US" w:eastAsia="zh-CN"/>
              </w:rPr>
              <w:t>216</w:t>
            </w:r>
            <w:r>
              <w:rPr>
                <w:rFonts w:hint="default" w:eastAsia="宋体" w:cs="Times New Roman"/>
                <w:sz w:val="24"/>
                <w:highlight w:val="none"/>
                <w:lang w:val="en-US" w:eastAsia="zh-CN"/>
              </w:rPr>
              <w:t>mm，</w:t>
            </w:r>
            <w:r>
              <w:rPr>
                <w:rFonts w:hint="eastAsia" w:eastAsia="宋体" w:cs="Times New Roman"/>
                <w:sz w:val="24"/>
                <w:highlight w:val="none"/>
                <w:lang w:val="en-US" w:eastAsia="zh-CN"/>
              </w:rPr>
              <w:t>钻进至片麻岩底界稳定区域</w:t>
            </w:r>
            <w:r>
              <w:rPr>
                <w:rFonts w:hint="default" w:eastAsia="宋体" w:cs="Times New Roman"/>
                <w:sz w:val="24"/>
                <w:highlight w:val="none"/>
                <w:lang w:val="en-US" w:eastAsia="zh-CN"/>
              </w:rPr>
              <w:t>，全孔段下</w:t>
            </w:r>
            <w:r>
              <w:rPr>
                <w:rFonts w:hint="eastAsia" w:eastAsia="宋体" w:cs="Times New Roman"/>
                <w:sz w:val="24"/>
                <w:highlight w:val="none"/>
                <w:lang w:val="en-US" w:eastAsia="zh-CN"/>
              </w:rPr>
              <w:t>入</w:t>
            </w:r>
            <w:r>
              <w:rPr>
                <w:rFonts w:hint="default" w:eastAsia="宋体" w:cs="Times New Roman"/>
                <w:sz w:val="24"/>
                <w:highlight w:val="none"/>
                <w:lang w:val="en-US" w:eastAsia="zh-CN"/>
              </w:rPr>
              <w:t>Φ1</w:t>
            </w:r>
            <w:r>
              <w:rPr>
                <w:rFonts w:hint="eastAsia" w:eastAsia="宋体" w:cs="Times New Roman"/>
                <w:sz w:val="24"/>
                <w:highlight w:val="none"/>
                <w:lang w:val="en-US" w:eastAsia="zh-CN"/>
              </w:rPr>
              <w:t>77.8</w:t>
            </w:r>
            <w:r>
              <w:rPr>
                <w:rFonts w:hint="default" w:eastAsia="宋体" w:cs="Times New Roman"/>
                <w:sz w:val="24"/>
                <w:highlight w:val="none"/>
                <w:lang w:val="en-US" w:eastAsia="zh-CN"/>
              </w:rPr>
              <w:t>×</w:t>
            </w:r>
            <w:r>
              <w:rPr>
                <w:rFonts w:hint="eastAsia" w:eastAsia="宋体" w:cs="Times New Roman"/>
                <w:sz w:val="24"/>
                <w:highlight w:val="none"/>
                <w:lang w:val="en-US" w:eastAsia="zh-CN"/>
              </w:rPr>
              <w:t>8.05</w:t>
            </w:r>
            <w:r>
              <w:rPr>
                <w:rFonts w:hint="default" w:eastAsia="宋体" w:cs="Times New Roman"/>
                <w:sz w:val="24"/>
                <w:highlight w:val="none"/>
                <w:lang w:val="en-US" w:eastAsia="zh-CN"/>
              </w:rPr>
              <w:t>mm</w:t>
            </w:r>
            <w:r>
              <w:rPr>
                <w:rFonts w:hint="eastAsia" w:eastAsia="宋体" w:cs="Times New Roman"/>
                <w:sz w:val="24"/>
                <w:highlight w:val="none"/>
                <w:lang w:val="en-US" w:eastAsia="zh-CN"/>
              </w:rPr>
              <w:t>J55钢级标准</w:t>
            </w:r>
            <w:r>
              <w:rPr>
                <w:rFonts w:hint="default" w:eastAsia="宋体" w:cs="Times New Roman"/>
                <w:sz w:val="24"/>
                <w:highlight w:val="none"/>
                <w:lang w:val="en-US" w:eastAsia="zh-CN"/>
              </w:rPr>
              <w:t>石油套管，</w:t>
            </w:r>
            <w:r>
              <w:rPr>
                <w:rFonts w:hint="eastAsia" w:eastAsia="宋体" w:cs="Times New Roman"/>
                <w:sz w:val="24"/>
                <w:highlight w:val="none"/>
                <w:lang w:val="en-US" w:eastAsia="zh-CN"/>
              </w:rPr>
              <w:t>孔壁与套管间隙采用</w:t>
            </w:r>
            <w:r>
              <w:rPr>
                <w:rFonts w:hint="default" w:eastAsia="宋体" w:cs="Times New Roman"/>
                <w:sz w:val="24"/>
                <w:highlight w:val="none"/>
                <w:lang w:val="en-US" w:eastAsia="zh-CN"/>
              </w:rPr>
              <w:t>P.O42.5型水泥固井。</w:t>
            </w:r>
          </w:p>
          <w:p w14:paraId="08995F52">
            <w:pPr>
              <w:spacing w:line="360" w:lineRule="auto"/>
              <w:ind w:firstLine="480" w:firstLineChars="200"/>
              <w:rPr>
                <w:rFonts w:hint="default" w:eastAsia="宋体" w:cs="Times New Roman"/>
                <w:sz w:val="24"/>
                <w:highlight w:val="none"/>
                <w:lang w:val="en-US" w:eastAsia="zh-CN"/>
              </w:rPr>
            </w:pPr>
            <w:r>
              <w:rPr>
                <w:rFonts w:hint="default" w:eastAsia="宋体" w:cs="Times New Roman"/>
                <w:sz w:val="24"/>
                <w:highlight w:val="none"/>
                <w:lang w:val="en-US" w:eastAsia="zh-CN"/>
              </w:rPr>
              <w:t>（3）三开</w:t>
            </w:r>
            <w:r>
              <w:rPr>
                <w:rFonts w:hint="eastAsia" w:eastAsia="宋体" w:cs="Times New Roman"/>
                <w:sz w:val="24"/>
                <w:highlight w:val="none"/>
                <w:lang w:val="en-US" w:eastAsia="zh-CN"/>
              </w:rPr>
              <w:t>近水平注浆</w:t>
            </w:r>
            <w:r>
              <w:rPr>
                <w:rFonts w:hint="default" w:eastAsia="宋体" w:cs="Times New Roman"/>
                <w:sz w:val="24"/>
                <w:highlight w:val="none"/>
                <w:lang w:val="en-US" w:eastAsia="zh-CN"/>
              </w:rPr>
              <w:t>段：三开孔径φ152mm，</w:t>
            </w:r>
            <w:r>
              <w:rPr>
                <w:rFonts w:hint="eastAsia" w:eastAsia="宋体" w:cs="Times New Roman"/>
                <w:sz w:val="24"/>
                <w:highlight w:val="none"/>
                <w:lang w:val="en-US" w:eastAsia="zh-CN"/>
              </w:rPr>
              <w:t>靶点区位于推覆体片麻岩底部，为</w:t>
            </w:r>
            <w:r>
              <w:rPr>
                <w:rFonts w:hint="default" w:eastAsia="宋体" w:cs="Times New Roman"/>
                <w:sz w:val="24"/>
                <w:highlight w:val="none"/>
                <w:lang w:val="en-US" w:eastAsia="zh-CN"/>
              </w:rPr>
              <w:t>裸孔注浆段，不设护壁钢管，</w:t>
            </w:r>
            <w:r>
              <w:rPr>
                <w:rFonts w:hint="eastAsia" w:eastAsia="宋体" w:cs="Times New Roman"/>
                <w:sz w:val="24"/>
                <w:highlight w:val="none"/>
                <w:lang w:val="en-US" w:eastAsia="zh-CN"/>
              </w:rPr>
              <w:t>钻井过程中如遇特殊构造带或地层破碎，可视地层完整性及漏失情况，下入规格</w:t>
            </w:r>
            <w:r>
              <w:rPr>
                <w:rFonts w:hint="default" w:eastAsia="宋体" w:cs="Times New Roman"/>
                <w:sz w:val="24"/>
                <w:highlight w:val="none"/>
                <w:lang w:val="en-US" w:eastAsia="zh-CN"/>
              </w:rPr>
              <w:t>Φ88.9mm×6.45mm 的护壁管或花管至孔底，以保障施工质量和注浆效果。</w:t>
            </w:r>
          </w:p>
          <w:p w14:paraId="79BE85D6">
            <w:pPr>
              <w:spacing w:line="360" w:lineRule="auto"/>
              <w:ind w:firstLine="480" w:firstLineChars="200"/>
              <w:rPr>
                <w:rFonts w:hint="default" w:eastAsia="宋体" w:cs="Times New Roman"/>
                <w:sz w:val="24"/>
                <w:highlight w:val="none"/>
                <w:lang w:val="en-US" w:eastAsia="zh-CN"/>
              </w:rPr>
            </w:pPr>
            <w:r>
              <w:rPr>
                <w:rFonts w:hint="eastAsia" w:eastAsia="宋体" w:cs="Times New Roman"/>
                <w:sz w:val="24"/>
                <w:highlight w:val="none"/>
                <w:lang w:val="en-US" w:eastAsia="zh-CN"/>
              </w:rPr>
              <w:t>钻孔各开段的深度为预计值，在钻进过程中，需根据钻进现象、录井、测井判层的综合结果，对钻孔各开段的深度进行修正校准。</w:t>
            </w:r>
          </w:p>
          <w:p w14:paraId="1B1D6833">
            <w:pPr>
              <w:spacing w:line="360" w:lineRule="auto"/>
              <w:jc w:val="center"/>
              <w:rPr>
                <w:rFonts w:hint="default" w:ascii="Times New Roman" w:hAnsi="Times New Roman" w:cs="Times New Roman"/>
                <w:color w:val="auto"/>
                <w:sz w:val="24"/>
                <w:highlight w:val="none"/>
              </w:rPr>
            </w:pPr>
            <w:r>
              <w:drawing>
                <wp:inline distT="0" distB="0" distL="114300" distR="114300">
                  <wp:extent cx="4497705" cy="3947160"/>
                  <wp:effectExtent l="0" t="0" r="17145" b="15240"/>
                  <wp:docPr id="5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3"/>
                          <pic:cNvPicPr>
                            <a:picLocks noChangeAspect="1"/>
                          </pic:cNvPicPr>
                        </pic:nvPicPr>
                        <pic:blipFill>
                          <a:blip r:embed="rId11"/>
                          <a:stretch>
                            <a:fillRect/>
                          </a:stretch>
                        </pic:blipFill>
                        <pic:spPr>
                          <a:xfrm>
                            <a:off x="0" y="0"/>
                            <a:ext cx="4497705" cy="3947160"/>
                          </a:xfrm>
                          <a:prstGeom prst="rect">
                            <a:avLst/>
                          </a:prstGeom>
                          <a:noFill/>
                          <a:ln>
                            <a:noFill/>
                          </a:ln>
                        </pic:spPr>
                      </pic:pic>
                    </a:graphicData>
                  </a:graphic>
                </wp:inline>
              </w:drawing>
            </w:r>
          </w:p>
          <w:p w14:paraId="0B68D8B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黑体" w:cs="Times New Roman"/>
                <w:color w:val="auto"/>
                <w:szCs w:val="20"/>
                <w:highlight w:val="none"/>
              </w:rPr>
            </w:pPr>
            <w:r>
              <w:rPr>
                <w:rFonts w:hint="default" w:ascii="Times New Roman" w:hAnsi="Times New Roman" w:eastAsia="黑体" w:cs="Times New Roman"/>
                <w:color w:val="auto"/>
                <w:szCs w:val="20"/>
                <w:highlight w:val="none"/>
              </w:rPr>
              <w:t>图2-2  本</w:t>
            </w:r>
            <w:r>
              <w:rPr>
                <w:rFonts w:hint="eastAsia" w:eastAsia="黑体" w:cs="Times New Roman"/>
                <w:color w:val="auto"/>
                <w:szCs w:val="20"/>
                <w:highlight w:val="none"/>
                <w:lang w:val="en-US" w:eastAsia="zh-CN"/>
              </w:rPr>
              <w:t>次工作面平面示意图</w:t>
            </w:r>
            <w:r>
              <w:rPr>
                <w:rFonts w:hint="default" w:ascii="Times New Roman" w:hAnsi="Times New Roman" w:eastAsia="黑体" w:cs="Times New Roman"/>
                <w:color w:val="auto"/>
                <w:szCs w:val="20"/>
                <w:highlight w:val="none"/>
              </w:rPr>
              <w:t>示意图</w:t>
            </w:r>
          </w:p>
          <w:p w14:paraId="0C035F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cs="Times New Roman"/>
                <w:sz w:val="24"/>
                <w:highlight w:val="none"/>
                <w:lang w:val="en-US" w:eastAsia="zh-CN"/>
              </w:rPr>
            </w:pPr>
            <w:r>
              <w:rPr>
                <w:rFonts w:hint="default" w:ascii="Times New Roman" w:hAnsi="Times New Roman" w:cs="Times New Roman"/>
                <w:color w:val="auto"/>
                <w:sz w:val="24"/>
                <w:szCs w:val="32"/>
                <w:highlight w:val="none"/>
              </w:rPr>
              <w:t>本次治理范围：</w:t>
            </w:r>
            <w:r>
              <w:rPr>
                <w:rFonts w:hint="eastAsia" w:eastAsia="宋体" w:cs="Times New Roman"/>
                <w:sz w:val="24"/>
                <w:highlight w:val="none"/>
                <w:lang w:val="en-US" w:eastAsia="zh-CN"/>
              </w:rPr>
              <w:t>以新集一矿360610工作面及其上覆覆岩离层区为核心，重点针对工作面及回风顺槽正上方、推覆体片麻岩底界面处的离层空间，通过9个定向注浆钻孔和2个监测孔实施注浆充填，并在铁路维护带以北50m维护带轮廓线附近设置预警线和控制线，确保阜淮铁路及以南区域地表变形可控；地面配套范围包括位于360610工作面西部、风井区域东侧的注浆站，以及凤台县新集镇罗杨村、大庄村、王集村境内总面积0.9379hm²的临时用地（含11个井场，功能分区为表土剥离堆放场、施工便道、运输便道、材料堆场及临时工棚）。</w:t>
            </w:r>
          </w:p>
          <w:p w14:paraId="28ABD8BD">
            <w:pPr>
              <w:spacing w:line="360" w:lineRule="auto"/>
              <w:ind w:firstLine="482" w:firstLineChars="20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4、主要建设内容</w:t>
            </w:r>
          </w:p>
          <w:p w14:paraId="66A204E8">
            <w:pPr>
              <w:adjustRightInd w:val="0"/>
              <w:snapToGrid w:val="0"/>
              <w:spacing w:line="360" w:lineRule="auto"/>
              <w:ind w:firstLine="480" w:firstLineChars="200"/>
              <w:rPr>
                <w:rFonts w:hint="default" w:ascii="Times New Roman" w:hAnsi="Times New Roman" w:cs="Times New Roman"/>
                <w:color w:val="auto"/>
                <w:sz w:val="24"/>
                <w:highlight w:val="none"/>
                <w:shd w:val="clear" w:color="auto" w:fill="FFFFFF"/>
              </w:rPr>
            </w:pPr>
            <w:r>
              <w:rPr>
                <w:rFonts w:hint="default" w:ascii="Times New Roman" w:hAnsi="Times New Roman" w:cs="Times New Roman"/>
                <w:bCs/>
                <w:color w:val="auto"/>
                <w:sz w:val="24"/>
                <w:highlight w:val="none"/>
              </w:rPr>
              <w:t>本项目临时施工场地位于安徽省淮南市凤台县</w:t>
            </w:r>
            <w:r>
              <w:rPr>
                <w:rFonts w:hint="eastAsia" w:cs="Times New Roman"/>
                <w:bCs/>
                <w:color w:val="auto"/>
                <w:sz w:val="24"/>
                <w:highlight w:val="none"/>
                <w:lang w:val="en-US" w:eastAsia="zh-CN"/>
              </w:rPr>
              <w:t>新集镇王集村，安徽省淮南市新集一矿3608(6)</w:t>
            </w:r>
            <w:r>
              <w:rPr>
                <w:rFonts w:hint="eastAsia" w:ascii="Times New Roman" w:hAnsi="Times New Roman" w:cs="Times New Roman"/>
                <w:bCs/>
                <w:color w:val="auto"/>
                <w:sz w:val="24"/>
                <w:highlight w:val="none"/>
                <w:lang w:val="en-US" w:eastAsia="zh-CN"/>
              </w:rPr>
              <w:t>采翼东区</w:t>
            </w:r>
            <w:r>
              <w:rPr>
                <w:rFonts w:hint="default" w:ascii="Times New Roman" w:hAnsi="Times New Roman" w:cs="Times New Roman"/>
                <w:bCs/>
                <w:color w:val="auto"/>
                <w:sz w:val="24"/>
                <w:highlight w:val="none"/>
              </w:rPr>
              <w:t>，</w:t>
            </w:r>
            <w:r>
              <w:rPr>
                <w:rFonts w:hint="eastAsia" w:ascii="Times New Roman" w:hAnsi="Times New Roman" w:cs="Times New Roman"/>
                <w:bCs/>
                <w:color w:val="auto"/>
                <w:sz w:val="24"/>
                <w:highlight w:val="none"/>
              </w:rPr>
              <w:t>新集一矿覆岩离层注浆减沉控沉绿色开采治理工程</w:t>
            </w:r>
            <w:r>
              <w:rPr>
                <w:rFonts w:hint="eastAsia" w:cs="Times New Roman"/>
                <w:bCs/>
                <w:color w:val="auto"/>
                <w:sz w:val="24"/>
                <w:highlight w:val="none"/>
                <w:lang w:val="en-US" w:eastAsia="zh-CN"/>
              </w:rPr>
              <w:t>计划</w:t>
            </w:r>
            <w:r>
              <w:rPr>
                <w:rFonts w:hint="eastAsia" w:ascii="Times New Roman" w:hAnsi="Times New Roman" w:eastAsia="宋体" w:cs="Times New Roman"/>
                <w:sz w:val="24"/>
                <w:highlight w:val="none"/>
                <w:lang w:val="en-US" w:eastAsia="zh-CN"/>
              </w:rPr>
              <w:t>布置1个注浆站和</w:t>
            </w:r>
            <w:r>
              <w:rPr>
                <w:rFonts w:hint="default" w:ascii="Times New Roman" w:hAnsi="Times New Roman" w:eastAsia="宋体" w:cs="Times New Roman"/>
                <w:sz w:val="24"/>
                <w:highlight w:val="none"/>
              </w:rPr>
              <w:t>敷设8条输浆管道</w:t>
            </w:r>
            <w:r>
              <w:rPr>
                <w:rFonts w:hint="eastAsia" w:cs="Times New Roman"/>
                <w:bCs/>
                <w:color w:val="auto"/>
                <w:sz w:val="24"/>
                <w:highlight w:val="none"/>
                <w:lang w:eastAsia="zh-CN"/>
              </w:rPr>
              <w:t>，</w:t>
            </w:r>
            <w:r>
              <w:rPr>
                <w:rFonts w:hint="eastAsia" w:cs="Times New Roman"/>
                <w:bCs/>
                <w:color w:val="auto"/>
                <w:sz w:val="24"/>
                <w:highlight w:val="none"/>
                <w:lang w:val="en-US" w:eastAsia="zh-CN"/>
              </w:rPr>
              <w:t>施工钻孔11</w:t>
            </w:r>
            <w:r>
              <w:rPr>
                <w:rFonts w:hint="default" w:ascii="Times New Roman" w:hAnsi="Times New Roman" w:cs="Times New Roman"/>
                <w:bCs/>
                <w:color w:val="auto"/>
                <w:sz w:val="24"/>
                <w:highlight w:val="none"/>
              </w:rPr>
              <w:t>个，编号为</w:t>
            </w:r>
            <w:r>
              <w:rPr>
                <w:rFonts w:hint="eastAsia" w:cs="Times New Roman"/>
                <w:bCs/>
                <w:color w:val="auto"/>
                <w:sz w:val="24"/>
                <w:highlight w:val="none"/>
                <w:lang w:val="en-US" w:eastAsia="zh-CN"/>
              </w:rPr>
              <w:t>1</w:t>
            </w:r>
            <w:r>
              <w:rPr>
                <w:rFonts w:hint="default" w:ascii="Times New Roman" w:hAnsi="Times New Roman" w:cs="Times New Roman"/>
                <w:bCs/>
                <w:color w:val="auto"/>
                <w:sz w:val="24"/>
                <w:highlight w:val="none"/>
              </w:rPr>
              <w:t>～</w:t>
            </w:r>
            <w:r>
              <w:rPr>
                <w:rFonts w:hint="eastAsia" w:cs="Times New Roman"/>
                <w:bCs/>
                <w:color w:val="auto"/>
                <w:sz w:val="24"/>
                <w:highlight w:val="none"/>
                <w:lang w:val="en-US" w:eastAsia="zh-CN"/>
              </w:rPr>
              <w:t>11</w:t>
            </w:r>
            <w:r>
              <w:rPr>
                <w:rFonts w:hint="default" w:ascii="Times New Roman" w:hAnsi="Times New Roman" w:cs="Times New Roman"/>
                <w:bCs/>
                <w:color w:val="auto"/>
                <w:sz w:val="24"/>
                <w:highlight w:val="none"/>
              </w:rPr>
              <w:t>，</w:t>
            </w:r>
            <w:r>
              <w:rPr>
                <w:rFonts w:hint="eastAsia" w:cs="Times New Roman"/>
                <w:sz w:val="24"/>
                <w:highlight w:val="none"/>
                <w:lang w:val="en-US" w:eastAsia="zh-CN"/>
              </w:rPr>
              <w:t>其中2个位岩移观测孔，9个注浆孔，总工程量3200m</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shd w:val="clear" w:color="auto" w:fill="FFFFFF"/>
              </w:rPr>
              <w:t>本项目不涉及瓦斯抽采和煤炭开采工作，仅为安全辅助钻井工程。</w:t>
            </w:r>
          </w:p>
          <w:p w14:paraId="3DFB8942">
            <w:pPr>
              <w:spacing w:line="360" w:lineRule="auto"/>
              <w:ind w:firstLine="480" w:firstLineChars="200"/>
              <w:rPr>
                <w:rFonts w:hint="default" w:ascii="Times New Roman" w:hAnsi="Times New Roman" w:cs="Times New Roman"/>
                <w:color w:val="auto"/>
                <w:sz w:val="24"/>
                <w:highlight w:val="none"/>
                <w:shd w:val="clear" w:color="auto" w:fill="FFFFFF"/>
              </w:rPr>
            </w:pPr>
            <w:r>
              <w:rPr>
                <w:rFonts w:hint="default" w:ascii="Times New Roman" w:hAnsi="Times New Roman" w:cs="Times New Roman"/>
                <w:color w:val="auto"/>
                <w:sz w:val="24"/>
                <w:highlight w:val="none"/>
                <w:shd w:val="clear" w:color="auto" w:fill="FFFFFF"/>
              </w:rPr>
              <w:t>本项目的主要建设内容及规模见下表。</w:t>
            </w:r>
          </w:p>
          <w:p w14:paraId="10EE018B">
            <w:pPr>
              <w:spacing w:line="240" w:lineRule="atLeast"/>
              <w:jc w:val="center"/>
              <w:rPr>
                <w:rFonts w:hint="default" w:ascii="Times New Roman" w:hAnsi="Times New Roman" w:eastAsia="黑体" w:cs="Times New Roman"/>
                <w:color w:val="auto"/>
                <w:szCs w:val="20"/>
                <w:highlight w:val="none"/>
              </w:rPr>
            </w:pPr>
            <w:r>
              <w:rPr>
                <w:rFonts w:hint="default" w:ascii="Times New Roman" w:hAnsi="Times New Roman" w:eastAsia="黑体" w:cs="Times New Roman"/>
                <w:color w:val="auto"/>
                <w:szCs w:val="20"/>
                <w:highlight w:val="none"/>
              </w:rPr>
              <w:t>表2-</w:t>
            </w:r>
            <w:r>
              <w:rPr>
                <w:rFonts w:hint="eastAsia" w:eastAsia="黑体" w:cs="Times New Roman"/>
                <w:color w:val="auto"/>
                <w:szCs w:val="20"/>
                <w:highlight w:val="none"/>
                <w:lang w:val="en-US" w:eastAsia="zh-CN"/>
              </w:rPr>
              <w:t>3</w:t>
            </w:r>
            <w:r>
              <w:rPr>
                <w:rFonts w:hint="default" w:ascii="Times New Roman" w:hAnsi="Times New Roman" w:eastAsia="黑体" w:cs="Times New Roman"/>
                <w:color w:val="auto"/>
                <w:szCs w:val="20"/>
                <w:highlight w:val="none"/>
              </w:rPr>
              <w:t xml:space="preserve">  建设内容及规模一览表</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4"/>
              <w:gridCol w:w="691"/>
              <w:gridCol w:w="6181"/>
              <w:gridCol w:w="456"/>
            </w:tblGrid>
            <w:tr w14:paraId="340A9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514" w:type="dxa"/>
                  <w:noWrap w:val="0"/>
                  <w:vAlign w:val="center"/>
                </w:tcPr>
                <w:p w14:paraId="7C483C12">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工程类别</w:t>
                  </w:r>
                </w:p>
              </w:tc>
              <w:tc>
                <w:tcPr>
                  <w:tcW w:w="691" w:type="dxa"/>
                  <w:noWrap w:val="0"/>
                  <w:vAlign w:val="center"/>
                </w:tcPr>
                <w:p w14:paraId="464694BA">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项目名称</w:t>
                  </w:r>
                </w:p>
              </w:tc>
              <w:tc>
                <w:tcPr>
                  <w:tcW w:w="6181" w:type="dxa"/>
                  <w:noWrap w:val="0"/>
                  <w:vAlign w:val="center"/>
                </w:tcPr>
                <w:p w14:paraId="33918370">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工程内容及规模</w:t>
                  </w:r>
                </w:p>
              </w:tc>
              <w:tc>
                <w:tcPr>
                  <w:tcW w:w="456" w:type="dxa"/>
                  <w:noWrap w:val="0"/>
                  <w:vAlign w:val="center"/>
                </w:tcPr>
                <w:p w14:paraId="668CD859">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r>
            <w:tr w14:paraId="757A1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514" w:type="dxa"/>
                  <w:vMerge w:val="restart"/>
                  <w:noWrap w:val="0"/>
                  <w:vAlign w:val="center"/>
                </w:tcPr>
                <w:p w14:paraId="45317353">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主体</w:t>
                  </w:r>
                </w:p>
                <w:p w14:paraId="51FA6DCA">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w:t>
                  </w:r>
                </w:p>
              </w:tc>
              <w:tc>
                <w:tcPr>
                  <w:tcW w:w="691" w:type="dxa"/>
                  <w:noWrap w:val="0"/>
                  <w:vAlign w:val="center"/>
                </w:tcPr>
                <w:p w14:paraId="2A5D6908">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钻前工程</w:t>
                  </w:r>
                </w:p>
              </w:tc>
              <w:tc>
                <w:tcPr>
                  <w:tcW w:w="6181" w:type="dxa"/>
                  <w:noWrap w:val="0"/>
                  <w:vAlign w:val="top"/>
                </w:tcPr>
                <w:p w14:paraId="6035A786">
                  <w:pPr>
                    <w:autoSpaceDE w:val="0"/>
                    <w:autoSpaceDN w:val="0"/>
                    <w:adjustRightInd w:val="0"/>
                    <w:snapToGrid w:val="0"/>
                    <w:jc w:val="lef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对施工场区内表土进行剥离，</w:t>
                  </w:r>
                  <w:r>
                    <w:rPr>
                      <w:rFonts w:hint="default" w:ascii="Times New Roman" w:hAnsi="Times New Roman" w:cs="Times New Roman"/>
                      <w:color w:val="auto"/>
                      <w:szCs w:val="21"/>
                      <w:highlight w:val="none"/>
                    </w:rPr>
                    <w:t>剥离表土集中堆放于场区一角。对施工现场进行平整，施工道路采取钢板或者其他材料铺垫，安装钻塔、钻机、</w:t>
                  </w:r>
                  <w:r>
                    <w:rPr>
                      <w:rFonts w:hint="eastAsia" w:cs="Times New Roman"/>
                      <w:color w:val="auto"/>
                      <w:szCs w:val="21"/>
                      <w:highlight w:val="none"/>
                      <w:lang w:val="en-US" w:eastAsia="zh-CN"/>
                    </w:rPr>
                    <w:t>控制</w:t>
                  </w:r>
                  <w:r>
                    <w:rPr>
                      <w:rFonts w:hint="default" w:ascii="Times New Roman" w:hAnsi="Times New Roman" w:cs="Times New Roman"/>
                      <w:color w:val="auto"/>
                      <w:szCs w:val="21"/>
                      <w:highlight w:val="none"/>
                    </w:rPr>
                    <w:t>系统等钻井设备，</w:t>
                  </w:r>
                  <w:r>
                    <w:rPr>
                      <w:rFonts w:hint="default" w:ascii="Times New Roman" w:hAnsi="Times New Roman" w:cs="Times New Roman"/>
                      <w:bCs/>
                      <w:color w:val="auto"/>
                      <w:szCs w:val="21"/>
                      <w:highlight w:val="none"/>
                    </w:rPr>
                    <w:t>搭设临时建筑物以及泥浆池、</w:t>
                  </w:r>
                  <w:r>
                    <w:rPr>
                      <w:rFonts w:hint="default" w:ascii="Times New Roman" w:hAnsi="Times New Roman" w:cs="Times New Roman"/>
                      <w:color w:val="auto"/>
                      <w:szCs w:val="21"/>
                      <w:highlight w:val="none"/>
                    </w:rPr>
                    <w:t>岩</w:t>
                  </w:r>
                  <w:r>
                    <w:rPr>
                      <w:rFonts w:hint="eastAsia" w:cs="Times New Roman"/>
                      <w:color w:val="auto"/>
                      <w:szCs w:val="21"/>
                      <w:highlight w:val="none"/>
                      <w:lang w:val="en-US" w:eastAsia="zh-CN"/>
                    </w:rPr>
                    <w:t>渣池</w:t>
                  </w:r>
                  <w:r>
                    <w:rPr>
                      <w:rFonts w:hint="default" w:ascii="Times New Roman" w:hAnsi="Times New Roman" w:cs="Times New Roman"/>
                      <w:color w:val="auto"/>
                      <w:szCs w:val="21"/>
                      <w:highlight w:val="none"/>
                    </w:rPr>
                    <w:t>等相关</w:t>
                  </w:r>
                  <w:r>
                    <w:rPr>
                      <w:rFonts w:hint="default" w:ascii="Times New Roman" w:hAnsi="Times New Roman" w:cs="Times New Roman"/>
                      <w:bCs/>
                      <w:color w:val="auto"/>
                      <w:szCs w:val="21"/>
                      <w:highlight w:val="none"/>
                    </w:rPr>
                    <w:t>附属设施建设。</w:t>
                  </w:r>
                </w:p>
              </w:tc>
              <w:tc>
                <w:tcPr>
                  <w:tcW w:w="456" w:type="dxa"/>
                  <w:noWrap w:val="0"/>
                  <w:vAlign w:val="top"/>
                </w:tcPr>
                <w:p w14:paraId="677056A2">
                  <w:pPr>
                    <w:autoSpaceDE w:val="0"/>
                    <w:autoSpaceDN w:val="0"/>
                    <w:adjustRightInd w:val="0"/>
                    <w:snapToGrid w:val="0"/>
                    <w:jc w:val="left"/>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w:t>
                  </w:r>
                </w:p>
              </w:tc>
            </w:tr>
            <w:tr w14:paraId="448C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dxa"/>
                  <w:vMerge w:val="continue"/>
                  <w:noWrap w:val="0"/>
                  <w:vAlign w:val="center"/>
                </w:tcPr>
                <w:p w14:paraId="1A8DFF44">
                  <w:pPr>
                    <w:autoSpaceDE w:val="0"/>
                    <w:autoSpaceDN w:val="0"/>
                    <w:adjustRightInd w:val="0"/>
                    <w:snapToGrid w:val="0"/>
                    <w:jc w:val="left"/>
                    <w:rPr>
                      <w:rFonts w:hint="default" w:ascii="Times New Roman" w:hAnsi="Times New Roman" w:cs="Times New Roman"/>
                      <w:color w:val="auto"/>
                      <w:szCs w:val="21"/>
                      <w:highlight w:val="none"/>
                    </w:rPr>
                  </w:pPr>
                </w:p>
              </w:tc>
              <w:tc>
                <w:tcPr>
                  <w:tcW w:w="691" w:type="dxa"/>
                  <w:noWrap w:val="0"/>
                  <w:vAlign w:val="center"/>
                </w:tcPr>
                <w:p w14:paraId="3B270276">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钻孔工程</w:t>
                  </w:r>
                </w:p>
              </w:tc>
              <w:tc>
                <w:tcPr>
                  <w:tcW w:w="6181" w:type="dxa"/>
                  <w:noWrap w:val="0"/>
                  <w:vAlign w:val="top"/>
                </w:tcPr>
                <w:p w14:paraId="0BC2D9F4">
                  <w:pPr>
                    <w:autoSpaceDE w:val="0"/>
                    <w:autoSpaceDN w:val="0"/>
                    <w:adjustRightInd w:val="0"/>
                    <w:snapToGrid w:val="0"/>
                    <w:jc w:val="left"/>
                    <w:rPr>
                      <w:rFonts w:hint="default" w:ascii="Times New Roman" w:hAnsi="Times New Roman" w:cs="Times New Roman"/>
                      <w:bCs/>
                      <w:color w:val="auto"/>
                      <w:szCs w:val="21"/>
                      <w:highlight w:val="none"/>
                      <w:lang w:val="en-US" w:eastAsia="zh-CN"/>
                    </w:rPr>
                  </w:pPr>
                  <w:r>
                    <w:rPr>
                      <w:rFonts w:hint="default" w:ascii="Times New Roman" w:hAnsi="Times New Roman" w:cs="Times New Roman"/>
                      <w:bCs/>
                      <w:color w:val="auto"/>
                      <w:szCs w:val="21"/>
                      <w:highlight w:val="none"/>
                    </w:rPr>
                    <w:t>本工程共设计</w:t>
                  </w:r>
                  <w:r>
                    <w:rPr>
                      <w:rFonts w:hint="eastAsia" w:ascii="Times New Roman" w:hAnsi="Times New Roman" w:cs="Times New Roman"/>
                      <w:bCs/>
                      <w:color w:val="auto"/>
                      <w:szCs w:val="21"/>
                      <w:highlight w:val="none"/>
                      <w:lang w:val="en-US" w:eastAsia="zh-CN"/>
                    </w:rPr>
                    <w:t>11</w:t>
                  </w:r>
                  <w:r>
                    <w:rPr>
                      <w:rFonts w:hint="default" w:ascii="Times New Roman" w:hAnsi="Times New Roman" w:cs="Times New Roman"/>
                      <w:bCs/>
                      <w:color w:val="auto"/>
                      <w:szCs w:val="21"/>
                      <w:highlight w:val="none"/>
                    </w:rPr>
                    <w:t>个井场</w:t>
                  </w:r>
                  <w:r>
                    <w:rPr>
                      <w:rFonts w:hint="eastAsia" w:ascii="Times New Roman" w:hAnsi="Times New Roman" w:cs="Times New Roman"/>
                      <w:bCs/>
                      <w:color w:val="auto"/>
                      <w:szCs w:val="21"/>
                      <w:highlight w:val="none"/>
                      <w:lang w:val="en-US" w:eastAsia="zh-CN"/>
                    </w:rPr>
                    <w:t>11</w:t>
                  </w:r>
                  <w:r>
                    <w:rPr>
                      <w:rFonts w:hint="default" w:ascii="Times New Roman" w:hAnsi="Times New Roman" w:cs="Times New Roman"/>
                      <w:bCs/>
                      <w:color w:val="auto"/>
                      <w:szCs w:val="21"/>
                      <w:highlight w:val="none"/>
                    </w:rPr>
                    <w:t>个孔组，编号为</w:t>
                  </w:r>
                  <w:r>
                    <w:rPr>
                      <w:rFonts w:hint="eastAsia" w:ascii="Times New Roman" w:hAnsi="Times New Roman" w:cs="Times New Roman"/>
                      <w:bCs/>
                      <w:color w:val="auto"/>
                      <w:szCs w:val="21"/>
                      <w:highlight w:val="none"/>
                      <w:lang w:val="en-US" w:eastAsia="zh-CN"/>
                    </w:rPr>
                    <w:t>1#</w:t>
                  </w:r>
                  <w:r>
                    <w:rPr>
                      <w:rFonts w:hint="default" w:ascii="Times New Roman" w:hAnsi="Times New Roman" w:cs="Times New Roman"/>
                      <w:bCs/>
                      <w:color w:val="auto"/>
                      <w:szCs w:val="21"/>
                      <w:highlight w:val="none"/>
                    </w:rPr>
                    <w:t>～</w:t>
                  </w:r>
                  <w:r>
                    <w:rPr>
                      <w:rFonts w:hint="eastAsia" w:ascii="Times New Roman" w:hAnsi="Times New Roman" w:cs="Times New Roman"/>
                      <w:bCs/>
                      <w:color w:val="auto"/>
                      <w:szCs w:val="21"/>
                      <w:highlight w:val="none"/>
                      <w:lang w:val="en-US" w:eastAsia="zh-CN"/>
                    </w:rPr>
                    <w:t>11#</w:t>
                  </w:r>
                  <w:r>
                    <w:rPr>
                      <w:rFonts w:hint="default" w:ascii="Times New Roman" w:hAnsi="Times New Roman" w:cs="Times New Roman"/>
                      <w:bCs/>
                      <w:color w:val="auto"/>
                      <w:szCs w:val="21"/>
                      <w:highlight w:val="none"/>
                    </w:rPr>
                    <w:t>，布置</w:t>
                  </w:r>
                  <w:r>
                    <w:rPr>
                      <w:rFonts w:hint="eastAsia" w:ascii="Times New Roman" w:hAnsi="Times New Roman" w:cs="Times New Roman"/>
                      <w:bCs/>
                      <w:color w:val="auto"/>
                      <w:szCs w:val="21"/>
                      <w:highlight w:val="none"/>
                      <w:lang w:val="en-US" w:eastAsia="zh-CN"/>
                    </w:rPr>
                    <w:t>2个位岩移观测孔，9个注浆孔</w:t>
                  </w:r>
                  <w:r>
                    <w:rPr>
                      <w:rFonts w:hint="default" w:ascii="Times New Roman" w:hAnsi="Times New Roman" w:cs="Times New Roman"/>
                      <w:bCs/>
                      <w:color w:val="auto"/>
                      <w:szCs w:val="21"/>
                      <w:highlight w:val="none"/>
                    </w:rPr>
                    <w:t>，钻探工程量</w:t>
                  </w:r>
                  <w:r>
                    <w:rPr>
                      <w:rFonts w:hint="eastAsia" w:ascii="Times New Roman" w:hAnsi="Times New Roman" w:cs="Times New Roman"/>
                      <w:bCs/>
                      <w:color w:val="auto"/>
                      <w:szCs w:val="21"/>
                      <w:highlight w:val="none"/>
                      <w:lang w:val="en-US" w:eastAsia="zh-CN"/>
                    </w:rPr>
                    <w:t>3200</w:t>
                  </w:r>
                  <w:r>
                    <w:rPr>
                      <w:rFonts w:hint="default" w:ascii="Times New Roman" w:hAnsi="Times New Roman" w:cs="Times New Roman"/>
                      <w:bCs/>
                      <w:color w:val="auto"/>
                      <w:szCs w:val="21"/>
                      <w:highlight w:val="none"/>
                    </w:rPr>
                    <w:t>m</w:t>
                  </w:r>
                  <w:r>
                    <w:rPr>
                      <w:rFonts w:hint="eastAsia" w:ascii="Times New Roman" w:hAnsi="Times New Roman" w:cs="Times New Roman"/>
                      <w:bCs/>
                      <w:color w:val="auto"/>
                      <w:szCs w:val="21"/>
                      <w:highlight w:val="none"/>
                      <w:lang w:eastAsia="zh-CN"/>
                    </w:rPr>
                    <w:t>，</w:t>
                  </w:r>
                  <w:r>
                    <w:rPr>
                      <w:rFonts w:hint="eastAsia" w:ascii="Times New Roman" w:hAnsi="Times New Roman" w:cs="Times New Roman"/>
                      <w:bCs/>
                      <w:color w:val="auto"/>
                      <w:szCs w:val="21"/>
                      <w:highlight w:val="none"/>
                      <w:lang w:val="en-US" w:eastAsia="zh-CN"/>
                    </w:rPr>
                    <w:t>采用三开成孔结构：</w:t>
                  </w:r>
                </w:p>
                <w:p w14:paraId="5E74DDEB">
                  <w:pPr>
                    <w:autoSpaceDE w:val="0"/>
                    <w:autoSpaceDN w:val="0"/>
                    <w:adjustRightInd w:val="0"/>
                    <w:snapToGrid w:val="0"/>
                    <w:jc w:val="lef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（1）一开</w:t>
                  </w:r>
                  <w:r>
                    <w:rPr>
                      <w:rFonts w:hint="eastAsia" w:ascii="Times New Roman" w:hAnsi="Times New Roman" w:cs="Times New Roman"/>
                      <w:bCs/>
                      <w:color w:val="auto"/>
                      <w:szCs w:val="21"/>
                      <w:highlight w:val="none"/>
                      <w:lang w:val="en-US" w:eastAsia="zh-CN"/>
                    </w:rPr>
                    <w:t>垂直</w:t>
                  </w:r>
                  <w:r>
                    <w:rPr>
                      <w:rFonts w:hint="default" w:ascii="Times New Roman" w:hAnsi="Times New Roman" w:cs="Times New Roman"/>
                      <w:bCs/>
                      <w:color w:val="auto"/>
                      <w:szCs w:val="21"/>
                      <w:highlight w:val="none"/>
                    </w:rPr>
                    <w:t>段：一开孔径为φ</w:t>
                  </w:r>
                  <w:r>
                    <w:rPr>
                      <w:rFonts w:hint="eastAsia" w:ascii="Times New Roman" w:hAnsi="Times New Roman" w:cs="Times New Roman"/>
                      <w:bCs/>
                      <w:color w:val="auto"/>
                      <w:szCs w:val="21"/>
                      <w:highlight w:val="none"/>
                      <w:lang w:val="en-US" w:eastAsia="zh-CN"/>
                    </w:rPr>
                    <w:t>311</w:t>
                  </w:r>
                  <w:r>
                    <w:rPr>
                      <w:rFonts w:hint="default" w:ascii="Times New Roman" w:hAnsi="Times New Roman" w:cs="Times New Roman"/>
                      <w:bCs/>
                      <w:color w:val="auto"/>
                      <w:szCs w:val="21"/>
                      <w:highlight w:val="none"/>
                    </w:rPr>
                    <w:t>mm，至基岩面以下30m左右的稳定岩层，钻至基岩5～10m后下入Φ244.5×8.94mm石油套管并采用P.O42.5水泥固井，隔离新生界松散层。</w:t>
                  </w:r>
                </w:p>
                <w:p w14:paraId="0307AE9E">
                  <w:pPr>
                    <w:autoSpaceDE w:val="0"/>
                    <w:autoSpaceDN w:val="0"/>
                    <w:adjustRightInd w:val="0"/>
                    <w:snapToGrid w:val="0"/>
                    <w:jc w:val="left"/>
                    <w:rPr>
                      <w:rFonts w:hint="default" w:ascii="Times New Roman" w:hAnsi="Times New Roman" w:cs="Times New Roman"/>
                      <w:bCs/>
                      <w:color w:val="auto"/>
                      <w:szCs w:val="21"/>
                      <w:highlight w:val="none"/>
                      <w:lang w:val="en-US" w:eastAsia="zh-CN"/>
                    </w:rPr>
                  </w:pPr>
                  <w:r>
                    <w:rPr>
                      <w:rFonts w:hint="default" w:ascii="Times New Roman" w:hAnsi="Times New Roman" w:cs="Times New Roman"/>
                      <w:bCs/>
                      <w:color w:val="auto"/>
                      <w:szCs w:val="21"/>
                      <w:highlight w:val="none"/>
                    </w:rPr>
                    <w:t>（2）二开造斜段：二开孔径为</w:t>
                  </w:r>
                  <w:r>
                    <w:rPr>
                      <w:rFonts w:hint="default" w:ascii="Times New Roman" w:hAnsi="Times New Roman" w:cs="Times New Roman"/>
                      <w:bCs/>
                      <w:color w:val="auto"/>
                      <w:szCs w:val="21"/>
                      <w:highlight w:val="none"/>
                      <w:lang w:val="en-US" w:eastAsia="zh-CN"/>
                    </w:rPr>
                    <w:t>φ</w:t>
                  </w:r>
                  <w:r>
                    <w:rPr>
                      <w:rFonts w:hint="eastAsia" w:ascii="Times New Roman" w:hAnsi="Times New Roman" w:cs="Times New Roman"/>
                      <w:bCs/>
                      <w:color w:val="auto"/>
                      <w:szCs w:val="21"/>
                      <w:highlight w:val="none"/>
                      <w:lang w:val="en-US" w:eastAsia="zh-CN"/>
                    </w:rPr>
                    <w:t>216</w:t>
                  </w:r>
                  <w:r>
                    <w:rPr>
                      <w:rFonts w:hint="default" w:ascii="Times New Roman" w:hAnsi="Times New Roman" w:cs="Times New Roman"/>
                      <w:bCs/>
                      <w:color w:val="auto"/>
                      <w:szCs w:val="21"/>
                      <w:highlight w:val="none"/>
                      <w:lang w:val="en-US" w:eastAsia="zh-CN"/>
                    </w:rPr>
                    <w:t>mm，</w:t>
                  </w:r>
                  <w:r>
                    <w:rPr>
                      <w:rFonts w:hint="eastAsia" w:ascii="Times New Roman" w:hAnsi="Times New Roman" w:cs="Times New Roman"/>
                      <w:bCs/>
                      <w:color w:val="auto"/>
                      <w:szCs w:val="21"/>
                      <w:highlight w:val="none"/>
                      <w:lang w:val="en-US" w:eastAsia="zh-CN"/>
                    </w:rPr>
                    <w:t>钻进至片麻岩底界稳定区域</w:t>
                  </w:r>
                  <w:r>
                    <w:rPr>
                      <w:rFonts w:hint="default" w:ascii="Times New Roman" w:hAnsi="Times New Roman" w:cs="Times New Roman"/>
                      <w:bCs/>
                      <w:color w:val="auto"/>
                      <w:szCs w:val="21"/>
                      <w:highlight w:val="none"/>
                      <w:lang w:val="en-US" w:eastAsia="zh-CN"/>
                    </w:rPr>
                    <w:t>，全孔段下</w:t>
                  </w:r>
                  <w:r>
                    <w:rPr>
                      <w:rFonts w:hint="eastAsia" w:ascii="Times New Roman" w:hAnsi="Times New Roman" w:cs="Times New Roman"/>
                      <w:bCs/>
                      <w:color w:val="auto"/>
                      <w:szCs w:val="21"/>
                      <w:highlight w:val="none"/>
                      <w:lang w:val="en-US" w:eastAsia="zh-CN"/>
                    </w:rPr>
                    <w:t>入</w:t>
                  </w:r>
                  <w:r>
                    <w:rPr>
                      <w:rFonts w:hint="default" w:ascii="Times New Roman" w:hAnsi="Times New Roman" w:cs="Times New Roman"/>
                      <w:bCs/>
                      <w:color w:val="auto"/>
                      <w:szCs w:val="21"/>
                      <w:highlight w:val="none"/>
                      <w:lang w:val="en-US" w:eastAsia="zh-CN"/>
                    </w:rPr>
                    <w:t>Φ1</w:t>
                  </w:r>
                  <w:r>
                    <w:rPr>
                      <w:rFonts w:hint="eastAsia" w:ascii="Times New Roman" w:hAnsi="Times New Roman" w:cs="Times New Roman"/>
                      <w:bCs/>
                      <w:color w:val="auto"/>
                      <w:szCs w:val="21"/>
                      <w:highlight w:val="none"/>
                      <w:lang w:val="en-US" w:eastAsia="zh-CN"/>
                    </w:rPr>
                    <w:t>77.8</w:t>
                  </w:r>
                  <w:r>
                    <w:rPr>
                      <w:rFonts w:hint="default" w:ascii="Times New Roman" w:hAnsi="Times New Roman" w:cs="Times New Roman"/>
                      <w:bCs/>
                      <w:color w:val="auto"/>
                      <w:szCs w:val="21"/>
                      <w:highlight w:val="none"/>
                      <w:lang w:val="en-US" w:eastAsia="zh-CN"/>
                    </w:rPr>
                    <w:t>×</w:t>
                  </w:r>
                  <w:r>
                    <w:rPr>
                      <w:rFonts w:hint="eastAsia" w:ascii="Times New Roman" w:hAnsi="Times New Roman" w:cs="Times New Roman"/>
                      <w:bCs/>
                      <w:color w:val="auto"/>
                      <w:szCs w:val="21"/>
                      <w:highlight w:val="none"/>
                      <w:lang w:val="en-US" w:eastAsia="zh-CN"/>
                    </w:rPr>
                    <w:t>8.05</w:t>
                  </w:r>
                  <w:r>
                    <w:rPr>
                      <w:rFonts w:hint="default" w:ascii="Times New Roman" w:hAnsi="Times New Roman" w:cs="Times New Roman"/>
                      <w:bCs/>
                      <w:color w:val="auto"/>
                      <w:szCs w:val="21"/>
                      <w:highlight w:val="none"/>
                      <w:lang w:val="en-US" w:eastAsia="zh-CN"/>
                    </w:rPr>
                    <w:t>mm</w:t>
                  </w:r>
                  <w:r>
                    <w:rPr>
                      <w:rFonts w:hint="eastAsia" w:ascii="Times New Roman" w:hAnsi="Times New Roman" w:cs="Times New Roman"/>
                      <w:bCs/>
                      <w:color w:val="auto"/>
                      <w:szCs w:val="21"/>
                      <w:highlight w:val="none"/>
                      <w:lang w:val="en-US" w:eastAsia="zh-CN"/>
                    </w:rPr>
                    <w:t>J55钢级标准</w:t>
                  </w:r>
                  <w:r>
                    <w:rPr>
                      <w:rFonts w:hint="default" w:ascii="Times New Roman" w:hAnsi="Times New Roman" w:cs="Times New Roman"/>
                      <w:bCs/>
                      <w:color w:val="auto"/>
                      <w:szCs w:val="21"/>
                      <w:highlight w:val="none"/>
                      <w:lang w:val="en-US" w:eastAsia="zh-CN"/>
                    </w:rPr>
                    <w:t>石油套管，</w:t>
                  </w:r>
                  <w:r>
                    <w:rPr>
                      <w:rFonts w:hint="eastAsia" w:ascii="Times New Roman" w:hAnsi="Times New Roman" w:cs="Times New Roman"/>
                      <w:bCs/>
                      <w:color w:val="auto"/>
                      <w:szCs w:val="21"/>
                      <w:highlight w:val="none"/>
                      <w:lang w:val="en-US" w:eastAsia="zh-CN"/>
                    </w:rPr>
                    <w:t>孔壁与套管间隙采用</w:t>
                  </w:r>
                  <w:r>
                    <w:rPr>
                      <w:rFonts w:hint="default" w:ascii="Times New Roman" w:hAnsi="Times New Roman" w:cs="Times New Roman"/>
                      <w:bCs/>
                      <w:color w:val="auto"/>
                      <w:szCs w:val="21"/>
                      <w:highlight w:val="none"/>
                      <w:lang w:val="en-US" w:eastAsia="zh-CN"/>
                    </w:rPr>
                    <w:t>P.O42.5型水泥固井。</w:t>
                  </w:r>
                </w:p>
                <w:p w14:paraId="00E645A7">
                  <w:pPr>
                    <w:autoSpaceDE w:val="0"/>
                    <w:autoSpaceDN w:val="0"/>
                    <w:adjustRightInd w:val="0"/>
                    <w:snapToGrid w:val="0"/>
                    <w:jc w:val="left"/>
                    <w:rPr>
                      <w:rFonts w:hint="default" w:ascii="Times New Roman" w:hAnsi="Times New Roman"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（3）三开</w:t>
                  </w:r>
                  <w:r>
                    <w:rPr>
                      <w:rFonts w:hint="eastAsia" w:ascii="Times New Roman" w:hAnsi="Times New Roman" w:cs="Times New Roman"/>
                      <w:bCs/>
                      <w:color w:val="auto"/>
                      <w:szCs w:val="21"/>
                      <w:highlight w:val="none"/>
                      <w:lang w:val="en-US" w:eastAsia="zh-CN"/>
                    </w:rPr>
                    <w:t>近水平注浆</w:t>
                  </w:r>
                  <w:r>
                    <w:rPr>
                      <w:rFonts w:hint="default" w:ascii="Times New Roman" w:hAnsi="Times New Roman" w:cs="Times New Roman"/>
                      <w:bCs/>
                      <w:color w:val="auto"/>
                      <w:szCs w:val="21"/>
                      <w:highlight w:val="none"/>
                      <w:lang w:val="en-US" w:eastAsia="zh-CN"/>
                    </w:rPr>
                    <w:t>段：三开孔径φ152mm，</w:t>
                  </w:r>
                  <w:r>
                    <w:rPr>
                      <w:rFonts w:hint="eastAsia" w:ascii="Times New Roman" w:hAnsi="Times New Roman" w:cs="Times New Roman"/>
                      <w:bCs/>
                      <w:color w:val="auto"/>
                      <w:szCs w:val="21"/>
                      <w:highlight w:val="none"/>
                      <w:lang w:val="en-US" w:eastAsia="zh-CN"/>
                    </w:rPr>
                    <w:t>靶点区位于推覆体片麻岩底部，为</w:t>
                  </w:r>
                  <w:r>
                    <w:rPr>
                      <w:rFonts w:hint="default" w:ascii="Times New Roman" w:hAnsi="Times New Roman" w:cs="Times New Roman"/>
                      <w:bCs/>
                      <w:color w:val="auto"/>
                      <w:szCs w:val="21"/>
                      <w:highlight w:val="none"/>
                      <w:lang w:val="en-US" w:eastAsia="zh-CN"/>
                    </w:rPr>
                    <w:t>裸孔注浆段，</w:t>
                  </w:r>
                  <w:r>
                    <w:rPr>
                      <w:rFonts w:hint="eastAsia" w:ascii="Times New Roman" w:hAnsi="Times New Roman" w:cs="Times New Roman"/>
                      <w:bCs/>
                      <w:color w:val="auto"/>
                      <w:szCs w:val="21"/>
                      <w:highlight w:val="none"/>
                      <w:lang w:val="en-US" w:eastAsia="zh-CN"/>
                    </w:rPr>
                    <w:t>钻井过程中如遇特殊构造带或地层破碎，可视地层完整性及漏失情况，下入规格</w:t>
                  </w:r>
                  <w:r>
                    <w:rPr>
                      <w:rFonts w:hint="default" w:ascii="Times New Roman" w:hAnsi="Times New Roman" w:cs="Times New Roman"/>
                      <w:bCs/>
                      <w:color w:val="auto"/>
                      <w:szCs w:val="21"/>
                      <w:highlight w:val="none"/>
                      <w:lang w:val="en-US" w:eastAsia="zh-CN"/>
                    </w:rPr>
                    <w:t>Φ88.9mm×6.45mm 的护壁管或花管至孔底，以保障施工质量和注浆效果。</w:t>
                  </w:r>
                </w:p>
                <w:p w14:paraId="66AC14F7">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lang w:val="en-US" w:eastAsia="zh-CN"/>
                    </w:rPr>
                    <w:t>钻孔为定向钻孔，垂深245～283m，孔底靶点位于360610工作面及回风顺槽正上方、推覆体片麻岩底界面处，孔底间距91～133m、排距88～103m。预注</w:t>
                  </w:r>
                  <w:r>
                    <w:rPr>
                      <w:rFonts w:hint="eastAsia" w:ascii="Times New Roman" w:hAnsi="Times New Roman" w:cs="Times New Roman"/>
                      <w:bCs/>
                      <w:color w:val="auto"/>
                      <w:szCs w:val="21"/>
                      <w:highlight w:val="none"/>
                      <w:lang w:val="en-US" w:eastAsia="zh-CN"/>
                    </w:rPr>
                    <w:t>浆干粉煤灰量约31.18万吨</w:t>
                  </w:r>
                  <w:r>
                    <w:rPr>
                      <w:rFonts w:hint="default" w:ascii="Times New Roman" w:hAnsi="Times New Roman" w:cs="Times New Roman"/>
                      <w:bCs/>
                      <w:color w:val="auto"/>
                      <w:szCs w:val="21"/>
                      <w:highlight w:val="none"/>
                      <w:lang w:val="en-US" w:eastAsia="zh-CN"/>
                    </w:rPr>
                    <w:t>t。</w:t>
                  </w:r>
                </w:p>
              </w:tc>
              <w:tc>
                <w:tcPr>
                  <w:tcW w:w="456" w:type="dxa"/>
                  <w:noWrap w:val="0"/>
                  <w:vAlign w:val="center"/>
                </w:tcPr>
                <w:p w14:paraId="5C743A53">
                  <w:pPr>
                    <w:autoSpaceDE w:val="0"/>
                    <w:autoSpaceDN w:val="0"/>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w:t>
                  </w:r>
                </w:p>
              </w:tc>
            </w:tr>
            <w:tr w14:paraId="35E00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514" w:type="dxa"/>
                  <w:vMerge w:val="continue"/>
                  <w:noWrap w:val="0"/>
                  <w:vAlign w:val="top"/>
                </w:tcPr>
                <w:p w14:paraId="44934144">
                  <w:pPr>
                    <w:autoSpaceDE w:val="0"/>
                    <w:autoSpaceDN w:val="0"/>
                    <w:adjustRightInd w:val="0"/>
                    <w:snapToGrid w:val="0"/>
                    <w:jc w:val="left"/>
                    <w:rPr>
                      <w:rFonts w:hint="default" w:ascii="Times New Roman" w:hAnsi="Times New Roman" w:cs="Times New Roman"/>
                      <w:color w:val="auto"/>
                      <w:szCs w:val="21"/>
                      <w:highlight w:val="none"/>
                    </w:rPr>
                  </w:pPr>
                </w:p>
              </w:tc>
              <w:tc>
                <w:tcPr>
                  <w:tcW w:w="691" w:type="dxa"/>
                  <w:noWrap w:val="0"/>
                  <w:vAlign w:val="center"/>
                </w:tcPr>
                <w:p w14:paraId="1C9B7F34">
                  <w:pPr>
                    <w:autoSpaceDE w:val="0"/>
                    <w:autoSpaceDN w:val="0"/>
                    <w:adjustRightInd w:val="0"/>
                    <w:snapToGrid w:val="0"/>
                    <w:jc w:val="left"/>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制</w:t>
                  </w:r>
                  <w:r>
                    <w:rPr>
                      <w:rFonts w:hint="default" w:ascii="Times New Roman" w:hAnsi="Times New Roman" w:cs="Times New Roman"/>
                      <w:color w:val="auto"/>
                      <w:szCs w:val="21"/>
                      <w:highlight w:val="none"/>
                    </w:rPr>
                    <w:t>浆工程</w:t>
                  </w:r>
                </w:p>
              </w:tc>
              <w:tc>
                <w:tcPr>
                  <w:tcW w:w="6181" w:type="dxa"/>
                  <w:noWrap w:val="0"/>
                  <w:vAlign w:val="center"/>
                </w:tcPr>
                <w:p w14:paraId="0396887E">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lang w:val="en-US" w:eastAsia="zh-CN"/>
                    </w:rPr>
                    <w:t>本项目制浆工程采用集中造浆站模式，粉煤灰由散料罐车运至注浆站后装入6个100m³储灰罐，经螺旋输送机送入高速制浆机，与水按设计配比制成浆液，经过滤杂质后进入缓冲池进行二次搅拌，确保浆液均匀；制浆过程采用智能注浆管控系统，实现精确配料、制浆、搅拌、输送和注浆全自动化控制，水与粉煤灰称量误差不大于5%，注浆站设计粉煤灰制浆能力3500～4000t/d，配备一级搅拌机（4m³）、二级搅拌机（22.5m³）及相应配电、蓄水等设施，可连续制浆作业，为覆岩离层注浆提供稳定可靠的浆液来源。该</w:t>
                  </w:r>
                  <w:r>
                    <w:rPr>
                      <w:rFonts w:hint="eastAsia" w:cs="Times New Roman"/>
                      <w:bCs/>
                      <w:color w:val="auto"/>
                      <w:szCs w:val="21"/>
                      <w:highlight w:val="none"/>
                      <w:lang w:val="en-US" w:eastAsia="zh-CN"/>
                    </w:rPr>
                    <w:t>集中造浆站模式具</w:t>
                  </w:r>
                  <w:r>
                    <w:rPr>
                      <w:rFonts w:hint="default" w:ascii="Times New Roman" w:hAnsi="Times New Roman" w:cs="Times New Roman"/>
                      <w:bCs/>
                      <w:color w:val="auto"/>
                      <w:szCs w:val="21"/>
                      <w:highlight w:val="none"/>
                      <w:lang w:val="en-US" w:eastAsia="zh-CN"/>
                    </w:rPr>
                    <w:t>有能耗低、制浆快、作业强度低等优点。</w:t>
                  </w:r>
                </w:p>
              </w:tc>
              <w:tc>
                <w:tcPr>
                  <w:tcW w:w="456" w:type="dxa"/>
                  <w:noWrap w:val="0"/>
                  <w:vAlign w:val="center"/>
                </w:tcPr>
                <w:p w14:paraId="261BE3BB">
                  <w:pPr>
                    <w:autoSpaceDE w:val="0"/>
                    <w:autoSpaceDN w:val="0"/>
                    <w:adjustRightInd w:val="0"/>
                    <w:snapToGrid w:val="0"/>
                    <w:jc w:val="left"/>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2CE40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514" w:type="dxa"/>
                  <w:vMerge w:val="continue"/>
                  <w:noWrap w:val="0"/>
                  <w:vAlign w:val="top"/>
                </w:tcPr>
                <w:p w14:paraId="6993F57C">
                  <w:pPr>
                    <w:autoSpaceDE w:val="0"/>
                    <w:autoSpaceDN w:val="0"/>
                    <w:adjustRightInd w:val="0"/>
                    <w:snapToGrid w:val="0"/>
                    <w:jc w:val="left"/>
                    <w:rPr>
                      <w:rFonts w:hint="default" w:ascii="Times New Roman" w:hAnsi="Times New Roman" w:cs="Times New Roman"/>
                      <w:color w:val="auto"/>
                      <w:szCs w:val="21"/>
                      <w:highlight w:val="none"/>
                    </w:rPr>
                  </w:pPr>
                </w:p>
              </w:tc>
              <w:tc>
                <w:tcPr>
                  <w:tcW w:w="691" w:type="dxa"/>
                  <w:noWrap w:val="0"/>
                  <w:vAlign w:val="center"/>
                </w:tcPr>
                <w:p w14:paraId="0CDCFAA8">
                  <w:pPr>
                    <w:autoSpaceDE w:val="0"/>
                    <w:autoSpaceDN w:val="0"/>
                    <w:adjustRightInd w:val="0"/>
                    <w:snapToGrid w:val="0"/>
                    <w:jc w:val="left"/>
                    <w:rPr>
                      <w:rFonts w:hint="default" w:cs="Times New Roman"/>
                      <w:color w:val="auto"/>
                      <w:szCs w:val="21"/>
                      <w:highlight w:val="none"/>
                      <w:lang w:val="en-US" w:eastAsia="zh-CN"/>
                    </w:rPr>
                  </w:pPr>
                  <w:r>
                    <w:rPr>
                      <w:rFonts w:hint="eastAsia" w:cs="Times New Roman"/>
                      <w:color w:val="auto"/>
                      <w:szCs w:val="21"/>
                      <w:highlight w:val="none"/>
                      <w:lang w:val="en-US" w:eastAsia="zh-CN"/>
                    </w:rPr>
                    <w:t>注浆工程</w:t>
                  </w:r>
                </w:p>
              </w:tc>
              <w:tc>
                <w:tcPr>
                  <w:tcW w:w="6181" w:type="dxa"/>
                  <w:noWrap w:val="0"/>
                  <w:vAlign w:val="center"/>
                </w:tcPr>
                <w:p w14:paraId="6A4E72D4">
                  <w:pPr>
                    <w:autoSpaceDE w:val="0"/>
                    <w:autoSpaceDN w:val="0"/>
                    <w:adjustRightInd w:val="0"/>
                    <w:snapToGrid w:val="0"/>
                    <w:jc w:val="left"/>
                    <w:rPr>
                      <w:rFonts w:hint="default" w:ascii="Times New Roman" w:hAnsi="Times New Roman"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本项目注浆工程以电厂Ⅲ级粉煤灰为充填材料，设计干</w:t>
                  </w:r>
                  <w:r>
                    <w:rPr>
                      <w:rFonts w:hint="eastAsia" w:cs="Times New Roman"/>
                      <w:bCs/>
                      <w:color w:val="auto"/>
                      <w:szCs w:val="21"/>
                      <w:highlight w:val="none"/>
                      <w:lang w:val="en-US" w:eastAsia="zh-CN"/>
                    </w:rPr>
                    <w:t>粉煤</w:t>
                  </w:r>
                  <w:r>
                    <w:rPr>
                      <w:rFonts w:hint="default" w:ascii="Times New Roman" w:hAnsi="Times New Roman" w:cs="Times New Roman"/>
                      <w:bCs/>
                      <w:color w:val="auto"/>
                      <w:szCs w:val="21"/>
                      <w:highlight w:val="none"/>
                      <w:lang w:val="en-US" w:eastAsia="zh-CN"/>
                    </w:rPr>
                    <w:t>灰</w:t>
                  </w:r>
                  <w:r>
                    <w:rPr>
                      <w:rFonts w:hint="eastAsia" w:cs="Times New Roman"/>
                      <w:bCs/>
                      <w:color w:val="auto"/>
                      <w:szCs w:val="21"/>
                      <w:highlight w:val="none"/>
                      <w:lang w:val="en-US" w:eastAsia="zh-CN"/>
                    </w:rPr>
                    <w:t>使用</w:t>
                  </w:r>
                  <w:r>
                    <w:rPr>
                      <w:rFonts w:hint="default" w:ascii="Times New Roman" w:hAnsi="Times New Roman" w:cs="Times New Roman"/>
                      <w:bCs/>
                      <w:color w:val="auto"/>
                      <w:szCs w:val="21"/>
                      <w:highlight w:val="none"/>
                      <w:lang w:val="en-US" w:eastAsia="zh-CN"/>
                    </w:rPr>
                    <w:t>量约31.18万吨，浆液为水与粉煤灰混合液，通过地面注浆站集中制浆后，经高压注浆泵和输浆管路注入9个定向注浆钻孔，充填360610工作面上覆推覆体片麻岩底界面处的离层空间；注浆孔口压力控制在2.3～3.8MPa，注浆时机为工作面推进距注浆钻孔20m时开始压水测试，离层形成水压速降后开始注浆，遵循先稀后稠原则，并根据注浆压力动态调整流量和浓度，回采结束后约2个月完成主要注浆工作；注浆系统配备F300、F130、DB-390等型号注浆泵、6个100m³储灰罐、高速制浆机、缓冲池、智能注浆管控系统及8条输浆管路（1趟Φ114mm+7趟Φ89mm），实现连续制浆、多孔同时注浆和自动化控制，注浆过程中详细记录压力和流量，并制定井下跑浆等应急处置措施，确保注浆减沉效果。</w:t>
                  </w:r>
                </w:p>
              </w:tc>
              <w:tc>
                <w:tcPr>
                  <w:tcW w:w="456" w:type="dxa"/>
                  <w:noWrap w:val="0"/>
                  <w:vAlign w:val="center"/>
                </w:tcPr>
                <w:p w14:paraId="15D632BB">
                  <w:pPr>
                    <w:autoSpaceDE w:val="0"/>
                    <w:autoSpaceDN w:val="0"/>
                    <w:adjustRightInd w:val="0"/>
                    <w:snapToGrid w:val="0"/>
                    <w:jc w:val="left"/>
                    <w:rPr>
                      <w:rFonts w:hint="default" w:ascii="Times New Roman" w:hAnsi="Times New Roman" w:cs="Times New Roman"/>
                      <w:color w:val="auto"/>
                      <w:szCs w:val="21"/>
                      <w:highlight w:val="none"/>
                      <w:lang w:val="en-US" w:eastAsia="zh-CN"/>
                    </w:rPr>
                  </w:pPr>
                </w:p>
              </w:tc>
            </w:tr>
            <w:tr w14:paraId="4CC76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514" w:type="dxa"/>
                  <w:vMerge w:val="continue"/>
                  <w:noWrap w:val="0"/>
                  <w:vAlign w:val="top"/>
                </w:tcPr>
                <w:p w14:paraId="44C212FF">
                  <w:pPr>
                    <w:autoSpaceDE w:val="0"/>
                    <w:autoSpaceDN w:val="0"/>
                    <w:adjustRightInd w:val="0"/>
                    <w:snapToGrid w:val="0"/>
                    <w:jc w:val="left"/>
                    <w:rPr>
                      <w:rFonts w:hint="default" w:ascii="Times New Roman" w:hAnsi="Times New Roman" w:cs="Times New Roman"/>
                      <w:color w:val="auto"/>
                      <w:szCs w:val="21"/>
                      <w:highlight w:val="none"/>
                    </w:rPr>
                  </w:pPr>
                </w:p>
              </w:tc>
              <w:tc>
                <w:tcPr>
                  <w:tcW w:w="691" w:type="dxa"/>
                  <w:noWrap w:val="0"/>
                  <w:vAlign w:val="center"/>
                </w:tcPr>
                <w:p w14:paraId="1F9FE1DC">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封孔</w:t>
                  </w:r>
                </w:p>
              </w:tc>
              <w:tc>
                <w:tcPr>
                  <w:tcW w:w="6181" w:type="dxa"/>
                  <w:noWrap w:val="0"/>
                  <w:vAlign w:val="top"/>
                </w:tcPr>
                <w:p w14:paraId="0DDEB0B2">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各孔</w:t>
                  </w:r>
                  <w:r>
                    <w:rPr>
                      <w:rFonts w:hint="default" w:ascii="Times New Roman" w:hAnsi="Times New Roman" w:cs="Times New Roman"/>
                      <w:color w:val="auto"/>
                      <w:szCs w:val="21"/>
                      <w:highlight w:val="none"/>
                    </w:rPr>
                    <w:t>注浆结束，需对</w:t>
                  </w:r>
                  <w:r>
                    <w:rPr>
                      <w:rFonts w:hint="eastAsia" w:ascii="Times New Roman" w:hAnsi="Times New Roman" w:cs="Times New Roman"/>
                      <w:color w:val="auto"/>
                      <w:szCs w:val="21"/>
                      <w:highlight w:val="none"/>
                      <w:lang w:val="en-US" w:eastAsia="zh-CN"/>
                    </w:rPr>
                    <w:t>注浆</w:t>
                  </w:r>
                  <w:r>
                    <w:rPr>
                      <w:rFonts w:hint="default" w:ascii="Times New Roman" w:hAnsi="Times New Roman" w:cs="Times New Roman"/>
                      <w:color w:val="auto"/>
                      <w:szCs w:val="21"/>
                      <w:highlight w:val="none"/>
                    </w:rPr>
                    <w:t>孔进行全段封孔。技术要求如下：</w:t>
                  </w:r>
                </w:p>
                <w:p w14:paraId="463791E2">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先扫孔至孔底，采用P.O42.5水泥浆（必要时添加膨胀剂、速凝剂）注入孔内及周边裂隙，分层灌注确保密实，封孔质量要求良好，钻孔内部不得遗留未封闭或封闭不合格孔段；封孔完成后，在每个钻孔孔口半径1m范围内深挖不低于1m，截掉外露钢管，用10mm钢板覆盖孔口，并做好封孔记录、孔口埋设暗标或明标，提交封孔报告；随后拆除清运现场施工设备、物资及临时设施，清理整平场地，用前期剥离的表土回填，将临时用地恢复到原来的地貌。</w:t>
                  </w:r>
                </w:p>
              </w:tc>
              <w:tc>
                <w:tcPr>
                  <w:tcW w:w="456" w:type="dxa"/>
                  <w:noWrap w:val="0"/>
                  <w:vAlign w:val="top"/>
                </w:tcPr>
                <w:p w14:paraId="0534716A">
                  <w:pPr>
                    <w:autoSpaceDE w:val="0"/>
                    <w:autoSpaceDN w:val="0"/>
                    <w:adjustRightInd w:val="0"/>
                    <w:snapToGrid w:val="0"/>
                    <w:jc w:val="left"/>
                    <w:rPr>
                      <w:rFonts w:hint="default" w:ascii="Times New Roman" w:hAnsi="Times New Roman" w:eastAsia="宋体" w:cs="Times New Roman"/>
                      <w:color w:val="auto"/>
                      <w:spacing w:val="9"/>
                      <w:sz w:val="20"/>
                      <w:szCs w:val="20"/>
                      <w:highlight w:val="none"/>
                      <w:lang w:val="en-US" w:eastAsia="zh-CN"/>
                    </w:rPr>
                  </w:pPr>
                  <w:r>
                    <w:rPr>
                      <w:rFonts w:hint="default" w:ascii="Times New Roman" w:hAnsi="Times New Roman" w:cs="Times New Roman"/>
                      <w:color w:val="auto"/>
                      <w:spacing w:val="9"/>
                      <w:sz w:val="20"/>
                      <w:szCs w:val="20"/>
                      <w:highlight w:val="none"/>
                      <w:lang w:val="en-US" w:eastAsia="zh-CN"/>
                    </w:rPr>
                    <w:t>/</w:t>
                  </w:r>
                </w:p>
              </w:tc>
            </w:tr>
            <w:tr w14:paraId="4479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514" w:type="dxa"/>
                  <w:vMerge w:val="restart"/>
                  <w:noWrap w:val="0"/>
                  <w:vAlign w:val="center"/>
                </w:tcPr>
                <w:p w14:paraId="6134BF05">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辅助工程</w:t>
                  </w:r>
                </w:p>
              </w:tc>
              <w:tc>
                <w:tcPr>
                  <w:tcW w:w="691" w:type="dxa"/>
                  <w:noWrap w:val="0"/>
                  <w:vAlign w:val="center"/>
                </w:tcPr>
                <w:p w14:paraId="2EA0A2BA">
                  <w:pPr>
                    <w:autoSpaceDE w:val="0"/>
                    <w:autoSpaceDN w:val="0"/>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控制配电室</w:t>
                  </w:r>
                </w:p>
              </w:tc>
              <w:tc>
                <w:tcPr>
                  <w:tcW w:w="6181" w:type="dxa"/>
                  <w:noWrap w:val="0"/>
                  <w:vAlign w:val="center"/>
                </w:tcPr>
                <w:p w14:paraId="227B8A99">
                  <w:pPr>
                    <w:pStyle w:val="26"/>
                    <w:keepNext w:val="0"/>
                    <w:keepLines w:val="0"/>
                    <w:widowControl/>
                    <w:suppressLineNumbers w:val="0"/>
                    <w:spacing w:before="0" w:beforeAutospacing="0" w:after="0" w:afterAutospacing="0"/>
                    <w:ind w:left="0" w:right="0"/>
                    <w:rPr>
                      <w:rFonts w:hint="default" w:ascii="Times New Roman" w:hAnsi="Times New Roman" w:cs="Times New Roman"/>
                      <w:color w:val="auto"/>
                      <w:szCs w:val="21"/>
                      <w:highlight w:val="none"/>
                    </w:rPr>
                  </w:pPr>
                  <w:r>
                    <w:rPr>
                      <w:rFonts w:hint="eastAsia" w:ascii="Times New Roman" w:hAnsi="Times New Roman" w:eastAsia="宋体" w:cs="Times New Roman"/>
                      <w:color w:val="auto"/>
                      <w:kern w:val="2"/>
                      <w:sz w:val="21"/>
                      <w:szCs w:val="21"/>
                      <w:highlight w:val="none"/>
                      <w:lang w:val="en-US" w:eastAsia="zh-CN" w:bidi="ar-SA"/>
                    </w:rPr>
                    <w:t>各施工区</w:t>
                  </w:r>
                  <w:r>
                    <w:rPr>
                      <w:rFonts w:hint="default" w:ascii="Times New Roman" w:hAnsi="Times New Roman" w:eastAsia="宋体" w:cs="Times New Roman"/>
                      <w:color w:val="auto"/>
                      <w:kern w:val="2"/>
                      <w:sz w:val="21"/>
                      <w:szCs w:val="21"/>
                      <w:highlight w:val="none"/>
                      <w:lang w:val="en-US" w:eastAsia="zh-CN" w:bidi="ar-SA"/>
                    </w:rPr>
                    <w:t>设一级配电箱，采用三级配电，一机一闸一漏保；照明安全电压36V。供电线路由专业电工定期巡视检查。</w:t>
                  </w:r>
                </w:p>
              </w:tc>
              <w:tc>
                <w:tcPr>
                  <w:tcW w:w="456" w:type="dxa"/>
                  <w:noWrap w:val="0"/>
                  <w:vAlign w:val="center"/>
                </w:tcPr>
                <w:p w14:paraId="78A50EAF">
                  <w:pPr>
                    <w:autoSpaceDE w:val="0"/>
                    <w:autoSpaceDN w:val="0"/>
                    <w:adjustRightInd w:val="0"/>
                    <w:snapToGrid w:val="0"/>
                    <w:jc w:val="left"/>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78631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514" w:type="dxa"/>
                  <w:vMerge w:val="continue"/>
                  <w:noWrap w:val="0"/>
                  <w:vAlign w:val="center"/>
                </w:tcPr>
                <w:p w14:paraId="466FFF90">
                  <w:pPr>
                    <w:autoSpaceDE w:val="0"/>
                    <w:autoSpaceDN w:val="0"/>
                    <w:adjustRightInd w:val="0"/>
                    <w:snapToGrid w:val="0"/>
                    <w:jc w:val="left"/>
                    <w:rPr>
                      <w:rFonts w:hint="default" w:ascii="Times New Roman" w:hAnsi="Times New Roman" w:cs="Times New Roman"/>
                      <w:color w:val="auto"/>
                      <w:szCs w:val="21"/>
                      <w:highlight w:val="none"/>
                    </w:rPr>
                  </w:pPr>
                </w:p>
              </w:tc>
              <w:tc>
                <w:tcPr>
                  <w:tcW w:w="691" w:type="dxa"/>
                  <w:noWrap w:val="0"/>
                  <w:vAlign w:val="center"/>
                </w:tcPr>
                <w:p w14:paraId="542F4C99">
                  <w:pPr>
                    <w:autoSpaceDE w:val="0"/>
                    <w:autoSpaceDN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食堂</w:t>
                  </w:r>
                </w:p>
              </w:tc>
              <w:tc>
                <w:tcPr>
                  <w:tcW w:w="6181" w:type="dxa"/>
                  <w:noWrap w:val="0"/>
                  <w:vAlign w:val="center"/>
                </w:tcPr>
                <w:p w14:paraId="454F9B94">
                  <w:pPr>
                    <w:widowControl/>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施工场地</w:t>
                  </w:r>
                  <w:r>
                    <w:rPr>
                      <w:rFonts w:hint="eastAsia" w:ascii="Times New Roman" w:hAnsi="Times New Roman" w:eastAsia="宋体" w:cs="Times New Roman"/>
                      <w:color w:val="auto"/>
                      <w:kern w:val="2"/>
                      <w:sz w:val="21"/>
                      <w:szCs w:val="21"/>
                      <w:highlight w:val="none"/>
                      <w:lang w:val="en-US" w:eastAsia="zh-CN" w:bidi="ar-SA"/>
                    </w:rPr>
                    <w:t>不设置食堂</w:t>
                  </w:r>
                  <w:r>
                    <w:rPr>
                      <w:rFonts w:hint="default" w:ascii="Times New Roman" w:hAnsi="Times New Roman" w:eastAsia="宋体" w:cs="Times New Roman"/>
                      <w:color w:val="auto"/>
                      <w:kern w:val="2"/>
                      <w:sz w:val="21"/>
                      <w:szCs w:val="21"/>
                      <w:highlight w:val="none"/>
                      <w:lang w:val="en-US" w:eastAsia="zh-CN" w:bidi="ar-SA"/>
                    </w:rPr>
                    <w:t>。</w:t>
                  </w:r>
                </w:p>
              </w:tc>
              <w:tc>
                <w:tcPr>
                  <w:tcW w:w="456" w:type="dxa"/>
                  <w:noWrap w:val="0"/>
                  <w:vAlign w:val="center"/>
                </w:tcPr>
                <w:p w14:paraId="4F5331C8">
                  <w:pPr>
                    <w:autoSpaceDE w:val="0"/>
                    <w:autoSpaceDN w:val="0"/>
                    <w:adjustRightInd w:val="0"/>
                    <w:snapToGrid w:val="0"/>
                    <w:jc w:val="left"/>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45A29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dxa"/>
                  <w:vMerge w:val="continue"/>
                  <w:noWrap w:val="0"/>
                  <w:vAlign w:val="center"/>
                </w:tcPr>
                <w:p w14:paraId="74D4570F">
                  <w:pPr>
                    <w:autoSpaceDE w:val="0"/>
                    <w:autoSpaceDN w:val="0"/>
                    <w:adjustRightInd w:val="0"/>
                    <w:snapToGrid w:val="0"/>
                    <w:jc w:val="left"/>
                    <w:rPr>
                      <w:rFonts w:hint="default" w:ascii="Times New Roman" w:hAnsi="Times New Roman" w:cs="Times New Roman"/>
                      <w:color w:val="auto"/>
                      <w:szCs w:val="21"/>
                      <w:highlight w:val="none"/>
                    </w:rPr>
                  </w:pPr>
                </w:p>
              </w:tc>
              <w:tc>
                <w:tcPr>
                  <w:tcW w:w="691" w:type="dxa"/>
                  <w:noWrap w:val="0"/>
                  <w:vAlign w:val="center"/>
                </w:tcPr>
                <w:p w14:paraId="160C7BEB">
                  <w:pPr>
                    <w:autoSpaceDE w:val="0"/>
                    <w:autoSpaceDN w:val="0"/>
                    <w:adjustRightInd w:val="0"/>
                    <w:snapToGrid w:val="0"/>
                    <w:jc w:val="left"/>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智能注浆管控</w:t>
                  </w:r>
                  <w:r>
                    <w:rPr>
                      <w:rFonts w:hint="default" w:ascii="Times New Roman" w:hAnsi="Times New Roman" w:cs="Times New Roman"/>
                      <w:color w:val="auto"/>
                      <w:szCs w:val="21"/>
                      <w:highlight w:val="none"/>
                    </w:rPr>
                    <w:t>系统</w:t>
                  </w:r>
                </w:p>
              </w:tc>
              <w:tc>
                <w:tcPr>
                  <w:tcW w:w="6181" w:type="dxa"/>
                  <w:noWrap w:val="0"/>
                  <w:vAlign w:val="center"/>
                </w:tcPr>
                <w:p w14:paraId="307966B8">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该项目采用科工生态自主研发的智能注浆管控系统，该系统技术先进、运行稳定且效率高，具备标准安装、灵活组合、快速投产、便捷搬迁、智能控制、一键注浆、无人值守等功能；整个系统由计算机全自动化控制，并引入称重模块，能够实现精确配料、制浆、搅拌、输送和注浆，无需人工干预即可连续制浆作业，水与粉煤灰称量误差不大于5%；正常状态下启用全自动智能控制模式，系统按提前设置的参数顺序自动启停各种设备，特殊情况下如计算机控制系统故障或需临时启停单一设备时，可随时切换到手动按钮控制，操作灵活，保障注浆连续性；同时系统采用电子自动化监测，实时记录注浆压力和流量，为注浆过程的质量控制与管理提供技术支撑。</w:t>
                  </w:r>
                </w:p>
              </w:tc>
              <w:tc>
                <w:tcPr>
                  <w:tcW w:w="456" w:type="dxa"/>
                  <w:noWrap w:val="0"/>
                  <w:vAlign w:val="center"/>
                </w:tcPr>
                <w:p w14:paraId="2E125158">
                  <w:pPr>
                    <w:autoSpaceDE w:val="0"/>
                    <w:autoSpaceDN w:val="0"/>
                    <w:adjustRightInd w:val="0"/>
                    <w:snapToGrid w:val="0"/>
                    <w:jc w:val="left"/>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0451F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dxa"/>
                  <w:vMerge w:val="continue"/>
                  <w:noWrap w:val="0"/>
                  <w:vAlign w:val="center"/>
                </w:tcPr>
                <w:p w14:paraId="53452F18">
                  <w:pPr>
                    <w:autoSpaceDE w:val="0"/>
                    <w:autoSpaceDN w:val="0"/>
                    <w:adjustRightInd w:val="0"/>
                    <w:snapToGrid w:val="0"/>
                    <w:jc w:val="left"/>
                    <w:rPr>
                      <w:rFonts w:hint="default" w:ascii="Times New Roman" w:hAnsi="Times New Roman" w:cs="Times New Roman"/>
                      <w:color w:val="auto"/>
                      <w:szCs w:val="21"/>
                      <w:highlight w:val="none"/>
                    </w:rPr>
                  </w:pPr>
                </w:p>
              </w:tc>
              <w:tc>
                <w:tcPr>
                  <w:tcW w:w="691" w:type="dxa"/>
                  <w:noWrap w:val="0"/>
                  <w:vAlign w:val="center"/>
                </w:tcPr>
                <w:p w14:paraId="4005DE5F">
                  <w:pPr>
                    <w:autoSpaceDE w:val="0"/>
                    <w:autoSpaceDN w:val="0"/>
                    <w:adjustRightInd w:val="0"/>
                    <w:snapToGrid w:val="0"/>
                    <w:jc w:val="left"/>
                    <w:rPr>
                      <w:rFonts w:hint="default" w:cs="Times New Roman"/>
                      <w:color w:val="auto"/>
                      <w:szCs w:val="21"/>
                      <w:highlight w:val="none"/>
                      <w:lang w:val="en-US" w:eastAsia="zh-CN"/>
                    </w:rPr>
                  </w:pPr>
                  <w:r>
                    <w:rPr>
                      <w:rFonts w:hint="eastAsia" w:cs="Times New Roman"/>
                      <w:color w:val="auto"/>
                      <w:szCs w:val="21"/>
                      <w:highlight w:val="none"/>
                      <w:lang w:val="en-US" w:eastAsia="zh-CN"/>
                    </w:rPr>
                    <w:t>注浆管道铺设</w:t>
                  </w:r>
                </w:p>
              </w:tc>
              <w:tc>
                <w:tcPr>
                  <w:tcW w:w="6181" w:type="dxa"/>
                  <w:noWrap w:val="0"/>
                  <w:vAlign w:val="center"/>
                </w:tcPr>
                <w:p w14:paraId="3502C4A2">
                  <w:pPr>
                    <w:pStyle w:val="26"/>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15" w:lineRule="auto"/>
                    <w:ind w:left="0" w:right="0" w:firstLine="0"/>
                    <w:textAlignment w:val="auto"/>
                    <w:rPr>
                      <w:rFonts w:hint="default" w:ascii="Times New Roman" w:hAnsi="Times New Roman" w:cs="Times New Roman"/>
                      <w:color w:val="auto"/>
                      <w:szCs w:val="21"/>
                      <w:highlight w:val="none"/>
                    </w:rPr>
                  </w:pPr>
                  <w:r>
                    <w:rPr>
                      <w:rFonts w:hint="default" w:ascii="Times New Roman" w:hAnsi="Times New Roman" w:eastAsia="宋体" w:cs="Times New Roman"/>
                      <w:color w:val="auto"/>
                      <w:kern w:val="2"/>
                      <w:sz w:val="21"/>
                      <w:szCs w:val="21"/>
                      <w:highlight w:val="none"/>
                      <w:lang w:val="en-US" w:eastAsia="zh-CN" w:bidi="ar-SA"/>
                    </w:rPr>
                    <w:t>本项目注浆站至各注浆钻孔孔口拟敷设8条输浆管道，其中1趟Φ114.3×6.35mm输浆管道、7趟Φ89×6.45mm输浆管道，管路系统总长约8500m。管道采用高压输送管，耐压不小于15MPa，能够保障颗粒型浆液长期高压注浆对于安全、耐压、耐磨以及耐久等性能要求。管道连接点固定结实，确保不漏浆。管道系统安装25MPa石油管道用阀门，注浆泵和注浆孔口处均安设压力表，压力表量程不小于孔口最大压力的1.5倍（6MPa及以上）。注浆站位于360610工作面西部、风井区域东侧，北侧紧邻潘谢路，距各注浆钻孔孔口直线距离740～1300m。管道沿场地道路一侧敷设，采用套管保护。管道敷设过程中</w:t>
                  </w:r>
                  <w:r>
                    <w:rPr>
                      <w:rFonts w:hint="eastAsia" w:ascii="Times New Roman" w:hAnsi="Times New Roman" w:cs="Times New Roman"/>
                      <w:color w:val="auto"/>
                      <w:kern w:val="2"/>
                      <w:sz w:val="21"/>
                      <w:szCs w:val="21"/>
                      <w:highlight w:val="none"/>
                      <w:lang w:val="en-US" w:eastAsia="zh-CN" w:bidi="ar-SA"/>
                    </w:rPr>
                    <w:t>不</w:t>
                  </w:r>
                  <w:r>
                    <w:rPr>
                      <w:rFonts w:hint="default" w:ascii="Times New Roman" w:hAnsi="Times New Roman" w:eastAsia="宋体" w:cs="Times New Roman"/>
                      <w:color w:val="auto"/>
                      <w:kern w:val="2"/>
                      <w:sz w:val="21"/>
                      <w:szCs w:val="21"/>
                      <w:highlight w:val="none"/>
                      <w:lang w:val="en-US" w:eastAsia="zh-CN" w:bidi="ar-SA"/>
                    </w:rPr>
                    <w:t>涉及管沟开挖、回填。</w:t>
                  </w:r>
                </w:p>
              </w:tc>
              <w:tc>
                <w:tcPr>
                  <w:tcW w:w="456" w:type="dxa"/>
                  <w:noWrap w:val="0"/>
                  <w:vAlign w:val="center"/>
                </w:tcPr>
                <w:p w14:paraId="2CCA99A9">
                  <w:pPr>
                    <w:autoSpaceDE w:val="0"/>
                    <w:autoSpaceDN w:val="0"/>
                    <w:adjustRightInd w:val="0"/>
                    <w:snapToGrid w:val="0"/>
                    <w:jc w:val="left"/>
                    <w:rPr>
                      <w:rFonts w:hint="default" w:ascii="Times New Roman" w:hAnsi="Times New Roman" w:cs="Times New Roman"/>
                      <w:color w:val="auto"/>
                      <w:szCs w:val="21"/>
                      <w:highlight w:val="none"/>
                      <w:lang w:val="en-US" w:eastAsia="zh-CN"/>
                    </w:rPr>
                  </w:pPr>
                </w:p>
              </w:tc>
            </w:tr>
            <w:tr w14:paraId="281E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dxa"/>
                  <w:vMerge w:val="restart"/>
                  <w:noWrap w:val="0"/>
                  <w:vAlign w:val="center"/>
                </w:tcPr>
                <w:p w14:paraId="2BC494EE">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储运</w:t>
                  </w:r>
                </w:p>
                <w:p w14:paraId="75BCA8F1">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w:t>
                  </w:r>
                </w:p>
              </w:tc>
              <w:tc>
                <w:tcPr>
                  <w:tcW w:w="691" w:type="dxa"/>
                  <w:noWrap w:val="0"/>
                  <w:vAlign w:val="center"/>
                </w:tcPr>
                <w:p w14:paraId="5C7C0507">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表土堆放区</w:t>
                  </w:r>
                </w:p>
              </w:tc>
              <w:tc>
                <w:tcPr>
                  <w:tcW w:w="6181" w:type="dxa"/>
                  <w:noWrap w:val="0"/>
                  <w:vAlign w:val="center"/>
                </w:tcPr>
                <w:p w14:paraId="66666180">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本项目地质勘查区域表土堆放区总面积0.0</w:t>
                  </w:r>
                  <w:r>
                    <w:rPr>
                      <w:rFonts w:hint="eastAsia" w:cs="Times New Roman"/>
                      <w:color w:val="auto"/>
                      <w:szCs w:val="21"/>
                      <w:highlight w:val="none"/>
                      <w:lang w:val="en-US" w:eastAsia="zh-CN"/>
                    </w:rPr>
                    <w:t>590</w:t>
                  </w:r>
                  <w:r>
                    <w:rPr>
                      <w:rFonts w:hint="default" w:ascii="Times New Roman" w:hAnsi="Times New Roman" w:cs="Times New Roman"/>
                      <w:color w:val="auto"/>
                      <w:szCs w:val="21"/>
                      <w:highlight w:val="none"/>
                    </w:rPr>
                    <w:t>hm²，分别设于</w:t>
                  </w:r>
                  <w:r>
                    <w:rPr>
                      <w:rFonts w:hint="eastAsia" w:cs="Times New Roman"/>
                      <w:color w:val="auto"/>
                      <w:szCs w:val="21"/>
                      <w:highlight w:val="none"/>
                      <w:lang w:val="en-US" w:eastAsia="zh-CN"/>
                    </w:rPr>
                    <w:t>地块一</w:t>
                  </w:r>
                  <w:r>
                    <w:rPr>
                      <w:rFonts w:hint="default" w:ascii="Times New Roman" w:hAnsi="Times New Roman" w:cs="Times New Roman"/>
                      <w:color w:val="auto"/>
                      <w:szCs w:val="21"/>
                      <w:highlight w:val="none"/>
                    </w:rPr>
                    <w:t>（0.00</w:t>
                  </w:r>
                  <w:r>
                    <w:rPr>
                      <w:rFonts w:hint="eastAsia" w:ascii="Times New Roman" w:hAnsi="Times New Roman" w:cs="Times New Roman"/>
                      <w:color w:val="auto"/>
                      <w:szCs w:val="21"/>
                      <w:highlight w:val="none"/>
                      <w:lang w:val="en-US" w:eastAsia="zh-CN"/>
                    </w:rPr>
                    <w:t>5</w:t>
                  </w:r>
                  <w:r>
                    <w:rPr>
                      <w:rFonts w:hint="default" w:ascii="Times New Roman" w:hAnsi="Times New Roman" w:cs="Times New Roman"/>
                      <w:color w:val="auto"/>
                      <w:szCs w:val="21"/>
                      <w:highlight w:val="none"/>
                    </w:rPr>
                    <w:t>0hm²）</w:t>
                  </w:r>
                  <w:r>
                    <w:rPr>
                      <w:rFonts w:hint="eastAsia" w:cs="Times New Roman"/>
                      <w:color w:val="auto"/>
                      <w:szCs w:val="21"/>
                      <w:highlight w:val="none"/>
                      <w:lang w:val="en-US" w:eastAsia="zh-CN"/>
                    </w:rPr>
                    <w:t>、</w:t>
                  </w:r>
                  <w:r>
                    <w:rPr>
                      <w:rFonts w:hint="default" w:ascii="Times New Roman" w:hAnsi="Times New Roman" w:cs="Times New Roman"/>
                      <w:color w:val="auto"/>
                      <w:szCs w:val="21"/>
                      <w:highlight w:val="none"/>
                    </w:rPr>
                    <w:t>地块二（0.00</w:t>
                  </w:r>
                  <w:r>
                    <w:rPr>
                      <w:rFonts w:hint="eastAsia" w:cs="Times New Roman"/>
                      <w:color w:val="auto"/>
                      <w:szCs w:val="21"/>
                      <w:highlight w:val="none"/>
                      <w:lang w:val="en-US" w:eastAsia="zh-CN"/>
                    </w:rPr>
                    <w:t>5</w:t>
                  </w:r>
                  <w:r>
                    <w:rPr>
                      <w:rFonts w:hint="default" w:ascii="Times New Roman" w:hAnsi="Times New Roman" w:cs="Times New Roman"/>
                      <w:color w:val="auto"/>
                      <w:szCs w:val="21"/>
                      <w:highlight w:val="none"/>
                    </w:rPr>
                    <w:t>0hm²）、地块三（0.00</w:t>
                  </w:r>
                  <w:r>
                    <w:rPr>
                      <w:rFonts w:hint="eastAsia" w:cs="Times New Roman"/>
                      <w:color w:val="auto"/>
                      <w:szCs w:val="21"/>
                      <w:highlight w:val="none"/>
                      <w:lang w:val="en-US" w:eastAsia="zh-CN"/>
                    </w:rPr>
                    <w:t>4</w:t>
                  </w:r>
                  <w:r>
                    <w:rPr>
                      <w:rFonts w:hint="default" w:ascii="Times New Roman" w:hAnsi="Times New Roman" w:cs="Times New Roman"/>
                      <w:color w:val="auto"/>
                      <w:szCs w:val="21"/>
                      <w:highlight w:val="none"/>
                    </w:rPr>
                    <w:t>0hm²）、地块四（0.00</w:t>
                  </w:r>
                  <w:r>
                    <w:rPr>
                      <w:rFonts w:hint="eastAsia" w:cs="Times New Roman"/>
                      <w:color w:val="auto"/>
                      <w:szCs w:val="21"/>
                      <w:highlight w:val="none"/>
                      <w:lang w:val="en-US" w:eastAsia="zh-CN"/>
                    </w:rPr>
                    <w:t>4</w:t>
                  </w:r>
                  <w:r>
                    <w:rPr>
                      <w:rFonts w:hint="default" w:ascii="Times New Roman" w:hAnsi="Times New Roman" w:cs="Times New Roman"/>
                      <w:color w:val="auto"/>
                      <w:szCs w:val="21"/>
                      <w:highlight w:val="none"/>
                    </w:rPr>
                    <w:t>0hm²）</w:t>
                  </w:r>
                  <w:r>
                    <w:rPr>
                      <w:rFonts w:hint="eastAsia" w:cs="Times New Roman"/>
                      <w:color w:val="auto"/>
                      <w:szCs w:val="21"/>
                      <w:highlight w:val="none"/>
                      <w:lang w:eastAsia="zh-CN"/>
                    </w:rPr>
                    <w:t>、</w:t>
                  </w:r>
                  <w:r>
                    <w:rPr>
                      <w:rFonts w:hint="eastAsia" w:cs="Times New Roman"/>
                      <w:color w:val="auto"/>
                      <w:szCs w:val="21"/>
                      <w:highlight w:val="none"/>
                      <w:lang w:val="en-US" w:eastAsia="zh-CN"/>
                    </w:rPr>
                    <w:t>地块五</w:t>
                  </w:r>
                  <w:r>
                    <w:rPr>
                      <w:rFonts w:hint="default" w:ascii="Times New Roman" w:hAnsi="Times New Roman" w:cs="Times New Roman"/>
                      <w:color w:val="auto"/>
                      <w:szCs w:val="21"/>
                      <w:highlight w:val="none"/>
                    </w:rPr>
                    <w:t>（0.00</w:t>
                  </w:r>
                  <w:r>
                    <w:rPr>
                      <w:rFonts w:hint="eastAsia" w:ascii="Times New Roman" w:hAnsi="Times New Roman" w:cs="Times New Roman"/>
                      <w:color w:val="auto"/>
                      <w:szCs w:val="21"/>
                      <w:highlight w:val="none"/>
                      <w:lang w:val="en-US" w:eastAsia="zh-CN"/>
                    </w:rPr>
                    <w:t>4</w:t>
                  </w:r>
                  <w:r>
                    <w:rPr>
                      <w:rFonts w:hint="default" w:ascii="Times New Roman" w:hAnsi="Times New Roman" w:cs="Times New Roman"/>
                      <w:color w:val="auto"/>
                      <w:szCs w:val="21"/>
                      <w:highlight w:val="none"/>
                    </w:rPr>
                    <w:t>0hm²）</w:t>
                  </w:r>
                  <w:r>
                    <w:rPr>
                      <w:rFonts w:hint="eastAsia" w:cs="Times New Roman"/>
                      <w:color w:val="auto"/>
                      <w:szCs w:val="21"/>
                      <w:highlight w:val="none"/>
                      <w:lang w:val="en-US" w:eastAsia="zh-CN"/>
                    </w:rPr>
                    <w:t>、地块六</w:t>
                  </w:r>
                  <w:r>
                    <w:rPr>
                      <w:rFonts w:hint="default" w:ascii="Times New Roman" w:hAnsi="Times New Roman" w:cs="Times New Roman"/>
                      <w:color w:val="auto"/>
                      <w:szCs w:val="21"/>
                      <w:highlight w:val="none"/>
                    </w:rPr>
                    <w:t>（0.005</w:t>
                  </w:r>
                  <w:r>
                    <w:rPr>
                      <w:rFonts w:hint="eastAsia" w:ascii="Times New Roman" w:hAnsi="Times New Roman" w:cs="Times New Roman"/>
                      <w:color w:val="auto"/>
                      <w:szCs w:val="21"/>
                      <w:highlight w:val="none"/>
                      <w:lang w:val="en-US" w:eastAsia="zh-CN"/>
                    </w:rPr>
                    <w:t>0</w:t>
                  </w:r>
                  <w:r>
                    <w:rPr>
                      <w:rFonts w:hint="default" w:ascii="Times New Roman" w:hAnsi="Times New Roman" w:cs="Times New Roman"/>
                      <w:color w:val="auto"/>
                      <w:szCs w:val="21"/>
                      <w:highlight w:val="none"/>
                    </w:rPr>
                    <w:t>hm²）</w:t>
                  </w:r>
                  <w:r>
                    <w:rPr>
                      <w:rFonts w:hint="eastAsia" w:cs="Times New Roman"/>
                      <w:color w:val="auto"/>
                      <w:szCs w:val="21"/>
                      <w:highlight w:val="none"/>
                      <w:lang w:val="en-US" w:eastAsia="zh-CN"/>
                    </w:rPr>
                    <w:t>、地块七</w:t>
                  </w:r>
                  <w:r>
                    <w:rPr>
                      <w:rFonts w:hint="default" w:ascii="Times New Roman" w:hAnsi="Times New Roman" w:cs="Times New Roman"/>
                      <w:color w:val="auto"/>
                      <w:szCs w:val="21"/>
                      <w:highlight w:val="none"/>
                    </w:rPr>
                    <w:t>（0.005</w:t>
                  </w:r>
                  <w:r>
                    <w:rPr>
                      <w:rFonts w:hint="eastAsia" w:ascii="Times New Roman" w:hAnsi="Times New Roman" w:cs="Times New Roman"/>
                      <w:color w:val="auto"/>
                      <w:szCs w:val="21"/>
                      <w:highlight w:val="none"/>
                      <w:lang w:val="en-US" w:eastAsia="zh-CN"/>
                    </w:rPr>
                    <w:t>0</w:t>
                  </w:r>
                  <w:r>
                    <w:rPr>
                      <w:rFonts w:hint="default" w:ascii="Times New Roman" w:hAnsi="Times New Roman" w:cs="Times New Roman"/>
                      <w:color w:val="auto"/>
                      <w:szCs w:val="21"/>
                      <w:highlight w:val="none"/>
                    </w:rPr>
                    <w:t>hm²）</w:t>
                  </w:r>
                  <w:r>
                    <w:rPr>
                      <w:rFonts w:hint="eastAsia" w:cs="Times New Roman"/>
                      <w:color w:val="auto"/>
                      <w:szCs w:val="21"/>
                      <w:highlight w:val="none"/>
                      <w:lang w:val="en-US" w:eastAsia="zh-CN"/>
                    </w:rPr>
                    <w:t>、地块八</w:t>
                  </w:r>
                  <w:r>
                    <w:rPr>
                      <w:rFonts w:hint="default" w:ascii="Times New Roman" w:hAnsi="Times New Roman" w:cs="Times New Roman"/>
                      <w:color w:val="auto"/>
                      <w:szCs w:val="21"/>
                      <w:highlight w:val="none"/>
                    </w:rPr>
                    <w:t>（0.00</w:t>
                  </w:r>
                  <w:r>
                    <w:rPr>
                      <w:rFonts w:hint="eastAsia" w:ascii="Times New Roman" w:hAnsi="Times New Roman" w:cs="Times New Roman"/>
                      <w:color w:val="auto"/>
                      <w:szCs w:val="21"/>
                      <w:highlight w:val="none"/>
                      <w:lang w:val="en-US" w:eastAsia="zh-CN"/>
                    </w:rPr>
                    <w:t>6</w:t>
                  </w:r>
                  <w:r>
                    <w:rPr>
                      <w:rFonts w:hint="default" w:ascii="Times New Roman" w:hAnsi="Times New Roman" w:cs="Times New Roman"/>
                      <w:color w:val="auto"/>
                      <w:szCs w:val="21"/>
                      <w:highlight w:val="none"/>
                    </w:rPr>
                    <w:t>0hm²）</w:t>
                  </w:r>
                  <w:r>
                    <w:rPr>
                      <w:rFonts w:hint="eastAsia" w:cs="Times New Roman"/>
                      <w:color w:val="auto"/>
                      <w:szCs w:val="21"/>
                      <w:highlight w:val="none"/>
                      <w:lang w:val="en-US" w:eastAsia="zh-CN"/>
                    </w:rPr>
                    <w:t>、</w:t>
                  </w:r>
                  <w:r>
                    <w:rPr>
                      <w:rFonts w:hint="default" w:ascii="Times New Roman" w:hAnsi="Times New Roman" w:cs="Times New Roman"/>
                      <w:color w:val="auto"/>
                      <w:szCs w:val="21"/>
                      <w:highlight w:val="none"/>
                    </w:rPr>
                    <w:t>地块九（0.0060hm²）</w:t>
                  </w:r>
                  <w:r>
                    <w:rPr>
                      <w:rFonts w:hint="eastAsia" w:cs="Times New Roman"/>
                      <w:color w:val="auto"/>
                      <w:szCs w:val="21"/>
                      <w:highlight w:val="none"/>
                      <w:lang w:eastAsia="zh-CN"/>
                    </w:rPr>
                    <w:t>、</w:t>
                  </w:r>
                  <w:r>
                    <w:rPr>
                      <w:rFonts w:hint="eastAsia" w:cs="Times New Roman"/>
                      <w:color w:val="auto"/>
                      <w:szCs w:val="21"/>
                      <w:highlight w:val="none"/>
                      <w:lang w:val="en-US" w:eastAsia="zh-CN"/>
                    </w:rPr>
                    <w:t>地块十</w:t>
                  </w:r>
                  <w:r>
                    <w:rPr>
                      <w:rFonts w:hint="default" w:ascii="Times New Roman" w:hAnsi="Times New Roman" w:cs="Times New Roman"/>
                      <w:color w:val="auto"/>
                      <w:szCs w:val="21"/>
                      <w:highlight w:val="none"/>
                    </w:rPr>
                    <w:t>（0.0050hm²）</w:t>
                  </w:r>
                  <w:r>
                    <w:rPr>
                      <w:rFonts w:hint="eastAsia" w:cs="Times New Roman"/>
                      <w:color w:val="auto"/>
                      <w:szCs w:val="21"/>
                      <w:highlight w:val="none"/>
                      <w:lang w:val="en-US" w:eastAsia="zh-CN"/>
                    </w:rPr>
                    <w:t>、地块十一</w:t>
                  </w:r>
                  <w:r>
                    <w:rPr>
                      <w:rFonts w:hint="default" w:ascii="Times New Roman" w:hAnsi="Times New Roman" w:cs="Times New Roman"/>
                      <w:color w:val="auto"/>
                      <w:szCs w:val="21"/>
                      <w:highlight w:val="none"/>
                    </w:rPr>
                    <w:t>（0.0050hm²）</w:t>
                  </w:r>
                  <w:r>
                    <w:rPr>
                      <w:rFonts w:hint="eastAsia" w:cs="Times New Roman"/>
                      <w:color w:val="auto"/>
                      <w:szCs w:val="21"/>
                      <w:highlight w:val="none"/>
                      <w:lang w:val="en-US" w:eastAsia="zh-CN"/>
                    </w:rPr>
                    <w:t>、注浆站</w:t>
                  </w:r>
                  <w:r>
                    <w:rPr>
                      <w:rFonts w:hint="default" w:ascii="Times New Roman" w:hAnsi="Times New Roman" w:cs="Times New Roman"/>
                      <w:color w:val="auto"/>
                      <w:szCs w:val="21"/>
                      <w:highlight w:val="none"/>
                    </w:rPr>
                    <w:t>（0.0050hm²），表土剥离厚度0.3m，总剥离量391.2m³，堆放高度约3m。</w:t>
                  </w:r>
                </w:p>
              </w:tc>
              <w:tc>
                <w:tcPr>
                  <w:tcW w:w="456" w:type="dxa"/>
                  <w:noWrap w:val="0"/>
                  <w:vAlign w:val="center"/>
                </w:tcPr>
                <w:p w14:paraId="3C024213">
                  <w:pPr>
                    <w:autoSpaceDE w:val="0"/>
                    <w:autoSpaceDN w:val="0"/>
                    <w:adjustRightInd w:val="0"/>
                    <w:snapToGrid w:val="0"/>
                    <w:jc w:val="left"/>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2BC81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514" w:type="dxa"/>
                  <w:vMerge w:val="continue"/>
                  <w:noWrap w:val="0"/>
                  <w:vAlign w:val="center"/>
                </w:tcPr>
                <w:p w14:paraId="40827704">
                  <w:pPr>
                    <w:autoSpaceDE w:val="0"/>
                    <w:autoSpaceDN w:val="0"/>
                    <w:adjustRightInd w:val="0"/>
                    <w:snapToGrid w:val="0"/>
                    <w:jc w:val="left"/>
                    <w:rPr>
                      <w:rFonts w:hint="default" w:ascii="Times New Roman" w:hAnsi="Times New Roman" w:cs="Times New Roman"/>
                      <w:color w:val="auto"/>
                      <w:szCs w:val="21"/>
                      <w:highlight w:val="none"/>
                    </w:rPr>
                  </w:pPr>
                </w:p>
              </w:tc>
              <w:tc>
                <w:tcPr>
                  <w:tcW w:w="691" w:type="dxa"/>
                  <w:noWrap w:val="0"/>
                  <w:vAlign w:val="center"/>
                </w:tcPr>
                <w:p w14:paraId="777D47DC">
                  <w:pPr>
                    <w:autoSpaceDE w:val="0"/>
                    <w:autoSpaceDN w:val="0"/>
                    <w:adjustRightInd w:val="0"/>
                    <w:snapToGrid w:val="0"/>
                    <w:jc w:val="left"/>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储灰</w:t>
                  </w:r>
                  <w:r>
                    <w:rPr>
                      <w:rFonts w:hint="default" w:ascii="Times New Roman" w:hAnsi="Times New Roman" w:cs="Times New Roman"/>
                      <w:color w:val="auto"/>
                      <w:szCs w:val="21"/>
                      <w:highlight w:val="none"/>
                    </w:rPr>
                    <w:t>罐</w:t>
                  </w:r>
                </w:p>
              </w:tc>
              <w:tc>
                <w:tcPr>
                  <w:tcW w:w="6181" w:type="dxa"/>
                  <w:noWrap w:val="0"/>
                  <w:vAlign w:val="center"/>
                </w:tcPr>
                <w:p w14:paraId="3C84F4E6">
                  <w:pPr>
                    <w:autoSpaceDE w:val="0"/>
                    <w:autoSpaceDN w:val="0"/>
                    <w:adjustRightInd w:val="0"/>
                    <w:snapToGrid w:val="0"/>
                    <w:jc w:val="left"/>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本项目储灰罐共设置6个，单个储灰罐储灰能力为100m³，总储灰容量600m³，用于储存电厂Ⅲ级粉煤灰</w:t>
                  </w:r>
                  <w:r>
                    <w:rPr>
                      <w:rFonts w:hint="eastAsia" w:cs="Times New Roman"/>
                      <w:color w:val="auto"/>
                      <w:szCs w:val="21"/>
                      <w:highlight w:val="none"/>
                      <w:lang w:val="en-US" w:eastAsia="zh-CN"/>
                    </w:rPr>
                    <w:t>和散装P.O42.5水泥</w:t>
                  </w:r>
                  <w:r>
                    <w:rPr>
                      <w:rFonts w:hint="default" w:ascii="Times New Roman" w:hAnsi="Times New Roman" w:cs="Times New Roman"/>
                      <w:color w:val="auto"/>
                      <w:szCs w:val="21"/>
                      <w:highlight w:val="none"/>
                    </w:rPr>
                    <w:t>，保障连续注浆的用料需求。储灰罐顶部加装震动或静电除尘装置，确保散料无外泄，防止扬尘污染</w:t>
                  </w:r>
                  <w:r>
                    <w:rPr>
                      <w:rFonts w:hint="eastAsia" w:cs="Times New Roman"/>
                      <w:color w:val="auto"/>
                      <w:szCs w:val="21"/>
                      <w:highlight w:val="none"/>
                      <w:lang w:eastAsia="zh-CN"/>
                    </w:rPr>
                    <w:t>。</w:t>
                  </w:r>
                </w:p>
              </w:tc>
              <w:tc>
                <w:tcPr>
                  <w:tcW w:w="456" w:type="dxa"/>
                  <w:noWrap w:val="0"/>
                  <w:vAlign w:val="center"/>
                </w:tcPr>
                <w:p w14:paraId="5A442CD0">
                  <w:pPr>
                    <w:autoSpaceDE w:val="0"/>
                    <w:autoSpaceDN w:val="0"/>
                    <w:adjustRightInd w:val="0"/>
                    <w:snapToGrid w:val="0"/>
                    <w:jc w:val="left"/>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0C04E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14" w:type="dxa"/>
                  <w:vMerge w:val="continue"/>
                  <w:noWrap w:val="0"/>
                  <w:vAlign w:val="center"/>
                </w:tcPr>
                <w:p w14:paraId="03BD8725">
                  <w:pPr>
                    <w:autoSpaceDE w:val="0"/>
                    <w:autoSpaceDN w:val="0"/>
                    <w:adjustRightInd w:val="0"/>
                    <w:snapToGrid w:val="0"/>
                    <w:jc w:val="left"/>
                    <w:rPr>
                      <w:rFonts w:hint="default" w:ascii="Times New Roman" w:hAnsi="Times New Roman" w:cs="Times New Roman"/>
                      <w:color w:val="auto"/>
                      <w:szCs w:val="21"/>
                      <w:highlight w:val="none"/>
                    </w:rPr>
                  </w:pPr>
                </w:p>
              </w:tc>
              <w:tc>
                <w:tcPr>
                  <w:tcW w:w="691" w:type="dxa"/>
                  <w:noWrap w:val="0"/>
                  <w:vAlign w:val="center"/>
                </w:tcPr>
                <w:p w14:paraId="3DF6D62C">
                  <w:pPr>
                    <w:autoSpaceDE w:val="0"/>
                    <w:autoSpaceDN w:val="0"/>
                    <w:adjustRightInd w:val="0"/>
                    <w:snapToGrid w:val="0"/>
                    <w:jc w:val="left"/>
                    <w:rPr>
                      <w:rFonts w:hint="eastAsia"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材料</w:t>
                  </w:r>
                  <w:r>
                    <w:rPr>
                      <w:rFonts w:hint="eastAsia" w:cs="Times New Roman"/>
                      <w:color w:val="auto"/>
                      <w:szCs w:val="21"/>
                      <w:highlight w:val="none"/>
                      <w:lang w:val="en-US" w:eastAsia="zh-CN"/>
                    </w:rPr>
                    <w:t>堆场</w:t>
                  </w:r>
                </w:p>
              </w:tc>
              <w:tc>
                <w:tcPr>
                  <w:tcW w:w="6181" w:type="dxa"/>
                  <w:noWrap w:val="0"/>
                  <w:vAlign w:val="center"/>
                </w:tcPr>
                <w:p w14:paraId="00F91D44">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施工现场</w:t>
                  </w:r>
                  <w:r>
                    <w:rPr>
                      <w:rFonts w:hint="eastAsia" w:ascii="Times New Roman" w:hAnsi="Times New Roman" w:cs="Times New Roman"/>
                      <w:color w:val="auto"/>
                      <w:szCs w:val="21"/>
                      <w:highlight w:val="none"/>
                      <w:lang w:val="en-US" w:eastAsia="zh-CN"/>
                    </w:rPr>
                    <w:t>设置项目作业区用于堆放施工材料</w:t>
                  </w:r>
                  <w:r>
                    <w:rPr>
                      <w:rFonts w:hint="default" w:ascii="Times New Roman" w:hAnsi="Times New Roman" w:cs="Times New Roman"/>
                      <w:color w:val="auto"/>
                      <w:szCs w:val="21"/>
                      <w:highlight w:val="none"/>
                    </w:rPr>
                    <w:t>，</w:t>
                  </w:r>
                  <w:r>
                    <w:rPr>
                      <w:rFonts w:hint="default" w:ascii="Times New Roman" w:hAnsi="Times New Roman" w:eastAsia="宋体" w:cs="Times New Roman"/>
                      <w:szCs w:val="21"/>
                      <w:highlight w:val="none"/>
                    </w:rPr>
                    <w:t>各个井场</w:t>
                  </w:r>
                  <w:r>
                    <w:rPr>
                      <w:rFonts w:hint="eastAsia" w:cs="Times New Roman"/>
                      <w:szCs w:val="21"/>
                      <w:highlight w:val="none"/>
                      <w:lang w:val="en-US" w:eastAsia="zh-CN"/>
                    </w:rPr>
                    <w:t>材料</w:t>
                  </w:r>
                  <w:r>
                    <w:rPr>
                      <w:rFonts w:hint="default" w:ascii="Times New Roman" w:hAnsi="Times New Roman" w:eastAsia="宋体" w:cs="Times New Roman"/>
                      <w:szCs w:val="21"/>
                      <w:highlight w:val="none"/>
                    </w:rPr>
                    <w:t>堆放区</w:t>
                  </w:r>
                  <w:r>
                    <w:rPr>
                      <w:rFonts w:hint="eastAsia" w:cs="Times New Roman"/>
                      <w:szCs w:val="21"/>
                      <w:highlight w:val="none"/>
                      <w:lang w:eastAsia="zh-CN"/>
                    </w:rPr>
                    <w:t>：</w:t>
                  </w:r>
                  <w:r>
                    <w:rPr>
                      <w:rFonts w:hint="default" w:ascii="Times New Roman" w:hAnsi="Times New Roman" w:cs="Times New Roman"/>
                      <w:color w:val="auto"/>
                      <w:szCs w:val="21"/>
                      <w:highlight w:val="none"/>
                    </w:rPr>
                    <w:t>地块一</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0.0134</w:t>
                  </w:r>
                  <w:r>
                    <w:rPr>
                      <w:rFonts w:hint="eastAsia" w:ascii="Times New Roman" w:hAnsi="Times New Roman" w:cs="Times New Roman"/>
                      <w:color w:val="auto"/>
                      <w:szCs w:val="21"/>
                      <w:highlight w:val="none"/>
                      <w:lang w:val="en-US" w:eastAsia="zh-CN"/>
                    </w:rPr>
                    <w:t>公顷</w:t>
                  </w:r>
                  <w:r>
                    <w:rPr>
                      <w:rFonts w:hint="default" w:ascii="Times New Roman" w:hAnsi="Times New Roman" w:cs="Times New Roman"/>
                      <w:color w:val="auto"/>
                      <w:szCs w:val="21"/>
                      <w:highlight w:val="none"/>
                    </w:rPr>
                    <w:t>，地块二</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0.0139</w:t>
                  </w:r>
                  <w:r>
                    <w:rPr>
                      <w:rFonts w:hint="eastAsia" w:ascii="Times New Roman" w:hAnsi="Times New Roman" w:cs="Times New Roman"/>
                      <w:color w:val="auto"/>
                      <w:szCs w:val="21"/>
                      <w:highlight w:val="none"/>
                      <w:lang w:val="en-US" w:eastAsia="zh-CN"/>
                    </w:rPr>
                    <w:t>公顷</w:t>
                  </w:r>
                  <w:r>
                    <w:rPr>
                      <w:rFonts w:hint="default" w:ascii="Times New Roman" w:hAnsi="Times New Roman" w:cs="Times New Roman"/>
                      <w:color w:val="auto"/>
                      <w:szCs w:val="21"/>
                      <w:highlight w:val="none"/>
                    </w:rPr>
                    <w:t>，地块三</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0.0158</w:t>
                  </w:r>
                  <w:r>
                    <w:rPr>
                      <w:rFonts w:hint="eastAsia" w:ascii="Times New Roman" w:hAnsi="Times New Roman" w:cs="Times New Roman"/>
                      <w:color w:val="auto"/>
                      <w:szCs w:val="21"/>
                      <w:highlight w:val="none"/>
                      <w:lang w:val="en-US" w:eastAsia="zh-CN"/>
                    </w:rPr>
                    <w:t>公顷</w:t>
                  </w:r>
                  <w:r>
                    <w:rPr>
                      <w:rFonts w:hint="default" w:ascii="Times New Roman" w:hAnsi="Times New Roman" w:cs="Times New Roman"/>
                      <w:color w:val="auto"/>
                      <w:szCs w:val="21"/>
                      <w:highlight w:val="none"/>
                    </w:rPr>
                    <w:t>，地块四</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地块五</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0.0</w:t>
                  </w:r>
                  <w:r>
                    <w:rPr>
                      <w:rFonts w:hint="eastAsia" w:cs="Times New Roman"/>
                      <w:color w:val="auto"/>
                      <w:szCs w:val="21"/>
                      <w:highlight w:val="none"/>
                      <w:lang w:val="en-US" w:eastAsia="zh-CN"/>
                    </w:rPr>
                    <w:t>065公顷</w:t>
                  </w:r>
                  <w:r>
                    <w:rPr>
                      <w:rFonts w:hint="default" w:ascii="Times New Roman" w:hAnsi="Times New Roman" w:cs="Times New Roman"/>
                      <w:color w:val="auto"/>
                      <w:szCs w:val="21"/>
                      <w:highlight w:val="none"/>
                    </w:rPr>
                    <w:t>，地块六</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地块七</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0.0484</w:t>
                  </w:r>
                  <w:r>
                    <w:rPr>
                      <w:rFonts w:hint="eastAsia" w:cs="Times New Roman"/>
                      <w:color w:val="auto"/>
                      <w:szCs w:val="21"/>
                      <w:highlight w:val="none"/>
                      <w:lang w:val="en-US" w:eastAsia="zh-CN"/>
                    </w:rPr>
                    <w:t>公顷</w:t>
                  </w:r>
                  <w:r>
                    <w:rPr>
                      <w:rFonts w:hint="default" w:ascii="Times New Roman" w:hAnsi="Times New Roman" w:cs="Times New Roman"/>
                      <w:color w:val="auto"/>
                      <w:szCs w:val="21"/>
                      <w:highlight w:val="none"/>
                    </w:rPr>
                    <w:t>，地块八</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0.0257</w:t>
                  </w:r>
                  <w:r>
                    <w:rPr>
                      <w:rFonts w:hint="eastAsia" w:cs="Times New Roman"/>
                      <w:color w:val="auto"/>
                      <w:szCs w:val="21"/>
                      <w:highlight w:val="none"/>
                      <w:lang w:val="en-US" w:eastAsia="zh-CN"/>
                    </w:rPr>
                    <w:t>公顷</w:t>
                  </w:r>
                  <w:r>
                    <w:rPr>
                      <w:rFonts w:hint="default" w:ascii="Times New Roman" w:hAnsi="Times New Roman" w:cs="Times New Roman"/>
                      <w:color w:val="auto"/>
                      <w:szCs w:val="21"/>
                      <w:highlight w:val="none"/>
                    </w:rPr>
                    <w:t>，地块九</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0.0257</w:t>
                  </w:r>
                  <w:r>
                    <w:rPr>
                      <w:rFonts w:hint="eastAsia" w:ascii="Times New Roman" w:hAnsi="Times New Roman" w:cs="Times New Roman"/>
                      <w:color w:val="auto"/>
                      <w:szCs w:val="21"/>
                      <w:highlight w:val="none"/>
                      <w:lang w:val="en-US" w:eastAsia="zh-CN"/>
                    </w:rPr>
                    <w:t>公顷</w:t>
                  </w:r>
                  <w:r>
                    <w:rPr>
                      <w:rFonts w:hint="default" w:ascii="Times New Roman" w:hAnsi="Times New Roman" w:cs="Times New Roman"/>
                      <w:color w:val="auto"/>
                      <w:szCs w:val="21"/>
                      <w:highlight w:val="none"/>
                    </w:rPr>
                    <w:t>，地块十</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0.0174</w:t>
                  </w:r>
                  <w:r>
                    <w:rPr>
                      <w:rFonts w:hint="eastAsia" w:ascii="Times New Roman" w:hAnsi="Times New Roman" w:cs="Times New Roman"/>
                      <w:color w:val="auto"/>
                      <w:szCs w:val="21"/>
                      <w:highlight w:val="none"/>
                      <w:lang w:val="en-US" w:eastAsia="zh-CN"/>
                    </w:rPr>
                    <w:t>公顷</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地块十一：</w:t>
                  </w:r>
                  <w:r>
                    <w:rPr>
                      <w:rFonts w:hint="default" w:ascii="Times New Roman" w:hAnsi="Times New Roman" w:cs="Times New Roman"/>
                      <w:color w:val="auto"/>
                      <w:szCs w:val="21"/>
                      <w:highlight w:val="none"/>
                    </w:rPr>
                    <w:t>0.0152</w:t>
                  </w:r>
                  <w:r>
                    <w:rPr>
                      <w:rFonts w:hint="eastAsia" w:ascii="Times New Roman" w:hAnsi="Times New Roman" w:cs="Times New Roman"/>
                      <w:color w:val="auto"/>
                      <w:szCs w:val="21"/>
                      <w:highlight w:val="none"/>
                      <w:lang w:val="en-US" w:eastAsia="zh-CN"/>
                    </w:rPr>
                    <w:t>公顷</w:t>
                  </w: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材料堆场</w:t>
                  </w:r>
                  <w:r>
                    <w:rPr>
                      <w:rFonts w:hint="default" w:ascii="Times New Roman" w:hAnsi="Times New Roman" w:cs="Times New Roman"/>
                      <w:color w:val="auto"/>
                      <w:szCs w:val="21"/>
                      <w:highlight w:val="none"/>
                    </w:rPr>
                    <w:t>地表采用0.10m厚碎石基层+0.10m厚C20水泥混凝土面层铺设，用于堆放施工材料</w:t>
                  </w:r>
                </w:p>
              </w:tc>
              <w:tc>
                <w:tcPr>
                  <w:tcW w:w="456" w:type="dxa"/>
                  <w:noWrap w:val="0"/>
                  <w:vAlign w:val="center"/>
                </w:tcPr>
                <w:p w14:paraId="5CF9806B">
                  <w:pPr>
                    <w:autoSpaceDE w:val="0"/>
                    <w:autoSpaceDN w:val="0"/>
                    <w:adjustRightInd w:val="0"/>
                    <w:snapToGrid w:val="0"/>
                    <w:jc w:val="left"/>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411B4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14" w:type="dxa"/>
                  <w:vMerge w:val="continue"/>
                  <w:noWrap w:val="0"/>
                  <w:vAlign w:val="center"/>
                </w:tcPr>
                <w:p w14:paraId="74E27B81">
                  <w:pPr>
                    <w:autoSpaceDE w:val="0"/>
                    <w:autoSpaceDN w:val="0"/>
                    <w:adjustRightInd w:val="0"/>
                    <w:snapToGrid w:val="0"/>
                    <w:jc w:val="left"/>
                    <w:rPr>
                      <w:rFonts w:hint="default" w:ascii="Times New Roman" w:hAnsi="Times New Roman" w:cs="Times New Roman"/>
                      <w:color w:val="auto"/>
                      <w:szCs w:val="21"/>
                      <w:highlight w:val="none"/>
                    </w:rPr>
                  </w:pPr>
                </w:p>
              </w:tc>
              <w:tc>
                <w:tcPr>
                  <w:tcW w:w="691" w:type="dxa"/>
                  <w:vMerge w:val="restart"/>
                  <w:noWrap w:val="0"/>
                  <w:vAlign w:val="center"/>
                </w:tcPr>
                <w:p w14:paraId="2CA5D091">
                  <w:pPr>
                    <w:autoSpaceDE w:val="0"/>
                    <w:autoSpaceDN w:val="0"/>
                    <w:adjustRightInd w:val="0"/>
                    <w:snapToGrid w:val="0"/>
                    <w:jc w:val="left"/>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运输便道</w:t>
                  </w:r>
                </w:p>
              </w:tc>
              <w:tc>
                <w:tcPr>
                  <w:tcW w:w="6181" w:type="dxa"/>
                  <w:vMerge w:val="restart"/>
                  <w:noWrap w:val="0"/>
                  <w:vAlign w:val="top"/>
                </w:tcPr>
                <w:p w14:paraId="0281AB92">
                  <w:pPr>
                    <w:pStyle w:val="118"/>
                    <w:spacing w:before="16" w:line="245" w:lineRule="auto"/>
                    <w:ind w:left="110" w:right="44" w:hanging="5"/>
                    <w:rPr>
                      <w:rFonts w:hint="default" w:ascii="Times New Roman" w:hAnsi="Times New Roman" w:cs="Times New Roman"/>
                      <w:color w:val="auto"/>
                      <w:sz w:val="21"/>
                      <w:szCs w:val="21"/>
                      <w:highlight w:val="none"/>
                      <w:lang w:eastAsia="zh-CN"/>
                    </w:rPr>
                  </w:pPr>
                  <w:r>
                    <w:rPr>
                      <w:rFonts w:hint="default" w:ascii="Times New Roman" w:hAnsi="Times New Roman" w:eastAsia="宋体" w:cs="Times New Roman"/>
                      <w:color w:val="auto"/>
                      <w:kern w:val="2"/>
                      <w:sz w:val="21"/>
                      <w:szCs w:val="21"/>
                      <w:highlight w:val="none"/>
                      <w:lang w:val="en-US" w:eastAsia="zh-CN" w:bidi="ar-SA"/>
                    </w:rPr>
                    <w:t>本项目共</w:t>
                  </w:r>
                  <w:r>
                    <w:rPr>
                      <w:rFonts w:hint="eastAsia" w:ascii="Times New Roman" w:hAnsi="Times New Roman" w:eastAsia="宋体" w:cs="Times New Roman"/>
                      <w:color w:val="auto"/>
                      <w:kern w:val="2"/>
                      <w:sz w:val="21"/>
                      <w:szCs w:val="21"/>
                      <w:highlight w:val="none"/>
                      <w:lang w:val="en-US" w:eastAsia="zh-CN" w:bidi="ar-SA"/>
                    </w:rPr>
                    <w:t>11</w:t>
                  </w:r>
                  <w:r>
                    <w:rPr>
                      <w:rFonts w:hint="default" w:ascii="Times New Roman" w:hAnsi="Times New Roman" w:eastAsia="宋体" w:cs="Times New Roman"/>
                      <w:color w:val="auto"/>
                      <w:kern w:val="2"/>
                      <w:sz w:val="21"/>
                      <w:szCs w:val="21"/>
                      <w:highlight w:val="none"/>
                      <w:lang w:val="en-US" w:eastAsia="zh-CN" w:bidi="ar-SA"/>
                    </w:rPr>
                    <w:t>个</w:t>
                  </w:r>
                  <w:r>
                    <w:rPr>
                      <w:rFonts w:hint="eastAsia" w:ascii="Times New Roman" w:hAnsi="Times New Roman" w:eastAsia="宋体" w:cs="Times New Roman"/>
                      <w:color w:val="auto"/>
                      <w:kern w:val="2"/>
                      <w:sz w:val="21"/>
                      <w:szCs w:val="21"/>
                      <w:highlight w:val="none"/>
                      <w:lang w:val="en-US" w:eastAsia="zh-CN" w:bidi="ar-SA"/>
                    </w:rPr>
                    <w:t>井场，</w:t>
                  </w:r>
                  <w:r>
                    <w:rPr>
                      <w:rFonts w:hint="default" w:ascii="Times New Roman" w:hAnsi="Times New Roman" w:eastAsia="宋体" w:cs="Times New Roman"/>
                      <w:color w:val="auto"/>
                      <w:kern w:val="2"/>
                      <w:sz w:val="21"/>
                      <w:szCs w:val="21"/>
                      <w:highlight w:val="none"/>
                      <w:lang w:val="en-US" w:eastAsia="zh-CN" w:bidi="ar-SA"/>
                    </w:rPr>
                    <w:t>均设置运输便道，用于</w:t>
                  </w:r>
                  <w:r>
                    <w:rPr>
                      <w:rFonts w:hint="eastAsia" w:ascii="Times New Roman" w:hAnsi="Times New Roman" w:eastAsia="宋体" w:cs="Times New Roman"/>
                      <w:color w:val="auto"/>
                      <w:kern w:val="2"/>
                      <w:sz w:val="21"/>
                      <w:szCs w:val="21"/>
                      <w:highlight w:val="none"/>
                      <w:lang w:val="en-US" w:eastAsia="zh-CN" w:bidi="ar-SA"/>
                    </w:rPr>
                    <w:t>设备</w:t>
                  </w:r>
                  <w:r>
                    <w:rPr>
                      <w:rFonts w:hint="default" w:ascii="Times New Roman" w:hAnsi="Times New Roman" w:eastAsia="宋体" w:cs="Times New Roman"/>
                      <w:color w:val="auto"/>
                      <w:kern w:val="2"/>
                      <w:sz w:val="21"/>
                      <w:szCs w:val="21"/>
                      <w:highlight w:val="none"/>
                      <w:lang w:val="en-US" w:eastAsia="zh-CN" w:bidi="ar-SA"/>
                    </w:rPr>
                    <w:t>输送。各个</w:t>
                  </w:r>
                  <w:r>
                    <w:rPr>
                      <w:rFonts w:hint="eastAsia" w:ascii="Times New Roman" w:hAnsi="Times New Roman" w:eastAsia="宋体" w:cs="Times New Roman"/>
                      <w:color w:val="auto"/>
                      <w:kern w:val="2"/>
                      <w:sz w:val="21"/>
                      <w:szCs w:val="21"/>
                      <w:highlight w:val="none"/>
                      <w:lang w:val="en-US" w:eastAsia="zh-CN" w:bidi="ar-SA"/>
                    </w:rPr>
                    <w:t>井场</w:t>
                  </w:r>
                  <w:r>
                    <w:rPr>
                      <w:rFonts w:hint="default" w:ascii="Times New Roman" w:hAnsi="Times New Roman" w:eastAsia="宋体" w:cs="Times New Roman"/>
                      <w:color w:val="auto"/>
                      <w:kern w:val="2"/>
                      <w:sz w:val="21"/>
                      <w:szCs w:val="21"/>
                      <w:highlight w:val="none"/>
                      <w:lang w:val="en-US" w:eastAsia="zh-CN" w:bidi="ar-SA"/>
                    </w:rPr>
                    <w:t>区域运输便道：地块一</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0.0</w:t>
                  </w:r>
                  <w:r>
                    <w:rPr>
                      <w:rFonts w:hint="eastAsia" w:ascii="Times New Roman" w:hAnsi="Times New Roman" w:eastAsia="宋体" w:cs="Times New Roman"/>
                      <w:color w:val="auto"/>
                      <w:kern w:val="2"/>
                      <w:sz w:val="21"/>
                      <w:szCs w:val="21"/>
                      <w:highlight w:val="none"/>
                      <w:lang w:val="en-US" w:eastAsia="zh-CN" w:bidi="ar-SA"/>
                    </w:rPr>
                    <w:t>177公顷</w:t>
                  </w:r>
                  <w:r>
                    <w:rPr>
                      <w:rFonts w:hint="default" w:ascii="Times New Roman" w:hAnsi="Times New Roman" w:eastAsia="宋体" w:cs="Times New Roman"/>
                      <w:color w:val="auto"/>
                      <w:kern w:val="2"/>
                      <w:sz w:val="21"/>
                      <w:szCs w:val="21"/>
                      <w:highlight w:val="none"/>
                      <w:lang w:val="en-US" w:eastAsia="zh-CN" w:bidi="ar-SA"/>
                    </w:rPr>
                    <w:t>，地块二</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0.0</w:t>
                  </w:r>
                  <w:r>
                    <w:rPr>
                      <w:rFonts w:hint="eastAsia" w:ascii="Times New Roman" w:hAnsi="Times New Roman" w:eastAsia="宋体" w:cs="Times New Roman"/>
                      <w:color w:val="auto"/>
                      <w:kern w:val="2"/>
                      <w:sz w:val="21"/>
                      <w:szCs w:val="21"/>
                      <w:highlight w:val="none"/>
                      <w:lang w:val="en-US" w:eastAsia="zh-CN" w:bidi="ar-SA"/>
                    </w:rPr>
                    <w:t>075公顷</w:t>
                  </w:r>
                  <w:r>
                    <w:rPr>
                      <w:rFonts w:hint="default" w:ascii="Times New Roman" w:hAnsi="Times New Roman" w:eastAsia="宋体" w:cs="Times New Roman"/>
                      <w:color w:val="auto"/>
                      <w:kern w:val="2"/>
                      <w:sz w:val="21"/>
                      <w:szCs w:val="21"/>
                      <w:highlight w:val="none"/>
                      <w:lang w:val="en-US" w:eastAsia="zh-CN" w:bidi="ar-SA"/>
                    </w:rPr>
                    <w:t>，地块三</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0.0</w:t>
                  </w:r>
                  <w:r>
                    <w:rPr>
                      <w:rFonts w:hint="eastAsia" w:ascii="Times New Roman" w:hAnsi="Times New Roman" w:eastAsia="宋体" w:cs="Times New Roman"/>
                      <w:color w:val="auto"/>
                      <w:kern w:val="2"/>
                      <w:sz w:val="21"/>
                      <w:szCs w:val="21"/>
                      <w:highlight w:val="none"/>
                      <w:lang w:val="en-US" w:eastAsia="zh-CN" w:bidi="ar-SA"/>
                    </w:rPr>
                    <w:t>065公顷</w:t>
                  </w:r>
                  <w:r>
                    <w:rPr>
                      <w:rFonts w:hint="default" w:ascii="Times New Roman" w:hAnsi="Times New Roman" w:eastAsia="宋体" w:cs="Times New Roman"/>
                      <w:color w:val="auto"/>
                      <w:kern w:val="2"/>
                      <w:sz w:val="21"/>
                      <w:szCs w:val="21"/>
                      <w:highlight w:val="none"/>
                      <w:lang w:val="en-US" w:eastAsia="zh-CN" w:bidi="ar-SA"/>
                    </w:rPr>
                    <w:t>，地块四</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地块五</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0.0</w:t>
                  </w:r>
                  <w:r>
                    <w:rPr>
                      <w:rFonts w:hint="eastAsia" w:ascii="Times New Roman" w:hAnsi="Times New Roman" w:eastAsia="宋体" w:cs="Times New Roman"/>
                      <w:color w:val="auto"/>
                      <w:kern w:val="2"/>
                      <w:sz w:val="21"/>
                      <w:szCs w:val="21"/>
                      <w:highlight w:val="none"/>
                      <w:lang w:val="en-US" w:eastAsia="zh-CN" w:bidi="ar-SA"/>
                    </w:rPr>
                    <w:t>262公顷</w:t>
                  </w:r>
                  <w:r>
                    <w:rPr>
                      <w:rFonts w:hint="default" w:ascii="Times New Roman" w:hAnsi="Times New Roman" w:eastAsia="宋体" w:cs="Times New Roman"/>
                      <w:color w:val="auto"/>
                      <w:kern w:val="2"/>
                      <w:sz w:val="21"/>
                      <w:szCs w:val="21"/>
                      <w:highlight w:val="none"/>
                      <w:lang w:val="en-US" w:eastAsia="zh-CN" w:bidi="ar-SA"/>
                    </w:rPr>
                    <w:t>，地块六</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地块七</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0.0</w:t>
                  </w:r>
                  <w:r>
                    <w:rPr>
                      <w:rFonts w:hint="eastAsia" w:ascii="Times New Roman" w:hAnsi="Times New Roman" w:eastAsia="宋体" w:cs="Times New Roman"/>
                      <w:color w:val="auto"/>
                      <w:kern w:val="2"/>
                      <w:sz w:val="21"/>
                      <w:szCs w:val="21"/>
                      <w:highlight w:val="none"/>
                      <w:lang w:val="en-US" w:eastAsia="zh-CN" w:bidi="ar-SA"/>
                    </w:rPr>
                    <w:t>278公顷</w:t>
                  </w:r>
                  <w:r>
                    <w:rPr>
                      <w:rFonts w:hint="default" w:ascii="Times New Roman" w:hAnsi="Times New Roman" w:eastAsia="宋体" w:cs="Times New Roman"/>
                      <w:color w:val="auto"/>
                      <w:kern w:val="2"/>
                      <w:sz w:val="21"/>
                      <w:szCs w:val="21"/>
                      <w:highlight w:val="none"/>
                      <w:lang w:val="en-US" w:eastAsia="zh-CN" w:bidi="ar-SA"/>
                    </w:rPr>
                    <w:t>，地块八</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0.0</w:t>
                  </w:r>
                  <w:r>
                    <w:rPr>
                      <w:rFonts w:hint="eastAsia" w:ascii="Times New Roman" w:hAnsi="Times New Roman" w:eastAsia="宋体" w:cs="Times New Roman"/>
                      <w:color w:val="auto"/>
                      <w:kern w:val="2"/>
                      <w:sz w:val="21"/>
                      <w:szCs w:val="21"/>
                      <w:highlight w:val="none"/>
                      <w:lang w:val="en-US" w:eastAsia="zh-CN" w:bidi="ar-SA"/>
                    </w:rPr>
                    <w:t>143公顷</w:t>
                  </w:r>
                  <w:r>
                    <w:rPr>
                      <w:rFonts w:hint="default" w:ascii="Times New Roman" w:hAnsi="Times New Roman" w:eastAsia="宋体" w:cs="Times New Roman"/>
                      <w:color w:val="auto"/>
                      <w:kern w:val="2"/>
                      <w:sz w:val="21"/>
                      <w:szCs w:val="21"/>
                      <w:highlight w:val="none"/>
                      <w:lang w:val="en-US" w:eastAsia="zh-CN" w:bidi="ar-SA"/>
                    </w:rPr>
                    <w:t>，地块九</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0.0</w:t>
                  </w:r>
                  <w:r>
                    <w:rPr>
                      <w:rFonts w:hint="eastAsia" w:ascii="Times New Roman" w:hAnsi="Times New Roman" w:eastAsia="宋体" w:cs="Times New Roman"/>
                      <w:color w:val="auto"/>
                      <w:kern w:val="2"/>
                      <w:sz w:val="21"/>
                      <w:szCs w:val="21"/>
                      <w:highlight w:val="none"/>
                      <w:lang w:val="en-US" w:eastAsia="zh-CN" w:bidi="ar-SA"/>
                    </w:rPr>
                    <w:t>143公顷</w:t>
                  </w:r>
                  <w:r>
                    <w:rPr>
                      <w:rFonts w:hint="default" w:ascii="Times New Roman" w:hAnsi="Times New Roman" w:eastAsia="宋体" w:cs="Times New Roman"/>
                      <w:color w:val="auto"/>
                      <w:kern w:val="2"/>
                      <w:sz w:val="21"/>
                      <w:szCs w:val="21"/>
                      <w:highlight w:val="none"/>
                      <w:lang w:val="en-US" w:eastAsia="zh-CN" w:bidi="ar-SA"/>
                    </w:rPr>
                    <w:t>，地块十</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0.0</w:t>
                  </w:r>
                  <w:r>
                    <w:rPr>
                      <w:rFonts w:hint="eastAsia" w:ascii="Times New Roman" w:hAnsi="Times New Roman" w:eastAsia="宋体" w:cs="Times New Roman"/>
                      <w:color w:val="auto"/>
                      <w:kern w:val="2"/>
                      <w:sz w:val="21"/>
                      <w:szCs w:val="21"/>
                      <w:highlight w:val="none"/>
                      <w:lang w:val="en-US" w:eastAsia="zh-CN" w:bidi="ar-SA"/>
                    </w:rPr>
                    <w:t>226公顷，地块十一：</w:t>
                  </w:r>
                  <w:r>
                    <w:rPr>
                      <w:rFonts w:hint="default" w:ascii="Times New Roman" w:hAnsi="Times New Roman" w:eastAsia="宋体" w:cs="Times New Roman"/>
                      <w:color w:val="auto"/>
                      <w:kern w:val="2"/>
                      <w:sz w:val="21"/>
                      <w:szCs w:val="21"/>
                      <w:highlight w:val="none"/>
                      <w:lang w:val="en-US" w:eastAsia="zh-CN" w:bidi="ar-SA"/>
                    </w:rPr>
                    <w:t>0.0</w:t>
                  </w:r>
                  <w:r>
                    <w:rPr>
                      <w:rFonts w:hint="eastAsia" w:ascii="Times New Roman" w:hAnsi="Times New Roman" w:eastAsia="宋体" w:cs="Times New Roman"/>
                      <w:color w:val="auto"/>
                      <w:kern w:val="2"/>
                      <w:sz w:val="21"/>
                      <w:szCs w:val="21"/>
                      <w:highlight w:val="none"/>
                      <w:lang w:val="en-US" w:eastAsia="zh-CN" w:bidi="ar-SA"/>
                    </w:rPr>
                    <w:t>253公顷</w:t>
                  </w:r>
                  <w:r>
                    <w:rPr>
                      <w:rFonts w:hint="default" w:ascii="Times New Roman" w:hAnsi="Times New Roman" w:eastAsia="宋体" w:cs="Times New Roman"/>
                      <w:color w:val="auto"/>
                      <w:kern w:val="2"/>
                      <w:sz w:val="21"/>
                      <w:szCs w:val="21"/>
                      <w:highlight w:val="none"/>
                      <w:lang w:val="en-US" w:eastAsia="zh-CN" w:bidi="ar-SA"/>
                    </w:rPr>
                    <w:t>。施工便道平均宽度约5m，采用5m×1.5m×0.18m钢板铺设。</w:t>
                  </w:r>
                </w:p>
              </w:tc>
              <w:tc>
                <w:tcPr>
                  <w:tcW w:w="456" w:type="dxa"/>
                  <w:noWrap w:val="0"/>
                  <w:vAlign w:val="top"/>
                </w:tcPr>
                <w:p w14:paraId="09D8B719">
                  <w:pPr>
                    <w:pStyle w:val="118"/>
                    <w:spacing w:before="33" w:line="242" w:lineRule="auto"/>
                    <w:ind w:left="110" w:right="44" w:hanging="5"/>
                    <w:rPr>
                      <w:rFonts w:hint="default" w:ascii="Times New Roman" w:hAnsi="Times New Roman" w:cs="Times New Roman"/>
                      <w:color w:val="auto"/>
                      <w:spacing w:val="4"/>
                      <w:highlight w:val="none"/>
                      <w:lang w:val="en-US" w:eastAsia="zh-CN"/>
                    </w:rPr>
                  </w:pPr>
                  <w:r>
                    <w:rPr>
                      <w:rFonts w:hint="default" w:ascii="Times New Roman" w:hAnsi="Times New Roman" w:cs="Times New Roman"/>
                      <w:color w:val="auto"/>
                      <w:spacing w:val="4"/>
                      <w:highlight w:val="none"/>
                      <w:lang w:val="en-US" w:eastAsia="zh-CN"/>
                    </w:rPr>
                    <w:t>/</w:t>
                  </w:r>
                </w:p>
              </w:tc>
            </w:tr>
            <w:tr w14:paraId="0BFD8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dxa"/>
                  <w:vMerge w:val="continue"/>
                  <w:noWrap w:val="0"/>
                  <w:vAlign w:val="center"/>
                </w:tcPr>
                <w:p w14:paraId="02E2F2FE">
                  <w:pPr>
                    <w:autoSpaceDE w:val="0"/>
                    <w:autoSpaceDN w:val="0"/>
                    <w:adjustRightInd w:val="0"/>
                    <w:snapToGrid w:val="0"/>
                    <w:jc w:val="left"/>
                    <w:rPr>
                      <w:rFonts w:hint="default" w:ascii="Times New Roman" w:hAnsi="Times New Roman" w:cs="Times New Roman"/>
                      <w:color w:val="auto"/>
                      <w:szCs w:val="21"/>
                      <w:highlight w:val="none"/>
                    </w:rPr>
                  </w:pPr>
                </w:p>
              </w:tc>
              <w:tc>
                <w:tcPr>
                  <w:tcW w:w="691" w:type="dxa"/>
                  <w:vMerge w:val="continue"/>
                  <w:noWrap w:val="0"/>
                  <w:vAlign w:val="center"/>
                </w:tcPr>
                <w:p w14:paraId="5AEF2165">
                  <w:pPr>
                    <w:autoSpaceDE w:val="0"/>
                    <w:autoSpaceDN w:val="0"/>
                    <w:adjustRightInd w:val="0"/>
                    <w:snapToGrid w:val="0"/>
                    <w:jc w:val="left"/>
                    <w:rPr>
                      <w:rFonts w:hint="default" w:ascii="Times New Roman" w:hAnsi="Times New Roman" w:cs="Times New Roman"/>
                      <w:color w:val="auto"/>
                      <w:szCs w:val="21"/>
                      <w:highlight w:val="none"/>
                    </w:rPr>
                  </w:pPr>
                </w:p>
              </w:tc>
              <w:tc>
                <w:tcPr>
                  <w:tcW w:w="6181" w:type="dxa"/>
                  <w:vMerge w:val="continue"/>
                  <w:noWrap w:val="0"/>
                  <w:vAlign w:val="top"/>
                </w:tcPr>
                <w:p w14:paraId="07FD7D6F">
                  <w:pPr>
                    <w:pStyle w:val="118"/>
                    <w:spacing w:before="16" w:line="245" w:lineRule="auto"/>
                    <w:ind w:left="110" w:right="44" w:hanging="5"/>
                    <w:rPr>
                      <w:rFonts w:hint="default" w:ascii="Times New Roman" w:hAnsi="Times New Roman" w:cs="Times New Roman"/>
                      <w:color w:val="auto"/>
                      <w:sz w:val="21"/>
                      <w:szCs w:val="21"/>
                      <w:highlight w:val="none"/>
                      <w:lang w:eastAsia="zh-CN"/>
                    </w:rPr>
                  </w:pPr>
                </w:p>
              </w:tc>
              <w:tc>
                <w:tcPr>
                  <w:tcW w:w="456" w:type="dxa"/>
                  <w:noWrap w:val="0"/>
                  <w:vAlign w:val="top"/>
                </w:tcPr>
                <w:p w14:paraId="2C479623">
                  <w:pPr>
                    <w:pStyle w:val="118"/>
                    <w:spacing w:before="16" w:line="245" w:lineRule="auto"/>
                    <w:ind w:left="110" w:right="44" w:hanging="5"/>
                    <w:rPr>
                      <w:rFonts w:hint="default" w:ascii="Times New Roman" w:hAnsi="Times New Roman" w:cs="Times New Roman"/>
                      <w:color w:val="auto"/>
                      <w:spacing w:val="4"/>
                      <w:highlight w:val="none"/>
                      <w:lang w:val="en-US" w:eastAsia="zh-CN"/>
                    </w:rPr>
                  </w:pPr>
                  <w:r>
                    <w:rPr>
                      <w:rFonts w:hint="default" w:ascii="Times New Roman" w:hAnsi="Times New Roman" w:cs="Times New Roman"/>
                      <w:color w:val="auto"/>
                      <w:spacing w:val="4"/>
                      <w:highlight w:val="none"/>
                      <w:lang w:val="en-US" w:eastAsia="zh-CN"/>
                    </w:rPr>
                    <w:t>/</w:t>
                  </w:r>
                </w:p>
              </w:tc>
            </w:tr>
            <w:tr w14:paraId="10874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514" w:type="dxa"/>
                  <w:vMerge w:val="restart"/>
                  <w:noWrap w:val="0"/>
                  <w:vAlign w:val="center"/>
                </w:tcPr>
                <w:p w14:paraId="04B2AE83">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公用工程</w:t>
                  </w:r>
                </w:p>
              </w:tc>
              <w:tc>
                <w:tcPr>
                  <w:tcW w:w="691" w:type="dxa"/>
                  <w:noWrap w:val="0"/>
                  <w:vAlign w:val="center"/>
                </w:tcPr>
                <w:p w14:paraId="4937C1D6">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临时道路</w:t>
                  </w:r>
                </w:p>
              </w:tc>
              <w:tc>
                <w:tcPr>
                  <w:tcW w:w="6181" w:type="dxa"/>
                  <w:noWrap w:val="0"/>
                  <w:vAlign w:val="center"/>
                </w:tcPr>
                <w:p w14:paraId="4793B44E">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本项目利用乡村现有道路通行，无需单独建设临时道路。</w:t>
                  </w:r>
                </w:p>
              </w:tc>
              <w:tc>
                <w:tcPr>
                  <w:tcW w:w="456" w:type="dxa"/>
                  <w:noWrap w:val="0"/>
                  <w:vAlign w:val="center"/>
                </w:tcPr>
                <w:p w14:paraId="47EDE0BC">
                  <w:pPr>
                    <w:autoSpaceDE w:val="0"/>
                    <w:autoSpaceDN w:val="0"/>
                    <w:adjustRightInd w:val="0"/>
                    <w:snapToGrid w:val="0"/>
                    <w:jc w:val="left"/>
                    <w:rPr>
                      <w:rFonts w:hint="default" w:ascii="Times New Roman" w:hAnsi="Times New Roman" w:eastAsia="宋体" w:cs="Times New Roman"/>
                      <w:color w:val="auto"/>
                      <w:spacing w:val="9"/>
                      <w:sz w:val="20"/>
                      <w:szCs w:val="20"/>
                      <w:highlight w:val="none"/>
                      <w:lang w:val="en-US" w:eastAsia="zh-CN"/>
                    </w:rPr>
                  </w:pPr>
                  <w:r>
                    <w:rPr>
                      <w:rFonts w:hint="default" w:ascii="Times New Roman" w:hAnsi="Times New Roman" w:cs="Times New Roman"/>
                      <w:color w:val="auto"/>
                      <w:spacing w:val="9"/>
                      <w:sz w:val="20"/>
                      <w:szCs w:val="20"/>
                      <w:highlight w:val="none"/>
                      <w:lang w:val="en-US" w:eastAsia="zh-CN"/>
                    </w:rPr>
                    <w:t>/</w:t>
                  </w:r>
                </w:p>
              </w:tc>
            </w:tr>
            <w:tr w14:paraId="2B984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514" w:type="dxa"/>
                  <w:vMerge w:val="continue"/>
                  <w:noWrap w:val="0"/>
                  <w:vAlign w:val="center"/>
                </w:tcPr>
                <w:p w14:paraId="08E969F5">
                  <w:pPr>
                    <w:autoSpaceDE w:val="0"/>
                    <w:autoSpaceDN w:val="0"/>
                    <w:adjustRightInd w:val="0"/>
                    <w:snapToGrid w:val="0"/>
                    <w:jc w:val="left"/>
                    <w:rPr>
                      <w:rFonts w:hint="default" w:ascii="Times New Roman" w:hAnsi="Times New Roman" w:cs="Times New Roman"/>
                      <w:color w:val="auto"/>
                      <w:szCs w:val="21"/>
                      <w:highlight w:val="none"/>
                    </w:rPr>
                  </w:pPr>
                </w:p>
              </w:tc>
              <w:tc>
                <w:tcPr>
                  <w:tcW w:w="691" w:type="dxa"/>
                  <w:noWrap w:val="0"/>
                  <w:vAlign w:val="center"/>
                </w:tcPr>
                <w:p w14:paraId="0D6EF449">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办公用房</w:t>
                  </w:r>
                </w:p>
              </w:tc>
              <w:tc>
                <w:tcPr>
                  <w:tcW w:w="6181" w:type="dxa"/>
                  <w:noWrap w:val="0"/>
                  <w:vAlign w:val="center"/>
                </w:tcPr>
                <w:p w14:paraId="39ECAAFA">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施工场地自建集装箱式临时活动板房作为办公用房，办公用房建筑</w:t>
                  </w:r>
                  <w:r>
                    <w:rPr>
                      <w:rFonts w:hint="eastAsia" w:cs="Times New Roman"/>
                      <w:color w:val="auto"/>
                      <w:szCs w:val="21"/>
                      <w:highlight w:val="none"/>
                      <w:lang w:val="en-US" w:eastAsia="zh-CN"/>
                    </w:rPr>
                    <w:t>总</w:t>
                  </w:r>
                  <w:r>
                    <w:rPr>
                      <w:rFonts w:hint="default" w:ascii="Times New Roman" w:hAnsi="Times New Roman" w:cs="Times New Roman"/>
                      <w:color w:val="auto"/>
                      <w:szCs w:val="21"/>
                      <w:highlight w:val="none"/>
                    </w:rPr>
                    <w:t>面积约</w:t>
                  </w:r>
                  <w:r>
                    <w:rPr>
                      <w:rFonts w:hint="eastAsia" w:cs="Times New Roman"/>
                      <w:color w:val="auto"/>
                      <w:szCs w:val="21"/>
                      <w:highlight w:val="none"/>
                      <w:lang w:val="en-US" w:eastAsia="zh-CN"/>
                    </w:rPr>
                    <w:t>2993</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szCs w:val="21"/>
                      <w:highlight w:val="none"/>
                    </w:rPr>
                    <w:t>，包括会议室、值班室等。</w:t>
                  </w:r>
                </w:p>
              </w:tc>
              <w:tc>
                <w:tcPr>
                  <w:tcW w:w="456" w:type="dxa"/>
                  <w:noWrap w:val="0"/>
                  <w:vAlign w:val="center"/>
                </w:tcPr>
                <w:p w14:paraId="5522A3B9">
                  <w:pPr>
                    <w:autoSpaceDE w:val="0"/>
                    <w:autoSpaceDN w:val="0"/>
                    <w:adjustRightInd w:val="0"/>
                    <w:snapToGrid w:val="0"/>
                    <w:jc w:val="left"/>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264F0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noWrap w:val="0"/>
                  <w:vAlign w:val="center"/>
                </w:tcPr>
                <w:p w14:paraId="2FB2461B">
                  <w:pPr>
                    <w:autoSpaceDE w:val="0"/>
                    <w:autoSpaceDN w:val="0"/>
                    <w:adjustRightInd w:val="0"/>
                    <w:snapToGrid w:val="0"/>
                    <w:jc w:val="left"/>
                    <w:rPr>
                      <w:rFonts w:hint="default" w:ascii="Times New Roman" w:hAnsi="Times New Roman" w:cs="Times New Roman"/>
                      <w:color w:val="auto"/>
                      <w:szCs w:val="21"/>
                      <w:highlight w:val="none"/>
                    </w:rPr>
                  </w:pPr>
                </w:p>
              </w:tc>
              <w:tc>
                <w:tcPr>
                  <w:tcW w:w="691" w:type="dxa"/>
                  <w:noWrap w:val="0"/>
                  <w:vAlign w:val="center"/>
                </w:tcPr>
                <w:p w14:paraId="6695CB7A">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宿舍</w:t>
                  </w:r>
                </w:p>
              </w:tc>
              <w:tc>
                <w:tcPr>
                  <w:tcW w:w="6181" w:type="dxa"/>
                  <w:noWrap w:val="0"/>
                  <w:vAlign w:val="center"/>
                </w:tcPr>
                <w:p w14:paraId="5B098324">
                  <w:pPr>
                    <w:autoSpaceDE w:val="0"/>
                    <w:autoSpaceDN w:val="0"/>
                    <w:adjustRightInd w:val="0"/>
                    <w:snapToGrid w:val="0"/>
                    <w:jc w:val="left"/>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本项目</w:t>
                  </w:r>
                  <w:r>
                    <w:rPr>
                      <w:rFonts w:hint="default" w:ascii="Times New Roman" w:hAnsi="Times New Roman" w:eastAsia="宋体" w:cs="Times New Roman"/>
                      <w:color w:val="auto"/>
                      <w:szCs w:val="21"/>
                      <w:highlight w:val="none"/>
                      <w:lang w:val="en-US" w:eastAsia="zh-CN"/>
                    </w:rPr>
                    <w:t>现场不设置宿舍。</w:t>
                  </w:r>
                  <w:r>
                    <w:rPr>
                      <w:rFonts w:hint="eastAsia" w:ascii="Times New Roman" w:hAnsi="Times New Roman" w:eastAsia="宋体" w:cs="Times New Roman"/>
                      <w:color w:val="auto"/>
                      <w:szCs w:val="21"/>
                      <w:highlight w:val="none"/>
                      <w:lang w:val="en-US" w:eastAsia="zh-CN"/>
                    </w:rPr>
                    <w:t>施工人员住宿依托周边现有设施或自行解决，不在临时用地范围内设置住宿设施。</w:t>
                  </w:r>
                </w:p>
              </w:tc>
              <w:tc>
                <w:tcPr>
                  <w:tcW w:w="456" w:type="dxa"/>
                  <w:noWrap w:val="0"/>
                  <w:vAlign w:val="center"/>
                </w:tcPr>
                <w:p w14:paraId="081F0FBB">
                  <w:pPr>
                    <w:autoSpaceDE w:val="0"/>
                    <w:autoSpaceDN w:val="0"/>
                    <w:adjustRightInd w:val="0"/>
                    <w:snapToGrid w:val="0"/>
                    <w:jc w:val="left"/>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4774D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14" w:type="dxa"/>
                  <w:vMerge w:val="continue"/>
                  <w:noWrap w:val="0"/>
                  <w:vAlign w:val="center"/>
                </w:tcPr>
                <w:p w14:paraId="0A6FC40F">
                  <w:pPr>
                    <w:autoSpaceDE w:val="0"/>
                    <w:autoSpaceDN w:val="0"/>
                    <w:adjustRightInd w:val="0"/>
                    <w:snapToGrid w:val="0"/>
                    <w:jc w:val="left"/>
                    <w:rPr>
                      <w:rFonts w:hint="default" w:ascii="Times New Roman" w:hAnsi="Times New Roman" w:cs="Times New Roman"/>
                      <w:color w:val="auto"/>
                      <w:szCs w:val="21"/>
                      <w:highlight w:val="none"/>
                    </w:rPr>
                  </w:pPr>
                </w:p>
              </w:tc>
              <w:tc>
                <w:tcPr>
                  <w:tcW w:w="691" w:type="dxa"/>
                  <w:noWrap w:val="0"/>
                  <w:vAlign w:val="center"/>
                </w:tcPr>
                <w:p w14:paraId="2EA17323">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供水</w:t>
                  </w:r>
                </w:p>
              </w:tc>
              <w:tc>
                <w:tcPr>
                  <w:tcW w:w="6181" w:type="dxa"/>
                  <w:noWrap w:val="0"/>
                  <w:vAlign w:val="center"/>
                </w:tcPr>
                <w:p w14:paraId="3F25C926">
                  <w:pPr>
                    <w:autoSpaceDE w:val="0"/>
                    <w:autoSpaceDN w:val="0"/>
                    <w:adjustRightInd w:val="0"/>
                    <w:snapToGrid w:val="0"/>
                    <w:jc w:val="left"/>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本项目</w:t>
                  </w:r>
                  <w:r>
                    <w:rPr>
                      <w:rFonts w:hint="eastAsia" w:ascii="Times New Roman" w:hAnsi="Times New Roman" w:eastAsia="宋体" w:cs="Times New Roman"/>
                      <w:color w:val="auto"/>
                      <w:szCs w:val="21"/>
                      <w:highlight w:val="none"/>
                      <w:lang w:val="en-US" w:eastAsia="zh-CN"/>
                    </w:rPr>
                    <w:t>施工生产用水依托附近村庄供水设施</w:t>
                  </w:r>
                  <w:r>
                    <w:rPr>
                      <w:rFonts w:hint="default" w:ascii="Times New Roman" w:hAnsi="Times New Roman" w:eastAsia="宋体" w:cs="Times New Roman"/>
                      <w:color w:val="auto"/>
                      <w:szCs w:val="21"/>
                      <w:highlight w:val="none"/>
                    </w:rPr>
                    <w:t>。生活用水由建设单位统一采购桶装水使用。</w:t>
                  </w:r>
                </w:p>
              </w:tc>
              <w:tc>
                <w:tcPr>
                  <w:tcW w:w="456" w:type="dxa"/>
                  <w:noWrap w:val="0"/>
                  <w:vAlign w:val="center"/>
                </w:tcPr>
                <w:p w14:paraId="4454A227">
                  <w:pPr>
                    <w:autoSpaceDE w:val="0"/>
                    <w:autoSpaceDN w:val="0"/>
                    <w:adjustRightInd w:val="0"/>
                    <w:snapToGrid w:val="0"/>
                    <w:jc w:val="left"/>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2CDD8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514" w:type="dxa"/>
                  <w:vMerge w:val="continue"/>
                  <w:noWrap w:val="0"/>
                  <w:vAlign w:val="center"/>
                </w:tcPr>
                <w:p w14:paraId="254D550D">
                  <w:pPr>
                    <w:autoSpaceDE w:val="0"/>
                    <w:autoSpaceDN w:val="0"/>
                    <w:adjustRightInd w:val="0"/>
                    <w:snapToGrid w:val="0"/>
                    <w:jc w:val="left"/>
                    <w:rPr>
                      <w:rFonts w:hint="default" w:ascii="Times New Roman" w:hAnsi="Times New Roman" w:cs="Times New Roman"/>
                      <w:color w:val="auto"/>
                      <w:szCs w:val="21"/>
                      <w:highlight w:val="none"/>
                    </w:rPr>
                  </w:pPr>
                </w:p>
              </w:tc>
              <w:tc>
                <w:tcPr>
                  <w:tcW w:w="691" w:type="dxa"/>
                  <w:noWrap w:val="0"/>
                  <w:vAlign w:val="center"/>
                </w:tcPr>
                <w:p w14:paraId="7A913C31">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供电</w:t>
                  </w:r>
                </w:p>
              </w:tc>
              <w:tc>
                <w:tcPr>
                  <w:tcW w:w="6181" w:type="dxa"/>
                  <w:noWrap w:val="0"/>
                  <w:vAlign w:val="center"/>
                </w:tcPr>
                <w:p w14:paraId="3CA77AC8">
                  <w:pPr>
                    <w:autoSpaceDE w:val="0"/>
                    <w:autoSpaceDN w:val="0"/>
                    <w:adjustRightInd w:val="0"/>
                    <w:snapToGrid w:val="0"/>
                    <w:jc w:val="left"/>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本项目供电自矿风井电源接驳点接入，</w:t>
                  </w:r>
                  <w:r>
                    <w:rPr>
                      <w:rFonts w:hint="eastAsia" w:cs="Times New Roman"/>
                      <w:color w:val="auto"/>
                      <w:szCs w:val="21"/>
                      <w:highlight w:val="none"/>
                      <w:lang w:val="en-US" w:eastAsia="zh-CN"/>
                    </w:rPr>
                    <w:t>施工期用电量约65万度，</w:t>
                  </w:r>
                  <w:r>
                    <w:rPr>
                      <w:rFonts w:hint="default" w:ascii="Times New Roman" w:hAnsi="Times New Roman" w:cs="Times New Roman"/>
                      <w:color w:val="auto"/>
                      <w:szCs w:val="21"/>
                      <w:highlight w:val="none"/>
                    </w:rPr>
                    <w:t>设一级配电箱一个，施工用电均从一级配电箱接出。采用三级配电，现场施工机具做到</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一机、一闸、一漏、一箱</w:t>
                  </w:r>
                  <w:r>
                    <w:rPr>
                      <w:rFonts w:hint="eastAsia" w:cs="Times New Roman"/>
                      <w:color w:val="auto"/>
                      <w:szCs w:val="21"/>
                      <w:highlight w:val="none"/>
                      <w:lang w:eastAsia="zh-CN"/>
                    </w:rPr>
                    <w:t>”。</w:t>
                  </w:r>
                </w:p>
              </w:tc>
              <w:tc>
                <w:tcPr>
                  <w:tcW w:w="456" w:type="dxa"/>
                  <w:noWrap w:val="0"/>
                  <w:vAlign w:val="center"/>
                </w:tcPr>
                <w:p w14:paraId="24CF505F">
                  <w:pPr>
                    <w:autoSpaceDE w:val="0"/>
                    <w:autoSpaceDN w:val="0"/>
                    <w:adjustRightInd w:val="0"/>
                    <w:snapToGrid w:val="0"/>
                    <w:jc w:val="left"/>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1B0FA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514" w:type="dxa"/>
                  <w:vMerge w:val="continue"/>
                  <w:noWrap w:val="0"/>
                  <w:vAlign w:val="center"/>
                </w:tcPr>
                <w:p w14:paraId="114C3749">
                  <w:pPr>
                    <w:autoSpaceDE w:val="0"/>
                    <w:autoSpaceDN w:val="0"/>
                    <w:adjustRightInd w:val="0"/>
                    <w:snapToGrid w:val="0"/>
                    <w:jc w:val="left"/>
                    <w:rPr>
                      <w:rFonts w:hint="default" w:ascii="Times New Roman" w:hAnsi="Times New Roman" w:cs="Times New Roman"/>
                      <w:color w:val="auto"/>
                      <w:szCs w:val="21"/>
                      <w:highlight w:val="none"/>
                    </w:rPr>
                  </w:pPr>
                </w:p>
              </w:tc>
              <w:tc>
                <w:tcPr>
                  <w:tcW w:w="691" w:type="dxa"/>
                  <w:noWrap w:val="0"/>
                  <w:vAlign w:val="center"/>
                </w:tcPr>
                <w:p w14:paraId="43A094BA">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排水</w:t>
                  </w:r>
                </w:p>
              </w:tc>
              <w:tc>
                <w:tcPr>
                  <w:tcW w:w="6181" w:type="dxa"/>
                  <w:noWrap w:val="0"/>
                  <w:vAlign w:val="center"/>
                </w:tcPr>
                <w:p w14:paraId="3DD5AAE6">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本项目无</w:t>
                  </w:r>
                  <w:r>
                    <w:rPr>
                      <w:rFonts w:hint="default" w:ascii="Times New Roman" w:hAnsi="Times New Roman" w:eastAsia="宋体" w:cs="Times New Roman"/>
                      <w:color w:val="auto"/>
                      <w:szCs w:val="21"/>
                      <w:highlight w:val="none"/>
                    </w:rPr>
                    <w:t>生产废水排放；生活污水经化粪池预处理后定期委托第三方使用吸污车运送至新集</w:t>
                  </w:r>
                  <w:r>
                    <w:rPr>
                      <w:rFonts w:hint="eastAsia" w:cs="Times New Roman"/>
                      <w:color w:val="auto"/>
                      <w:szCs w:val="21"/>
                      <w:highlight w:val="none"/>
                      <w:lang w:val="en-US" w:eastAsia="zh-CN"/>
                    </w:rPr>
                    <w:t>一</w:t>
                  </w:r>
                  <w:r>
                    <w:rPr>
                      <w:rFonts w:hint="default" w:ascii="Times New Roman" w:hAnsi="Times New Roman" w:eastAsia="宋体" w:cs="Times New Roman"/>
                      <w:color w:val="auto"/>
                      <w:szCs w:val="21"/>
                      <w:highlight w:val="none"/>
                    </w:rPr>
                    <w:t>矿现有生活污水处理站进行处理。</w:t>
                  </w:r>
                </w:p>
              </w:tc>
              <w:tc>
                <w:tcPr>
                  <w:tcW w:w="456" w:type="dxa"/>
                  <w:noWrap w:val="0"/>
                  <w:vAlign w:val="center"/>
                </w:tcPr>
                <w:p w14:paraId="36A2611F">
                  <w:pPr>
                    <w:autoSpaceDE w:val="0"/>
                    <w:autoSpaceDN w:val="0"/>
                    <w:adjustRightInd w:val="0"/>
                    <w:snapToGrid w:val="0"/>
                    <w:jc w:val="left"/>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4A98F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restart"/>
                  <w:noWrap w:val="0"/>
                  <w:vAlign w:val="center"/>
                </w:tcPr>
                <w:p w14:paraId="34DDF1F6">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环保工程</w:t>
                  </w:r>
                </w:p>
              </w:tc>
              <w:tc>
                <w:tcPr>
                  <w:tcW w:w="691" w:type="dxa"/>
                  <w:noWrap w:val="0"/>
                  <w:vAlign w:val="center"/>
                </w:tcPr>
                <w:p w14:paraId="61AB620C">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废气</w:t>
                  </w:r>
                </w:p>
              </w:tc>
              <w:tc>
                <w:tcPr>
                  <w:tcW w:w="6181" w:type="dxa"/>
                  <w:noWrap w:val="0"/>
                  <w:vAlign w:val="center"/>
                </w:tcPr>
                <w:p w14:paraId="26DAC996">
                  <w:pPr>
                    <w:autoSpaceDE w:val="0"/>
                    <w:autoSpaceDN w:val="0"/>
                    <w:adjustRightInd w:val="0"/>
                    <w:snapToGrid w:val="0"/>
                    <w:jc w:val="left"/>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highlight w:val="none"/>
                      <w:lang w:val="en-US" w:eastAsia="zh-CN"/>
                    </w:rPr>
                    <w:t>施工现场设置围挡，围挡高度1.8米，出入口道路采用水泥进行硬化，场地内土堆</w:t>
                  </w:r>
                  <w:r>
                    <w:rPr>
                      <w:rFonts w:hint="default" w:ascii="Times New Roman" w:hAnsi="Times New Roman" w:cs="Times New Roman"/>
                      <w:color w:val="auto"/>
                      <w:szCs w:val="21"/>
                      <w:highlight w:val="none"/>
                      <w:lang w:val="en-US" w:eastAsia="zh-CN"/>
                    </w:rPr>
                    <w:t>、料堆遮盖，防止扬尘的扩散，定期洒水抑尘等。</w:t>
                  </w:r>
                  <w:r>
                    <w:rPr>
                      <w:rFonts w:hint="default" w:ascii="Times New Roman" w:hAnsi="Times New Roman" w:cs="Times New Roman"/>
                      <w:color w:val="auto"/>
                      <w:szCs w:val="21"/>
                      <w:highlight w:val="none"/>
                    </w:rPr>
                    <w:t>注浆站采取密闭厂房封闭，顶部加装通风除尘装置，粉煤灰等细颗粒材料储放采用立式封闭筒仓并安装除尘器，储灰罐顶部加装震动或静电除尘装置，确保散料无外泄；散料罐车运输时关闭严密，卸运防止遗洒飞扬，现场出口设洗车槽对车辆进行冲洗，达到目视无尘或无泥；施工道路面层采用混凝土硬化，临时便道根据干燥程度洒水覆盖浮灰，钻场平整后以防尘网全覆盖</w:t>
                  </w:r>
                  <w:r>
                    <w:rPr>
                      <w:rFonts w:hint="eastAsia" w:cs="Times New Roman"/>
                      <w:color w:val="auto"/>
                      <w:szCs w:val="21"/>
                      <w:highlight w:val="none"/>
                      <w:lang w:eastAsia="zh-CN"/>
                    </w:rPr>
                    <w:t>。</w:t>
                  </w:r>
                </w:p>
                <w:p w14:paraId="2A12CE65">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施工期影响主要为施工扬尘、机械尾气等，施工现场扬尘污染防治应做到</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六个百分之百</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，减少对周边空气环境的影响。</w:t>
                  </w:r>
                </w:p>
              </w:tc>
              <w:tc>
                <w:tcPr>
                  <w:tcW w:w="456" w:type="dxa"/>
                  <w:noWrap w:val="0"/>
                  <w:vAlign w:val="center"/>
                </w:tcPr>
                <w:p w14:paraId="1AFAAA12">
                  <w:pPr>
                    <w:autoSpaceDE w:val="0"/>
                    <w:autoSpaceDN w:val="0"/>
                    <w:adjustRightInd w:val="0"/>
                    <w:snapToGrid w:val="0"/>
                    <w:jc w:val="left"/>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33D7C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noWrap w:val="0"/>
                  <w:vAlign w:val="center"/>
                </w:tcPr>
                <w:p w14:paraId="0F329048">
                  <w:pPr>
                    <w:autoSpaceDE w:val="0"/>
                    <w:autoSpaceDN w:val="0"/>
                    <w:adjustRightInd w:val="0"/>
                    <w:snapToGrid w:val="0"/>
                    <w:jc w:val="left"/>
                    <w:rPr>
                      <w:rFonts w:hint="default" w:ascii="Times New Roman" w:hAnsi="Times New Roman" w:cs="Times New Roman"/>
                      <w:color w:val="auto"/>
                      <w:szCs w:val="21"/>
                      <w:highlight w:val="none"/>
                    </w:rPr>
                  </w:pPr>
                </w:p>
              </w:tc>
              <w:tc>
                <w:tcPr>
                  <w:tcW w:w="691" w:type="dxa"/>
                  <w:noWrap w:val="0"/>
                  <w:vAlign w:val="center"/>
                </w:tcPr>
                <w:p w14:paraId="017D7872">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废水</w:t>
                  </w:r>
                </w:p>
              </w:tc>
              <w:tc>
                <w:tcPr>
                  <w:tcW w:w="6181" w:type="dxa"/>
                  <w:noWrap w:val="0"/>
                  <w:vAlign w:val="center"/>
                </w:tcPr>
                <w:p w14:paraId="240A5952">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项目无生产</w:t>
                  </w:r>
                  <w:r>
                    <w:rPr>
                      <w:rFonts w:hint="default" w:ascii="Times New Roman" w:hAnsi="Times New Roman" w:eastAsia="宋体" w:cs="Times New Roman"/>
                      <w:color w:val="auto"/>
                      <w:szCs w:val="21"/>
                      <w:highlight w:val="none"/>
                    </w:rPr>
                    <w:t>废水排放；车辆冲洗废水经沉淀后循环利用，不外排</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生活污水经化粪池预处理后定期委托第三方使用吸污车运送至新集</w:t>
                  </w:r>
                  <w:r>
                    <w:rPr>
                      <w:rFonts w:hint="eastAsia" w:cs="Times New Roman"/>
                      <w:color w:val="auto"/>
                      <w:szCs w:val="21"/>
                      <w:highlight w:val="none"/>
                      <w:lang w:val="en-US" w:eastAsia="zh-CN"/>
                    </w:rPr>
                    <w:t>一</w:t>
                  </w:r>
                  <w:r>
                    <w:rPr>
                      <w:rFonts w:hint="default" w:ascii="Times New Roman" w:hAnsi="Times New Roman" w:eastAsia="宋体" w:cs="Times New Roman"/>
                      <w:color w:val="auto"/>
                      <w:szCs w:val="21"/>
                      <w:highlight w:val="none"/>
                    </w:rPr>
                    <w:t>矿现有生活污水处理站进行处理</w:t>
                  </w: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rPr>
                    <w:t>钻探施工产生的泥浆废水经沉淀后进行废</w:t>
                  </w:r>
                  <w:r>
                    <w:rPr>
                      <w:rFonts w:hint="default" w:ascii="Times New Roman" w:hAnsi="Times New Roman" w:cs="Times New Roman"/>
                      <w:color w:val="auto"/>
                      <w:szCs w:val="21"/>
                      <w:highlight w:val="none"/>
                    </w:rPr>
                    <w:t>浆处理；施工期间采取强制排水与自流排水相结合的方式，确保现场无积水、排水畅通，实现施工废水不外排、不污染周边地表水体。</w:t>
                  </w:r>
                </w:p>
              </w:tc>
              <w:tc>
                <w:tcPr>
                  <w:tcW w:w="456" w:type="dxa"/>
                  <w:noWrap w:val="0"/>
                  <w:vAlign w:val="center"/>
                </w:tcPr>
                <w:p w14:paraId="1F0D6BF1">
                  <w:pPr>
                    <w:autoSpaceDE w:val="0"/>
                    <w:autoSpaceDN w:val="0"/>
                    <w:adjustRightInd w:val="0"/>
                    <w:snapToGrid w:val="0"/>
                    <w:jc w:val="left"/>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4BFAC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514" w:type="dxa"/>
                  <w:vMerge w:val="continue"/>
                  <w:noWrap w:val="0"/>
                  <w:vAlign w:val="center"/>
                </w:tcPr>
                <w:p w14:paraId="7DBADEAD">
                  <w:pPr>
                    <w:autoSpaceDE w:val="0"/>
                    <w:autoSpaceDN w:val="0"/>
                    <w:adjustRightInd w:val="0"/>
                    <w:snapToGrid w:val="0"/>
                    <w:jc w:val="left"/>
                    <w:rPr>
                      <w:rFonts w:hint="default" w:ascii="Times New Roman" w:hAnsi="Times New Roman" w:cs="Times New Roman"/>
                      <w:color w:val="auto"/>
                      <w:szCs w:val="21"/>
                      <w:highlight w:val="none"/>
                    </w:rPr>
                  </w:pPr>
                </w:p>
              </w:tc>
              <w:tc>
                <w:tcPr>
                  <w:tcW w:w="691" w:type="dxa"/>
                  <w:noWrap w:val="0"/>
                  <w:vAlign w:val="center"/>
                </w:tcPr>
                <w:p w14:paraId="6A2846E2">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噪声</w:t>
                  </w:r>
                </w:p>
              </w:tc>
              <w:tc>
                <w:tcPr>
                  <w:tcW w:w="6181" w:type="dxa"/>
                  <w:noWrap w:val="0"/>
                  <w:vAlign w:val="center"/>
                </w:tcPr>
                <w:p w14:paraId="5A9DAA2E">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优先选用低噪声施工设备并加强维护保养，合理布置施工机械以调整声源位置，对钻机、注浆泵等强噪声源设置隔振底座、加装隔音棚等隔音措施，为强噪声作业人员配发耳塞、耳罩；大型运输车辆安装消声器，在施工场地内限速5km/h、禁止鸣笛，尽量避免夜间行驶，并设置限速禁鸣牌</w:t>
                  </w:r>
                  <w:r>
                    <w:rPr>
                      <w:rFonts w:hint="eastAsia" w:cs="Times New Roman"/>
                      <w:color w:val="auto"/>
                      <w:szCs w:val="21"/>
                      <w:highlight w:val="none"/>
                      <w:lang w:val="en-US" w:eastAsia="zh-CN"/>
                    </w:rPr>
                    <w:t>。</w:t>
                  </w:r>
                </w:p>
              </w:tc>
              <w:tc>
                <w:tcPr>
                  <w:tcW w:w="456" w:type="dxa"/>
                  <w:noWrap w:val="0"/>
                  <w:vAlign w:val="center"/>
                </w:tcPr>
                <w:p w14:paraId="3B4FCA63">
                  <w:pPr>
                    <w:autoSpaceDE w:val="0"/>
                    <w:autoSpaceDN w:val="0"/>
                    <w:adjustRightInd w:val="0"/>
                    <w:snapToGrid w:val="0"/>
                    <w:jc w:val="left"/>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2E407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514" w:type="dxa"/>
                  <w:vMerge w:val="continue"/>
                  <w:noWrap w:val="0"/>
                  <w:vAlign w:val="center"/>
                </w:tcPr>
                <w:p w14:paraId="30622D26">
                  <w:pPr>
                    <w:autoSpaceDE w:val="0"/>
                    <w:autoSpaceDN w:val="0"/>
                    <w:adjustRightInd w:val="0"/>
                    <w:snapToGrid w:val="0"/>
                    <w:jc w:val="left"/>
                    <w:rPr>
                      <w:rFonts w:hint="default" w:ascii="Times New Roman" w:hAnsi="Times New Roman" w:cs="Times New Roman"/>
                      <w:color w:val="auto"/>
                      <w:szCs w:val="21"/>
                      <w:highlight w:val="none"/>
                    </w:rPr>
                  </w:pPr>
                </w:p>
              </w:tc>
              <w:tc>
                <w:tcPr>
                  <w:tcW w:w="691" w:type="dxa"/>
                  <w:noWrap w:val="0"/>
                  <w:vAlign w:val="center"/>
                </w:tcPr>
                <w:p w14:paraId="5AD9C1BE">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固废</w:t>
                  </w:r>
                </w:p>
              </w:tc>
              <w:tc>
                <w:tcPr>
                  <w:tcW w:w="6181" w:type="dxa"/>
                  <w:noWrap w:val="0"/>
                  <w:vAlign w:val="center"/>
                </w:tcPr>
                <w:p w14:paraId="42358726">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生活垃圾在各工区注浆站、钻场及办公区设置封闭垃圾箱，由封闭垃圾运输车及时清运至环卫部门指定场所；</w:t>
                  </w:r>
                  <w:r>
                    <w:rPr>
                      <w:rFonts w:hint="eastAsia" w:ascii="Times New Roman" w:hAnsi="Times New Roman" w:eastAsia="宋体" w:cs="Times New Roman"/>
                      <w:color w:val="auto"/>
                      <w:szCs w:val="21"/>
                      <w:highlight w:val="none"/>
                      <w:lang w:val="en-US" w:eastAsia="zh-CN"/>
                    </w:rPr>
                    <w:t>钻井液通过泥浆泵以泥浆干化池为介质循环使用，不外排，不涉及向积水区排水。待钻井结束后投加泥浆固化剂固化后作为周边路基维护的建材使用，不随便丢弃，对当地地表水环境影响较小，在当地环境可接受范围内；</w:t>
                  </w:r>
                  <w:r>
                    <w:rPr>
                      <w:rFonts w:hint="default" w:ascii="Times New Roman" w:hAnsi="Times New Roman" w:cs="Times New Roman"/>
                      <w:color w:val="auto"/>
                      <w:szCs w:val="21"/>
                      <w:highlight w:val="none"/>
                    </w:rPr>
                    <w:t>钻探岩屑采用振动筛除砂器分离后由小车直接运至排渣车，统一运送至环保部门指定地点进行集中无公害处理，施工现场不保留岩屑残渣；</w:t>
                  </w:r>
                  <w:r>
                    <w:rPr>
                      <w:rFonts w:hint="default" w:ascii="Times New Roman" w:hAnsi="Times New Roman" w:eastAsia="宋体" w:cs="Times New Roman"/>
                      <w:szCs w:val="21"/>
                      <w:highlight w:val="none"/>
                    </w:rPr>
                    <w:t>施工期产生的废</w:t>
                  </w:r>
                  <w:r>
                    <w:rPr>
                      <w:rFonts w:hint="default" w:ascii="Times New Roman" w:hAnsi="Times New Roman" w:eastAsia="宋体" w:cs="Times New Roman"/>
                      <w:szCs w:val="21"/>
                      <w:highlight w:val="none"/>
                      <w:lang w:eastAsia="zh-CN"/>
                    </w:rPr>
                    <w:t>润滑油</w:t>
                  </w:r>
                  <w:r>
                    <w:rPr>
                      <w:rFonts w:hint="eastAsia" w:ascii="Times New Roman" w:hAnsi="Times New Roman" w:eastAsia="宋体" w:cs="Times New Roman"/>
                      <w:szCs w:val="21"/>
                      <w:highlight w:val="none"/>
                      <w:lang w:eastAsia="zh-CN"/>
                    </w:rPr>
                    <w:t>、废润滑油桶</w:t>
                  </w:r>
                  <w:r>
                    <w:rPr>
                      <w:rFonts w:hint="default" w:ascii="Times New Roman" w:hAnsi="Times New Roman" w:eastAsia="宋体" w:cs="Times New Roman"/>
                      <w:szCs w:val="21"/>
                      <w:highlight w:val="none"/>
                    </w:rPr>
                    <w:t>暂存于危废</w:t>
                  </w:r>
                  <w:r>
                    <w:rPr>
                      <w:rFonts w:hint="eastAsia" w:ascii="Times New Roman" w:hAnsi="Times New Roman" w:eastAsia="宋体" w:cs="Times New Roman"/>
                      <w:szCs w:val="21"/>
                      <w:highlight w:val="none"/>
                      <w:lang w:eastAsia="zh-CN"/>
                    </w:rPr>
                    <w:t>库</w:t>
                  </w:r>
                  <w:r>
                    <w:rPr>
                      <w:rFonts w:hint="default" w:ascii="Times New Roman" w:hAnsi="Times New Roman" w:eastAsia="宋体" w:cs="Times New Roman"/>
                      <w:szCs w:val="21"/>
                      <w:highlight w:val="none"/>
                    </w:rPr>
                    <w:t>，定期交有资质单位处置。废包装材料交由物资回收公司进行综合利用。</w:t>
                  </w:r>
                </w:p>
              </w:tc>
              <w:tc>
                <w:tcPr>
                  <w:tcW w:w="456" w:type="dxa"/>
                  <w:noWrap w:val="0"/>
                  <w:vAlign w:val="center"/>
                </w:tcPr>
                <w:p w14:paraId="1AF6B1F0">
                  <w:pPr>
                    <w:autoSpaceDE w:val="0"/>
                    <w:autoSpaceDN w:val="0"/>
                    <w:adjustRightInd w:val="0"/>
                    <w:snapToGrid w:val="0"/>
                    <w:jc w:val="left"/>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42516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514" w:type="dxa"/>
                  <w:vMerge w:val="continue"/>
                  <w:noWrap w:val="0"/>
                  <w:vAlign w:val="center"/>
                </w:tcPr>
                <w:p w14:paraId="6F696E82">
                  <w:pPr>
                    <w:autoSpaceDE w:val="0"/>
                    <w:autoSpaceDN w:val="0"/>
                    <w:adjustRightInd w:val="0"/>
                    <w:snapToGrid w:val="0"/>
                    <w:jc w:val="left"/>
                    <w:rPr>
                      <w:rFonts w:hint="default" w:ascii="Times New Roman" w:hAnsi="Times New Roman" w:cs="Times New Roman"/>
                      <w:color w:val="auto"/>
                      <w:szCs w:val="21"/>
                      <w:highlight w:val="none"/>
                    </w:rPr>
                  </w:pPr>
                </w:p>
              </w:tc>
              <w:tc>
                <w:tcPr>
                  <w:tcW w:w="691" w:type="dxa"/>
                  <w:noWrap w:val="0"/>
                  <w:vAlign w:val="center"/>
                </w:tcPr>
                <w:p w14:paraId="7EFA90E1">
                  <w:pPr>
                    <w:autoSpaceDE w:val="0"/>
                    <w:autoSpaceDN w:val="0"/>
                    <w:adjustRightInd w:val="0"/>
                    <w:snapToGrid w:val="0"/>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土壤及地下水</w:t>
                  </w:r>
                </w:p>
              </w:tc>
              <w:tc>
                <w:tcPr>
                  <w:tcW w:w="6181" w:type="dxa"/>
                  <w:noWrap w:val="0"/>
                  <w:vAlign w:val="center"/>
                </w:tcPr>
                <w:p w14:paraId="7D8CF7C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将本项目临时施工场地划分为重点防渗区、一般防渗区，具体划分区域如下：</w:t>
                  </w:r>
                </w:p>
                <w:p w14:paraId="53B9CF0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重点防渗区：危废库</w:t>
                  </w:r>
                </w:p>
                <w:p w14:paraId="016E7FF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一般防渗区：钻井井口区域、泥浆池、沉淀池、材料堆放区等进行一般防渗区域。</w:t>
                  </w:r>
                </w:p>
                <w:p w14:paraId="6E5D6A8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防渗技术要求如下：</w:t>
                  </w:r>
                </w:p>
                <w:p w14:paraId="77AB7AE3">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重点防渗区：执行《危险废物贮存污染控制标准》（GB18597-2023）相关要求，基础防渗层为黏土层时，其厚度应达1m以上，渗透系数应小于10</w:t>
                  </w:r>
                  <w:r>
                    <w:rPr>
                      <w:rFonts w:hint="default" w:ascii="Times New Roman" w:hAnsi="Times New Roman" w:eastAsia="宋体" w:cs="Times New Roman"/>
                      <w:color w:val="auto"/>
                      <w:kern w:val="2"/>
                      <w:sz w:val="21"/>
                      <w:szCs w:val="21"/>
                      <w:highlight w:val="none"/>
                      <w:vertAlign w:val="superscript"/>
                      <w:lang w:val="en-US" w:eastAsia="zh-CN" w:bidi="ar-SA"/>
                    </w:rPr>
                    <w:t>-7</w:t>
                  </w:r>
                  <w:r>
                    <w:rPr>
                      <w:rFonts w:hint="default" w:ascii="Times New Roman" w:hAnsi="Times New Roman" w:eastAsia="宋体" w:cs="Times New Roman"/>
                      <w:color w:val="auto"/>
                      <w:kern w:val="2"/>
                      <w:sz w:val="21"/>
                      <w:szCs w:val="21"/>
                      <w:highlight w:val="none"/>
                      <w:lang w:val="en-US" w:eastAsia="zh-CN" w:bidi="ar-SA"/>
                    </w:rPr>
                    <w:t>cm/s；基础防渗层亦可用厚度2mm以上的高密度聚乙烯和其他人工防渗材料组成，渗透系数应小于10-10cm/s），或其他防渗性能等效的材料；</w:t>
                  </w:r>
                </w:p>
                <w:p w14:paraId="3B6C64D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一般防渗区：执行《一般工业固体废物贮存和填埋污染控制标准》（GB 18599-2020）相关要求，采用改性压实粘土类衬层或具有同等以上隔水效力的其他材料防渗衬层，其防渗性能应至少相当于渗透系数为1.0×10</w:t>
                  </w:r>
                  <w:r>
                    <w:rPr>
                      <w:rFonts w:hint="default" w:ascii="Times New Roman" w:hAnsi="Times New Roman" w:eastAsia="宋体" w:cs="Times New Roman"/>
                      <w:color w:val="auto"/>
                      <w:kern w:val="2"/>
                      <w:sz w:val="21"/>
                      <w:szCs w:val="21"/>
                      <w:highlight w:val="none"/>
                      <w:vertAlign w:val="superscript"/>
                      <w:lang w:val="en-US" w:eastAsia="zh-CN" w:bidi="ar-SA"/>
                    </w:rPr>
                    <w:t>-5</w:t>
                  </w:r>
                  <w:r>
                    <w:rPr>
                      <w:rFonts w:hint="default" w:ascii="Times New Roman" w:hAnsi="Times New Roman" w:eastAsia="宋体" w:cs="Times New Roman"/>
                      <w:color w:val="auto"/>
                      <w:kern w:val="2"/>
                      <w:sz w:val="21"/>
                      <w:szCs w:val="21"/>
                      <w:highlight w:val="none"/>
                      <w:lang w:val="en-US" w:eastAsia="zh-CN" w:bidi="ar-SA"/>
                    </w:rPr>
                    <w:t>cm/s且厚度为0.75m的天然基础层。</w:t>
                  </w:r>
                </w:p>
              </w:tc>
              <w:tc>
                <w:tcPr>
                  <w:tcW w:w="456" w:type="dxa"/>
                  <w:noWrap w:val="0"/>
                  <w:vAlign w:val="center"/>
                </w:tcPr>
                <w:p w14:paraId="729ADC35">
                  <w:pPr>
                    <w:autoSpaceDE w:val="0"/>
                    <w:autoSpaceDN w:val="0"/>
                    <w:adjustRightInd w:val="0"/>
                    <w:snapToGrid w:val="0"/>
                    <w:jc w:val="left"/>
                    <w:rPr>
                      <w:rFonts w:hint="default" w:ascii="Times New Roman" w:hAnsi="Times New Roman" w:cs="Times New Roman"/>
                      <w:color w:val="auto"/>
                      <w:szCs w:val="21"/>
                      <w:highlight w:val="none"/>
                      <w:lang w:val="en-US" w:eastAsia="zh-CN"/>
                    </w:rPr>
                  </w:pPr>
                </w:p>
              </w:tc>
            </w:tr>
            <w:tr w14:paraId="13A29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514" w:type="dxa"/>
                  <w:vMerge w:val="continue"/>
                  <w:noWrap w:val="0"/>
                  <w:vAlign w:val="center"/>
                </w:tcPr>
                <w:p w14:paraId="1501A394">
                  <w:pPr>
                    <w:autoSpaceDE w:val="0"/>
                    <w:autoSpaceDN w:val="0"/>
                    <w:adjustRightInd w:val="0"/>
                    <w:snapToGrid w:val="0"/>
                    <w:jc w:val="left"/>
                    <w:rPr>
                      <w:rFonts w:hint="default" w:ascii="Times New Roman" w:hAnsi="Times New Roman" w:cs="Times New Roman"/>
                      <w:color w:val="auto"/>
                      <w:szCs w:val="21"/>
                      <w:highlight w:val="none"/>
                    </w:rPr>
                  </w:pPr>
                </w:p>
              </w:tc>
              <w:tc>
                <w:tcPr>
                  <w:tcW w:w="691" w:type="dxa"/>
                  <w:noWrap w:val="0"/>
                  <w:vAlign w:val="center"/>
                </w:tcPr>
                <w:p w14:paraId="0F05C5DC">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生态保护</w:t>
                  </w:r>
                </w:p>
              </w:tc>
              <w:tc>
                <w:tcPr>
                  <w:tcW w:w="6181" w:type="dxa"/>
                  <w:noWrap w:val="0"/>
                  <w:vAlign w:val="center"/>
                </w:tcPr>
                <w:p w14:paraId="77A941A2">
                  <w:pPr>
                    <w:autoSpaceDE w:val="0"/>
                    <w:autoSpaceDN w:val="0"/>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严格控制施工活动范围，减少项目占地影响；项目施工时做好水土保持防护措施，以防雨水冲刷造成水土流失；施工结束后，按照已批复的土地复垦方案进行土地复垦，恢复场地原状。</w:t>
                  </w:r>
                </w:p>
              </w:tc>
              <w:tc>
                <w:tcPr>
                  <w:tcW w:w="456" w:type="dxa"/>
                  <w:noWrap w:val="0"/>
                  <w:vAlign w:val="center"/>
                </w:tcPr>
                <w:p w14:paraId="676F1D47">
                  <w:pPr>
                    <w:autoSpaceDE w:val="0"/>
                    <w:autoSpaceDN w:val="0"/>
                    <w:adjustRightInd w:val="0"/>
                    <w:snapToGrid w:val="0"/>
                    <w:jc w:val="left"/>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bl>
          <w:p w14:paraId="4D21526E">
            <w:pPr>
              <w:numPr>
                <w:ilvl w:val="0"/>
                <w:numId w:val="2"/>
              </w:numPr>
              <w:spacing w:line="360" w:lineRule="auto"/>
              <w:ind w:firstLine="482" w:firstLineChars="200"/>
              <w:rPr>
                <w:rFonts w:hint="default" w:ascii="Times New Roman" w:hAnsi="Times New Roman" w:cs="Times New Roman"/>
                <w:b/>
                <w:color w:val="000000" w:themeColor="text1"/>
                <w:kern w:val="0"/>
                <w:sz w:val="24"/>
                <w:highlight w:val="none"/>
                <w14:textFill>
                  <w14:solidFill>
                    <w14:schemeClr w14:val="tx1"/>
                  </w14:solidFill>
                </w14:textFill>
              </w:rPr>
            </w:pPr>
            <w:r>
              <w:rPr>
                <w:rFonts w:hint="default" w:ascii="Times New Roman" w:hAnsi="Times New Roman" w:cs="Times New Roman"/>
                <w:b/>
                <w:color w:val="000000" w:themeColor="text1"/>
                <w:kern w:val="0"/>
                <w:sz w:val="24"/>
                <w:highlight w:val="none"/>
                <w14:textFill>
                  <w14:solidFill>
                    <w14:schemeClr w14:val="tx1"/>
                  </w14:solidFill>
                </w14:textFill>
              </w:rPr>
              <w:t>项目主要原辅材料、能源及设备</w:t>
            </w:r>
          </w:p>
          <w:p w14:paraId="4B3A5AC1">
            <w:pPr>
              <w:spacing w:line="240" w:lineRule="atLeast"/>
              <w:jc w:val="center"/>
              <w:rPr>
                <w:rFonts w:hint="default" w:ascii="Times New Roman" w:hAnsi="Times New Roman" w:eastAsia="黑体" w:cs="Times New Roman"/>
                <w:color w:val="auto"/>
                <w:szCs w:val="20"/>
                <w:highlight w:val="none"/>
              </w:rPr>
            </w:pPr>
            <w:r>
              <w:rPr>
                <w:rFonts w:hint="default" w:ascii="Times New Roman" w:hAnsi="Times New Roman" w:eastAsia="黑体" w:cs="Times New Roman"/>
                <w:color w:val="000000" w:themeColor="text1"/>
                <w:szCs w:val="20"/>
                <w:highlight w:val="none"/>
                <w14:textFill>
                  <w14:solidFill>
                    <w14:schemeClr w14:val="tx1"/>
                  </w14:solidFill>
                </w14:textFill>
              </w:rPr>
              <w:t>表2-</w:t>
            </w:r>
            <w:r>
              <w:rPr>
                <w:rFonts w:hint="eastAsia" w:eastAsia="黑体" w:cs="Times New Roman"/>
                <w:color w:val="000000" w:themeColor="text1"/>
                <w:szCs w:val="20"/>
                <w:highlight w:val="none"/>
                <w:lang w:val="en-US" w:eastAsia="zh-CN"/>
                <w14:textFill>
                  <w14:solidFill>
                    <w14:schemeClr w14:val="tx1"/>
                  </w14:solidFill>
                </w14:textFill>
              </w:rPr>
              <w:t>4</w:t>
            </w:r>
            <w:r>
              <w:rPr>
                <w:rFonts w:hint="default" w:ascii="Times New Roman" w:hAnsi="Times New Roman" w:eastAsia="黑体" w:cs="Times New Roman"/>
                <w:color w:val="000000" w:themeColor="text1"/>
                <w:szCs w:val="20"/>
                <w:highlight w:val="none"/>
                <w14:textFill>
                  <w14:solidFill>
                    <w14:schemeClr w14:val="tx1"/>
                  </w14:solidFill>
                </w14:textFill>
              </w:rPr>
              <w:t xml:space="preserve">  原辅材料和动力</w:t>
            </w:r>
            <w:r>
              <w:rPr>
                <w:rFonts w:hint="default" w:ascii="Times New Roman" w:hAnsi="Times New Roman" w:eastAsia="黑体" w:cs="Times New Roman"/>
                <w:color w:val="auto"/>
                <w:szCs w:val="20"/>
                <w:highlight w:val="none"/>
              </w:rPr>
              <w:t>供应用量一览表</w:t>
            </w:r>
          </w:p>
          <w:tbl>
            <w:tblPr>
              <w:tblStyle w:val="29"/>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15" w:type="dxa"/>
                <w:left w:w="15" w:type="dxa"/>
                <w:bottom w:w="15" w:type="dxa"/>
                <w:right w:w="15" w:type="dxa"/>
              </w:tblCellMar>
            </w:tblPr>
            <w:tblGrid>
              <w:gridCol w:w="363"/>
              <w:gridCol w:w="1112"/>
              <w:gridCol w:w="881"/>
              <w:gridCol w:w="1028"/>
              <w:gridCol w:w="814"/>
              <w:gridCol w:w="1440"/>
              <w:gridCol w:w="2188"/>
            </w:tblGrid>
            <w:tr w14:paraId="67B3F3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jc w:val="center"/>
              </w:trPr>
              <w:tc>
                <w:tcPr>
                  <w:tcW w:w="245" w:type="pct"/>
                  <w:tcBorders>
                    <w:tl2br w:val="nil"/>
                    <w:tr2bl w:val="nil"/>
                  </w:tcBorders>
                  <w:vAlign w:val="center"/>
                </w:tcPr>
                <w:p w14:paraId="7BC1B34F">
                  <w:pPr>
                    <w:widowControl/>
                    <w:spacing w:line="240" w:lineRule="atLeast"/>
                    <w:jc w:val="center"/>
                    <w:textAlignment w:val="center"/>
                    <w:rPr>
                      <w:rFonts w:hint="default" w:ascii="Times New Roman" w:hAnsi="Times New Roman" w:eastAsia="宋体" w:cs="Times New Roman"/>
                      <w:b/>
                      <w:kern w:val="0"/>
                      <w:szCs w:val="21"/>
                      <w:highlight w:val="none"/>
                    </w:rPr>
                  </w:pPr>
                  <w:r>
                    <w:rPr>
                      <w:rFonts w:hint="default" w:ascii="Times New Roman" w:hAnsi="Times New Roman" w:eastAsia="宋体" w:cs="Times New Roman"/>
                      <w:b/>
                      <w:kern w:val="0"/>
                      <w:szCs w:val="21"/>
                      <w:highlight w:val="none"/>
                    </w:rPr>
                    <w:t>序号</w:t>
                  </w:r>
                </w:p>
              </w:tc>
              <w:tc>
                <w:tcPr>
                  <w:tcW w:w="723" w:type="pct"/>
                  <w:tcBorders>
                    <w:tl2br w:val="nil"/>
                    <w:tr2bl w:val="nil"/>
                  </w:tcBorders>
                  <w:vAlign w:val="center"/>
                </w:tcPr>
                <w:p w14:paraId="52FB0946">
                  <w:pPr>
                    <w:widowControl/>
                    <w:spacing w:line="240" w:lineRule="atLeast"/>
                    <w:jc w:val="center"/>
                    <w:textAlignment w:val="center"/>
                    <w:rPr>
                      <w:rFonts w:hint="default" w:ascii="Times New Roman" w:hAnsi="Times New Roman" w:eastAsia="宋体" w:cs="Times New Roman"/>
                      <w:b/>
                      <w:szCs w:val="21"/>
                      <w:highlight w:val="none"/>
                    </w:rPr>
                  </w:pPr>
                  <w:r>
                    <w:rPr>
                      <w:rFonts w:hint="default" w:ascii="Times New Roman" w:hAnsi="Times New Roman" w:eastAsia="宋体" w:cs="Times New Roman"/>
                      <w:b/>
                      <w:kern w:val="0"/>
                      <w:szCs w:val="21"/>
                      <w:highlight w:val="none"/>
                    </w:rPr>
                    <w:t>原辅材料和能源</w:t>
                  </w:r>
                </w:p>
              </w:tc>
              <w:tc>
                <w:tcPr>
                  <w:tcW w:w="576" w:type="pct"/>
                  <w:tcBorders>
                    <w:tl2br w:val="nil"/>
                    <w:tr2bl w:val="nil"/>
                  </w:tcBorders>
                  <w:vAlign w:val="center"/>
                </w:tcPr>
                <w:p w14:paraId="4EC08BE4">
                  <w:pPr>
                    <w:widowControl/>
                    <w:spacing w:line="240" w:lineRule="atLeast"/>
                    <w:jc w:val="center"/>
                    <w:textAlignment w:val="center"/>
                    <w:rPr>
                      <w:rFonts w:hint="eastAsia" w:ascii="Times New Roman" w:hAnsi="Times New Roman" w:eastAsia="宋体" w:cs="Times New Roman"/>
                      <w:b/>
                      <w:kern w:val="0"/>
                      <w:szCs w:val="21"/>
                      <w:highlight w:val="none"/>
                      <w:lang w:val="en-US" w:eastAsia="zh-CN"/>
                    </w:rPr>
                  </w:pPr>
                  <w:r>
                    <w:rPr>
                      <w:rFonts w:hint="eastAsia" w:cs="Times New Roman"/>
                      <w:b/>
                      <w:kern w:val="0"/>
                      <w:szCs w:val="21"/>
                      <w:highlight w:val="none"/>
                      <w:lang w:val="en-US" w:eastAsia="zh-CN"/>
                    </w:rPr>
                    <w:t>单位</w:t>
                  </w:r>
                </w:p>
              </w:tc>
              <w:tc>
                <w:tcPr>
                  <w:tcW w:w="576" w:type="pct"/>
                  <w:tcBorders>
                    <w:tl2br w:val="nil"/>
                    <w:tr2bl w:val="nil"/>
                  </w:tcBorders>
                  <w:vAlign w:val="center"/>
                </w:tcPr>
                <w:p w14:paraId="6FED1469">
                  <w:pPr>
                    <w:widowControl/>
                    <w:spacing w:line="240" w:lineRule="atLeast"/>
                    <w:jc w:val="center"/>
                    <w:textAlignment w:val="center"/>
                    <w:rPr>
                      <w:rFonts w:hint="default" w:ascii="Times New Roman" w:hAnsi="Times New Roman" w:eastAsia="宋体" w:cs="Times New Roman"/>
                      <w:b/>
                      <w:szCs w:val="21"/>
                      <w:highlight w:val="none"/>
                    </w:rPr>
                  </w:pPr>
                  <w:r>
                    <w:rPr>
                      <w:rFonts w:hint="default" w:ascii="Times New Roman" w:hAnsi="Times New Roman" w:eastAsia="宋体" w:cs="Times New Roman"/>
                      <w:b/>
                      <w:kern w:val="0"/>
                      <w:szCs w:val="21"/>
                      <w:highlight w:val="none"/>
                    </w:rPr>
                    <w:t>工程总用量</w:t>
                  </w:r>
                </w:p>
              </w:tc>
              <w:tc>
                <w:tcPr>
                  <w:tcW w:w="533" w:type="pct"/>
                  <w:tcBorders>
                    <w:tl2br w:val="nil"/>
                    <w:tr2bl w:val="nil"/>
                  </w:tcBorders>
                  <w:vAlign w:val="center"/>
                </w:tcPr>
                <w:p w14:paraId="0F9942C4">
                  <w:pPr>
                    <w:spacing w:line="240" w:lineRule="atLeast"/>
                    <w:jc w:val="center"/>
                    <w:textAlignment w:val="center"/>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最大存在量</w:t>
                  </w:r>
                </w:p>
              </w:tc>
              <w:tc>
                <w:tcPr>
                  <w:tcW w:w="933" w:type="pct"/>
                  <w:tcBorders>
                    <w:tl2br w:val="nil"/>
                    <w:tr2bl w:val="nil"/>
                  </w:tcBorders>
                  <w:vAlign w:val="center"/>
                </w:tcPr>
                <w:p w14:paraId="71325140">
                  <w:pPr>
                    <w:widowControl/>
                    <w:spacing w:line="240" w:lineRule="atLeast"/>
                    <w:jc w:val="center"/>
                    <w:textAlignment w:val="center"/>
                    <w:rPr>
                      <w:rFonts w:hint="default" w:ascii="Times New Roman" w:hAnsi="Times New Roman" w:eastAsia="宋体" w:cs="Times New Roman"/>
                      <w:b/>
                      <w:szCs w:val="21"/>
                      <w:highlight w:val="none"/>
                    </w:rPr>
                  </w:pPr>
                  <w:r>
                    <w:rPr>
                      <w:rFonts w:hint="default" w:ascii="Times New Roman" w:hAnsi="Times New Roman" w:eastAsia="宋体" w:cs="Times New Roman"/>
                      <w:b/>
                      <w:kern w:val="0"/>
                      <w:szCs w:val="21"/>
                      <w:highlight w:val="none"/>
                    </w:rPr>
                    <w:t>储存位置</w:t>
                  </w:r>
                </w:p>
              </w:tc>
              <w:tc>
                <w:tcPr>
                  <w:tcW w:w="1410" w:type="pct"/>
                  <w:tcBorders>
                    <w:tl2br w:val="nil"/>
                    <w:tr2bl w:val="nil"/>
                  </w:tcBorders>
                  <w:vAlign w:val="center"/>
                </w:tcPr>
                <w:p w14:paraId="7DC9FA1C">
                  <w:pPr>
                    <w:widowControl/>
                    <w:spacing w:line="240" w:lineRule="atLeast"/>
                    <w:jc w:val="center"/>
                    <w:textAlignment w:val="center"/>
                    <w:rPr>
                      <w:rFonts w:hint="default" w:ascii="Times New Roman" w:hAnsi="Times New Roman" w:eastAsia="宋体" w:cs="Times New Roman"/>
                      <w:b/>
                      <w:kern w:val="0"/>
                      <w:szCs w:val="21"/>
                      <w:highlight w:val="none"/>
                    </w:rPr>
                  </w:pPr>
                  <w:r>
                    <w:rPr>
                      <w:rFonts w:hint="default" w:ascii="Times New Roman" w:hAnsi="Times New Roman" w:eastAsia="宋体" w:cs="Times New Roman"/>
                      <w:b/>
                      <w:kern w:val="0"/>
                      <w:szCs w:val="21"/>
                      <w:highlight w:val="none"/>
                    </w:rPr>
                    <w:t>备注</w:t>
                  </w:r>
                </w:p>
              </w:tc>
            </w:tr>
            <w:tr w14:paraId="0FE4EC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245" w:type="pct"/>
                  <w:tcBorders>
                    <w:tl2br w:val="nil"/>
                    <w:tr2bl w:val="nil"/>
                  </w:tcBorders>
                  <w:vAlign w:val="center"/>
                </w:tcPr>
                <w:p w14:paraId="7AAEB435">
                  <w:pPr>
                    <w:widowControl/>
                    <w:spacing w:line="240" w:lineRule="atLeast"/>
                    <w:jc w:val="center"/>
                    <w:textAlignment w:val="center"/>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1</w:t>
                  </w:r>
                </w:p>
              </w:tc>
              <w:tc>
                <w:tcPr>
                  <w:tcW w:w="723" w:type="pct"/>
                  <w:tcBorders>
                    <w:tl2br w:val="nil"/>
                    <w:tr2bl w:val="nil"/>
                  </w:tcBorders>
                  <w:vAlign w:val="center"/>
                </w:tcPr>
                <w:p w14:paraId="09F520C3">
                  <w:pPr>
                    <w:widowControl/>
                    <w:spacing w:line="240" w:lineRule="atLeast"/>
                    <w:jc w:val="center"/>
                    <w:textAlignment w:val="center"/>
                    <w:rPr>
                      <w:rFonts w:hint="eastAsia" w:ascii="Times New Roman" w:hAnsi="Times New Roman" w:eastAsia="宋体" w:cs="Times New Roman"/>
                      <w:kern w:val="0"/>
                      <w:szCs w:val="21"/>
                      <w:highlight w:val="none"/>
                      <w:lang w:val="en-US" w:eastAsia="zh-CN"/>
                    </w:rPr>
                  </w:pPr>
                  <w:r>
                    <w:rPr>
                      <w:rFonts w:hint="eastAsia" w:ascii="微软雅黑" w:hAnsi="微软雅黑" w:eastAsia="微软雅黑" w:cs="微软雅黑"/>
                      <w:kern w:val="0"/>
                      <w:szCs w:val="21"/>
                      <w:highlight w:val="none"/>
                      <w:lang w:val="en-US" w:eastAsia="zh-CN"/>
                    </w:rPr>
                    <w:t>Ⅲ</w:t>
                  </w:r>
                  <w:r>
                    <w:rPr>
                      <w:rFonts w:hint="eastAsia" w:cs="Times New Roman"/>
                      <w:kern w:val="0"/>
                      <w:szCs w:val="21"/>
                      <w:highlight w:val="none"/>
                      <w:lang w:val="en-US" w:eastAsia="zh-CN"/>
                    </w:rPr>
                    <w:t>级粉煤灰</w:t>
                  </w:r>
                </w:p>
              </w:tc>
              <w:tc>
                <w:tcPr>
                  <w:tcW w:w="576" w:type="pct"/>
                  <w:tcBorders>
                    <w:tl2br w:val="nil"/>
                    <w:tr2bl w:val="nil"/>
                  </w:tcBorders>
                  <w:vAlign w:val="center"/>
                </w:tcPr>
                <w:p w14:paraId="2339E593">
                  <w:pPr>
                    <w:widowControl/>
                    <w:spacing w:line="240" w:lineRule="atLeast"/>
                    <w:jc w:val="center"/>
                    <w:textAlignment w:val="center"/>
                    <w:rPr>
                      <w:rFonts w:hint="default" w:ascii="微软雅黑" w:hAnsi="微软雅黑" w:eastAsia="微软雅黑" w:cs="微软雅黑"/>
                      <w:kern w:val="0"/>
                      <w:szCs w:val="21"/>
                      <w:highlight w:val="none"/>
                      <w:lang w:val="en-US" w:eastAsia="zh-CN"/>
                    </w:rPr>
                  </w:pPr>
                  <w:r>
                    <w:rPr>
                      <w:rFonts w:hint="default" w:ascii="Times New Roman" w:hAnsi="Times New Roman" w:eastAsia="微软雅黑" w:cs="Times New Roman"/>
                      <w:kern w:val="0"/>
                      <w:szCs w:val="21"/>
                      <w:highlight w:val="none"/>
                      <w:lang w:val="en-US" w:eastAsia="zh-CN"/>
                    </w:rPr>
                    <w:t>15万t</w:t>
                  </w:r>
                </w:p>
              </w:tc>
              <w:tc>
                <w:tcPr>
                  <w:tcW w:w="576" w:type="pct"/>
                  <w:tcBorders>
                    <w:tl2br w:val="nil"/>
                    <w:tr2bl w:val="nil"/>
                  </w:tcBorders>
                  <w:vAlign w:val="center"/>
                </w:tcPr>
                <w:p w14:paraId="4A2F08CC">
                  <w:pPr>
                    <w:widowControl/>
                    <w:spacing w:line="240" w:lineRule="atLeast"/>
                    <w:jc w:val="center"/>
                    <w:textAlignment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15</w:t>
                  </w:r>
                </w:p>
              </w:tc>
              <w:tc>
                <w:tcPr>
                  <w:tcW w:w="533" w:type="pct"/>
                  <w:tcBorders>
                    <w:tl2br w:val="nil"/>
                    <w:tr2bl w:val="nil"/>
                  </w:tcBorders>
                  <w:vAlign w:val="center"/>
                </w:tcPr>
                <w:p w14:paraId="70679810">
                  <w:pPr>
                    <w:spacing w:line="240" w:lineRule="atLeast"/>
                    <w:jc w:val="center"/>
                    <w:textAlignment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500</w:t>
                  </w:r>
                </w:p>
              </w:tc>
              <w:tc>
                <w:tcPr>
                  <w:tcW w:w="933" w:type="pct"/>
                  <w:tcBorders>
                    <w:tl2br w:val="nil"/>
                    <w:tr2bl w:val="nil"/>
                  </w:tcBorders>
                  <w:vAlign w:val="center"/>
                </w:tcPr>
                <w:p w14:paraId="3CD01C1F">
                  <w:pPr>
                    <w:widowControl/>
                    <w:spacing w:line="240" w:lineRule="atLeast"/>
                    <w:jc w:val="center"/>
                    <w:textAlignment w:val="center"/>
                    <w:rPr>
                      <w:rFonts w:hint="eastAsia"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注浆站储灰罐</w:t>
                  </w:r>
                </w:p>
              </w:tc>
              <w:tc>
                <w:tcPr>
                  <w:tcW w:w="1410" w:type="pct"/>
                  <w:tcBorders>
                    <w:tl2br w:val="nil"/>
                    <w:tr2bl w:val="nil"/>
                  </w:tcBorders>
                  <w:vAlign w:val="center"/>
                </w:tcPr>
                <w:p w14:paraId="24EE9F0F">
                  <w:pPr>
                    <w:widowControl/>
                    <w:spacing w:line="240" w:lineRule="atLeast"/>
                    <w:jc w:val="center"/>
                    <w:textAlignment w:val="center"/>
                    <w:rPr>
                      <w:rFonts w:hint="eastAsia"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w:t>
                  </w:r>
                </w:p>
              </w:tc>
            </w:tr>
            <w:tr w14:paraId="109332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jc w:val="center"/>
              </w:trPr>
              <w:tc>
                <w:tcPr>
                  <w:tcW w:w="245" w:type="pct"/>
                  <w:tcBorders>
                    <w:tl2br w:val="nil"/>
                    <w:tr2bl w:val="nil"/>
                  </w:tcBorders>
                  <w:vAlign w:val="center"/>
                </w:tcPr>
                <w:p w14:paraId="3E1C1DC2">
                  <w:pPr>
                    <w:widowControl/>
                    <w:spacing w:line="240" w:lineRule="atLeast"/>
                    <w:jc w:val="center"/>
                    <w:textAlignment w:val="center"/>
                    <w:rPr>
                      <w:rFonts w:hint="eastAsia"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2</w:t>
                  </w:r>
                </w:p>
              </w:tc>
              <w:tc>
                <w:tcPr>
                  <w:tcW w:w="723" w:type="pct"/>
                  <w:tcBorders>
                    <w:tl2br w:val="nil"/>
                    <w:tr2bl w:val="nil"/>
                  </w:tcBorders>
                  <w:vAlign w:val="center"/>
                </w:tcPr>
                <w:p w14:paraId="06DBCF18">
                  <w:pPr>
                    <w:widowControl/>
                    <w:spacing w:line="240" w:lineRule="atLeast"/>
                    <w:jc w:val="center"/>
                    <w:textAlignment w:val="center"/>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水泥</w:t>
                  </w:r>
                </w:p>
              </w:tc>
              <w:tc>
                <w:tcPr>
                  <w:tcW w:w="576" w:type="pct"/>
                  <w:tcBorders>
                    <w:tl2br w:val="nil"/>
                    <w:tr2bl w:val="nil"/>
                  </w:tcBorders>
                  <w:vAlign w:val="center"/>
                </w:tcPr>
                <w:p w14:paraId="76D0E297">
                  <w:pPr>
                    <w:widowControl/>
                    <w:spacing w:line="240" w:lineRule="atLeast"/>
                    <w:jc w:val="center"/>
                    <w:textAlignment w:val="center"/>
                    <w:rPr>
                      <w:rFonts w:hint="eastAsia"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t</w:t>
                  </w:r>
                </w:p>
              </w:tc>
              <w:tc>
                <w:tcPr>
                  <w:tcW w:w="576" w:type="pct"/>
                  <w:tcBorders>
                    <w:tl2br w:val="nil"/>
                    <w:tr2bl w:val="nil"/>
                  </w:tcBorders>
                  <w:vAlign w:val="center"/>
                </w:tcPr>
                <w:p w14:paraId="6804193C">
                  <w:pPr>
                    <w:widowControl/>
                    <w:spacing w:line="240" w:lineRule="atLeast"/>
                    <w:jc w:val="center"/>
                    <w:textAlignment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130</w:t>
                  </w:r>
                </w:p>
              </w:tc>
              <w:tc>
                <w:tcPr>
                  <w:tcW w:w="533" w:type="pct"/>
                  <w:tcBorders>
                    <w:tl2br w:val="nil"/>
                    <w:tr2bl w:val="nil"/>
                  </w:tcBorders>
                  <w:vAlign w:val="center"/>
                </w:tcPr>
                <w:p w14:paraId="13A75624">
                  <w:pPr>
                    <w:widowControl/>
                    <w:spacing w:line="240" w:lineRule="atLeast"/>
                    <w:jc w:val="center"/>
                    <w:textAlignment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w:t>
                  </w:r>
                </w:p>
              </w:tc>
              <w:tc>
                <w:tcPr>
                  <w:tcW w:w="933" w:type="pct"/>
                  <w:tcBorders>
                    <w:tl2br w:val="nil"/>
                    <w:tr2bl w:val="nil"/>
                  </w:tcBorders>
                  <w:vAlign w:val="center"/>
                </w:tcPr>
                <w:p w14:paraId="5F884F8D">
                  <w:pPr>
                    <w:widowControl/>
                    <w:spacing w:line="240" w:lineRule="atLeast"/>
                    <w:jc w:val="center"/>
                    <w:textAlignment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注浆站储灰罐</w:t>
                  </w:r>
                </w:p>
              </w:tc>
              <w:tc>
                <w:tcPr>
                  <w:tcW w:w="1410" w:type="pct"/>
                  <w:tcBorders>
                    <w:tl2br w:val="nil"/>
                    <w:tr2bl w:val="nil"/>
                  </w:tcBorders>
                  <w:vAlign w:val="center"/>
                </w:tcPr>
                <w:p w14:paraId="75FDBA44">
                  <w:pPr>
                    <w:widowControl/>
                    <w:spacing w:line="240" w:lineRule="atLeast"/>
                    <w:jc w:val="left"/>
                    <w:textAlignment w:val="center"/>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外购</w:t>
                  </w:r>
                  <w:r>
                    <w:rPr>
                      <w:rFonts w:hint="eastAsia" w:cs="Times New Roman"/>
                      <w:kern w:val="0"/>
                      <w:szCs w:val="21"/>
                      <w:highlight w:val="none"/>
                      <w:lang w:val="en-US" w:eastAsia="zh-CN"/>
                    </w:rPr>
                    <w:t>散装P.O42.5水泥</w:t>
                  </w:r>
                  <w:r>
                    <w:rPr>
                      <w:rFonts w:hint="default" w:ascii="Times New Roman" w:hAnsi="Times New Roman" w:eastAsia="宋体" w:cs="Times New Roman"/>
                      <w:kern w:val="0"/>
                      <w:szCs w:val="21"/>
                      <w:highlight w:val="none"/>
                    </w:rPr>
                    <w:t>，储存</w:t>
                  </w:r>
                  <w:r>
                    <w:rPr>
                      <w:rFonts w:hint="eastAsia" w:cs="Times New Roman"/>
                      <w:kern w:val="0"/>
                      <w:szCs w:val="21"/>
                      <w:highlight w:val="none"/>
                      <w:lang w:val="en-US" w:eastAsia="zh-CN"/>
                    </w:rPr>
                    <w:t>于密闭储灰罐</w:t>
                  </w:r>
                  <w:r>
                    <w:rPr>
                      <w:rFonts w:hint="default" w:ascii="Times New Roman" w:hAnsi="Times New Roman" w:eastAsia="宋体" w:cs="Times New Roman"/>
                      <w:kern w:val="0"/>
                      <w:szCs w:val="21"/>
                      <w:highlight w:val="none"/>
                    </w:rPr>
                    <w:t>，施工结束</w:t>
                  </w:r>
                  <w:r>
                    <w:rPr>
                      <w:rFonts w:hint="eastAsia" w:cs="Times New Roman"/>
                      <w:kern w:val="0"/>
                      <w:szCs w:val="21"/>
                      <w:highlight w:val="none"/>
                      <w:lang w:val="en-US" w:eastAsia="zh-CN"/>
                    </w:rPr>
                    <w:t>通过密闭管道打出</w:t>
                  </w:r>
                  <w:r>
                    <w:rPr>
                      <w:rFonts w:hint="default" w:ascii="Times New Roman" w:hAnsi="Times New Roman" w:eastAsia="宋体" w:cs="Times New Roman"/>
                      <w:kern w:val="0"/>
                      <w:szCs w:val="21"/>
                      <w:highlight w:val="none"/>
                    </w:rPr>
                    <w:t>调配水泥浆用于封孔</w:t>
                  </w:r>
                </w:p>
              </w:tc>
            </w:tr>
            <w:tr w14:paraId="6CB9E0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jc w:val="center"/>
              </w:trPr>
              <w:tc>
                <w:tcPr>
                  <w:tcW w:w="245" w:type="pct"/>
                  <w:tcBorders>
                    <w:tl2br w:val="nil"/>
                    <w:tr2bl w:val="nil"/>
                  </w:tcBorders>
                  <w:vAlign w:val="center"/>
                </w:tcPr>
                <w:p w14:paraId="59C41F30">
                  <w:pPr>
                    <w:widowControl/>
                    <w:spacing w:line="240" w:lineRule="atLeast"/>
                    <w:jc w:val="center"/>
                    <w:textAlignment w:val="center"/>
                    <w:rPr>
                      <w:rFonts w:hint="eastAsia"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3</w:t>
                  </w:r>
                </w:p>
              </w:tc>
              <w:tc>
                <w:tcPr>
                  <w:tcW w:w="723" w:type="pct"/>
                  <w:tcBorders>
                    <w:tl2br w:val="nil"/>
                    <w:tr2bl w:val="nil"/>
                  </w:tcBorders>
                  <w:vAlign w:val="center"/>
                </w:tcPr>
                <w:p w14:paraId="2AE6820B">
                  <w:pPr>
                    <w:widowControl/>
                    <w:spacing w:line="240" w:lineRule="atLeast"/>
                    <w:jc w:val="center"/>
                    <w:textAlignment w:val="center"/>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用电</w:t>
                  </w:r>
                </w:p>
              </w:tc>
              <w:tc>
                <w:tcPr>
                  <w:tcW w:w="576" w:type="pct"/>
                  <w:tcBorders>
                    <w:tl2br w:val="nil"/>
                    <w:tr2bl w:val="nil"/>
                  </w:tcBorders>
                  <w:vAlign w:val="center"/>
                </w:tcPr>
                <w:p w14:paraId="6B4FFA2A">
                  <w:pPr>
                    <w:widowControl/>
                    <w:spacing w:line="240" w:lineRule="atLeast"/>
                    <w:jc w:val="center"/>
                    <w:textAlignment w:val="center"/>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万</w:t>
                  </w:r>
                  <w:r>
                    <w:rPr>
                      <w:rFonts w:hint="default" w:ascii="Times New Roman" w:hAnsi="Times New Roman" w:eastAsia="宋体" w:cs="Times New Roman"/>
                      <w:szCs w:val="21"/>
                      <w:highlight w:val="none"/>
                    </w:rPr>
                    <w:t>kw·h</w:t>
                  </w:r>
                </w:p>
              </w:tc>
              <w:tc>
                <w:tcPr>
                  <w:tcW w:w="576" w:type="pct"/>
                  <w:tcBorders>
                    <w:tl2br w:val="nil"/>
                    <w:tr2bl w:val="nil"/>
                  </w:tcBorders>
                  <w:vAlign w:val="center"/>
                </w:tcPr>
                <w:p w14:paraId="2E769658">
                  <w:pPr>
                    <w:widowControl/>
                    <w:spacing w:line="240" w:lineRule="atLeast"/>
                    <w:jc w:val="center"/>
                    <w:textAlignment w:val="center"/>
                    <w:rPr>
                      <w:rFonts w:hint="default" w:ascii="Times New Roman" w:hAnsi="Times New Roman" w:eastAsia="宋体" w:cs="Times New Roman"/>
                      <w:kern w:val="0"/>
                      <w:szCs w:val="21"/>
                      <w:highlight w:val="none"/>
                    </w:rPr>
                  </w:pPr>
                  <w:r>
                    <w:rPr>
                      <w:rFonts w:hint="eastAsia" w:cs="Times New Roman"/>
                      <w:kern w:val="0"/>
                      <w:szCs w:val="21"/>
                      <w:highlight w:val="none"/>
                      <w:lang w:val="en-US" w:eastAsia="zh-CN"/>
                    </w:rPr>
                    <w:t>65</w:t>
                  </w:r>
                </w:p>
              </w:tc>
              <w:tc>
                <w:tcPr>
                  <w:tcW w:w="533" w:type="pct"/>
                  <w:tcBorders>
                    <w:tl2br w:val="nil"/>
                    <w:tr2bl w:val="nil"/>
                  </w:tcBorders>
                  <w:vAlign w:val="center"/>
                </w:tcPr>
                <w:p w14:paraId="3A74253D">
                  <w:pPr>
                    <w:spacing w:line="240" w:lineRule="atLeast"/>
                    <w:jc w:val="center"/>
                    <w:textAlignment w:val="center"/>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w:t>
                  </w:r>
                </w:p>
              </w:tc>
              <w:tc>
                <w:tcPr>
                  <w:tcW w:w="933" w:type="pct"/>
                  <w:tcBorders>
                    <w:tl2br w:val="nil"/>
                    <w:tr2bl w:val="nil"/>
                  </w:tcBorders>
                  <w:vAlign w:val="center"/>
                </w:tcPr>
                <w:p w14:paraId="787CE73A">
                  <w:pPr>
                    <w:widowControl/>
                    <w:spacing w:line="240" w:lineRule="atLeast"/>
                    <w:jc w:val="center"/>
                    <w:textAlignment w:val="center"/>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w:t>
                  </w:r>
                </w:p>
              </w:tc>
              <w:tc>
                <w:tcPr>
                  <w:tcW w:w="1410" w:type="pct"/>
                  <w:tcBorders>
                    <w:tl2br w:val="nil"/>
                    <w:tr2bl w:val="nil"/>
                  </w:tcBorders>
                  <w:vAlign w:val="center"/>
                </w:tcPr>
                <w:p w14:paraId="5D3F682D">
                  <w:pPr>
                    <w:widowControl/>
                    <w:spacing w:line="240" w:lineRule="atLeast"/>
                    <w:jc w:val="center"/>
                    <w:textAlignment w:val="center"/>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w:t>
                  </w:r>
                </w:p>
              </w:tc>
            </w:tr>
            <w:tr w14:paraId="064C96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jc w:val="center"/>
              </w:trPr>
              <w:tc>
                <w:tcPr>
                  <w:tcW w:w="245" w:type="pct"/>
                  <w:tcBorders>
                    <w:tl2br w:val="nil"/>
                    <w:tr2bl w:val="nil"/>
                  </w:tcBorders>
                  <w:vAlign w:val="center"/>
                </w:tcPr>
                <w:p w14:paraId="32C0E5D6">
                  <w:pPr>
                    <w:widowControl/>
                    <w:spacing w:line="240" w:lineRule="atLeast"/>
                    <w:jc w:val="center"/>
                    <w:textAlignment w:val="center"/>
                    <w:rPr>
                      <w:rFonts w:hint="eastAsia"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4</w:t>
                  </w:r>
                </w:p>
              </w:tc>
              <w:tc>
                <w:tcPr>
                  <w:tcW w:w="723" w:type="pct"/>
                  <w:tcBorders>
                    <w:tl2br w:val="nil"/>
                    <w:tr2bl w:val="nil"/>
                  </w:tcBorders>
                  <w:vAlign w:val="center"/>
                </w:tcPr>
                <w:p w14:paraId="52C93B3C">
                  <w:pPr>
                    <w:widowControl/>
                    <w:spacing w:line="240" w:lineRule="atLeast"/>
                    <w:jc w:val="center"/>
                    <w:textAlignment w:val="center"/>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用水</w:t>
                  </w:r>
                </w:p>
              </w:tc>
              <w:tc>
                <w:tcPr>
                  <w:tcW w:w="576" w:type="pct"/>
                  <w:tcBorders>
                    <w:tl2br w:val="nil"/>
                    <w:tr2bl w:val="nil"/>
                  </w:tcBorders>
                  <w:vAlign w:val="center"/>
                </w:tcPr>
                <w:p w14:paraId="1166245D">
                  <w:pPr>
                    <w:widowControl/>
                    <w:spacing w:line="240" w:lineRule="atLeast"/>
                    <w:jc w:val="center"/>
                    <w:textAlignment w:val="center"/>
                    <w:rPr>
                      <w:rFonts w:hint="default" w:ascii="Times New Roman" w:hAnsi="Times New Roman" w:eastAsia="宋体" w:cs="Times New Roman"/>
                      <w:kern w:val="0"/>
                      <w:szCs w:val="21"/>
                      <w:highlight w:val="none"/>
                    </w:rPr>
                  </w:pPr>
                  <w:r>
                    <w:rPr>
                      <w:rFonts w:hint="default" w:ascii="Times New Roman" w:hAnsi="Times New Roman" w:eastAsia="宋体" w:cs="Times New Roman"/>
                      <w:szCs w:val="21"/>
                      <w:highlight w:val="none"/>
                    </w:rPr>
                    <w:t>m</w:t>
                  </w:r>
                  <w:r>
                    <w:rPr>
                      <w:rFonts w:hint="default" w:ascii="Times New Roman" w:hAnsi="Times New Roman" w:eastAsia="宋体" w:cs="Times New Roman"/>
                      <w:szCs w:val="21"/>
                      <w:highlight w:val="none"/>
                      <w:vertAlign w:val="superscript"/>
                    </w:rPr>
                    <w:t>3</w:t>
                  </w:r>
                </w:p>
              </w:tc>
              <w:tc>
                <w:tcPr>
                  <w:tcW w:w="576" w:type="pct"/>
                  <w:tcBorders>
                    <w:tl2br w:val="nil"/>
                    <w:tr2bl w:val="nil"/>
                  </w:tcBorders>
                  <w:vAlign w:val="center"/>
                </w:tcPr>
                <w:p w14:paraId="1139F949">
                  <w:pPr>
                    <w:widowControl/>
                    <w:spacing w:line="240" w:lineRule="atLeast"/>
                    <w:jc w:val="center"/>
                    <w:textAlignment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181063.725</w:t>
                  </w:r>
                </w:p>
              </w:tc>
              <w:tc>
                <w:tcPr>
                  <w:tcW w:w="533" w:type="pct"/>
                  <w:tcBorders>
                    <w:tl2br w:val="nil"/>
                    <w:tr2bl w:val="nil"/>
                  </w:tcBorders>
                  <w:vAlign w:val="center"/>
                </w:tcPr>
                <w:p w14:paraId="346957DA">
                  <w:pPr>
                    <w:spacing w:line="240" w:lineRule="atLeast"/>
                    <w:jc w:val="center"/>
                    <w:textAlignment w:val="center"/>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w:t>
                  </w:r>
                </w:p>
              </w:tc>
              <w:tc>
                <w:tcPr>
                  <w:tcW w:w="933" w:type="pct"/>
                  <w:tcBorders>
                    <w:tl2br w:val="nil"/>
                    <w:tr2bl w:val="nil"/>
                  </w:tcBorders>
                  <w:vAlign w:val="center"/>
                </w:tcPr>
                <w:p w14:paraId="78169BE6">
                  <w:pPr>
                    <w:widowControl/>
                    <w:spacing w:line="240" w:lineRule="atLeast"/>
                    <w:jc w:val="center"/>
                    <w:textAlignment w:val="center"/>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w:t>
                  </w:r>
                </w:p>
              </w:tc>
              <w:tc>
                <w:tcPr>
                  <w:tcW w:w="1410" w:type="pct"/>
                  <w:tcBorders>
                    <w:tl2br w:val="nil"/>
                    <w:tr2bl w:val="nil"/>
                  </w:tcBorders>
                  <w:vAlign w:val="center"/>
                </w:tcPr>
                <w:p w14:paraId="2F8AC5EA">
                  <w:pPr>
                    <w:widowControl/>
                    <w:spacing w:line="240" w:lineRule="atLeast"/>
                    <w:jc w:val="center"/>
                    <w:textAlignment w:val="center"/>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w:t>
                  </w:r>
                </w:p>
              </w:tc>
            </w:tr>
            <w:tr w14:paraId="65CA71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jc w:val="center"/>
              </w:trPr>
              <w:tc>
                <w:tcPr>
                  <w:tcW w:w="245" w:type="pct"/>
                  <w:tcBorders>
                    <w:tl2br w:val="nil"/>
                    <w:tr2bl w:val="nil"/>
                  </w:tcBorders>
                  <w:vAlign w:val="center"/>
                </w:tcPr>
                <w:p w14:paraId="0F17DF2C">
                  <w:pPr>
                    <w:widowControl/>
                    <w:spacing w:line="240" w:lineRule="atLeast"/>
                    <w:jc w:val="center"/>
                    <w:textAlignment w:val="center"/>
                    <w:rPr>
                      <w:rFonts w:hint="default" w:cs="Times New Roman"/>
                      <w:kern w:val="0"/>
                      <w:szCs w:val="21"/>
                      <w:highlight w:val="none"/>
                      <w:lang w:val="en-US" w:eastAsia="zh-CN"/>
                    </w:rPr>
                  </w:pPr>
                  <w:r>
                    <w:rPr>
                      <w:rFonts w:hint="eastAsia" w:cs="Times New Roman"/>
                      <w:kern w:val="0"/>
                      <w:szCs w:val="21"/>
                      <w:highlight w:val="none"/>
                      <w:lang w:val="en-US" w:eastAsia="zh-CN"/>
                    </w:rPr>
                    <w:t>5</w:t>
                  </w:r>
                </w:p>
              </w:tc>
              <w:tc>
                <w:tcPr>
                  <w:tcW w:w="723" w:type="pct"/>
                  <w:tcBorders>
                    <w:tl2br w:val="nil"/>
                    <w:tr2bl w:val="nil"/>
                  </w:tcBorders>
                  <w:vAlign w:val="center"/>
                </w:tcPr>
                <w:p w14:paraId="57949EE1">
                  <w:pPr>
                    <w:widowControl/>
                    <w:spacing w:line="240" w:lineRule="atLeast"/>
                    <w:jc w:val="center"/>
                    <w:textAlignment w:val="center"/>
                    <w:rPr>
                      <w:rFonts w:hint="eastAsia"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润滑油</w:t>
                  </w:r>
                </w:p>
              </w:tc>
              <w:tc>
                <w:tcPr>
                  <w:tcW w:w="576" w:type="pct"/>
                  <w:tcBorders>
                    <w:tl2br w:val="nil"/>
                    <w:tr2bl w:val="nil"/>
                  </w:tcBorders>
                  <w:vAlign w:val="center"/>
                </w:tcPr>
                <w:p w14:paraId="5659BB94">
                  <w:pPr>
                    <w:widowControl/>
                    <w:spacing w:line="240" w:lineRule="atLeast"/>
                    <w:jc w:val="center"/>
                    <w:textAlignment w:val="center"/>
                    <w:rPr>
                      <w:rFonts w:hint="eastAsia" w:ascii="Times New Roman" w:hAnsi="Times New Roman" w:eastAsia="宋体" w:cs="Times New Roman"/>
                      <w:szCs w:val="21"/>
                      <w:highlight w:val="none"/>
                      <w:lang w:val="en-US" w:eastAsia="zh-CN"/>
                    </w:rPr>
                  </w:pPr>
                  <w:r>
                    <w:rPr>
                      <w:rFonts w:hint="eastAsia" w:cs="Times New Roman"/>
                      <w:szCs w:val="21"/>
                      <w:highlight w:val="none"/>
                      <w:lang w:val="en-US" w:eastAsia="zh-CN"/>
                    </w:rPr>
                    <w:t>t</w:t>
                  </w:r>
                </w:p>
              </w:tc>
              <w:tc>
                <w:tcPr>
                  <w:tcW w:w="576" w:type="pct"/>
                  <w:tcBorders>
                    <w:tl2br w:val="nil"/>
                    <w:tr2bl w:val="nil"/>
                  </w:tcBorders>
                  <w:vAlign w:val="center"/>
                </w:tcPr>
                <w:p w14:paraId="578DB558">
                  <w:pPr>
                    <w:widowControl/>
                    <w:spacing w:line="240" w:lineRule="atLeast"/>
                    <w:jc w:val="center"/>
                    <w:textAlignment w:val="center"/>
                    <w:rPr>
                      <w:rFonts w:hint="default" w:cs="Times New Roman"/>
                      <w:kern w:val="0"/>
                      <w:szCs w:val="21"/>
                      <w:highlight w:val="none"/>
                      <w:lang w:val="en-US" w:eastAsia="zh-CN"/>
                    </w:rPr>
                  </w:pPr>
                  <w:r>
                    <w:rPr>
                      <w:rFonts w:hint="eastAsia" w:cs="Times New Roman"/>
                      <w:kern w:val="0"/>
                      <w:szCs w:val="21"/>
                      <w:highlight w:val="none"/>
                      <w:lang w:val="en-US" w:eastAsia="zh-CN"/>
                    </w:rPr>
                    <w:t>0.6</w:t>
                  </w:r>
                </w:p>
              </w:tc>
              <w:tc>
                <w:tcPr>
                  <w:tcW w:w="533" w:type="pct"/>
                  <w:tcBorders>
                    <w:tl2br w:val="nil"/>
                    <w:tr2bl w:val="nil"/>
                  </w:tcBorders>
                  <w:vAlign w:val="center"/>
                </w:tcPr>
                <w:p w14:paraId="70E338A1">
                  <w:pPr>
                    <w:spacing w:line="240" w:lineRule="atLeast"/>
                    <w:jc w:val="center"/>
                    <w:textAlignment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0.6</w:t>
                  </w:r>
                </w:p>
              </w:tc>
              <w:tc>
                <w:tcPr>
                  <w:tcW w:w="933" w:type="pct"/>
                  <w:tcBorders>
                    <w:tl2br w:val="nil"/>
                    <w:tr2bl w:val="nil"/>
                  </w:tcBorders>
                  <w:vAlign w:val="center"/>
                </w:tcPr>
                <w:p w14:paraId="6EA65ED0">
                  <w:pPr>
                    <w:widowControl/>
                    <w:spacing w:line="240" w:lineRule="atLeast"/>
                    <w:jc w:val="center"/>
                    <w:textAlignment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材料库</w:t>
                  </w:r>
                </w:p>
              </w:tc>
              <w:tc>
                <w:tcPr>
                  <w:tcW w:w="1410" w:type="pct"/>
                  <w:tcBorders>
                    <w:tl2br w:val="nil"/>
                    <w:tr2bl w:val="nil"/>
                  </w:tcBorders>
                  <w:vAlign w:val="center"/>
                </w:tcPr>
                <w:p w14:paraId="43B0714D">
                  <w:pPr>
                    <w:widowControl/>
                    <w:spacing w:line="240" w:lineRule="atLeast"/>
                    <w:jc w:val="center"/>
                    <w:textAlignment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用于机械设备、齿轮等润滑</w:t>
                  </w:r>
                </w:p>
              </w:tc>
            </w:tr>
            <w:tr w14:paraId="301C33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jc w:val="center"/>
              </w:trPr>
              <w:tc>
                <w:tcPr>
                  <w:tcW w:w="245" w:type="pct"/>
                  <w:tcBorders>
                    <w:tl2br w:val="nil"/>
                    <w:tr2bl w:val="nil"/>
                  </w:tcBorders>
                  <w:vAlign w:val="center"/>
                </w:tcPr>
                <w:p w14:paraId="61F3E123">
                  <w:pPr>
                    <w:widowControl/>
                    <w:spacing w:line="240" w:lineRule="atLeast"/>
                    <w:jc w:val="center"/>
                    <w:textAlignment w:val="center"/>
                    <w:rPr>
                      <w:rFonts w:hint="default" w:cs="Times New Roman"/>
                      <w:kern w:val="0"/>
                      <w:szCs w:val="21"/>
                      <w:highlight w:val="none"/>
                      <w:lang w:val="en-US" w:eastAsia="zh-CN"/>
                    </w:rPr>
                  </w:pPr>
                  <w:r>
                    <w:rPr>
                      <w:rFonts w:hint="eastAsia" w:cs="Times New Roman"/>
                      <w:kern w:val="0"/>
                      <w:szCs w:val="21"/>
                      <w:highlight w:val="none"/>
                      <w:lang w:val="en-US" w:eastAsia="zh-CN"/>
                    </w:rPr>
                    <w:t>6</w:t>
                  </w:r>
                </w:p>
              </w:tc>
              <w:tc>
                <w:tcPr>
                  <w:tcW w:w="723" w:type="pct"/>
                  <w:tcBorders>
                    <w:tl2br w:val="nil"/>
                    <w:tr2bl w:val="nil"/>
                  </w:tcBorders>
                  <w:vAlign w:val="center"/>
                </w:tcPr>
                <w:p w14:paraId="67F12C5E">
                  <w:pPr>
                    <w:widowControl/>
                    <w:spacing w:line="240" w:lineRule="atLeast"/>
                    <w:jc w:val="center"/>
                    <w:textAlignment w:val="center"/>
                    <w:rPr>
                      <w:rFonts w:hint="eastAsia"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焊条</w:t>
                  </w:r>
                </w:p>
              </w:tc>
              <w:tc>
                <w:tcPr>
                  <w:tcW w:w="576" w:type="pct"/>
                  <w:tcBorders>
                    <w:tl2br w:val="nil"/>
                    <w:tr2bl w:val="nil"/>
                  </w:tcBorders>
                  <w:vAlign w:val="center"/>
                </w:tcPr>
                <w:p w14:paraId="608079D1">
                  <w:pPr>
                    <w:widowControl/>
                    <w:spacing w:line="240" w:lineRule="atLeast"/>
                    <w:jc w:val="center"/>
                    <w:textAlignment w:val="center"/>
                    <w:rPr>
                      <w:rFonts w:hint="eastAsia" w:ascii="Times New Roman" w:hAnsi="Times New Roman" w:eastAsia="宋体" w:cs="Times New Roman"/>
                      <w:szCs w:val="21"/>
                      <w:highlight w:val="none"/>
                      <w:lang w:val="en-US" w:eastAsia="zh-CN"/>
                    </w:rPr>
                  </w:pPr>
                  <w:r>
                    <w:rPr>
                      <w:rFonts w:hint="eastAsia" w:cs="Times New Roman"/>
                      <w:szCs w:val="21"/>
                      <w:highlight w:val="none"/>
                      <w:lang w:val="en-US" w:eastAsia="zh-CN"/>
                    </w:rPr>
                    <w:t>t</w:t>
                  </w:r>
                </w:p>
              </w:tc>
              <w:tc>
                <w:tcPr>
                  <w:tcW w:w="576" w:type="pct"/>
                  <w:tcBorders>
                    <w:tl2br w:val="nil"/>
                    <w:tr2bl w:val="nil"/>
                  </w:tcBorders>
                  <w:vAlign w:val="center"/>
                </w:tcPr>
                <w:p w14:paraId="5C40C695">
                  <w:pPr>
                    <w:widowControl/>
                    <w:spacing w:line="240" w:lineRule="atLeast"/>
                    <w:jc w:val="center"/>
                    <w:textAlignment w:val="center"/>
                    <w:rPr>
                      <w:rFonts w:hint="default" w:cs="Times New Roman"/>
                      <w:kern w:val="0"/>
                      <w:szCs w:val="21"/>
                      <w:highlight w:val="none"/>
                      <w:lang w:val="en-US" w:eastAsia="zh-CN"/>
                    </w:rPr>
                  </w:pPr>
                  <w:r>
                    <w:rPr>
                      <w:rFonts w:hint="eastAsia" w:cs="Times New Roman"/>
                      <w:kern w:val="0"/>
                      <w:szCs w:val="21"/>
                      <w:highlight w:val="none"/>
                      <w:lang w:val="en-US" w:eastAsia="zh-CN"/>
                    </w:rPr>
                    <w:t>0.5</w:t>
                  </w:r>
                </w:p>
              </w:tc>
              <w:tc>
                <w:tcPr>
                  <w:tcW w:w="533" w:type="pct"/>
                  <w:tcBorders>
                    <w:tl2br w:val="nil"/>
                    <w:tr2bl w:val="nil"/>
                  </w:tcBorders>
                  <w:vAlign w:val="center"/>
                </w:tcPr>
                <w:p w14:paraId="6EFD4BEF">
                  <w:pPr>
                    <w:spacing w:line="240" w:lineRule="atLeast"/>
                    <w:jc w:val="center"/>
                    <w:textAlignment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0.5</w:t>
                  </w:r>
                </w:p>
              </w:tc>
              <w:tc>
                <w:tcPr>
                  <w:tcW w:w="933" w:type="pct"/>
                  <w:tcBorders>
                    <w:tl2br w:val="nil"/>
                    <w:tr2bl w:val="nil"/>
                  </w:tcBorders>
                  <w:vAlign w:val="center"/>
                </w:tcPr>
                <w:p w14:paraId="6F188847">
                  <w:pPr>
                    <w:widowControl/>
                    <w:spacing w:line="240" w:lineRule="atLeast"/>
                    <w:jc w:val="center"/>
                    <w:textAlignment w:val="center"/>
                    <w:rPr>
                      <w:rFonts w:hint="eastAsia"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材料库</w:t>
                  </w:r>
                </w:p>
              </w:tc>
              <w:tc>
                <w:tcPr>
                  <w:tcW w:w="1410" w:type="pct"/>
                  <w:tcBorders>
                    <w:tl2br w:val="nil"/>
                    <w:tr2bl w:val="nil"/>
                  </w:tcBorders>
                  <w:vAlign w:val="center"/>
                </w:tcPr>
                <w:p w14:paraId="5ADF8A8B">
                  <w:pPr>
                    <w:widowControl/>
                    <w:spacing w:line="240" w:lineRule="atLeast"/>
                    <w:jc w:val="center"/>
                    <w:textAlignment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用于设备维修及管道焊接</w:t>
                  </w:r>
                </w:p>
              </w:tc>
            </w:tr>
            <w:tr w14:paraId="2F6AB1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jc w:val="center"/>
              </w:trPr>
              <w:tc>
                <w:tcPr>
                  <w:tcW w:w="245" w:type="pct"/>
                  <w:tcBorders>
                    <w:tl2br w:val="nil"/>
                    <w:tr2bl w:val="nil"/>
                  </w:tcBorders>
                  <w:vAlign w:val="center"/>
                </w:tcPr>
                <w:p w14:paraId="353F7F0C">
                  <w:pPr>
                    <w:widowControl/>
                    <w:spacing w:line="240" w:lineRule="atLeast"/>
                    <w:jc w:val="center"/>
                    <w:textAlignment w:val="center"/>
                    <w:rPr>
                      <w:rFonts w:hint="default" w:cs="Times New Roman"/>
                      <w:kern w:val="0"/>
                      <w:szCs w:val="21"/>
                      <w:highlight w:val="none"/>
                      <w:lang w:val="en-US" w:eastAsia="zh-CN"/>
                    </w:rPr>
                  </w:pPr>
                  <w:r>
                    <w:rPr>
                      <w:rFonts w:hint="eastAsia" w:cs="Times New Roman"/>
                      <w:kern w:val="0"/>
                      <w:szCs w:val="21"/>
                      <w:highlight w:val="none"/>
                      <w:lang w:val="en-US" w:eastAsia="zh-CN"/>
                    </w:rPr>
                    <w:t>7</w:t>
                  </w:r>
                </w:p>
              </w:tc>
              <w:tc>
                <w:tcPr>
                  <w:tcW w:w="723" w:type="pct"/>
                  <w:tcBorders>
                    <w:tl2br w:val="nil"/>
                    <w:tr2bl w:val="nil"/>
                  </w:tcBorders>
                  <w:vAlign w:val="center"/>
                </w:tcPr>
                <w:p w14:paraId="01DF1496">
                  <w:pPr>
                    <w:widowControl/>
                    <w:spacing w:line="240" w:lineRule="atLeast"/>
                    <w:jc w:val="center"/>
                    <w:textAlignment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备用柴油</w:t>
                  </w:r>
                </w:p>
              </w:tc>
              <w:tc>
                <w:tcPr>
                  <w:tcW w:w="576" w:type="pct"/>
                  <w:tcBorders>
                    <w:tl2br w:val="nil"/>
                    <w:tr2bl w:val="nil"/>
                  </w:tcBorders>
                  <w:vAlign w:val="center"/>
                </w:tcPr>
                <w:p w14:paraId="3E8987EB">
                  <w:pPr>
                    <w:widowControl/>
                    <w:spacing w:line="240" w:lineRule="atLeast"/>
                    <w:jc w:val="center"/>
                    <w:textAlignment w:val="center"/>
                    <w:rPr>
                      <w:rFonts w:hint="eastAsia" w:ascii="Times New Roman" w:hAnsi="Times New Roman" w:eastAsia="宋体" w:cs="Times New Roman"/>
                      <w:szCs w:val="21"/>
                      <w:highlight w:val="none"/>
                      <w:lang w:val="en-US" w:eastAsia="zh-CN"/>
                    </w:rPr>
                  </w:pPr>
                  <w:r>
                    <w:rPr>
                      <w:rFonts w:hint="eastAsia" w:cs="Times New Roman"/>
                      <w:szCs w:val="21"/>
                      <w:highlight w:val="none"/>
                      <w:lang w:val="en-US" w:eastAsia="zh-CN"/>
                    </w:rPr>
                    <w:t>t</w:t>
                  </w:r>
                </w:p>
              </w:tc>
              <w:tc>
                <w:tcPr>
                  <w:tcW w:w="576" w:type="pct"/>
                  <w:tcBorders>
                    <w:tl2br w:val="nil"/>
                    <w:tr2bl w:val="nil"/>
                  </w:tcBorders>
                  <w:vAlign w:val="center"/>
                </w:tcPr>
                <w:p w14:paraId="605B7E2B">
                  <w:pPr>
                    <w:widowControl/>
                    <w:spacing w:line="240" w:lineRule="atLeast"/>
                    <w:jc w:val="center"/>
                    <w:textAlignment w:val="center"/>
                    <w:rPr>
                      <w:rFonts w:hint="default" w:cs="Times New Roman"/>
                      <w:kern w:val="0"/>
                      <w:szCs w:val="21"/>
                      <w:highlight w:val="none"/>
                      <w:lang w:val="en-US" w:eastAsia="zh-CN"/>
                    </w:rPr>
                  </w:pPr>
                  <w:r>
                    <w:rPr>
                      <w:rFonts w:hint="eastAsia" w:cs="Times New Roman"/>
                      <w:kern w:val="0"/>
                      <w:szCs w:val="21"/>
                      <w:highlight w:val="none"/>
                      <w:lang w:val="en-US" w:eastAsia="zh-CN"/>
                    </w:rPr>
                    <w:t>2</w:t>
                  </w:r>
                </w:p>
              </w:tc>
              <w:tc>
                <w:tcPr>
                  <w:tcW w:w="533" w:type="pct"/>
                  <w:tcBorders>
                    <w:tl2br w:val="nil"/>
                    <w:tr2bl w:val="nil"/>
                  </w:tcBorders>
                  <w:vAlign w:val="center"/>
                </w:tcPr>
                <w:p w14:paraId="6F3F9E9E">
                  <w:pPr>
                    <w:spacing w:line="240" w:lineRule="atLeast"/>
                    <w:jc w:val="center"/>
                    <w:textAlignment w:val="center"/>
                    <w:rPr>
                      <w:rFonts w:hint="eastAsia"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w:t>
                  </w:r>
                </w:p>
              </w:tc>
              <w:tc>
                <w:tcPr>
                  <w:tcW w:w="933" w:type="pct"/>
                  <w:tcBorders>
                    <w:tl2br w:val="nil"/>
                    <w:tr2bl w:val="nil"/>
                  </w:tcBorders>
                  <w:vAlign w:val="center"/>
                </w:tcPr>
                <w:p w14:paraId="1B00B6E9">
                  <w:pPr>
                    <w:widowControl/>
                    <w:spacing w:line="240" w:lineRule="atLeast"/>
                    <w:jc w:val="center"/>
                    <w:textAlignment w:val="center"/>
                    <w:rPr>
                      <w:rFonts w:hint="default" w:ascii="Times New Roman" w:hAnsi="Times New Roman" w:eastAsia="宋体" w:cs="Times New Roman"/>
                      <w:kern w:val="0"/>
                      <w:szCs w:val="21"/>
                      <w:highlight w:val="none"/>
                    </w:rPr>
                  </w:pPr>
                  <w:r>
                    <w:rPr>
                      <w:rFonts w:hint="eastAsia" w:cs="Times New Roman"/>
                      <w:kern w:val="0"/>
                      <w:szCs w:val="21"/>
                      <w:highlight w:val="none"/>
                      <w:lang w:val="en-US" w:eastAsia="zh-CN"/>
                    </w:rPr>
                    <w:t>柴油机自带油箱，项目区不设储油罐</w:t>
                  </w:r>
                </w:p>
              </w:tc>
              <w:tc>
                <w:tcPr>
                  <w:tcW w:w="1410" w:type="pct"/>
                  <w:tcBorders>
                    <w:tl2br w:val="nil"/>
                    <w:tr2bl w:val="nil"/>
                  </w:tcBorders>
                  <w:vAlign w:val="center"/>
                </w:tcPr>
                <w:p w14:paraId="206C7D0B">
                  <w:pPr>
                    <w:widowControl/>
                    <w:spacing w:line="240" w:lineRule="atLeast"/>
                    <w:jc w:val="center"/>
                    <w:textAlignment w:val="center"/>
                    <w:rPr>
                      <w:rFonts w:hint="default" w:ascii="Times New Roman" w:hAnsi="Times New Roman" w:eastAsia="宋体" w:cs="Times New Roman"/>
                      <w:kern w:val="0"/>
                      <w:szCs w:val="21"/>
                      <w:highlight w:val="none"/>
                    </w:rPr>
                  </w:pPr>
                  <w:r>
                    <w:rPr>
                      <w:rFonts w:hint="eastAsia" w:cs="Times New Roman"/>
                      <w:kern w:val="0"/>
                      <w:szCs w:val="21"/>
                      <w:highlight w:val="none"/>
                      <w:lang w:val="en-US" w:eastAsia="zh-CN"/>
                    </w:rPr>
                    <w:t>仅停电应急时使用</w:t>
                  </w:r>
                </w:p>
              </w:tc>
            </w:tr>
          </w:tbl>
          <w:p w14:paraId="0C9D7746">
            <w:pPr>
              <w:autoSpaceDE w:val="0"/>
              <w:autoSpaceDN w:val="0"/>
              <w:spacing w:line="276" w:lineRule="auto"/>
              <w:ind w:firstLine="422" w:firstLineChars="200"/>
              <w:jc w:val="center"/>
              <w:rPr>
                <w:rFonts w:hint="default" w:ascii="Times New Roman" w:hAnsi="Times New Roman" w:cs="Times New Roman"/>
                <w:b/>
                <w:color w:val="auto"/>
                <w:kern w:val="0"/>
                <w:szCs w:val="21"/>
                <w:highlight w:val="none"/>
              </w:rPr>
            </w:pPr>
          </w:p>
          <w:p w14:paraId="4C4690C3">
            <w:pPr>
              <w:autoSpaceDE w:val="0"/>
              <w:autoSpaceDN w:val="0"/>
              <w:spacing w:line="276" w:lineRule="auto"/>
              <w:ind w:firstLine="422" w:firstLineChars="200"/>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注：项目钻机采用外接电为能源，柴油机为应急用，项目区无柴油存储。</w:t>
            </w:r>
          </w:p>
          <w:p w14:paraId="25FC0CCE">
            <w:pPr>
              <w:autoSpaceDE w:val="0"/>
              <w:autoSpaceDN w:val="0"/>
              <w:spacing w:line="360" w:lineRule="auto"/>
              <w:ind w:firstLine="480" w:firstLineChars="200"/>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根据钻孔施工要求及工期安排，本项目拟投入3台钻机进行施工，本项目的主要施工机械设备详情见下表。</w:t>
            </w:r>
          </w:p>
          <w:p w14:paraId="130C5911">
            <w:pPr>
              <w:spacing w:line="240" w:lineRule="atLeast"/>
              <w:jc w:val="center"/>
              <w:rPr>
                <w:rFonts w:hint="default" w:ascii="Times New Roman" w:hAnsi="Times New Roman" w:eastAsia="黑体" w:cs="Times New Roman"/>
                <w:color w:val="000000" w:themeColor="text1"/>
                <w:szCs w:val="20"/>
                <w:highlight w:val="none"/>
                <w14:textFill>
                  <w14:solidFill>
                    <w14:schemeClr w14:val="tx1"/>
                  </w14:solidFill>
                </w14:textFill>
              </w:rPr>
            </w:pPr>
            <w:r>
              <w:rPr>
                <w:rFonts w:hint="default" w:ascii="Times New Roman" w:hAnsi="Times New Roman" w:eastAsia="黑体" w:cs="Times New Roman"/>
                <w:color w:val="000000" w:themeColor="text1"/>
                <w:szCs w:val="20"/>
                <w:highlight w:val="none"/>
                <w14:textFill>
                  <w14:solidFill>
                    <w14:schemeClr w14:val="tx1"/>
                  </w14:solidFill>
                </w14:textFill>
              </w:rPr>
              <w:t>表</w:t>
            </w:r>
            <w:r>
              <w:rPr>
                <w:rFonts w:hint="eastAsia" w:ascii="Times New Roman" w:hAnsi="Times New Roman" w:eastAsia="黑体" w:cs="Times New Roman"/>
                <w:color w:val="000000" w:themeColor="text1"/>
                <w:szCs w:val="20"/>
                <w:highlight w:val="none"/>
                <w:lang w:val="en-US" w:eastAsia="zh-CN"/>
                <w14:textFill>
                  <w14:solidFill>
                    <w14:schemeClr w14:val="tx1"/>
                  </w14:solidFill>
                </w14:textFill>
              </w:rPr>
              <w:t>2-5</w:t>
            </w:r>
            <w:r>
              <w:rPr>
                <w:rFonts w:hint="eastAsia" w:ascii="Times New Roman" w:hAnsi="Times New Roman" w:eastAsia="黑体" w:cs="Times New Roman"/>
                <w:color w:val="000000" w:themeColor="text1"/>
                <w:szCs w:val="20"/>
                <w:highlight w:val="none"/>
                <w14:textFill>
                  <w14:solidFill>
                    <w14:schemeClr w14:val="tx1"/>
                  </w14:solidFill>
                </w14:textFill>
              </w:rPr>
              <w:t xml:space="preserve">  </w:t>
            </w:r>
            <w:r>
              <w:rPr>
                <w:rFonts w:hint="default" w:ascii="Times New Roman" w:hAnsi="Times New Roman" w:eastAsia="黑体" w:cs="Times New Roman"/>
                <w:color w:val="000000" w:themeColor="text1"/>
                <w:szCs w:val="20"/>
                <w:highlight w:val="none"/>
                <w14:textFill>
                  <w14:solidFill>
                    <w14:schemeClr w14:val="tx1"/>
                  </w14:solidFill>
                </w14:textFill>
              </w:rPr>
              <w:t>本项目</w:t>
            </w:r>
            <w:r>
              <w:rPr>
                <w:rFonts w:hint="eastAsia" w:ascii="Times New Roman" w:hAnsi="Times New Roman" w:eastAsia="黑体" w:cs="Times New Roman"/>
                <w:color w:val="000000" w:themeColor="text1"/>
                <w:szCs w:val="20"/>
                <w:highlight w:val="none"/>
                <w14:textFill>
                  <w14:solidFill>
                    <w14:schemeClr w14:val="tx1"/>
                  </w14:solidFill>
                </w14:textFill>
              </w:rPr>
              <w:t>钻探</w:t>
            </w:r>
            <w:r>
              <w:rPr>
                <w:rFonts w:hint="default" w:ascii="Times New Roman" w:hAnsi="Times New Roman" w:eastAsia="黑体" w:cs="Times New Roman"/>
                <w:color w:val="000000" w:themeColor="text1"/>
                <w:szCs w:val="20"/>
                <w:highlight w:val="none"/>
                <w14:textFill>
                  <w14:solidFill>
                    <w14:schemeClr w14:val="tx1"/>
                  </w14:solidFill>
                </w14:textFill>
              </w:rPr>
              <w:t>设备</w:t>
            </w:r>
            <w:r>
              <w:rPr>
                <w:rFonts w:hint="eastAsia" w:ascii="Times New Roman" w:hAnsi="Times New Roman" w:eastAsia="黑体" w:cs="Times New Roman"/>
                <w:color w:val="000000" w:themeColor="text1"/>
                <w:szCs w:val="20"/>
                <w:highlight w:val="none"/>
                <w14:textFill>
                  <w14:solidFill>
                    <w14:schemeClr w14:val="tx1"/>
                  </w14:solidFill>
                </w14:textFill>
              </w:rPr>
              <w:t>仪器</w:t>
            </w:r>
            <w:r>
              <w:rPr>
                <w:rFonts w:hint="default" w:ascii="Times New Roman" w:hAnsi="Times New Roman" w:eastAsia="黑体" w:cs="Times New Roman"/>
                <w:color w:val="000000" w:themeColor="text1"/>
                <w:szCs w:val="20"/>
                <w:highlight w:val="none"/>
                <w14:textFill>
                  <w14:solidFill>
                    <w14:schemeClr w14:val="tx1"/>
                  </w14:solidFill>
                </w14:textFill>
              </w:rPr>
              <w:t>表</w:t>
            </w:r>
          </w:p>
          <w:tbl>
            <w:tblPr>
              <w:tblStyle w:val="2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056"/>
              <w:gridCol w:w="1464"/>
              <w:gridCol w:w="1369"/>
              <w:gridCol w:w="1503"/>
              <w:gridCol w:w="721"/>
              <w:gridCol w:w="1736"/>
            </w:tblGrid>
            <w:tr w14:paraId="46F4A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atLeast"/>
                <w:jc w:val="center"/>
              </w:trPr>
              <w:tc>
                <w:tcPr>
                  <w:tcW w:w="1271" w:type="dxa"/>
                  <w:tcBorders>
                    <w:top w:val="single" w:color="000000" w:sz="4" w:space="0"/>
                    <w:left w:val="single" w:color="000000" w:sz="4" w:space="0"/>
                    <w:bottom w:val="single" w:color="000000" w:sz="4" w:space="0"/>
                    <w:right w:val="single" w:color="000000" w:sz="4" w:space="0"/>
                  </w:tcBorders>
                  <w:vAlign w:val="center"/>
                </w:tcPr>
                <w:p w14:paraId="383D1E22">
                  <w:pPr>
                    <w:spacing w:line="240" w:lineRule="auto"/>
                    <w:ind w:firstLine="0" w:firstLineChars="0"/>
                    <w:jc w:val="center"/>
                    <w:rPr>
                      <w:sz w:val="21"/>
                      <w:szCs w:val="21"/>
                    </w:rPr>
                  </w:pPr>
                  <w:r>
                    <w:rPr>
                      <w:sz w:val="21"/>
                      <w:szCs w:val="21"/>
                    </w:rPr>
                    <w:t>序</w:t>
                  </w:r>
                </w:p>
                <w:p w14:paraId="1BB9E156">
                  <w:pPr>
                    <w:spacing w:line="240" w:lineRule="auto"/>
                    <w:ind w:firstLine="0" w:firstLineChars="0"/>
                    <w:jc w:val="center"/>
                    <w:rPr>
                      <w:sz w:val="21"/>
                      <w:szCs w:val="21"/>
                    </w:rPr>
                  </w:pPr>
                  <w:r>
                    <w:rPr>
                      <w:sz w:val="21"/>
                      <w:szCs w:val="21"/>
                    </w:rPr>
                    <w:t>号</w:t>
                  </w:r>
                </w:p>
              </w:tc>
              <w:tc>
                <w:tcPr>
                  <w:tcW w:w="1701" w:type="dxa"/>
                  <w:tcBorders>
                    <w:top w:val="single" w:color="000000" w:sz="4" w:space="0"/>
                    <w:left w:val="single" w:color="000000" w:sz="4" w:space="0"/>
                    <w:bottom w:val="single" w:color="000000" w:sz="4" w:space="0"/>
                    <w:right w:val="single" w:color="000000" w:sz="4" w:space="0"/>
                  </w:tcBorders>
                  <w:vAlign w:val="center"/>
                </w:tcPr>
                <w:p w14:paraId="450651B2">
                  <w:pPr>
                    <w:spacing w:line="240" w:lineRule="auto"/>
                    <w:ind w:firstLine="0" w:firstLineChars="0"/>
                    <w:jc w:val="center"/>
                    <w:rPr>
                      <w:sz w:val="21"/>
                      <w:szCs w:val="21"/>
                    </w:rPr>
                  </w:pPr>
                  <w:r>
                    <w:rPr>
                      <w:sz w:val="21"/>
                      <w:szCs w:val="21"/>
                    </w:rPr>
                    <w:t>机械</w:t>
                  </w:r>
                </w:p>
                <w:p w14:paraId="1E78EF02">
                  <w:pPr>
                    <w:spacing w:line="240" w:lineRule="auto"/>
                    <w:ind w:firstLine="0" w:firstLineChars="0"/>
                    <w:jc w:val="center"/>
                    <w:rPr>
                      <w:sz w:val="21"/>
                      <w:szCs w:val="21"/>
                    </w:rPr>
                  </w:pPr>
                  <w:r>
                    <w:rPr>
                      <w:sz w:val="21"/>
                      <w:szCs w:val="21"/>
                    </w:rPr>
                    <w:t>设备名称</w:t>
                  </w:r>
                </w:p>
              </w:tc>
              <w:tc>
                <w:tcPr>
                  <w:tcW w:w="1418" w:type="dxa"/>
                  <w:tcBorders>
                    <w:top w:val="single" w:color="000000" w:sz="4" w:space="0"/>
                    <w:left w:val="single" w:color="000000" w:sz="4" w:space="0"/>
                    <w:bottom w:val="single" w:color="000000" w:sz="4" w:space="0"/>
                    <w:right w:val="single" w:color="000000" w:sz="4" w:space="0"/>
                  </w:tcBorders>
                  <w:vAlign w:val="center"/>
                </w:tcPr>
                <w:p w14:paraId="2075F54C">
                  <w:pPr>
                    <w:spacing w:line="240" w:lineRule="auto"/>
                    <w:ind w:firstLine="0" w:firstLineChars="0"/>
                    <w:jc w:val="center"/>
                    <w:rPr>
                      <w:sz w:val="21"/>
                      <w:szCs w:val="21"/>
                    </w:rPr>
                  </w:pPr>
                  <w:r>
                    <w:rPr>
                      <w:sz w:val="21"/>
                      <w:szCs w:val="21"/>
                    </w:rPr>
                    <w:t>型号规格</w:t>
                  </w:r>
                </w:p>
              </w:tc>
              <w:tc>
                <w:tcPr>
                  <w:tcW w:w="1701" w:type="dxa"/>
                  <w:tcBorders>
                    <w:top w:val="single" w:color="000000" w:sz="4" w:space="0"/>
                    <w:left w:val="single" w:color="000000" w:sz="4" w:space="0"/>
                    <w:bottom w:val="single" w:color="000000" w:sz="4" w:space="0"/>
                    <w:right w:val="single" w:color="000000" w:sz="4" w:space="0"/>
                  </w:tcBorders>
                  <w:vAlign w:val="center"/>
                </w:tcPr>
                <w:p w14:paraId="6961E9E0">
                  <w:pPr>
                    <w:spacing w:line="240" w:lineRule="auto"/>
                    <w:ind w:firstLine="0" w:firstLineChars="0"/>
                    <w:jc w:val="center"/>
                    <w:rPr>
                      <w:sz w:val="21"/>
                      <w:szCs w:val="21"/>
                    </w:rPr>
                  </w:pPr>
                  <w:r>
                    <w:rPr>
                      <w:sz w:val="21"/>
                      <w:szCs w:val="21"/>
                    </w:rPr>
                    <w:t>额定功率</w:t>
                  </w:r>
                </w:p>
                <w:p w14:paraId="36A3E4AF">
                  <w:pPr>
                    <w:spacing w:line="240" w:lineRule="auto"/>
                    <w:ind w:firstLine="0" w:firstLineChars="0"/>
                    <w:jc w:val="center"/>
                    <w:rPr>
                      <w:sz w:val="21"/>
                      <w:szCs w:val="21"/>
                    </w:rPr>
                  </w:pPr>
                  <w:r>
                    <w:rPr>
                      <w:sz w:val="21"/>
                      <w:szCs w:val="21"/>
                    </w:rPr>
                    <w:t>（kW）</w:t>
                  </w:r>
                </w:p>
              </w:tc>
              <w:tc>
                <w:tcPr>
                  <w:tcW w:w="850" w:type="dxa"/>
                  <w:vAlign w:val="center"/>
                </w:tcPr>
                <w:p w14:paraId="4B6E9B2D">
                  <w:pPr>
                    <w:spacing w:line="240" w:lineRule="auto"/>
                    <w:ind w:firstLine="0" w:firstLineChars="0"/>
                    <w:jc w:val="center"/>
                    <w:rPr>
                      <w:sz w:val="21"/>
                      <w:szCs w:val="21"/>
                    </w:rPr>
                  </w:pPr>
                  <w:r>
                    <w:rPr>
                      <w:sz w:val="21"/>
                      <w:szCs w:val="21"/>
                    </w:rPr>
                    <w:t>数量</w:t>
                  </w:r>
                </w:p>
              </w:tc>
              <w:tc>
                <w:tcPr>
                  <w:tcW w:w="2126" w:type="dxa"/>
                  <w:tcBorders>
                    <w:top w:val="single" w:color="000000" w:sz="4" w:space="0"/>
                    <w:left w:val="single" w:color="000000" w:sz="4" w:space="0"/>
                    <w:bottom w:val="single" w:color="000000" w:sz="4" w:space="0"/>
                    <w:right w:val="single" w:color="000000" w:sz="4" w:space="0"/>
                  </w:tcBorders>
                  <w:vAlign w:val="center"/>
                </w:tcPr>
                <w:p w14:paraId="4888E637">
                  <w:pPr>
                    <w:spacing w:line="240" w:lineRule="auto"/>
                    <w:ind w:firstLine="0" w:firstLineChars="0"/>
                    <w:jc w:val="center"/>
                    <w:rPr>
                      <w:sz w:val="21"/>
                      <w:szCs w:val="21"/>
                    </w:rPr>
                  </w:pPr>
                  <w:r>
                    <w:rPr>
                      <w:sz w:val="21"/>
                      <w:szCs w:val="21"/>
                    </w:rPr>
                    <w:t>备注</w:t>
                  </w:r>
                </w:p>
              </w:tc>
            </w:tr>
            <w:tr w14:paraId="4A2E43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jc w:val="center"/>
              </w:trPr>
              <w:tc>
                <w:tcPr>
                  <w:tcW w:w="1271" w:type="dxa"/>
                  <w:tcBorders>
                    <w:top w:val="single" w:color="000000" w:sz="4" w:space="0"/>
                    <w:left w:val="single" w:color="000000" w:sz="4" w:space="0"/>
                    <w:bottom w:val="single" w:color="000000" w:sz="4" w:space="0"/>
                    <w:right w:val="single" w:color="000000" w:sz="4" w:space="0"/>
                  </w:tcBorders>
                  <w:vAlign w:val="center"/>
                </w:tcPr>
                <w:p w14:paraId="31DAE2DA">
                  <w:pPr>
                    <w:spacing w:line="240" w:lineRule="auto"/>
                    <w:ind w:firstLine="0" w:firstLineChars="0"/>
                    <w:jc w:val="center"/>
                    <w:rPr>
                      <w:sz w:val="21"/>
                      <w:szCs w:val="21"/>
                    </w:rPr>
                  </w:pPr>
                  <w:r>
                    <w:rPr>
                      <w:sz w:val="21"/>
                      <w:szCs w:val="21"/>
                    </w:rPr>
                    <w:t>1</w:t>
                  </w:r>
                </w:p>
              </w:tc>
              <w:tc>
                <w:tcPr>
                  <w:tcW w:w="1701" w:type="dxa"/>
                  <w:tcBorders>
                    <w:top w:val="single" w:color="000000" w:sz="4" w:space="0"/>
                    <w:left w:val="single" w:color="000000" w:sz="4" w:space="0"/>
                    <w:bottom w:val="single" w:color="000000" w:sz="4" w:space="0"/>
                    <w:right w:val="single" w:color="000000" w:sz="4" w:space="0"/>
                  </w:tcBorders>
                  <w:vAlign w:val="center"/>
                </w:tcPr>
                <w:p w14:paraId="353D8D6D">
                  <w:pPr>
                    <w:spacing w:line="240" w:lineRule="auto"/>
                    <w:ind w:firstLine="0" w:firstLineChars="0"/>
                    <w:jc w:val="center"/>
                    <w:rPr>
                      <w:sz w:val="21"/>
                      <w:szCs w:val="21"/>
                    </w:rPr>
                  </w:pPr>
                  <w:r>
                    <w:rPr>
                      <w:sz w:val="21"/>
                      <w:szCs w:val="21"/>
                    </w:rPr>
                    <w:t>钻机</w:t>
                  </w:r>
                </w:p>
              </w:tc>
              <w:tc>
                <w:tcPr>
                  <w:tcW w:w="1418" w:type="dxa"/>
                  <w:tcBorders>
                    <w:top w:val="single" w:color="000000" w:sz="4" w:space="0"/>
                    <w:left w:val="single" w:color="000000" w:sz="4" w:space="0"/>
                    <w:bottom w:val="single" w:color="000000" w:sz="4" w:space="0"/>
                    <w:right w:val="single" w:color="000000" w:sz="4" w:space="0"/>
                  </w:tcBorders>
                  <w:vAlign w:val="center"/>
                </w:tcPr>
                <w:p w14:paraId="15676C56">
                  <w:pPr>
                    <w:spacing w:line="240" w:lineRule="auto"/>
                    <w:ind w:firstLine="0" w:firstLineChars="0"/>
                    <w:jc w:val="center"/>
                    <w:rPr>
                      <w:sz w:val="21"/>
                      <w:szCs w:val="21"/>
                    </w:rPr>
                  </w:pPr>
                  <w:r>
                    <w:rPr>
                      <w:rFonts w:hint="eastAsia"/>
                      <w:sz w:val="21"/>
                      <w:szCs w:val="21"/>
                    </w:rPr>
                    <w:t>TSJ-2000</w:t>
                  </w:r>
                </w:p>
              </w:tc>
              <w:tc>
                <w:tcPr>
                  <w:tcW w:w="1701" w:type="dxa"/>
                  <w:tcBorders>
                    <w:top w:val="single" w:color="000000" w:sz="4" w:space="0"/>
                    <w:left w:val="single" w:color="000000" w:sz="4" w:space="0"/>
                    <w:bottom w:val="single" w:color="000000" w:sz="4" w:space="0"/>
                    <w:right w:val="single" w:color="000000" w:sz="4" w:space="0"/>
                  </w:tcBorders>
                  <w:vAlign w:val="center"/>
                </w:tcPr>
                <w:p w14:paraId="53716152">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c>
                <w:tcPr>
                  <w:tcW w:w="850" w:type="dxa"/>
                  <w:vAlign w:val="center"/>
                </w:tcPr>
                <w:p w14:paraId="63F72C5A">
                  <w:pPr>
                    <w:spacing w:line="240" w:lineRule="auto"/>
                    <w:ind w:firstLine="0" w:firstLineChars="0"/>
                    <w:jc w:val="center"/>
                    <w:rPr>
                      <w:sz w:val="21"/>
                      <w:szCs w:val="21"/>
                    </w:rPr>
                  </w:pPr>
                  <w:r>
                    <w:rPr>
                      <w:rFonts w:hint="eastAsia"/>
                      <w:sz w:val="21"/>
                      <w:szCs w:val="21"/>
                    </w:rPr>
                    <w:t>3</w:t>
                  </w:r>
                </w:p>
              </w:tc>
              <w:tc>
                <w:tcPr>
                  <w:tcW w:w="2126" w:type="dxa"/>
                  <w:tcBorders>
                    <w:top w:val="single" w:color="000000" w:sz="4" w:space="0"/>
                    <w:left w:val="single" w:color="000000" w:sz="4" w:space="0"/>
                    <w:bottom w:val="single" w:color="000000" w:sz="4" w:space="0"/>
                    <w:right w:val="single" w:color="000000" w:sz="4" w:space="0"/>
                  </w:tcBorders>
                  <w:vAlign w:val="center"/>
                </w:tcPr>
                <w:p w14:paraId="3FAF7BD4">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r>
            <w:tr w14:paraId="442CF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jc w:val="center"/>
              </w:trPr>
              <w:tc>
                <w:tcPr>
                  <w:tcW w:w="1271" w:type="dxa"/>
                  <w:tcBorders>
                    <w:top w:val="single" w:color="000000" w:sz="4" w:space="0"/>
                    <w:left w:val="single" w:color="000000" w:sz="4" w:space="0"/>
                    <w:bottom w:val="single" w:color="000000" w:sz="4" w:space="0"/>
                    <w:right w:val="single" w:color="000000" w:sz="4" w:space="0"/>
                  </w:tcBorders>
                  <w:vAlign w:val="center"/>
                </w:tcPr>
                <w:p w14:paraId="6BD56E98">
                  <w:pPr>
                    <w:spacing w:line="240" w:lineRule="auto"/>
                    <w:ind w:firstLine="0" w:firstLineChars="0"/>
                    <w:jc w:val="center"/>
                    <w:rPr>
                      <w:sz w:val="21"/>
                      <w:szCs w:val="21"/>
                    </w:rPr>
                  </w:pPr>
                  <w:r>
                    <w:rPr>
                      <w:sz w:val="21"/>
                      <w:szCs w:val="21"/>
                    </w:rPr>
                    <w:t>2</w:t>
                  </w:r>
                </w:p>
              </w:tc>
              <w:tc>
                <w:tcPr>
                  <w:tcW w:w="1701" w:type="dxa"/>
                  <w:tcBorders>
                    <w:top w:val="single" w:color="000000" w:sz="4" w:space="0"/>
                    <w:left w:val="single" w:color="000000" w:sz="4" w:space="0"/>
                    <w:bottom w:val="single" w:color="000000" w:sz="4" w:space="0"/>
                    <w:right w:val="single" w:color="000000" w:sz="4" w:space="0"/>
                  </w:tcBorders>
                  <w:vAlign w:val="center"/>
                </w:tcPr>
                <w:p w14:paraId="7600A059">
                  <w:pPr>
                    <w:spacing w:line="240" w:lineRule="auto"/>
                    <w:ind w:firstLine="0" w:firstLineChars="0"/>
                    <w:jc w:val="center"/>
                    <w:rPr>
                      <w:sz w:val="21"/>
                      <w:szCs w:val="21"/>
                    </w:rPr>
                  </w:pPr>
                  <w:r>
                    <w:rPr>
                      <w:sz w:val="21"/>
                      <w:szCs w:val="21"/>
                    </w:rPr>
                    <w:t>泥浆泵</w:t>
                  </w:r>
                </w:p>
              </w:tc>
              <w:tc>
                <w:tcPr>
                  <w:tcW w:w="1418" w:type="dxa"/>
                  <w:tcBorders>
                    <w:top w:val="single" w:color="000000" w:sz="4" w:space="0"/>
                    <w:left w:val="single" w:color="000000" w:sz="4" w:space="0"/>
                    <w:bottom w:val="single" w:color="000000" w:sz="4" w:space="0"/>
                    <w:right w:val="single" w:color="000000" w:sz="4" w:space="0"/>
                  </w:tcBorders>
                  <w:vAlign w:val="center"/>
                </w:tcPr>
                <w:p w14:paraId="11145C2A">
                  <w:pPr>
                    <w:spacing w:line="240" w:lineRule="auto"/>
                    <w:ind w:firstLine="0" w:firstLineChars="0"/>
                    <w:jc w:val="center"/>
                    <w:rPr>
                      <w:sz w:val="21"/>
                      <w:szCs w:val="21"/>
                    </w:rPr>
                  </w:pPr>
                  <w:r>
                    <w:rPr>
                      <w:sz w:val="21"/>
                      <w:szCs w:val="21"/>
                    </w:rPr>
                    <w:t>3NB-350</w:t>
                  </w:r>
                </w:p>
              </w:tc>
              <w:tc>
                <w:tcPr>
                  <w:tcW w:w="1701" w:type="dxa"/>
                  <w:tcBorders>
                    <w:top w:val="single" w:color="000000" w:sz="4" w:space="0"/>
                    <w:left w:val="single" w:color="000000" w:sz="4" w:space="0"/>
                    <w:bottom w:val="single" w:color="000000" w:sz="4" w:space="0"/>
                    <w:right w:val="single" w:color="000000" w:sz="4" w:space="0"/>
                  </w:tcBorders>
                  <w:vAlign w:val="center"/>
                </w:tcPr>
                <w:p w14:paraId="217E61DD">
                  <w:pPr>
                    <w:spacing w:line="240" w:lineRule="auto"/>
                    <w:ind w:firstLine="0" w:firstLineChars="0"/>
                    <w:jc w:val="center"/>
                    <w:rPr>
                      <w:sz w:val="21"/>
                      <w:szCs w:val="21"/>
                    </w:rPr>
                  </w:pPr>
                  <w:r>
                    <w:rPr>
                      <w:rFonts w:hint="eastAsia"/>
                      <w:sz w:val="21"/>
                      <w:szCs w:val="21"/>
                    </w:rPr>
                    <w:t>250KW</w:t>
                  </w:r>
                </w:p>
              </w:tc>
              <w:tc>
                <w:tcPr>
                  <w:tcW w:w="850" w:type="dxa"/>
                  <w:vAlign w:val="center"/>
                </w:tcPr>
                <w:p w14:paraId="2E7EE455">
                  <w:pPr>
                    <w:spacing w:line="240" w:lineRule="auto"/>
                    <w:ind w:firstLine="0" w:firstLineChars="0"/>
                    <w:jc w:val="center"/>
                    <w:rPr>
                      <w:sz w:val="21"/>
                      <w:szCs w:val="21"/>
                    </w:rPr>
                  </w:pPr>
                  <w:r>
                    <w:rPr>
                      <w:rFonts w:hint="eastAsia"/>
                      <w:sz w:val="21"/>
                      <w:szCs w:val="21"/>
                    </w:rPr>
                    <w:t>3</w:t>
                  </w:r>
                </w:p>
              </w:tc>
              <w:tc>
                <w:tcPr>
                  <w:tcW w:w="2126" w:type="dxa"/>
                  <w:tcBorders>
                    <w:top w:val="single" w:color="000000" w:sz="4" w:space="0"/>
                    <w:left w:val="single" w:color="000000" w:sz="4" w:space="0"/>
                    <w:bottom w:val="single" w:color="000000" w:sz="4" w:space="0"/>
                    <w:right w:val="single" w:color="000000" w:sz="4" w:space="0"/>
                  </w:tcBorders>
                  <w:vAlign w:val="center"/>
                </w:tcPr>
                <w:p w14:paraId="087D2624">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r>
            <w:tr w14:paraId="098F9A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jc w:val="center"/>
              </w:trPr>
              <w:tc>
                <w:tcPr>
                  <w:tcW w:w="1271" w:type="dxa"/>
                  <w:tcBorders>
                    <w:top w:val="single" w:color="000000" w:sz="4" w:space="0"/>
                    <w:left w:val="single" w:color="000000" w:sz="4" w:space="0"/>
                    <w:bottom w:val="single" w:color="000000" w:sz="4" w:space="0"/>
                    <w:right w:val="single" w:color="000000" w:sz="4" w:space="0"/>
                  </w:tcBorders>
                  <w:vAlign w:val="center"/>
                </w:tcPr>
                <w:p w14:paraId="0C3928DF">
                  <w:pPr>
                    <w:spacing w:line="240" w:lineRule="auto"/>
                    <w:ind w:firstLine="0" w:firstLineChars="0"/>
                    <w:jc w:val="center"/>
                    <w:rPr>
                      <w:sz w:val="21"/>
                      <w:szCs w:val="21"/>
                    </w:rPr>
                  </w:pPr>
                  <w:r>
                    <w:rPr>
                      <w:sz w:val="21"/>
                      <w:szCs w:val="21"/>
                    </w:rPr>
                    <w:t>3</w:t>
                  </w:r>
                </w:p>
              </w:tc>
              <w:tc>
                <w:tcPr>
                  <w:tcW w:w="1701" w:type="dxa"/>
                  <w:tcBorders>
                    <w:top w:val="single" w:color="000000" w:sz="4" w:space="0"/>
                    <w:left w:val="single" w:color="000000" w:sz="4" w:space="0"/>
                    <w:bottom w:val="single" w:color="000000" w:sz="4" w:space="0"/>
                    <w:right w:val="single" w:color="000000" w:sz="4" w:space="0"/>
                  </w:tcBorders>
                  <w:vAlign w:val="center"/>
                </w:tcPr>
                <w:p w14:paraId="07E19CAD">
                  <w:pPr>
                    <w:spacing w:line="240" w:lineRule="auto"/>
                    <w:ind w:firstLine="0" w:firstLineChars="0"/>
                    <w:jc w:val="center"/>
                    <w:rPr>
                      <w:sz w:val="21"/>
                      <w:szCs w:val="21"/>
                    </w:rPr>
                  </w:pPr>
                  <w:r>
                    <w:rPr>
                      <w:sz w:val="21"/>
                      <w:szCs w:val="21"/>
                    </w:rPr>
                    <w:t>钻塔</w:t>
                  </w:r>
                </w:p>
              </w:tc>
              <w:tc>
                <w:tcPr>
                  <w:tcW w:w="1418" w:type="dxa"/>
                  <w:tcBorders>
                    <w:top w:val="single" w:color="000000" w:sz="4" w:space="0"/>
                    <w:left w:val="single" w:color="000000" w:sz="4" w:space="0"/>
                    <w:bottom w:val="single" w:color="000000" w:sz="4" w:space="0"/>
                    <w:right w:val="single" w:color="000000" w:sz="4" w:space="0"/>
                  </w:tcBorders>
                  <w:vAlign w:val="center"/>
                </w:tcPr>
                <w:p w14:paraId="75444C05">
                  <w:pPr>
                    <w:spacing w:line="240" w:lineRule="auto"/>
                    <w:ind w:firstLine="0" w:firstLineChars="0"/>
                    <w:jc w:val="center"/>
                    <w:rPr>
                      <w:sz w:val="21"/>
                      <w:szCs w:val="21"/>
                    </w:rPr>
                  </w:pPr>
                  <w:r>
                    <w:rPr>
                      <w:sz w:val="21"/>
                      <w:szCs w:val="21"/>
                    </w:rPr>
                    <w:t>A型27.5m</w:t>
                  </w:r>
                </w:p>
              </w:tc>
              <w:tc>
                <w:tcPr>
                  <w:tcW w:w="1701" w:type="dxa"/>
                  <w:tcBorders>
                    <w:top w:val="single" w:color="000000" w:sz="4" w:space="0"/>
                    <w:left w:val="single" w:color="000000" w:sz="4" w:space="0"/>
                    <w:bottom w:val="single" w:color="000000" w:sz="4" w:space="0"/>
                    <w:right w:val="single" w:color="000000" w:sz="4" w:space="0"/>
                  </w:tcBorders>
                  <w:vAlign w:val="center"/>
                </w:tcPr>
                <w:p w14:paraId="15B579C5">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c>
                <w:tcPr>
                  <w:tcW w:w="850" w:type="dxa"/>
                  <w:vAlign w:val="center"/>
                </w:tcPr>
                <w:p w14:paraId="092EC33B">
                  <w:pPr>
                    <w:spacing w:line="240" w:lineRule="auto"/>
                    <w:ind w:firstLine="0" w:firstLineChars="0"/>
                    <w:jc w:val="center"/>
                    <w:rPr>
                      <w:sz w:val="21"/>
                      <w:szCs w:val="21"/>
                    </w:rPr>
                  </w:pPr>
                  <w:r>
                    <w:rPr>
                      <w:rFonts w:hint="eastAsia"/>
                      <w:sz w:val="21"/>
                      <w:szCs w:val="21"/>
                    </w:rPr>
                    <w:t>3</w:t>
                  </w:r>
                </w:p>
              </w:tc>
              <w:tc>
                <w:tcPr>
                  <w:tcW w:w="2126" w:type="dxa"/>
                  <w:tcBorders>
                    <w:top w:val="single" w:color="000000" w:sz="4" w:space="0"/>
                    <w:left w:val="single" w:color="000000" w:sz="4" w:space="0"/>
                    <w:bottom w:val="single" w:color="000000" w:sz="4" w:space="0"/>
                    <w:right w:val="single" w:color="000000" w:sz="4" w:space="0"/>
                  </w:tcBorders>
                  <w:vAlign w:val="center"/>
                </w:tcPr>
                <w:p w14:paraId="6E0D269F">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r>
            <w:tr w14:paraId="74D032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jc w:val="center"/>
              </w:trPr>
              <w:tc>
                <w:tcPr>
                  <w:tcW w:w="1271" w:type="dxa"/>
                  <w:tcBorders>
                    <w:top w:val="single" w:color="000000" w:sz="4" w:space="0"/>
                    <w:left w:val="single" w:color="000000" w:sz="4" w:space="0"/>
                    <w:bottom w:val="single" w:color="000000" w:sz="4" w:space="0"/>
                    <w:right w:val="single" w:color="000000" w:sz="4" w:space="0"/>
                  </w:tcBorders>
                  <w:vAlign w:val="center"/>
                </w:tcPr>
                <w:p w14:paraId="6525DF68">
                  <w:pPr>
                    <w:spacing w:line="240" w:lineRule="auto"/>
                    <w:ind w:firstLine="0" w:firstLineChars="0"/>
                    <w:jc w:val="center"/>
                    <w:rPr>
                      <w:sz w:val="21"/>
                      <w:szCs w:val="21"/>
                    </w:rPr>
                  </w:pPr>
                  <w:r>
                    <w:rPr>
                      <w:sz w:val="21"/>
                      <w:szCs w:val="21"/>
                    </w:rPr>
                    <w:t>4</w:t>
                  </w:r>
                </w:p>
              </w:tc>
              <w:tc>
                <w:tcPr>
                  <w:tcW w:w="1701" w:type="dxa"/>
                  <w:tcBorders>
                    <w:top w:val="single" w:color="000000" w:sz="4" w:space="0"/>
                    <w:left w:val="single" w:color="000000" w:sz="4" w:space="0"/>
                    <w:bottom w:val="single" w:color="000000" w:sz="4" w:space="0"/>
                    <w:right w:val="single" w:color="000000" w:sz="4" w:space="0"/>
                  </w:tcBorders>
                  <w:vAlign w:val="center"/>
                </w:tcPr>
                <w:p w14:paraId="78F8959C">
                  <w:pPr>
                    <w:spacing w:line="240" w:lineRule="auto"/>
                    <w:ind w:firstLine="0" w:firstLineChars="0"/>
                    <w:jc w:val="center"/>
                    <w:rPr>
                      <w:sz w:val="21"/>
                      <w:szCs w:val="21"/>
                    </w:rPr>
                  </w:pPr>
                  <w:r>
                    <w:rPr>
                      <w:sz w:val="21"/>
                      <w:szCs w:val="21"/>
                    </w:rPr>
                    <w:t>电动机</w:t>
                  </w:r>
                </w:p>
              </w:tc>
              <w:tc>
                <w:tcPr>
                  <w:tcW w:w="1418" w:type="dxa"/>
                  <w:tcBorders>
                    <w:top w:val="single" w:color="000000" w:sz="4" w:space="0"/>
                    <w:left w:val="single" w:color="000000" w:sz="4" w:space="0"/>
                    <w:bottom w:val="single" w:color="000000" w:sz="4" w:space="0"/>
                    <w:right w:val="single" w:color="000000" w:sz="4" w:space="0"/>
                  </w:tcBorders>
                  <w:vAlign w:val="center"/>
                </w:tcPr>
                <w:p w14:paraId="73907309">
                  <w:pPr>
                    <w:spacing w:line="240" w:lineRule="auto"/>
                    <w:ind w:firstLine="0" w:firstLineChars="0"/>
                    <w:jc w:val="center"/>
                    <w:rPr>
                      <w:sz w:val="21"/>
                      <w:szCs w:val="21"/>
                    </w:rPr>
                  </w:pPr>
                  <w:r>
                    <w:rPr>
                      <w:sz w:val="21"/>
                      <w:szCs w:val="21"/>
                    </w:rPr>
                    <w:t>YJ240AX1</w:t>
                  </w:r>
                </w:p>
              </w:tc>
              <w:tc>
                <w:tcPr>
                  <w:tcW w:w="1701" w:type="dxa"/>
                  <w:tcBorders>
                    <w:top w:val="single" w:color="000000" w:sz="4" w:space="0"/>
                    <w:left w:val="single" w:color="000000" w:sz="4" w:space="0"/>
                    <w:bottom w:val="single" w:color="000000" w:sz="4" w:space="0"/>
                    <w:right w:val="single" w:color="000000" w:sz="4" w:space="0"/>
                  </w:tcBorders>
                  <w:vAlign w:val="center"/>
                </w:tcPr>
                <w:p w14:paraId="1ABB9D9C">
                  <w:pPr>
                    <w:spacing w:line="240" w:lineRule="auto"/>
                    <w:ind w:firstLine="0" w:firstLineChars="0"/>
                    <w:jc w:val="center"/>
                    <w:rPr>
                      <w:sz w:val="21"/>
                      <w:szCs w:val="21"/>
                    </w:rPr>
                  </w:pPr>
                  <w:r>
                    <w:rPr>
                      <w:rFonts w:hint="eastAsia"/>
                      <w:sz w:val="21"/>
                      <w:szCs w:val="21"/>
                    </w:rPr>
                    <w:t>110KW</w:t>
                  </w:r>
                </w:p>
              </w:tc>
              <w:tc>
                <w:tcPr>
                  <w:tcW w:w="850" w:type="dxa"/>
                  <w:vAlign w:val="center"/>
                </w:tcPr>
                <w:p w14:paraId="5C3B842E">
                  <w:pPr>
                    <w:spacing w:line="240" w:lineRule="auto"/>
                    <w:ind w:firstLine="0" w:firstLineChars="0"/>
                    <w:jc w:val="center"/>
                    <w:rPr>
                      <w:sz w:val="21"/>
                      <w:szCs w:val="21"/>
                    </w:rPr>
                  </w:pPr>
                  <w:r>
                    <w:rPr>
                      <w:rFonts w:hint="eastAsia"/>
                      <w:sz w:val="21"/>
                      <w:szCs w:val="21"/>
                    </w:rPr>
                    <w:t>3</w:t>
                  </w:r>
                </w:p>
              </w:tc>
              <w:tc>
                <w:tcPr>
                  <w:tcW w:w="2126" w:type="dxa"/>
                  <w:tcBorders>
                    <w:top w:val="single" w:color="000000" w:sz="4" w:space="0"/>
                    <w:left w:val="single" w:color="000000" w:sz="4" w:space="0"/>
                    <w:bottom w:val="single" w:color="000000" w:sz="4" w:space="0"/>
                    <w:right w:val="single" w:color="000000" w:sz="4" w:space="0"/>
                  </w:tcBorders>
                  <w:vAlign w:val="center"/>
                </w:tcPr>
                <w:p w14:paraId="2A9A197A">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r>
            <w:tr w14:paraId="1F96B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271" w:type="dxa"/>
                  <w:tcBorders>
                    <w:top w:val="single" w:color="000000" w:sz="4" w:space="0"/>
                    <w:left w:val="single" w:color="000000" w:sz="4" w:space="0"/>
                    <w:bottom w:val="single" w:color="000000" w:sz="4" w:space="0"/>
                    <w:right w:val="single" w:color="000000" w:sz="4" w:space="0"/>
                  </w:tcBorders>
                  <w:vAlign w:val="center"/>
                </w:tcPr>
                <w:p w14:paraId="723A3911">
                  <w:pPr>
                    <w:spacing w:line="240" w:lineRule="auto"/>
                    <w:ind w:firstLine="0" w:firstLineChars="0"/>
                    <w:jc w:val="center"/>
                    <w:rPr>
                      <w:sz w:val="21"/>
                      <w:szCs w:val="21"/>
                    </w:rPr>
                  </w:pPr>
                  <w:r>
                    <w:rPr>
                      <w:sz w:val="21"/>
                      <w:szCs w:val="21"/>
                    </w:rPr>
                    <w:t>5</w:t>
                  </w:r>
                </w:p>
              </w:tc>
              <w:tc>
                <w:tcPr>
                  <w:tcW w:w="1701" w:type="dxa"/>
                  <w:tcBorders>
                    <w:top w:val="single" w:color="000000" w:sz="4" w:space="0"/>
                    <w:left w:val="single" w:color="000000" w:sz="4" w:space="0"/>
                    <w:bottom w:val="single" w:color="000000" w:sz="4" w:space="0"/>
                    <w:right w:val="single" w:color="000000" w:sz="4" w:space="0"/>
                  </w:tcBorders>
                  <w:vAlign w:val="center"/>
                </w:tcPr>
                <w:p w14:paraId="3EAC2368">
                  <w:pPr>
                    <w:spacing w:line="240" w:lineRule="auto"/>
                    <w:ind w:firstLine="0" w:firstLineChars="0"/>
                    <w:jc w:val="center"/>
                    <w:rPr>
                      <w:sz w:val="21"/>
                      <w:szCs w:val="21"/>
                    </w:rPr>
                  </w:pPr>
                  <w:r>
                    <w:rPr>
                      <w:sz w:val="21"/>
                      <w:szCs w:val="21"/>
                    </w:rPr>
                    <w:t>柴油机</w:t>
                  </w:r>
                </w:p>
              </w:tc>
              <w:tc>
                <w:tcPr>
                  <w:tcW w:w="1418" w:type="dxa"/>
                  <w:tcBorders>
                    <w:top w:val="single" w:color="000000" w:sz="4" w:space="0"/>
                    <w:left w:val="single" w:color="000000" w:sz="4" w:space="0"/>
                    <w:bottom w:val="single" w:color="000000" w:sz="4" w:space="0"/>
                    <w:right w:val="single" w:color="000000" w:sz="4" w:space="0"/>
                  </w:tcBorders>
                  <w:vAlign w:val="center"/>
                </w:tcPr>
                <w:p w14:paraId="6CD72BB7">
                  <w:pPr>
                    <w:spacing w:line="240" w:lineRule="auto"/>
                    <w:ind w:firstLine="0" w:firstLineChars="0"/>
                    <w:jc w:val="center"/>
                    <w:rPr>
                      <w:sz w:val="21"/>
                      <w:szCs w:val="21"/>
                    </w:rPr>
                  </w:pPr>
                  <w:r>
                    <w:rPr>
                      <w:sz w:val="21"/>
                      <w:szCs w:val="21"/>
                    </w:rPr>
                    <w:t>12V190-2000</w:t>
                  </w:r>
                </w:p>
              </w:tc>
              <w:tc>
                <w:tcPr>
                  <w:tcW w:w="1701" w:type="dxa"/>
                  <w:tcBorders>
                    <w:top w:val="single" w:color="000000" w:sz="4" w:space="0"/>
                    <w:left w:val="single" w:color="000000" w:sz="4" w:space="0"/>
                    <w:bottom w:val="single" w:color="000000" w:sz="4" w:space="0"/>
                    <w:right w:val="single" w:color="000000" w:sz="4" w:space="0"/>
                  </w:tcBorders>
                  <w:vAlign w:val="center"/>
                </w:tcPr>
                <w:p w14:paraId="372AD861">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c>
                <w:tcPr>
                  <w:tcW w:w="850" w:type="dxa"/>
                  <w:vAlign w:val="center"/>
                </w:tcPr>
                <w:p w14:paraId="36C1DC1F">
                  <w:pPr>
                    <w:spacing w:line="240" w:lineRule="auto"/>
                    <w:ind w:firstLine="0" w:firstLineChars="0"/>
                    <w:jc w:val="center"/>
                    <w:rPr>
                      <w:sz w:val="21"/>
                      <w:szCs w:val="21"/>
                    </w:rPr>
                  </w:pPr>
                  <w:r>
                    <w:rPr>
                      <w:rFonts w:hint="eastAsia"/>
                      <w:sz w:val="21"/>
                      <w:szCs w:val="21"/>
                    </w:rPr>
                    <w:t>3</w:t>
                  </w:r>
                </w:p>
              </w:tc>
              <w:tc>
                <w:tcPr>
                  <w:tcW w:w="2126" w:type="dxa"/>
                  <w:tcBorders>
                    <w:top w:val="single" w:color="000000" w:sz="4" w:space="0"/>
                    <w:left w:val="single" w:color="000000" w:sz="4" w:space="0"/>
                    <w:bottom w:val="single" w:color="000000" w:sz="4" w:space="0"/>
                    <w:right w:val="single" w:color="000000" w:sz="4" w:space="0"/>
                  </w:tcBorders>
                  <w:vAlign w:val="center"/>
                </w:tcPr>
                <w:p w14:paraId="01BBE040">
                  <w:pPr>
                    <w:spacing w:line="240" w:lineRule="auto"/>
                    <w:ind w:firstLine="0" w:firstLineChars="0"/>
                    <w:jc w:val="center"/>
                    <w:rPr>
                      <w:sz w:val="21"/>
                      <w:szCs w:val="21"/>
                    </w:rPr>
                  </w:pPr>
                  <w:r>
                    <w:rPr>
                      <w:rFonts w:hint="eastAsia"/>
                      <w:sz w:val="21"/>
                      <w:szCs w:val="21"/>
                    </w:rPr>
                    <w:t>备用</w:t>
                  </w:r>
                </w:p>
              </w:tc>
            </w:tr>
            <w:tr w14:paraId="58277F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jc w:val="center"/>
              </w:trPr>
              <w:tc>
                <w:tcPr>
                  <w:tcW w:w="1271" w:type="dxa"/>
                  <w:tcBorders>
                    <w:top w:val="single" w:color="000000" w:sz="4" w:space="0"/>
                    <w:left w:val="single" w:color="000000" w:sz="4" w:space="0"/>
                    <w:bottom w:val="single" w:color="000000" w:sz="4" w:space="0"/>
                    <w:right w:val="single" w:color="000000" w:sz="4" w:space="0"/>
                  </w:tcBorders>
                  <w:vAlign w:val="center"/>
                </w:tcPr>
                <w:p w14:paraId="73F7DE08">
                  <w:pPr>
                    <w:spacing w:line="240" w:lineRule="auto"/>
                    <w:ind w:firstLine="0" w:firstLineChars="0"/>
                    <w:jc w:val="center"/>
                    <w:rPr>
                      <w:sz w:val="21"/>
                      <w:szCs w:val="21"/>
                    </w:rPr>
                  </w:pPr>
                  <w:r>
                    <w:rPr>
                      <w:sz w:val="21"/>
                      <w:szCs w:val="21"/>
                    </w:rPr>
                    <w:t>6</w:t>
                  </w:r>
                </w:p>
              </w:tc>
              <w:tc>
                <w:tcPr>
                  <w:tcW w:w="1701" w:type="dxa"/>
                  <w:tcBorders>
                    <w:top w:val="single" w:color="000000" w:sz="4" w:space="0"/>
                    <w:left w:val="single" w:color="000000" w:sz="4" w:space="0"/>
                    <w:bottom w:val="single" w:color="000000" w:sz="4" w:space="0"/>
                    <w:right w:val="single" w:color="000000" w:sz="4" w:space="0"/>
                  </w:tcBorders>
                  <w:vAlign w:val="center"/>
                </w:tcPr>
                <w:p w14:paraId="070DD7FD">
                  <w:pPr>
                    <w:pStyle w:val="64"/>
                    <w:spacing w:line="240" w:lineRule="auto"/>
                    <w:rPr>
                      <w:sz w:val="21"/>
                      <w:szCs w:val="21"/>
                    </w:rPr>
                  </w:pPr>
                  <w:r>
                    <w:rPr>
                      <w:rFonts w:hint="eastAsia" w:ascii="Times New Roman" w:hAnsi="Times New Roman" w:eastAsia="宋体" w:cs="Times New Roman"/>
                      <w:kern w:val="2"/>
                      <w:sz w:val="21"/>
                      <w:szCs w:val="21"/>
                      <w:lang w:val="en-US" w:eastAsia="zh-CN" w:bidi="ar-SA"/>
                    </w:rPr>
                    <w:t>无线随钻测斜仪</w:t>
                  </w:r>
                  <w:r>
                    <w:rPr>
                      <w:rFonts w:ascii="Times New Roman" w:hAnsi="Times New Roman" w:eastAsia="宋体" w:cs="Times New Roman"/>
                      <w:kern w:val="2"/>
                      <w:sz w:val="21"/>
                      <w:szCs w:val="21"/>
                      <w:lang w:val="en-US" w:eastAsia="zh-CN" w:bidi="ar-SA"/>
                    </w:rPr>
                    <w:t>（带随钻</w:t>
                  </w:r>
                  <w:r>
                    <w:rPr>
                      <w:rFonts w:hint="eastAsia" w:ascii="Times New Roman" w:hAnsi="Times New Roman" w:eastAsia="宋体" w:cs="Times New Roman"/>
                      <w:kern w:val="2"/>
                      <w:sz w:val="21"/>
                      <w:szCs w:val="21"/>
                      <w:lang w:val="en-US" w:eastAsia="zh-CN" w:bidi="ar-SA"/>
                    </w:rPr>
                    <w:t>伽马</w:t>
                  </w:r>
                  <w:r>
                    <w:rPr>
                      <w:rFonts w:ascii="Times New Roman" w:hAnsi="Times New Roman" w:eastAsia="宋体" w:cs="Times New Roman"/>
                      <w:kern w:val="2"/>
                      <w:sz w:val="21"/>
                      <w:szCs w:val="21"/>
                      <w:lang w:val="en-US" w:eastAsia="zh-CN" w:bidi="ar-SA"/>
                    </w:rPr>
                    <w:t>）</w:t>
                  </w:r>
                </w:p>
              </w:tc>
              <w:tc>
                <w:tcPr>
                  <w:tcW w:w="1418" w:type="dxa"/>
                  <w:tcBorders>
                    <w:top w:val="single" w:color="000000" w:sz="4" w:space="0"/>
                    <w:left w:val="single" w:color="000000" w:sz="4" w:space="0"/>
                    <w:bottom w:val="single" w:color="000000" w:sz="4" w:space="0"/>
                    <w:right w:val="single" w:color="000000" w:sz="4" w:space="0"/>
                  </w:tcBorders>
                  <w:vAlign w:val="center"/>
                </w:tcPr>
                <w:p w14:paraId="3923BAC9">
                  <w:pPr>
                    <w:spacing w:line="240" w:lineRule="auto"/>
                    <w:ind w:firstLine="0" w:firstLineChars="0"/>
                    <w:jc w:val="center"/>
                    <w:rPr>
                      <w:sz w:val="21"/>
                      <w:szCs w:val="21"/>
                    </w:rPr>
                  </w:pPr>
                  <w:r>
                    <w:rPr>
                      <w:sz w:val="21"/>
                      <w:szCs w:val="21"/>
                    </w:rPr>
                    <w:t>YST-48R</w:t>
                  </w:r>
                </w:p>
              </w:tc>
              <w:tc>
                <w:tcPr>
                  <w:tcW w:w="1701" w:type="dxa"/>
                  <w:tcBorders>
                    <w:top w:val="single" w:color="000000" w:sz="4" w:space="0"/>
                    <w:left w:val="single" w:color="000000" w:sz="4" w:space="0"/>
                    <w:bottom w:val="single" w:color="000000" w:sz="4" w:space="0"/>
                    <w:right w:val="single" w:color="000000" w:sz="4" w:space="0"/>
                  </w:tcBorders>
                  <w:vAlign w:val="center"/>
                </w:tcPr>
                <w:p w14:paraId="7FA89854">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c>
                <w:tcPr>
                  <w:tcW w:w="850" w:type="dxa"/>
                  <w:vAlign w:val="center"/>
                </w:tcPr>
                <w:p w14:paraId="4721C192">
                  <w:pPr>
                    <w:spacing w:line="240" w:lineRule="auto"/>
                    <w:ind w:firstLine="0" w:firstLineChars="0"/>
                    <w:jc w:val="center"/>
                    <w:rPr>
                      <w:sz w:val="21"/>
                      <w:szCs w:val="21"/>
                    </w:rPr>
                  </w:pPr>
                  <w:r>
                    <w:rPr>
                      <w:rFonts w:hint="eastAsia"/>
                      <w:sz w:val="21"/>
                      <w:szCs w:val="21"/>
                    </w:rPr>
                    <w:t>3</w:t>
                  </w:r>
                </w:p>
              </w:tc>
              <w:tc>
                <w:tcPr>
                  <w:tcW w:w="2126" w:type="dxa"/>
                  <w:tcBorders>
                    <w:top w:val="single" w:color="000000" w:sz="4" w:space="0"/>
                    <w:left w:val="single" w:color="000000" w:sz="4" w:space="0"/>
                    <w:bottom w:val="single" w:color="000000" w:sz="4" w:space="0"/>
                    <w:right w:val="single" w:color="000000" w:sz="4" w:space="0"/>
                  </w:tcBorders>
                  <w:vAlign w:val="center"/>
                </w:tcPr>
                <w:p w14:paraId="01E8B9AB">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r>
            <w:tr w14:paraId="5B545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jc w:val="center"/>
              </w:trPr>
              <w:tc>
                <w:tcPr>
                  <w:tcW w:w="1271" w:type="dxa"/>
                  <w:tcBorders>
                    <w:top w:val="single" w:color="000000" w:sz="4" w:space="0"/>
                    <w:left w:val="single" w:color="000000" w:sz="4" w:space="0"/>
                    <w:bottom w:val="single" w:color="000000" w:sz="4" w:space="0"/>
                    <w:right w:val="single" w:color="000000" w:sz="4" w:space="0"/>
                  </w:tcBorders>
                  <w:vAlign w:val="center"/>
                </w:tcPr>
                <w:p w14:paraId="7E4037CE">
                  <w:pPr>
                    <w:spacing w:line="240" w:lineRule="auto"/>
                    <w:ind w:firstLine="0" w:firstLineChars="0"/>
                    <w:jc w:val="center"/>
                    <w:rPr>
                      <w:sz w:val="21"/>
                      <w:szCs w:val="21"/>
                    </w:rPr>
                  </w:pPr>
                  <w:r>
                    <w:rPr>
                      <w:sz w:val="21"/>
                      <w:szCs w:val="21"/>
                    </w:rPr>
                    <w:t>7</w:t>
                  </w:r>
                </w:p>
              </w:tc>
              <w:tc>
                <w:tcPr>
                  <w:tcW w:w="1701" w:type="dxa"/>
                  <w:tcBorders>
                    <w:top w:val="single" w:color="000000" w:sz="4" w:space="0"/>
                    <w:left w:val="single" w:color="000000" w:sz="4" w:space="0"/>
                    <w:bottom w:val="single" w:color="000000" w:sz="4" w:space="0"/>
                    <w:right w:val="single" w:color="000000" w:sz="4" w:space="0"/>
                  </w:tcBorders>
                  <w:vAlign w:val="center"/>
                </w:tcPr>
                <w:p w14:paraId="00A9E701">
                  <w:pPr>
                    <w:spacing w:line="240" w:lineRule="auto"/>
                    <w:ind w:firstLine="0" w:firstLineChars="0"/>
                    <w:jc w:val="center"/>
                    <w:rPr>
                      <w:sz w:val="21"/>
                      <w:szCs w:val="21"/>
                    </w:rPr>
                  </w:pPr>
                  <w:r>
                    <w:rPr>
                      <w:sz w:val="21"/>
                      <w:szCs w:val="21"/>
                    </w:rPr>
                    <w:t>振动筛</w:t>
                  </w:r>
                </w:p>
              </w:tc>
              <w:tc>
                <w:tcPr>
                  <w:tcW w:w="1418" w:type="dxa"/>
                  <w:tcBorders>
                    <w:top w:val="single" w:color="000000" w:sz="4" w:space="0"/>
                    <w:left w:val="single" w:color="000000" w:sz="4" w:space="0"/>
                    <w:bottom w:val="single" w:color="000000" w:sz="4" w:space="0"/>
                    <w:right w:val="single" w:color="000000" w:sz="4" w:space="0"/>
                  </w:tcBorders>
                  <w:vAlign w:val="center"/>
                </w:tcPr>
                <w:p w14:paraId="110FCCEF">
                  <w:pPr>
                    <w:spacing w:line="240" w:lineRule="auto"/>
                    <w:ind w:firstLine="0" w:firstLineChars="0"/>
                    <w:jc w:val="center"/>
                    <w:rPr>
                      <w:sz w:val="21"/>
                      <w:szCs w:val="21"/>
                    </w:rPr>
                  </w:pPr>
                  <w:r>
                    <w:rPr>
                      <w:sz w:val="21"/>
                      <w:szCs w:val="21"/>
                    </w:rPr>
                    <w:t>JSN-2B</w:t>
                  </w:r>
                </w:p>
              </w:tc>
              <w:tc>
                <w:tcPr>
                  <w:tcW w:w="1701" w:type="dxa"/>
                  <w:tcBorders>
                    <w:top w:val="single" w:color="000000" w:sz="4" w:space="0"/>
                    <w:left w:val="single" w:color="000000" w:sz="4" w:space="0"/>
                    <w:bottom w:val="single" w:color="000000" w:sz="4" w:space="0"/>
                    <w:right w:val="single" w:color="000000" w:sz="4" w:space="0"/>
                  </w:tcBorders>
                  <w:vAlign w:val="center"/>
                </w:tcPr>
                <w:p w14:paraId="7FD9DD54">
                  <w:pPr>
                    <w:spacing w:line="240" w:lineRule="auto"/>
                    <w:ind w:firstLine="0" w:firstLineChars="0"/>
                    <w:jc w:val="center"/>
                    <w:rPr>
                      <w:sz w:val="21"/>
                      <w:szCs w:val="21"/>
                    </w:rPr>
                  </w:pPr>
                  <w:r>
                    <w:rPr>
                      <w:rFonts w:hint="eastAsia"/>
                      <w:sz w:val="21"/>
                      <w:szCs w:val="21"/>
                    </w:rPr>
                    <w:t>22KW</w:t>
                  </w:r>
                </w:p>
              </w:tc>
              <w:tc>
                <w:tcPr>
                  <w:tcW w:w="850" w:type="dxa"/>
                  <w:vAlign w:val="center"/>
                </w:tcPr>
                <w:p w14:paraId="62DE5EFA">
                  <w:pPr>
                    <w:spacing w:line="240" w:lineRule="auto"/>
                    <w:ind w:firstLine="0" w:firstLineChars="0"/>
                    <w:jc w:val="center"/>
                    <w:rPr>
                      <w:sz w:val="21"/>
                      <w:szCs w:val="21"/>
                    </w:rPr>
                  </w:pPr>
                  <w:r>
                    <w:rPr>
                      <w:rFonts w:hint="eastAsia"/>
                      <w:sz w:val="21"/>
                      <w:szCs w:val="21"/>
                    </w:rPr>
                    <w:t>3</w:t>
                  </w:r>
                </w:p>
              </w:tc>
              <w:tc>
                <w:tcPr>
                  <w:tcW w:w="2126" w:type="dxa"/>
                  <w:tcBorders>
                    <w:top w:val="single" w:color="000000" w:sz="4" w:space="0"/>
                    <w:left w:val="single" w:color="000000" w:sz="4" w:space="0"/>
                    <w:bottom w:val="single" w:color="000000" w:sz="4" w:space="0"/>
                    <w:right w:val="single" w:color="000000" w:sz="4" w:space="0"/>
                  </w:tcBorders>
                  <w:vAlign w:val="center"/>
                </w:tcPr>
                <w:p w14:paraId="640CD500">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r>
            <w:tr w14:paraId="20C79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jc w:val="center"/>
              </w:trPr>
              <w:tc>
                <w:tcPr>
                  <w:tcW w:w="1271" w:type="dxa"/>
                  <w:tcBorders>
                    <w:top w:val="single" w:color="000000" w:sz="4" w:space="0"/>
                    <w:left w:val="single" w:color="000000" w:sz="4" w:space="0"/>
                    <w:bottom w:val="single" w:color="000000" w:sz="4" w:space="0"/>
                    <w:right w:val="single" w:color="000000" w:sz="4" w:space="0"/>
                  </w:tcBorders>
                  <w:vAlign w:val="center"/>
                </w:tcPr>
                <w:p w14:paraId="6243CD8F">
                  <w:pPr>
                    <w:spacing w:line="240" w:lineRule="auto"/>
                    <w:ind w:firstLine="0" w:firstLineChars="0"/>
                    <w:jc w:val="center"/>
                    <w:rPr>
                      <w:sz w:val="21"/>
                      <w:szCs w:val="21"/>
                    </w:rPr>
                  </w:pPr>
                  <w:r>
                    <w:rPr>
                      <w:rFonts w:hint="eastAsia"/>
                      <w:sz w:val="21"/>
                      <w:szCs w:val="21"/>
                    </w:rPr>
                    <w:t>8</w:t>
                  </w:r>
                </w:p>
              </w:tc>
              <w:tc>
                <w:tcPr>
                  <w:tcW w:w="1701" w:type="dxa"/>
                  <w:tcBorders>
                    <w:top w:val="single" w:color="000000" w:sz="4" w:space="0"/>
                    <w:left w:val="single" w:color="000000" w:sz="4" w:space="0"/>
                    <w:bottom w:val="single" w:color="000000" w:sz="4" w:space="0"/>
                    <w:right w:val="single" w:color="000000" w:sz="4" w:space="0"/>
                  </w:tcBorders>
                  <w:vAlign w:val="center"/>
                </w:tcPr>
                <w:p w14:paraId="5E31CE93">
                  <w:pPr>
                    <w:spacing w:line="240" w:lineRule="auto"/>
                    <w:ind w:firstLine="0" w:firstLineChars="0"/>
                    <w:jc w:val="center"/>
                    <w:rPr>
                      <w:sz w:val="21"/>
                      <w:szCs w:val="21"/>
                    </w:rPr>
                  </w:pPr>
                  <w:r>
                    <w:rPr>
                      <w:sz w:val="21"/>
                      <w:szCs w:val="21"/>
                    </w:rPr>
                    <w:t>电焊机</w:t>
                  </w:r>
                </w:p>
              </w:tc>
              <w:tc>
                <w:tcPr>
                  <w:tcW w:w="1418" w:type="dxa"/>
                  <w:tcBorders>
                    <w:top w:val="single" w:color="000000" w:sz="4" w:space="0"/>
                    <w:left w:val="single" w:color="000000" w:sz="4" w:space="0"/>
                    <w:bottom w:val="single" w:color="000000" w:sz="4" w:space="0"/>
                    <w:right w:val="single" w:color="000000" w:sz="4" w:space="0"/>
                  </w:tcBorders>
                  <w:vAlign w:val="center"/>
                </w:tcPr>
                <w:p w14:paraId="37CEBF42">
                  <w:pPr>
                    <w:spacing w:line="240" w:lineRule="auto"/>
                    <w:ind w:firstLine="0" w:firstLineChars="0"/>
                    <w:jc w:val="center"/>
                    <w:rPr>
                      <w:sz w:val="21"/>
                      <w:szCs w:val="21"/>
                    </w:rPr>
                  </w:pPr>
                  <w:r>
                    <w:rPr>
                      <w:sz w:val="21"/>
                      <w:szCs w:val="21"/>
                    </w:rPr>
                    <w:t>ZX7-400</w:t>
                  </w:r>
                </w:p>
              </w:tc>
              <w:tc>
                <w:tcPr>
                  <w:tcW w:w="1701" w:type="dxa"/>
                  <w:tcBorders>
                    <w:top w:val="single" w:color="000000" w:sz="4" w:space="0"/>
                    <w:left w:val="single" w:color="000000" w:sz="4" w:space="0"/>
                    <w:bottom w:val="single" w:color="000000" w:sz="4" w:space="0"/>
                    <w:right w:val="single" w:color="000000" w:sz="4" w:space="0"/>
                  </w:tcBorders>
                  <w:vAlign w:val="center"/>
                </w:tcPr>
                <w:p w14:paraId="77CBDECB">
                  <w:pPr>
                    <w:spacing w:line="240" w:lineRule="auto"/>
                    <w:ind w:firstLine="0" w:firstLineChars="0"/>
                    <w:jc w:val="center"/>
                    <w:rPr>
                      <w:sz w:val="21"/>
                      <w:szCs w:val="21"/>
                    </w:rPr>
                  </w:pPr>
                  <w:r>
                    <w:rPr>
                      <w:rFonts w:hint="eastAsia"/>
                      <w:sz w:val="21"/>
                      <w:szCs w:val="21"/>
                    </w:rPr>
                    <w:t>10KW</w:t>
                  </w:r>
                </w:p>
              </w:tc>
              <w:tc>
                <w:tcPr>
                  <w:tcW w:w="850" w:type="dxa"/>
                  <w:vAlign w:val="center"/>
                </w:tcPr>
                <w:p w14:paraId="65086382">
                  <w:pPr>
                    <w:spacing w:line="240" w:lineRule="auto"/>
                    <w:ind w:firstLine="0" w:firstLineChars="0"/>
                    <w:jc w:val="center"/>
                    <w:rPr>
                      <w:sz w:val="21"/>
                      <w:szCs w:val="21"/>
                    </w:rPr>
                  </w:pPr>
                  <w:r>
                    <w:rPr>
                      <w:rFonts w:hint="eastAsia"/>
                      <w:sz w:val="21"/>
                      <w:szCs w:val="21"/>
                    </w:rPr>
                    <w:t>3</w:t>
                  </w:r>
                </w:p>
              </w:tc>
              <w:tc>
                <w:tcPr>
                  <w:tcW w:w="2126" w:type="dxa"/>
                  <w:tcBorders>
                    <w:top w:val="single" w:color="000000" w:sz="4" w:space="0"/>
                    <w:left w:val="single" w:color="000000" w:sz="4" w:space="0"/>
                    <w:bottom w:val="single" w:color="000000" w:sz="4" w:space="0"/>
                    <w:right w:val="single" w:color="000000" w:sz="4" w:space="0"/>
                  </w:tcBorders>
                  <w:vAlign w:val="center"/>
                </w:tcPr>
                <w:p w14:paraId="632F1864">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r>
            <w:tr w14:paraId="1A2E6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jc w:val="center"/>
              </w:trPr>
              <w:tc>
                <w:tcPr>
                  <w:tcW w:w="1271" w:type="dxa"/>
                  <w:tcBorders>
                    <w:top w:val="single" w:color="000000" w:sz="4" w:space="0"/>
                    <w:left w:val="single" w:color="000000" w:sz="4" w:space="0"/>
                    <w:bottom w:val="single" w:color="000000" w:sz="4" w:space="0"/>
                    <w:right w:val="single" w:color="000000" w:sz="4" w:space="0"/>
                  </w:tcBorders>
                  <w:vAlign w:val="center"/>
                </w:tcPr>
                <w:p w14:paraId="25017E23">
                  <w:pPr>
                    <w:spacing w:line="240" w:lineRule="auto"/>
                    <w:ind w:firstLine="0" w:firstLineChars="0"/>
                    <w:jc w:val="center"/>
                    <w:rPr>
                      <w:sz w:val="21"/>
                      <w:szCs w:val="21"/>
                    </w:rPr>
                  </w:pPr>
                  <w:r>
                    <w:rPr>
                      <w:rFonts w:hint="eastAsia"/>
                      <w:sz w:val="21"/>
                      <w:szCs w:val="21"/>
                    </w:rPr>
                    <w:t>9</w:t>
                  </w:r>
                </w:p>
              </w:tc>
              <w:tc>
                <w:tcPr>
                  <w:tcW w:w="1701" w:type="dxa"/>
                  <w:tcBorders>
                    <w:top w:val="single" w:color="000000" w:sz="4" w:space="0"/>
                    <w:left w:val="single" w:color="000000" w:sz="4" w:space="0"/>
                    <w:bottom w:val="single" w:color="000000" w:sz="4" w:space="0"/>
                    <w:right w:val="single" w:color="000000" w:sz="4" w:space="0"/>
                  </w:tcBorders>
                  <w:vAlign w:val="center"/>
                </w:tcPr>
                <w:p w14:paraId="4550C8AD">
                  <w:pPr>
                    <w:spacing w:line="240" w:lineRule="auto"/>
                    <w:ind w:firstLine="0" w:firstLineChars="0"/>
                    <w:jc w:val="center"/>
                    <w:rPr>
                      <w:sz w:val="21"/>
                      <w:szCs w:val="21"/>
                    </w:rPr>
                  </w:pPr>
                  <w:r>
                    <w:rPr>
                      <w:sz w:val="21"/>
                      <w:szCs w:val="21"/>
                    </w:rPr>
                    <w:t>数字测井仪</w:t>
                  </w:r>
                </w:p>
              </w:tc>
              <w:tc>
                <w:tcPr>
                  <w:tcW w:w="1418" w:type="dxa"/>
                  <w:tcBorders>
                    <w:top w:val="single" w:color="000000" w:sz="4" w:space="0"/>
                    <w:left w:val="single" w:color="000000" w:sz="4" w:space="0"/>
                    <w:bottom w:val="single" w:color="000000" w:sz="4" w:space="0"/>
                    <w:right w:val="single" w:color="000000" w:sz="4" w:space="0"/>
                  </w:tcBorders>
                  <w:vAlign w:val="center"/>
                </w:tcPr>
                <w:p w14:paraId="472F6505">
                  <w:pPr>
                    <w:spacing w:line="240" w:lineRule="auto"/>
                    <w:ind w:firstLine="0" w:firstLineChars="0"/>
                    <w:jc w:val="center"/>
                    <w:rPr>
                      <w:sz w:val="21"/>
                      <w:szCs w:val="21"/>
                    </w:rPr>
                  </w:pPr>
                  <w:r>
                    <w:rPr>
                      <w:sz w:val="21"/>
                      <w:szCs w:val="21"/>
                    </w:rPr>
                    <w:t>PSJ-2</w:t>
                  </w:r>
                </w:p>
              </w:tc>
              <w:tc>
                <w:tcPr>
                  <w:tcW w:w="1701" w:type="dxa"/>
                  <w:tcBorders>
                    <w:top w:val="single" w:color="000000" w:sz="4" w:space="0"/>
                    <w:left w:val="single" w:color="000000" w:sz="4" w:space="0"/>
                    <w:bottom w:val="single" w:color="000000" w:sz="4" w:space="0"/>
                    <w:right w:val="single" w:color="000000" w:sz="4" w:space="0"/>
                  </w:tcBorders>
                  <w:vAlign w:val="center"/>
                </w:tcPr>
                <w:p w14:paraId="2A8A042C">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c>
                <w:tcPr>
                  <w:tcW w:w="850" w:type="dxa"/>
                  <w:vAlign w:val="center"/>
                </w:tcPr>
                <w:p w14:paraId="28910661">
                  <w:pPr>
                    <w:spacing w:line="240" w:lineRule="auto"/>
                    <w:ind w:firstLine="0" w:firstLineChars="0"/>
                    <w:jc w:val="center"/>
                    <w:rPr>
                      <w:sz w:val="21"/>
                      <w:szCs w:val="21"/>
                    </w:rPr>
                  </w:pPr>
                  <w:r>
                    <w:rPr>
                      <w:rFonts w:hint="eastAsia"/>
                      <w:sz w:val="21"/>
                      <w:szCs w:val="21"/>
                    </w:rPr>
                    <w:t>3</w:t>
                  </w:r>
                </w:p>
              </w:tc>
              <w:tc>
                <w:tcPr>
                  <w:tcW w:w="2126" w:type="dxa"/>
                  <w:tcBorders>
                    <w:top w:val="single" w:color="000000" w:sz="4" w:space="0"/>
                    <w:left w:val="single" w:color="000000" w:sz="4" w:space="0"/>
                    <w:bottom w:val="single" w:color="000000" w:sz="4" w:space="0"/>
                    <w:right w:val="single" w:color="000000" w:sz="4" w:space="0"/>
                  </w:tcBorders>
                  <w:vAlign w:val="center"/>
                </w:tcPr>
                <w:p w14:paraId="0BCEDE2F">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r>
            <w:tr w14:paraId="1CB05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jc w:val="center"/>
              </w:trPr>
              <w:tc>
                <w:tcPr>
                  <w:tcW w:w="1271" w:type="dxa"/>
                  <w:tcBorders>
                    <w:top w:val="single" w:color="000000" w:sz="4" w:space="0"/>
                    <w:left w:val="single" w:color="000000" w:sz="4" w:space="0"/>
                    <w:bottom w:val="single" w:color="000000" w:sz="4" w:space="0"/>
                    <w:right w:val="single" w:color="000000" w:sz="4" w:space="0"/>
                  </w:tcBorders>
                  <w:vAlign w:val="center"/>
                </w:tcPr>
                <w:p w14:paraId="025295B3">
                  <w:pPr>
                    <w:spacing w:line="240" w:lineRule="auto"/>
                    <w:ind w:firstLine="0" w:firstLineChars="0"/>
                    <w:jc w:val="center"/>
                    <w:rPr>
                      <w:sz w:val="21"/>
                      <w:szCs w:val="21"/>
                    </w:rPr>
                  </w:pPr>
                  <w:r>
                    <w:rPr>
                      <w:sz w:val="21"/>
                      <w:szCs w:val="21"/>
                    </w:rPr>
                    <w:t>1</w:t>
                  </w:r>
                  <w:r>
                    <w:rPr>
                      <w:rFonts w:hint="eastAsia"/>
                      <w:sz w:val="21"/>
                      <w:szCs w:val="21"/>
                    </w:rPr>
                    <w:t>0</w:t>
                  </w:r>
                </w:p>
              </w:tc>
              <w:tc>
                <w:tcPr>
                  <w:tcW w:w="1701" w:type="dxa"/>
                  <w:tcBorders>
                    <w:top w:val="single" w:color="000000" w:sz="4" w:space="0"/>
                    <w:left w:val="single" w:color="000000" w:sz="4" w:space="0"/>
                    <w:bottom w:val="single" w:color="000000" w:sz="4" w:space="0"/>
                    <w:right w:val="single" w:color="000000" w:sz="4" w:space="0"/>
                  </w:tcBorders>
                  <w:vAlign w:val="center"/>
                </w:tcPr>
                <w:p w14:paraId="4A800553">
                  <w:pPr>
                    <w:spacing w:line="240" w:lineRule="auto"/>
                    <w:ind w:firstLine="0" w:firstLineChars="0"/>
                    <w:jc w:val="center"/>
                    <w:rPr>
                      <w:sz w:val="21"/>
                    </w:rPr>
                  </w:pPr>
                  <w:r>
                    <w:rPr>
                      <w:sz w:val="21"/>
                      <w:szCs w:val="21"/>
                    </w:rPr>
                    <w:t>测斜仪</w:t>
                  </w:r>
                </w:p>
              </w:tc>
              <w:tc>
                <w:tcPr>
                  <w:tcW w:w="1418" w:type="dxa"/>
                  <w:tcBorders>
                    <w:top w:val="single" w:color="000000" w:sz="4" w:space="0"/>
                    <w:left w:val="single" w:color="000000" w:sz="4" w:space="0"/>
                    <w:bottom w:val="single" w:color="000000" w:sz="4" w:space="0"/>
                    <w:right w:val="single" w:color="000000" w:sz="4" w:space="0"/>
                  </w:tcBorders>
                  <w:vAlign w:val="center"/>
                </w:tcPr>
                <w:p w14:paraId="2C591BE4">
                  <w:pPr>
                    <w:spacing w:line="240" w:lineRule="auto"/>
                    <w:ind w:firstLine="0" w:firstLineChars="0"/>
                    <w:jc w:val="center"/>
                    <w:rPr>
                      <w:sz w:val="21"/>
                    </w:rPr>
                  </w:pPr>
                  <w:r>
                    <w:rPr>
                      <w:sz w:val="21"/>
                      <w:szCs w:val="21"/>
                    </w:rPr>
                    <w:t>JJX-3DA</w:t>
                  </w:r>
                </w:p>
              </w:tc>
              <w:tc>
                <w:tcPr>
                  <w:tcW w:w="1701" w:type="dxa"/>
                  <w:tcBorders>
                    <w:top w:val="single" w:color="000000" w:sz="4" w:space="0"/>
                    <w:left w:val="single" w:color="000000" w:sz="4" w:space="0"/>
                    <w:bottom w:val="single" w:color="000000" w:sz="4" w:space="0"/>
                    <w:right w:val="single" w:color="000000" w:sz="4" w:space="0"/>
                  </w:tcBorders>
                  <w:vAlign w:val="center"/>
                </w:tcPr>
                <w:p w14:paraId="2D3C825D">
                  <w:pPr>
                    <w:spacing w:line="240" w:lineRule="auto"/>
                    <w:ind w:firstLine="0" w:firstLineChars="0"/>
                    <w:jc w:val="center"/>
                    <w:rPr>
                      <w:rFonts w:hint="eastAsia" w:eastAsia="宋体"/>
                      <w:sz w:val="21"/>
                      <w:lang w:val="en-US" w:eastAsia="zh-CN"/>
                    </w:rPr>
                  </w:pPr>
                  <w:r>
                    <w:rPr>
                      <w:rFonts w:hint="eastAsia"/>
                      <w:sz w:val="21"/>
                      <w:lang w:val="en-US" w:eastAsia="zh-CN"/>
                    </w:rPr>
                    <w:t>/</w:t>
                  </w:r>
                </w:p>
              </w:tc>
              <w:tc>
                <w:tcPr>
                  <w:tcW w:w="850" w:type="dxa"/>
                  <w:vAlign w:val="center"/>
                </w:tcPr>
                <w:p w14:paraId="6599B0A2">
                  <w:pPr>
                    <w:spacing w:line="240" w:lineRule="auto"/>
                    <w:ind w:firstLine="0" w:firstLineChars="0"/>
                    <w:jc w:val="center"/>
                    <w:rPr>
                      <w:sz w:val="21"/>
                      <w:szCs w:val="21"/>
                    </w:rPr>
                  </w:pPr>
                  <w:r>
                    <w:rPr>
                      <w:rFonts w:hint="eastAsia"/>
                      <w:sz w:val="21"/>
                      <w:szCs w:val="21"/>
                    </w:rPr>
                    <w:t>3</w:t>
                  </w:r>
                </w:p>
              </w:tc>
              <w:tc>
                <w:tcPr>
                  <w:tcW w:w="2126" w:type="dxa"/>
                  <w:tcBorders>
                    <w:top w:val="single" w:color="000000" w:sz="4" w:space="0"/>
                    <w:left w:val="single" w:color="000000" w:sz="4" w:space="0"/>
                    <w:bottom w:val="single" w:color="000000" w:sz="4" w:space="0"/>
                    <w:right w:val="single" w:color="000000" w:sz="4" w:space="0"/>
                  </w:tcBorders>
                  <w:vAlign w:val="center"/>
                </w:tcPr>
                <w:p w14:paraId="056206ED">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r>
          </w:tbl>
          <w:p w14:paraId="08E3212B">
            <w:pPr>
              <w:rPr>
                <w:rFonts w:hint="default" w:ascii="Times New Roman" w:hAnsi="Times New Roman" w:cs="Times New Roman"/>
                <w:color w:val="auto"/>
                <w:highlight w:val="none"/>
              </w:rPr>
            </w:pPr>
          </w:p>
          <w:p w14:paraId="61284EBC">
            <w:pPr>
              <w:pStyle w:val="127"/>
              <w:rPr>
                <w:rFonts w:hint="default" w:ascii="Times New Roman" w:hAnsi="Times New Roman" w:eastAsia="黑体" w:cs="Times New Roman"/>
                <w:b w:val="0"/>
                <w:color w:val="000000" w:themeColor="text1"/>
                <w:kern w:val="2"/>
                <w:sz w:val="21"/>
                <w:szCs w:val="20"/>
                <w:highlight w:val="none"/>
                <w:lang w:val="en-US" w:eastAsia="zh-CN" w:bidi="ar-SA"/>
                <w14:textFill>
                  <w14:solidFill>
                    <w14:schemeClr w14:val="tx1"/>
                  </w14:solidFill>
                </w14:textFill>
              </w:rPr>
            </w:pPr>
            <w:r>
              <w:rPr>
                <w:rFonts w:hint="default" w:ascii="Times New Roman" w:hAnsi="Times New Roman" w:eastAsia="黑体" w:cs="Times New Roman"/>
                <w:b w:val="0"/>
                <w:color w:val="000000" w:themeColor="text1"/>
                <w:kern w:val="2"/>
                <w:sz w:val="21"/>
                <w:szCs w:val="20"/>
                <w:highlight w:val="none"/>
                <w:lang w:val="en-US" w:eastAsia="zh-CN" w:bidi="ar-SA"/>
                <w14:textFill>
                  <w14:solidFill>
                    <w14:schemeClr w14:val="tx1"/>
                  </w14:solidFill>
                </w14:textFill>
              </w:rPr>
              <w:t>表</w:t>
            </w:r>
            <w:r>
              <w:rPr>
                <w:rFonts w:hint="eastAsia" w:ascii="Times New Roman" w:hAnsi="Times New Roman" w:eastAsia="黑体" w:cs="Times New Roman"/>
                <w:b w:val="0"/>
                <w:color w:val="000000" w:themeColor="text1"/>
                <w:kern w:val="2"/>
                <w:sz w:val="21"/>
                <w:szCs w:val="20"/>
                <w:highlight w:val="none"/>
                <w:lang w:val="en-US" w:eastAsia="zh-CN" w:bidi="ar-SA"/>
                <w14:textFill>
                  <w14:solidFill>
                    <w14:schemeClr w14:val="tx1"/>
                  </w14:solidFill>
                </w14:textFill>
              </w:rPr>
              <w:t>2-6  本项目</w:t>
            </w:r>
            <w:r>
              <w:rPr>
                <w:rFonts w:hint="default" w:ascii="Times New Roman" w:hAnsi="Times New Roman" w:eastAsia="黑体" w:cs="Times New Roman"/>
                <w:b w:val="0"/>
                <w:color w:val="000000" w:themeColor="text1"/>
                <w:kern w:val="2"/>
                <w:sz w:val="21"/>
                <w:szCs w:val="20"/>
                <w:highlight w:val="none"/>
                <w:lang w:val="en-US" w:eastAsia="zh-CN" w:bidi="ar-SA"/>
                <w14:textFill>
                  <w14:solidFill>
                    <w14:schemeClr w14:val="tx1"/>
                  </w14:solidFill>
                </w14:textFill>
              </w:rPr>
              <w:t>注浆站设备一览表</w:t>
            </w:r>
          </w:p>
          <w:tbl>
            <w:tblPr>
              <w:tblStyle w:val="30"/>
              <w:tblW w:w="49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6"/>
              <w:gridCol w:w="1427"/>
              <w:gridCol w:w="1255"/>
              <w:gridCol w:w="1537"/>
              <w:gridCol w:w="729"/>
              <w:gridCol w:w="1816"/>
            </w:tblGrid>
            <w:tr w14:paraId="64035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blHeader/>
                <w:jc w:val="center"/>
              </w:trPr>
              <w:tc>
                <w:tcPr>
                  <w:tcW w:w="696" w:type="pct"/>
                  <w:vAlign w:val="center"/>
                </w:tcPr>
                <w:p w14:paraId="532C3E73">
                  <w:pPr>
                    <w:spacing w:line="240" w:lineRule="auto"/>
                    <w:ind w:firstLine="0" w:firstLineChars="0"/>
                    <w:jc w:val="center"/>
                    <w:rPr>
                      <w:b/>
                      <w:bCs/>
                      <w:sz w:val="21"/>
                      <w:szCs w:val="21"/>
                    </w:rPr>
                  </w:pPr>
                  <w:r>
                    <w:rPr>
                      <w:rFonts w:hint="eastAsia"/>
                      <w:b/>
                      <w:bCs/>
                      <w:sz w:val="21"/>
                      <w:szCs w:val="21"/>
                    </w:rPr>
                    <w:t>序号</w:t>
                  </w:r>
                </w:p>
              </w:tc>
              <w:tc>
                <w:tcPr>
                  <w:tcW w:w="940" w:type="pct"/>
                  <w:vAlign w:val="center"/>
                </w:tcPr>
                <w:p w14:paraId="6364B5EA">
                  <w:pPr>
                    <w:spacing w:line="240" w:lineRule="auto"/>
                    <w:ind w:firstLine="0" w:firstLineChars="0"/>
                    <w:jc w:val="center"/>
                    <w:rPr>
                      <w:b/>
                      <w:bCs/>
                      <w:sz w:val="21"/>
                      <w:szCs w:val="21"/>
                    </w:rPr>
                  </w:pPr>
                  <w:r>
                    <w:rPr>
                      <w:rFonts w:hint="eastAsia"/>
                      <w:b/>
                      <w:bCs/>
                      <w:sz w:val="21"/>
                      <w:szCs w:val="21"/>
                    </w:rPr>
                    <w:t>名称</w:t>
                  </w:r>
                </w:p>
              </w:tc>
              <w:tc>
                <w:tcPr>
                  <w:tcW w:w="673" w:type="pct"/>
                  <w:vAlign w:val="center"/>
                </w:tcPr>
                <w:p w14:paraId="29A3CF11">
                  <w:pPr>
                    <w:spacing w:line="240" w:lineRule="auto"/>
                    <w:ind w:firstLine="0" w:firstLineChars="0"/>
                    <w:jc w:val="center"/>
                    <w:rPr>
                      <w:b/>
                      <w:bCs/>
                      <w:sz w:val="21"/>
                      <w:szCs w:val="21"/>
                    </w:rPr>
                  </w:pPr>
                  <w:r>
                    <w:rPr>
                      <w:rFonts w:hint="eastAsia"/>
                      <w:b/>
                      <w:bCs/>
                      <w:sz w:val="21"/>
                      <w:szCs w:val="21"/>
                    </w:rPr>
                    <w:t>型号</w:t>
                  </w:r>
                </w:p>
              </w:tc>
              <w:tc>
                <w:tcPr>
                  <w:tcW w:w="1010" w:type="pct"/>
                  <w:vAlign w:val="center"/>
                </w:tcPr>
                <w:p w14:paraId="0C4B78B9">
                  <w:pPr>
                    <w:spacing w:line="240" w:lineRule="auto"/>
                    <w:ind w:firstLine="0" w:firstLineChars="0"/>
                    <w:jc w:val="center"/>
                    <w:rPr>
                      <w:b/>
                      <w:bCs/>
                      <w:sz w:val="21"/>
                      <w:szCs w:val="21"/>
                    </w:rPr>
                  </w:pPr>
                  <w:r>
                    <w:rPr>
                      <w:rFonts w:hint="eastAsia"/>
                      <w:b/>
                      <w:bCs/>
                      <w:sz w:val="21"/>
                      <w:szCs w:val="21"/>
                    </w:rPr>
                    <w:t>功率/电压</w:t>
                  </w:r>
                </w:p>
              </w:tc>
              <w:tc>
                <w:tcPr>
                  <w:tcW w:w="493" w:type="pct"/>
                  <w:vAlign w:val="center"/>
                </w:tcPr>
                <w:p w14:paraId="466317DD">
                  <w:pPr>
                    <w:spacing w:line="240" w:lineRule="auto"/>
                    <w:ind w:firstLine="0" w:firstLineChars="0"/>
                    <w:jc w:val="center"/>
                    <w:rPr>
                      <w:b/>
                      <w:bCs/>
                      <w:sz w:val="21"/>
                      <w:szCs w:val="21"/>
                    </w:rPr>
                  </w:pPr>
                  <w:r>
                    <w:rPr>
                      <w:rFonts w:hint="eastAsia"/>
                      <w:b/>
                      <w:bCs/>
                      <w:sz w:val="21"/>
                      <w:szCs w:val="21"/>
                    </w:rPr>
                    <w:t>数量</w:t>
                  </w:r>
                </w:p>
              </w:tc>
              <w:tc>
                <w:tcPr>
                  <w:tcW w:w="1188" w:type="pct"/>
                  <w:vAlign w:val="center"/>
                </w:tcPr>
                <w:p w14:paraId="62975E23">
                  <w:pPr>
                    <w:spacing w:line="240" w:lineRule="auto"/>
                    <w:ind w:firstLine="0" w:firstLineChars="0"/>
                    <w:jc w:val="center"/>
                    <w:rPr>
                      <w:b/>
                      <w:bCs/>
                      <w:sz w:val="21"/>
                      <w:szCs w:val="21"/>
                    </w:rPr>
                  </w:pPr>
                  <w:r>
                    <w:rPr>
                      <w:rFonts w:hint="eastAsia"/>
                      <w:b/>
                      <w:bCs/>
                      <w:sz w:val="21"/>
                      <w:szCs w:val="21"/>
                    </w:rPr>
                    <w:t>备注</w:t>
                  </w:r>
                </w:p>
              </w:tc>
            </w:tr>
            <w:tr w14:paraId="6774B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blHeader/>
                <w:jc w:val="center"/>
              </w:trPr>
              <w:tc>
                <w:tcPr>
                  <w:tcW w:w="696" w:type="pct"/>
                  <w:vAlign w:val="center"/>
                </w:tcPr>
                <w:p w14:paraId="6E523EEC">
                  <w:pPr>
                    <w:spacing w:line="240" w:lineRule="auto"/>
                    <w:ind w:firstLine="0" w:firstLineChars="0"/>
                    <w:jc w:val="center"/>
                    <w:rPr>
                      <w:sz w:val="21"/>
                      <w:szCs w:val="21"/>
                    </w:rPr>
                  </w:pPr>
                  <w:r>
                    <w:rPr>
                      <w:rFonts w:hint="eastAsia"/>
                      <w:sz w:val="21"/>
                      <w:szCs w:val="21"/>
                    </w:rPr>
                    <w:t>1</w:t>
                  </w:r>
                </w:p>
              </w:tc>
              <w:tc>
                <w:tcPr>
                  <w:tcW w:w="940" w:type="pct"/>
                  <w:vAlign w:val="center"/>
                </w:tcPr>
                <w:p w14:paraId="6444E908">
                  <w:pPr>
                    <w:spacing w:line="240" w:lineRule="auto"/>
                    <w:ind w:firstLine="0" w:firstLineChars="0"/>
                    <w:jc w:val="center"/>
                    <w:rPr>
                      <w:sz w:val="21"/>
                      <w:szCs w:val="21"/>
                    </w:rPr>
                  </w:pPr>
                  <w:r>
                    <w:rPr>
                      <w:rFonts w:hint="eastAsia"/>
                      <w:sz w:val="21"/>
                      <w:szCs w:val="21"/>
                    </w:rPr>
                    <w:t>储料仓</w:t>
                  </w:r>
                </w:p>
              </w:tc>
              <w:tc>
                <w:tcPr>
                  <w:tcW w:w="673" w:type="pct"/>
                  <w:vAlign w:val="center"/>
                </w:tcPr>
                <w:p w14:paraId="42ACB724">
                  <w:pPr>
                    <w:spacing w:line="240" w:lineRule="auto"/>
                    <w:ind w:firstLine="0" w:firstLineChars="0"/>
                    <w:jc w:val="center"/>
                    <w:rPr>
                      <w:sz w:val="21"/>
                      <w:szCs w:val="21"/>
                    </w:rPr>
                  </w:pPr>
                  <w:r>
                    <w:rPr>
                      <w:rFonts w:hint="eastAsia"/>
                      <w:sz w:val="21"/>
                      <w:szCs w:val="21"/>
                    </w:rPr>
                    <w:t>100m</w:t>
                  </w:r>
                  <w:r>
                    <w:rPr>
                      <w:rFonts w:hint="eastAsia"/>
                      <w:sz w:val="21"/>
                      <w:szCs w:val="21"/>
                      <w:vertAlign w:val="superscript"/>
                    </w:rPr>
                    <w:t>3</w:t>
                  </w:r>
                </w:p>
              </w:tc>
              <w:tc>
                <w:tcPr>
                  <w:tcW w:w="1010" w:type="pct"/>
                  <w:vAlign w:val="center"/>
                </w:tcPr>
                <w:p w14:paraId="76FAB4BE">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c>
                <w:tcPr>
                  <w:tcW w:w="493" w:type="pct"/>
                  <w:vAlign w:val="center"/>
                </w:tcPr>
                <w:p w14:paraId="0AF4E6F8">
                  <w:pPr>
                    <w:spacing w:line="240" w:lineRule="auto"/>
                    <w:ind w:firstLine="0" w:firstLineChars="0"/>
                    <w:jc w:val="center"/>
                    <w:rPr>
                      <w:sz w:val="21"/>
                      <w:szCs w:val="21"/>
                    </w:rPr>
                  </w:pPr>
                  <w:r>
                    <w:rPr>
                      <w:rFonts w:hint="eastAsia"/>
                      <w:sz w:val="21"/>
                      <w:szCs w:val="21"/>
                    </w:rPr>
                    <w:t>6</w:t>
                  </w:r>
                </w:p>
              </w:tc>
              <w:tc>
                <w:tcPr>
                  <w:tcW w:w="1188" w:type="pct"/>
                  <w:vAlign w:val="center"/>
                </w:tcPr>
                <w:p w14:paraId="704D7B01">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r>
            <w:tr w14:paraId="10018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blHeader/>
                <w:jc w:val="center"/>
              </w:trPr>
              <w:tc>
                <w:tcPr>
                  <w:tcW w:w="696" w:type="pct"/>
                  <w:vAlign w:val="center"/>
                </w:tcPr>
                <w:p w14:paraId="03A001FD">
                  <w:pPr>
                    <w:spacing w:line="240" w:lineRule="auto"/>
                    <w:ind w:firstLine="0" w:firstLineChars="0"/>
                    <w:jc w:val="center"/>
                    <w:rPr>
                      <w:sz w:val="21"/>
                      <w:szCs w:val="21"/>
                    </w:rPr>
                  </w:pPr>
                  <w:r>
                    <w:rPr>
                      <w:rFonts w:hint="eastAsia"/>
                      <w:sz w:val="21"/>
                      <w:szCs w:val="21"/>
                    </w:rPr>
                    <w:t>2</w:t>
                  </w:r>
                </w:p>
              </w:tc>
              <w:tc>
                <w:tcPr>
                  <w:tcW w:w="940" w:type="pct"/>
                  <w:vAlign w:val="center"/>
                </w:tcPr>
                <w:p w14:paraId="2C78EF39">
                  <w:pPr>
                    <w:spacing w:line="240" w:lineRule="auto"/>
                    <w:ind w:firstLine="0" w:firstLineChars="0"/>
                    <w:jc w:val="center"/>
                    <w:rPr>
                      <w:sz w:val="21"/>
                      <w:szCs w:val="21"/>
                    </w:rPr>
                  </w:pPr>
                  <w:r>
                    <w:rPr>
                      <w:rFonts w:hint="eastAsia"/>
                      <w:sz w:val="21"/>
                      <w:szCs w:val="21"/>
                    </w:rPr>
                    <w:t>注浆泵</w:t>
                  </w:r>
                </w:p>
              </w:tc>
              <w:tc>
                <w:tcPr>
                  <w:tcW w:w="673" w:type="pct"/>
                  <w:vAlign w:val="center"/>
                </w:tcPr>
                <w:p w14:paraId="367E2CE8">
                  <w:pPr>
                    <w:spacing w:line="240" w:lineRule="auto"/>
                    <w:ind w:firstLine="0" w:firstLineChars="0"/>
                    <w:jc w:val="center"/>
                    <w:rPr>
                      <w:sz w:val="21"/>
                      <w:szCs w:val="21"/>
                    </w:rPr>
                  </w:pPr>
                  <w:r>
                    <w:rPr>
                      <w:rFonts w:hint="eastAsia"/>
                      <w:sz w:val="21"/>
                      <w:szCs w:val="21"/>
                    </w:rPr>
                    <w:t>F300</w:t>
                  </w:r>
                </w:p>
              </w:tc>
              <w:tc>
                <w:tcPr>
                  <w:tcW w:w="1010" w:type="pct"/>
                  <w:vAlign w:val="center"/>
                </w:tcPr>
                <w:p w14:paraId="218D99E6">
                  <w:pPr>
                    <w:spacing w:line="240" w:lineRule="auto"/>
                    <w:ind w:firstLine="0" w:firstLineChars="0"/>
                    <w:jc w:val="center"/>
                    <w:rPr>
                      <w:sz w:val="21"/>
                      <w:szCs w:val="21"/>
                    </w:rPr>
                  </w:pPr>
                  <w:r>
                    <w:rPr>
                      <w:rFonts w:hint="eastAsia"/>
                      <w:sz w:val="21"/>
                      <w:szCs w:val="21"/>
                    </w:rPr>
                    <w:t>223kW</w:t>
                  </w:r>
                </w:p>
              </w:tc>
              <w:tc>
                <w:tcPr>
                  <w:tcW w:w="493" w:type="pct"/>
                  <w:vAlign w:val="center"/>
                </w:tcPr>
                <w:p w14:paraId="5055C952">
                  <w:pPr>
                    <w:spacing w:line="240" w:lineRule="auto"/>
                    <w:ind w:firstLine="0" w:firstLineChars="0"/>
                    <w:jc w:val="center"/>
                    <w:rPr>
                      <w:sz w:val="21"/>
                      <w:szCs w:val="21"/>
                    </w:rPr>
                  </w:pPr>
                  <w:r>
                    <w:rPr>
                      <w:rFonts w:hint="eastAsia"/>
                      <w:sz w:val="21"/>
                      <w:szCs w:val="21"/>
                    </w:rPr>
                    <w:t>1</w:t>
                  </w:r>
                </w:p>
              </w:tc>
              <w:tc>
                <w:tcPr>
                  <w:tcW w:w="1188" w:type="pct"/>
                  <w:vAlign w:val="center"/>
                </w:tcPr>
                <w:p w14:paraId="0619348C">
                  <w:pPr>
                    <w:spacing w:line="240" w:lineRule="auto"/>
                    <w:ind w:firstLine="0" w:firstLineChars="0"/>
                    <w:jc w:val="center"/>
                    <w:rPr>
                      <w:sz w:val="21"/>
                      <w:szCs w:val="21"/>
                    </w:rPr>
                  </w:pPr>
                  <w:r>
                    <w:rPr>
                      <w:rFonts w:hint="eastAsia"/>
                      <w:sz w:val="21"/>
                      <w:szCs w:val="21"/>
                    </w:rPr>
                    <w:t>4386*1602*1573</w:t>
                  </w:r>
                </w:p>
              </w:tc>
            </w:tr>
            <w:tr w14:paraId="3ED0E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blHeader/>
                <w:jc w:val="center"/>
              </w:trPr>
              <w:tc>
                <w:tcPr>
                  <w:tcW w:w="696" w:type="pct"/>
                  <w:vAlign w:val="center"/>
                </w:tcPr>
                <w:p w14:paraId="256F14E7">
                  <w:pPr>
                    <w:spacing w:line="240" w:lineRule="auto"/>
                    <w:ind w:firstLine="0" w:firstLineChars="0"/>
                    <w:jc w:val="center"/>
                    <w:rPr>
                      <w:sz w:val="21"/>
                      <w:szCs w:val="21"/>
                    </w:rPr>
                  </w:pPr>
                  <w:r>
                    <w:rPr>
                      <w:rFonts w:hint="eastAsia"/>
                      <w:sz w:val="21"/>
                      <w:szCs w:val="21"/>
                    </w:rPr>
                    <w:t>3</w:t>
                  </w:r>
                </w:p>
              </w:tc>
              <w:tc>
                <w:tcPr>
                  <w:tcW w:w="940" w:type="pct"/>
                  <w:vAlign w:val="center"/>
                </w:tcPr>
                <w:p w14:paraId="31819EFC">
                  <w:pPr>
                    <w:spacing w:line="240" w:lineRule="auto"/>
                    <w:ind w:firstLine="0" w:firstLineChars="0"/>
                    <w:jc w:val="center"/>
                    <w:rPr>
                      <w:sz w:val="21"/>
                      <w:szCs w:val="21"/>
                    </w:rPr>
                  </w:pPr>
                  <w:r>
                    <w:rPr>
                      <w:rFonts w:hint="eastAsia"/>
                      <w:sz w:val="21"/>
                      <w:szCs w:val="21"/>
                    </w:rPr>
                    <w:t>注浆泵</w:t>
                  </w:r>
                </w:p>
              </w:tc>
              <w:tc>
                <w:tcPr>
                  <w:tcW w:w="673" w:type="pct"/>
                  <w:vAlign w:val="center"/>
                </w:tcPr>
                <w:p w14:paraId="54BD04CF">
                  <w:pPr>
                    <w:spacing w:line="240" w:lineRule="auto"/>
                    <w:ind w:firstLine="0" w:firstLineChars="0"/>
                    <w:jc w:val="center"/>
                    <w:rPr>
                      <w:sz w:val="21"/>
                      <w:szCs w:val="21"/>
                    </w:rPr>
                  </w:pPr>
                  <w:r>
                    <w:rPr>
                      <w:rFonts w:hint="eastAsia"/>
                      <w:sz w:val="21"/>
                      <w:szCs w:val="21"/>
                    </w:rPr>
                    <w:t>F130</w:t>
                  </w:r>
                </w:p>
              </w:tc>
              <w:tc>
                <w:tcPr>
                  <w:tcW w:w="1010" w:type="pct"/>
                  <w:vAlign w:val="center"/>
                </w:tcPr>
                <w:p w14:paraId="726E5C2D">
                  <w:pPr>
                    <w:spacing w:line="240" w:lineRule="auto"/>
                    <w:ind w:firstLine="0" w:firstLineChars="0"/>
                    <w:jc w:val="center"/>
                    <w:rPr>
                      <w:sz w:val="21"/>
                      <w:szCs w:val="21"/>
                    </w:rPr>
                  </w:pPr>
                  <w:r>
                    <w:rPr>
                      <w:rFonts w:hint="eastAsia"/>
                      <w:sz w:val="21"/>
                      <w:szCs w:val="21"/>
                    </w:rPr>
                    <w:t>90kW</w:t>
                  </w:r>
                </w:p>
              </w:tc>
              <w:tc>
                <w:tcPr>
                  <w:tcW w:w="493" w:type="pct"/>
                  <w:vAlign w:val="center"/>
                </w:tcPr>
                <w:p w14:paraId="0ED32888">
                  <w:pPr>
                    <w:spacing w:line="240" w:lineRule="auto"/>
                    <w:ind w:firstLine="0" w:firstLineChars="0"/>
                    <w:jc w:val="center"/>
                    <w:rPr>
                      <w:sz w:val="21"/>
                      <w:szCs w:val="21"/>
                    </w:rPr>
                  </w:pPr>
                  <w:r>
                    <w:rPr>
                      <w:rFonts w:hint="eastAsia"/>
                      <w:sz w:val="21"/>
                      <w:szCs w:val="21"/>
                    </w:rPr>
                    <w:t>4</w:t>
                  </w:r>
                </w:p>
              </w:tc>
              <w:tc>
                <w:tcPr>
                  <w:tcW w:w="1188" w:type="pct"/>
                  <w:vAlign w:val="center"/>
                </w:tcPr>
                <w:p w14:paraId="55C69863">
                  <w:pPr>
                    <w:spacing w:line="240" w:lineRule="auto"/>
                    <w:ind w:firstLine="0" w:firstLineChars="0"/>
                    <w:jc w:val="center"/>
                    <w:rPr>
                      <w:sz w:val="21"/>
                      <w:szCs w:val="21"/>
                    </w:rPr>
                  </w:pPr>
                  <w:r>
                    <w:rPr>
                      <w:rFonts w:hint="eastAsia"/>
                      <w:sz w:val="21"/>
                      <w:szCs w:val="21"/>
                    </w:rPr>
                    <w:t>3521*1523*1563</w:t>
                  </w:r>
                </w:p>
              </w:tc>
            </w:tr>
            <w:tr w14:paraId="271E4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blHeader/>
                <w:jc w:val="center"/>
              </w:trPr>
              <w:tc>
                <w:tcPr>
                  <w:tcW w:w="696" w:type="pct"/>
                  <w:vAlign w:val="center"/>
                </w:tcPr>
                <w:p w14:paraId="6EB5C2E0">
                  <w:pPr>
                    <w:spacing w:line="240" w:lineRule="auto"/>
                    <w:ind w:firstLine="0" w:firstLineChars="0"/>
                    <w:jc w:val="center"/>
                    <w:rPr>
                      <w:sz w:val="21"/>
                      <w:szCs w:val="21"/>
                    </w:rPr>
                  </w:pPr>
                  <w:r>
                    <w:rPr>
                      <w:rFonts w:hint="eastAsia"/>
                      <w:sz w:val="21"/>
                      <w:szCs w:val="21"/>
                    </w:rPr>
                    <w:t>4</w:t>
                  </w:r>
                </w:p>
              </w:tc>
              <w:tc>
                <w:tcPr>
                  <w:tcW w:w="940" w:type="pct"/>
                  <w:vAlign w:val="center"/>
                </w:tcPr>
                <w:p w14:paraId="4E020FD9">
                  <w:pPr>
                    <w:spacing w:line="240" w:lineRule="auto"/>
                    <w:ind w:firstLine="0" w:firstLineChars="0"/>
                    <w:jc w:val="center"/>
                    <w:rPr>
                      <w:sz w:val="21"/>
                      <w:szCs w:val="21"/>
                    </w:rPr>
                  </w:pPr>
                  <w:r>
                    <w:rPr>
                      <w:rFonts w:hint="eastAsia"/>
                      <w:sz w:val="21"/>
                      <w:szCs w:val="21"/>
                    </w:rPr>
                    <w:t>注浆泵</w:t>
                  </w:r>
                </w:p>
              </w:tc>
              <w:tc>
                <w:tcPr>
                  <w:tcW w:w="673" w:type="pct"/>
                  <w:vAlign w:val="center"/>
                </w:tcPr>
                <w:p w14:paraId="4026D711">
                  <w:pPr>
                    <w:spacing w:line="240" w:lineRule="auto"/>
                    <w:ind w:firstLine="0" w:firstLineChars="0"/>
                    <w:jc w:val="center"/>
                    <w:rPr>
                      <w:sz w:val="21"/>
                      <w:szCs w:val="21"/>
                    </w:rPr>
                  </w:pPr>
                  <w:r>
                    <w:rPr>
                      <w:rFonts w:hint="eastAsia"/>
                      <w:sz w:val="21"/>
                      <w:szCs w:val="21"/>
                    </w:rPr>
                    <w:t>390</w:t>
                  </w:r>
                </w:p>
              </w:tc>
              <w:tc>
                <w:tcPr>
                  <w:tcW w:w="1010" w:type="pct"/>
                  <w:vAlign w:val="center"/>
                </w:tcPr>
                <w:p w14:paraId="2D157BD9">
                  <w:pPr>
                    <w:spacing w:line="240" w:lineRule="auto"/>
                    <w:ind w:firstLine="0" w:firstLineChars="0"/>
                    <w:jc w:val="center"/>
                    <w:rPr>
                      <w:sz w:val="21"/>
                      <w:szCs w:val="21"/>
                    </w:rPr>
                  </w:pPr>
                  <w:r>
                    <w:rPr>
                      <w:rFonts w:hint="eastAsia"/>
                      <w:sz w:val="21"/>
                      <w:szCs w:val="21"/>
                    </w:rPr>
                    <w:t>75kW</w:t>
                  </w:r>
                </w:p>
              </w:tc>
              <w:tc>
                <w:tcPr>
                  <w:tcW w:w="493" w:type="pct"/>
                  <w:vAlign w:val="center"/>
                </w:tcPr>
                <w:p w14:paraId="2C3CF10D">
                  <w:pPr>
                    <w:spacing w:line="240" w:lineRule="auto"/>
                    <w:ind w:firstLine="0" w:firstLineChars="0"/>
                    <w:jc w:val="center"/>
                    <w:rPr>
                      <w:sz w:val="21"/>
                      <w:szCs w:val="21"/>
                    </w:rPr>
                  </w:pPr>
                  <w:r>
                    <w:rPr>
                      <w:rFonts w:hint="eastAsia"/>
                      <w:sz w:val="21"/>
                      <w:szCs w:val="21"/>
                    </w:rPr>
                    <w:t>4</w:t>
                  </w:r>
                </w:p>
              </w:tc>
              <w:tc>
                <w:tcPr>
                  <w:tcW w:w="1188" w:type="pct"/>
                  <w:vAlign w:val="center"/>
                </w:tcPr>
                <w:p w14:paraId="38F8428F">
                  <w:pPr>
                    <w:spacing w:line="240" w:lineRule="auto"/>
                    <w:ind w:firstLine="0" w:firstLineChars="0"/>
                    <w:jc w:val="center"/>
                    <w:rPr>
                      <w:sz w:val="21"/>
                      <w:szCs w:val="21"/>
                    </w:rPr>
                  </w:pPr>
                  <w:r>
                    <w:rPr>
                      <w:rFonts w:hint="eastAsia"/>
                      <w:sz w:val="21"/>
                      <w:szCs w:val="21"/>
                    </w:rPr>
                    <w:t>3014*1289*1414</w:t>
                  </w:r>
                </w:p>
              </w:tc>
            </w:tr>
            <w:tr w14:paraId="29750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blHeader/>
                <w:jc w:val="center"/>
              </w:trPr>
              <w:tc>
                <w:tcPr>
                  <w:tcW w:w="696" w:type="pct"/>
                  <w:vAlign w:val="center"/>
                </w:tcPr>
                <w:p w14:paraId="4EF13281">
                  <w:pPr>
                    <w:spacing w:line="240" w:lineRule="auto"/>
                    <w:ind w:firstLine="0" w:firstLineChars="0"/>
                    <w:jc w:val="center"/>
                    <w:rPr>
                      <w:sz w:val="21"/>
                      <w:szCs w:val="21"/>
                    </w:rPr>
                  </w:pPr>
                  <w:r>
                    <w:rPr>
                      <w:rFonts w:hint="eastAsia"/>
                      <w:sz w:val="21"/>
                      <w:szCs w:val="21"/>
                    </w:rPr>
                    <w:t>5</w:t>
                  </w:r>
                </w:p>
              </w:tc>
              <w:tc>
                <w:tcPr>
                  <w:tcW w:w="940" w:type="pct"/>
                  <w:vAlign w:val="center"/>
                </w:tcPr>
                <w:p w14:paraId="162B4D2B">
                  <w:pPr>
                    <w:spacing w:line="240" w:lineRule="auto"/>
                    <w:ind w:firstLine="0" w:firstLineChars="0"/>
                    <w:jc w:val="center"/>
                    <w:rPr>
                      <w:sz w:val="21"/>
                      <w:szCs w:val="21"/>
                    </w:rPr>
                  </w:pPr>
                  <w:r>
                    <w:rPr>
                      <w:rFonts w:hint="eastAsia"/>
                      <w:sz w:val="21"/>
                      <w:szCs w:val="21"/>
                    </w:rPr>
                    <w:t>注浆控制系统</w:t>
                  </w:r>
                </w:p>
              </w:tc>
              <w:tc>
                <w:tcPr>
                  <w:tcW w:w="673" w:type="pct"/>
                  <w:vAlign w:val="center"/>
                </w:tcPr>
                <w:p w14:paraId="163C16FB">
                  <w:pPr>
                    <w:spacing w:line="240" w:lineRule="auto"/>
                    <w:ind w:firstLine="0" w:firstLineChars="0"/>
                    <w:jc w:val="center"/>
                    <w:rPr>
                      <w:sz w:val="21"/>
                      <w:szCs w:val="21"/>
                    </w:rPr>
                  </w:pPr>
                  <w:r>
                    <w:rPr>
                      <w:rFonts w:hint="eastAsia"/>
                      <w:sz w:val="21"/>
                      <w:szCs w:val="21"/>
                    </w:rPr>
                    <w:t>自研</w:t>
                  </w:r>
                </w:p>
              </w:tc>
              <w:tc>
                <w:tcPr>
                  <w:tcW w:w="1010" w:type="pct"/>
                  <w:vAlign w:val="center"/>
                </w:tcPr>
                <w:p w14:paraId="1A4A630B">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c>
                <w:tcPr>
                  <w:tcW w:w="493" w:type="pct"/>
                  <w:vAlign w:val="center"/>
                </w:tcPr>
                <w:p w14:paraId="32C657E4">
                  <w:pPr>
                    <w:spacing w:line="240" w:lineRule="auto"/>
                    <w:ind w:firstLine="0" w:firstLineChars="0"/>
                    <w:jc w:val="center"/>
                    <w:rPr>
                      <w:sz w:val="21"/>
                      <w:szCs w:val="21"/>
                    </w:rPr>
                  </w:pPr>
                  <w:r>
                    <w:rPr>
                      <w:rFonts w:hint="eastAsia"/>
                      <w:sz w:val="21"/>
                      <w:szCs w:val="21"/>
                    </w:rPr>
                    <w:t>1</w:t>
                  </w:r>
                </w:p>
              </w:tc>
              <w:tc>
                <w:tcPr>
                  <w:tcW w:w="1188" w:type="pct"/>
                  <w:vAlign w:val="center"/>
                </w:tcPr>
                <w:p w14:paraId="7E2696D2">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r>
            <w:tr w14:paraId="57AE8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blHeader/>
                <w:jc w:val="center"/>
              </w:trPr>
              <w:tc>
                <w:tcPr>
                  <w:tcW w:w="696" w:type="pct"/>
                  <w:vAlign w:val="center"/>
                </w:tcPr>
                <w:p w14:paraId="09295A0A">
                  <w:pPr>
                    <w:spacing w:line="240" w:lineRule="auto"/>
                    <w:ind w:firstLine="0" w:firstLineChars="0"/>
                    <w:jc w:val="center"/>
                    <w:rPr>
                      <w:sz w:val="21"/>
                      <w:szCs w:val="21"/>
                    </w:rPr>
                  </w:pPr>
                  <w:r>
                    <w:rPr>
                      <w:rFonts w:hint="eastAsia"/>
                      <w:sz w:val="21"/>
                      <w:szCs w:val="21"/>
                    </w:rPr>
                    <w:t>6</w:t>
                  </w:r>
                </w:p>
              </w:tc>
              <w:tc>
                <w:tcPr>
                  <w:tcW w:w="940" w:type="pct"/>
                  <w:vAlign w:val="center"/>
                </w:tcPr>
                <w:p w14:paraId="126FFA04">
                  <w:pPr>
                    <w:spacing w:line="240" w:lineRule="auto"/>
                    <w:ind w:firstLine="0" w:firstLineChars="0"/>
                    <w:jc w:val="center"/>
                    <w:rPr>
                      <w:sz w:val="21"/>
                      <w:szCs w:val="21"/>
                    </w:rPr>
                  </w:pPr>
                  <w:r>
                    <w:rPr>
                      <w:rFonts w:hint="eastAsia"/>
                      <w:sz w:val="21"/>
                      <w:szCs w:val="21"/>
                    </w:rPr>
                    <w:t>配电柜</w:t>
                  </w:r>
                </w:p>
              </w:tc>
              <w:tc>
                <w:tcPr>
                  <w:tcW w:w="673" w:type="pct"/>
                  <w:vAlign w:val="center"/>
                </w:tcPr>
                <w:p w14:paraId="6CD730C2">
                  <w:pPr>
                    <w:spacing w:line="240" w:lineRule="auto"/>
                    <w:ind w:firstLine="0" w:firstLineChars="0"/>
                    <w:jc w:val="center"/>
                    <w:rPr>
                      <w:sz w:val="21"/>
                      <w:szCs w:val="21"/>
                    </w:rPr>
                  </w:pPr>
                  <w:r>
                    <w:rPr>
                      <w:rFonts w:hint="eastAsia"/>
                      <w:sz w:val="21"/>
                      <w:szCs w:val="21"/>
                    </w:rPr>
                    <w:t>自研</w:t>
                  </w:r>
                </w:p>
              </w:tc>
              <w:tc>
                <w:tcPr>
                  <w:tcW w:w="1010" w:type="pct"/>
                  <w:vAlign w:val="center"/>
                </w:tcPr>
                <w:p w14:paraId="1676835B">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c>
                <w:tcPr>
                  <w:tcW w:w="493" w:type="pct"/>
                  <w:vAlign w:val="center"/>
                </w:tcPr>
                <w:p w14:paraId="5B99FDB8">
                  <w:pPr>
                    <w:spacing w:line="240" w:lineRule="auto"/>
                    <w:ind w:firstLine="0" w:firstLineChars="0"/>
                    <w:jc w:val="center"/>
                    <w:rPr>
                      <w:sz w:val="21"/>
                      <w:szCs w:val="21"/>
                    </w:rPr>
                  </w:pPr>
                  <w:r>
                    <w:rPr>
                      <w:rFonts w:hint="eastAsia"/>
                      <w:sz w:val="21"/>
                      <w:szCs w:val="21"/>
                    </w:rPr>
                    <w:t>1</w:t>
                  </w:r>
                </w:p>
              </w:tc>
              <w:tc>
                <w:tcPr>
                  <w:tcW w:w="1188" w:type="pct"/>
                  <w:vAlign w:val="center"/>
                </w:tcPr>
                <w:p w14:paraId="3DA75682">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r>
            <w:tr w14:paraId="6B682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blHeader/>
                <w:jc w:val="center"/>
              </w:trPr>
              <w:tc>
                <w:tcPr>
                  <w:tcW w:w="696" w:type="pct"/>
                  <w:vAlign w:val="center"/>
                </w:tcPr>
                <w:p w14:paraId="5E109312">
                  <w:pPr>
                    <w:spacing w:line="240" w:lineRule="auto"/>
                    <w:ind w:firstLine="0" w:firstLineChars="0"/>
                    <w:jc w:val="center"/>
                    <w:rPr>
                      <w:sz w:val="21"/>
                      <w:szCs w:val="21"/>
                    </w:rPr>
                  </w:pPr>
                  <w:r>
                    <w:rPr>
                      <w:rFonts w:hint="eastAsia"/>
                      <w:sz w:val="21"/>
                      <w:szCs w:val="21"/>
                    </w:rPr>
                    <w:t>7</w:t>
                  </w:r>
                </w:p>
              </w:tc>
              <w:tc>
                <w:tcPr>
                  <w:tcW w:w="940" w:type="pct"/>
                  <w:vAlign w:val="center"/>
                </w:tcPr>
                <w:p w14:paraId="3CE71240">
                  <w:pPr>
                    <w:spacing w:line="240" w:lineRule="auto"/>
                    <w:ind w:firstLine="0" w:firstLineChars="0"/>
                    <w:jc w:val="center"/>
                    <w:rPr>
                      <w:sz w:val="21"/>
                      <w:szCs w:val="21"/>
                    </w:rPr>
                  </w:pPr>
                  <w:r>
                    <w:rPr>
                      <w:rFonts w:hint="eastAsia"/>
                      <w:sz w:val="21"/>
                      <w:szCs w:val="21"/>
                    </w:rPr>
                    <w:t>一级搅拌机</w:t>
                  </w:r>
                </w:p>
              </w:tc>
              <w:tc>
                <w:tcPr>
                  <w:tcW w:w="673" w:type="pct"/>
                  <w:vAlign w:val="center"/>
                </w:tcPr>
                <w:p w14:paraId="07B3ECA2">
                  <w:pPr>
                    <w:spacing w:line="240" w:lineRule="auto"/>
                    <w:ind w:firstLine="0" w:firstLineChars="0"/>
                    <w:jc w:val="center"/>
                    <w:rPr>
                      <w:sz w:val="21"/>
                      <w:szCs w:val="21"/>
                    </w:rPr>
                  </w:pPr>
                  <w:r>
                    <w:rPr>
                      <w:rFonts w:hint="eastAsia"/>
                      <w:sz w:val="21"/>
                      <w:szCs w:val="21"/>
                    </w:rPr>
                    <w:t>4m</w:t>
                  </w:r>
                  <w:r>
                    <w:rPr>
                      <w:rFonts w:hint="eastAsia"/>
                      <w:sz w:val="21"/>
                      <w:szCs w:val="21"/>
                      <w:vertAlign w:val="superscript"/>
                    </w:rPr>
                    <w:t>3</w:t>
                  </w:r>
                </w:p>
              </w:tc>
              <w:tc>
                <w:tcPr>
                  <w:tcW w:w="1010" w:type="pct"/>
                  <w:vAlign w:val="center"/>
                </w:tcPr>
                <w:p w14:paraId="1C89ABFD">
                  <w:pPr>
                    <w:spacing w:line="240" w:lineRule="auto"/>
                    <w:ind w:firstLine="0" w:firstLineChars="0"/>
                    <w:jc w:val="center"/>
                    <w:rPr>
                      <w:sz w:val="21"/>
                      <w:szCs w:val="21"/>
                    </w:rPr>
                  </w:pPr>
                  <w:r>
                    <w:rPr>
                      <w:rFonts w:hint="eastAsia"/>
                      <w:sz w:val="21"/>
                      <w:szCs w:val="21"/>
                    </w:rPr>
                    <w:t>7.5kW，380V</w:t>
                  </w:r>
                </w:p>
              </w:tc>
              <w:tc>
                <w:tcPr>
                  <w:tcW w:w="493" w:type="pct"/>
                  <w:vAlign w:val="center"/>
                </w:tcPr>
                <w:p w14:paraId="6897D808">
                  <w:pPr>
                    <w:spacing w:line="240" w:lineRule="auto"/>
                    <w:ind w:firstLine="0" w:firstLineChars="0"/>
                    <w:jc w:val="center"/>
                    <w:rPr>
                      <w:sz w:val="21"/>
                      <w:szCs w:val="21"/>
                    </w:rPr>
                  </w:pPr>
                  <w:r>
                    <w:rPr>
                      <w:rFonts w:hint="eastAsia"/>
                      <w:sz w:val="21"/>
                      <w:szCs w:val="21"/>
                    </w:rPr>
                    <w:t>4</w:t>
                  </w:r>
                </w:p>
              </w:tc>
              <w:tc>
                <w:tcPr>
                  <w:tcW w:w="1188" w:type="pct"/>
                  <w:vAlign w:val="center"/>
                </w:tcPr>
                <w:p w14:paraId="2447A3EB">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r>
            <w:tr w14:paraId="3DC91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blHeader/>
                <w:jc w:val="center"/>
              </w:trPr>
              <w:tc>
                <w:tcPr>
                  <w:tcW w:w="696" w:type="pct"/>
                  <w:vAlign w:val="center"/>
                </w:tcPr>
                <w:p w14:paraId="16E9DC5B">
                  <w:pPr>
                    <w:spacing w:line="240" w:lineRule="auto"/>
                    <w:ind w:firstLine="0" w:firstLineChars="0"/>
                    <w:jc w:val="center"/>
                    <w:rPr>
                      <w:sz w:val="21"/>
                      <w:szCs w:val="21"/>
                    </w:rPr>
                  </w:pPr>
                  <w:r>
                    <w:rPr>
                      <w:rFonts w:hint="eastAsia"/>
                      <w:sz w:val="21"/>
                      <w:szCs w:val="21"/>
                    </w:rPr>
                    <w:t>8</w:t>
                  </w:r>
                </w:p>
              </w:tc>
              <w:tc>
                <w:tcPr>
                  <w:tcW w:w="940" w:type="pct"/>
                  <w:vAlign w:val="center"/>
                </w:tcPr>
                <w:p w14:paraId="24B75FC2">
                  <w:pPr>
                    <w:spacing w:line="240" w:lineRule="auto"/>
                    <w:ind w:firstLine="0" w:firstLineChars="0"/>
                    <w:jc w:val="center"/>
                    <w:rPr>
                      <w:sz w:val="21"/>
                      <w:szCs w:val="21"/>
                    </w:rPr>
                  </w:pPr>
                  <w:r>
                    <w:rPr>
                      <w:rFonts w:hint="eastAsia"/>
                      <w:sz w:val="21"/>
                      <w:szCs w:val="21"/>
                    </w:rPr>
                    <w:t>二级搅拌机</w:t>
                  </w:r>
                </w:p>
              </w:tc>
              <w:tc>
                <w:tcPr>
                  <w:tcW w:w="673" w:type="pct"/>
                  <w:vAlign w:val="center"/>
                </w:tcPr>
                <w:p w14:paraId="29E16102">
                  <w:pPr>
                    <w:spacing w:line="240" w:lineRule="auto"/>
                    <w:ind w:firstLine="0" w:firstLineChars="0"/>
                    <w:jc w:val="center"/>
                    <w:rPr>
                      <w:sz w:val="21"/>
                      <w:szCs w:val="21"/>
                    </w:rPr>
                  </w:pPr>
                  <w:r>
                    <w:rPr>
                      <w:rFonts w:hint="eastAsia"/>
                      <w:sz w:val="21"/>
                      <w:szCs w:val="21"/>
                    </w:rPr>
                    <w:t>22.5m</w:t>
                  </w:r>
                  <w:r>
                    <w:rPr>
                      <w:rFonts w:hint="eastAsia"/>
                      <w:sz w:val="21"/>
                      <w:szCs w:val="21"/>
                      <w:vertAlign w:val="superscript"/>
                    </w:rPr>
                    <w:t>3</w:t>
                  </w:r>
                </w:p>
              </w:tc>
              <w:tc>
                <w:tcPr>
                  <w:tcW w:w="1010" w:type="pct"/>
                  <w:vAlign w:val="center"/>
                </w:tcPr>
                <w:p w14:paraId="465340CC">
                  <w:pPr>
                    <w:spacing w:line="240" w:lineRule="auto"/>
                    <w:ind w:firstLine="0" w:firstLineChars="0"/>
                    <w:jc w:val="center"/>
                    <w:rPr>
                      <w:sz w:val="21"/>
                      <w:szCs w:val="21"/>
                    </w:rPr>
                  </w:pPr>
                  <w:r>
                    <w:rPr>
                      <w:rFonts w:hint="eastAsia"/>
                      <w:sz w:val="21"/>
                      <w:szCs w:val="21"/>
                    </w:rPr>
                    <w:t>7.5kW，380V</w:t>
                  </w:r>
                </w:p>
              </w:tc>
              <w:tc>
                <w:tcPr>
                  <w:tcW w:w="493" w:type="pct"/>
                  <w:vAlign w:val="center"/>
                </w:tcPr>
                <w:p w14:paraId="02E9BF5C">
                  <w:pPr>
                    <w:spacing w:line="240" w:lineRule="auto"/>
                    <w:ind w:firstLine="0" w:firstLineChars="0"/>
                    <w:jc w:val="center"/>
                    <w:rPr>
                      <w:sz w:val="21"/>
                      <w:szCs w:val="21"/>
                    </w:rPr>
                  </w:pPr>
                  <w:r>
                    <w:rPr>
                      <w:rFonts w:hint="eastAsia"/>
                      <w:sz w:val="21"/>
                      <w:szCs w:val="21"/>
                    </w:rPr>
                    <w:t>4</w:t>
                  </w:r>
                </w:p>
              </w:tc>
              <w:tc>
                <w:tcPr>
                  <w:tcW w:w="1188" w:type="pct"/>
                  <w:vAlign w:val="center"/>
                </w:tcPr>
                <w:p w14:paraId="5C5ED974">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r>
            <w:tr w14:paraId="2E42E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blHeader/>
                <w:jc w:val="center"/>
              </w:trPr>
              <w:tc>
                <w:tcPr>
                  <w:tcW w:w="696" w:type="pct"/>
                  <w:vAlign w:val="center"/>
                </w:tcPr>
                <w:p w14:paraId="6691AADD">
                  <w:pPr>
                    <w:spacing w:line="240" w:lineRule="auto"/>
                    <w:ind w:firstLine="0" w:firstLineChars="0"/>
                    <w:jc w:val="center"/>
                    <w:rPr>
                      <w:sz w:val="21"/>
                      <w:szCs w:val="21"/>
                    </w:rPr>
                  </w:pPr>
                  <w:r>
                    <w:rPr>
                      <w:rFonts w:hint="eastAsia"/>
                      <w:sz w:val="21"/>
                      <w:szCs w:val="21"/>
                    </w:rPr>
                    <w:t>9</w:t>
                  </w:r>
                </w:p>
              </w:tc>
              <w:tc>
                <w:tcPr>
                  <w:tcW w:w="940" w:type="pct"/>
                  <w:vAlign w:val="center"/>
                </w:tcPr>
                <w:p w14:paraId="7D54D1F3">
                  <w:pPr>
                    <w:spacing w:line="240" w:lineRule="auto"/>
                    <w:ind w:firstLine="0" w:firstLineChars="0"/>
                    <w:jc w:val="center"/>
                    <w:rPr>
                      <w:sz w:val="21"/>
                      <w:szCs w:val="21"/>
                    </w:rPr>
                  </w:pPr>
                  <w:r>
                    <w:rPr>
                      <w:rFonts w:hint="eastAsia"/>
                      <w:sz w:val="21"/>
                      <w:szCs w:val="21"/>
                    </w:rPr>
                    <w:t>空压机</w:t>
                  </w:r>
                </w:p>
              </w:tc>
              <w:tc>
                <w:tcPr>
                  <w:tcW w:w="673" w:type="pct"/>
                  <w:vAlign w:val="center"/>
                </w:tcPr>
                <w:p w14:paraId="3A07462C">
                  <w:pPr>
                    <w:spacing w:line="240" w:lineRule="auto"/>
                    <w:ind w:firstLine="0" w:firstLineChars="0"/>
                    <w:jc w:val="center"/>
                    <w:rPr>
                      <w:sz w:val="21"/>
                      <w:szCs w:val="21"/>
                    </w:rPr>
                  </w:pPr>
                  <w:r>
                    <w:rPr>
                      <w:rFonts w:hint="eastAsia"/>
                      <w:sz w:val="21"/>
                      <w:szCs w:val="21"/>
                    </w:rPr>
                    <w:t>5m</w:t>
                  </w:r>
                  <w:r>
                    <w:rPr>
                      <w:rFonts w:hint="eastAsia"/>
                      <w:sz w:val="21"/>
                      <w:szCs w:val="21"/>
                      <w:vertAlign w:val="superscript"/>
                    </w:rPr>
                    <w:t>3</w:t>
                  </w:r>
                </w:p>
              </w:tc>
              <w:tc>
                <w:tcPr>
                  <w:tcW w:w="1010" w:type="pct"/>
                  <w:vAlign w:val="center"/>
                </w:tcPr>
                <w:p w14:paraId="441BD93B">
                  <w:pPr>
                    <w:spacing w:line="240" w:lineRule="auto"/>
                    <w:ind w:firstLine="0" w:firstLineChars="0"/>
                    <w:jc w:val="center"/>
                    <w:rPr>
                      <w:sz w:val="21"/>
                      <w:szCs w:val="21"/>
                    </w:rPr>
                  </w:pPr>
                  <w:r>
                    <w:rPr>
                      <w:rFonts w:hint="eastAsia"/>
                      <w:sz w:val="21"/>
                      <w:szCs w:val="21"/>
                    </w:rPr>
                    <w:t>22kW，380V</w:t>
                  </w:r>
                </w:p>
              </w:tc>
              <w:tc>
                <w:tcPr>
                  <w:tcW w:w="493" w:type="pct"/>
                  <w:vAlign w:val="center"/>
                </w:tcPr>
                <w:p w14:paraId="7B697EB4">
                  <w:pPr>
                    <w:spacing w:line="240" w:lineRule="auto"/>
                    <w:ind w:firstLine="0" w:firstLineChars="0"/>
                    <w:jc w:val="center"/>
                    <w:rPr>
                      <w:sz w:val="21"/>
                      <w:szCs w:val="21"/>
                    </w:rPr>
                  </w:pPr>
                  <w:r>
                    <w:rPr>
                      <w:rFonts w:hint="eastAsia"/>
                      <w:sz w:val="21"/>
                      <w:szCs w:val="21"/>
                    </w:rPr>
                    <w:t>1</w:t>
                  </w:r>
                </w:p>
              </w:tc>
              <w:tc>
                <w:tcPr>
                  <w:tcW w:w="1188" w:type="pct"/>
                  <w:vAlign w:val="center"/>
                </w:tcPr>
                <w:p w14:paraId="192EAA2B">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r>
            <w:tr w14:paraId="4D387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blHeader/>
                <w:jc w:val="center"/>
              </w:trPr>
              <w:tc>
                <w:tcPr>
                  <w:tcW w:w="696" w:type="pct"/>
                  <w:vAlign w:val="center"/>
                </w:tcPr>
                <w:p w14:paraId="56BCC65C">
                  <w:pPr>
                    <w:spacing w:line="240" w:lineRule="auto"/>
                    <w:ind w:firstLine="0" w:firstLineChars="0"/>
                    <w:jc w:val="center"/>
                    <w:rPr>
                      <w:sz w:val="21"/>
                      <w:szCs w:val="21"/>
                    </w:rPr>
                  </w:pPr>
                  <w:r>
                    <w:rPr>
                      <w:rFonts w:hint="eastAsia"/>
                      <w:sz w:val="21"/>
                      <w:szCs w:val="21"/>
                    </w:rPr>
                    <w:t>10</w:t>
                  </w:r>
                </w:p>
              </w:tc>
              <w:tc>
                <w:tcPr>
                  <w:tcW w:w="940" w:type="pct"/>
                  <w:vAlign w:val="center"/>
                </w:tcPr>
                <w:p w14:paraId="23128978">
                  <w:pPr>
                    <w:spacing w:line="240" w:lineRule="auto"/>
                    <w:ind w:firstLine="0" w:firstLineChars="0"/>
                    <w:jc w:val="center"/>
                    <w:rPr>
                      <w:sz w:val="21"/>
                      <w:szCs w:val="21"/>
                    </w:rPr>
                  </w:pPr>
                  <w:r>
                    <w:rPr>
                      <w:rFonts w:hint="eastAsia"/>
                      <w:sz w:val="21"/>
                      <w:szCs w:val="21"/>
                    </w:rPr>
                    <w:t>螺旋输送机</w:t>
                  </w:r>
                </w:p>
              </w:tc>
              <w:tc>
                <w:tcPr>
                  <w:tcW w:w="673" w:type="pct"/>
                  <w:vAlign w:val="center"/>
                </w:tcPr>
                <w:p w14:paraId="19309677">
                  <w:pPr>
                    <w:spacing w:line="240" w:lineRule="auto"/>
                    <w:ind w:firstLine="0" w:firstLineChars="0"/>
                    <w:jc w:val="center"/>
                    <w:rPr>
                      <w:sz w:val="21"/>
                      <w:szCs w:val="21"/>
                    </w:rPr>
                  </w:pPr>
                  <w:r>
                    <w:rPr>
                      <w:rFonts w:hint="eastAsia"/>
                      <w:sz w:val="21"/>
                      <w:szCs w:val="21"/>
                    </w:rPr>
                    <w:t>273</w:t>
                  </w:r>
                </w:p>
              </w:tc>
              <w:tc>
                <w:tcPr>
                  <w:tcW w:w="1010" w:type="pct"/>
                  <w:vAlign w:val="center"/>
                </w:tcPr>
                <w:p w14:paraId="78090CD9">
                  <w:pPr>
                    <w:spacing w:line="240" w:lineRule="auto"/>
                    <w:ind w:firstLine="0" w:firstLineChars="0"/>
                    <w:jc w:val="center"/>
                    <w:rPr>
                      <w:sz w:val="21"/>
                      <w:szCs w:val="21"/>
                    </w:rPr>
                  </w:pPr>
                  <w:r>
                    <w:rPr>
                      <w:rFonts w:hint="eastAsia"/>
                      <w:sz w:val="21"/>
                      <w:szCs w:val="21"/>
                    </w:rPr>
                    <w:t>11kW，380V</w:t>
                  </w:r>
                </w:p>
              </w:tc>
              <w:tc>
                <w:tcPr>
                  <w:tcW w:w="493" w:type="pct"/>
                  <w:vAlign w:val="center"/>
                </w:tcPr>
                <w:p w14:paraId="0E3ED4D3">
                  <w:pPr>
                    <w:spacing w:line="240" w:lineRule="auto"/>
                    <w:ind w:firstLine="0" w:firstLineChars="0"/>
                    <w:jc w:val="center"/>
                    <w:rPr>
                      <w:sz w:val="21"/>
                      <w:szCs w:val="21"/>
                    </w:rPr>
                  </w:pPr>
                  <w:r>
                    <w:rPr>
                      <w:rFonts w:hint="eastAsia"/>
                      <w:sz w:val="21"/>
                      <w:szCs w:val="21"/>
                    </w:rPr>
                    <w:t>6</w:t>
                  </w:r>
                </w:p>
              </w:tc>
              <w:tc>
                <w:tcPr>
                  <w:tcW w:w="1188" w:type="pct"/>
                  <w:vAlign w:val="center"/>
                </w:tcPr>
                <w:p w14:paraId="1B775D06">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r>
            <w:tr w14:paraId="169F5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blHeader/>
                <w:jc w:val="center"/>
              </w:trPr>
              <w:tc>
                <w:tcPr>
                  <w:tcW w:w="696" w:type="pct"/>
                  <w:vAlign w:val="center"/>
                </w:tcPr>
                <w:p w14:paraId="0A0A97BB">
                  <w:pPr>
                    <w:spacing w:line="240" w:lineRule="auto"/>
                    <w:ind w:firstLine="0" w:firstLineChars="0"/>
                    <w:jc w:val="center"/>
                    <w:rPr>
                      <w:sz w:val="21"/>
                      <w:szCs w:val="21"/>
                    </w:rPr>
                  </w:pPr>
                  <w:r>
                    <w:rPr>
                      <w:rFonts w:hint="eastAsia"/>
                      <w:sz w:val="21"/>
                      <w:szCs w:val="21"/>
                    </w:rPr>
                    <w:t>11</w:t>
                  </w:r>
                </w:p>
              </w:tc>
              <w:tc>
                <w:tcPr>
                  <w:tcW w:w="940" w:type="pct"/>
                  <w:vAlign w:val="center"/>
                </w:tcPr>
                <w:p w14:paraId="536B84E6">
                  <w:pPr>
                    <w:spacing w:line="240" w:lineRule="auto"/>
                    <w:ind w:firstLine="0" w:firstLineChars="0"/>
                    <w:jc w:val="center"/>
                    <w:rPr>
                      <w:sz w:val="21"/>
                      <w:szCs w:val="21"/>
                    </w:rPr>
                  </w:pPr>
                  <w:r>
                    <w:rPr>
                      <w:rFonts w:hint="eastAsia"/>
                      <w:sz w:val="21"/>
                      <w:szCs w:val="21"/>
                    </w:rPr>
                    <w:t>管路系统</w:t>
                  </w:r>
                </w:p>
              </w:tc>
              <w:tc>
                <w:tcPr>
                  <w:tcW w:w="673" w:type="pct"/>
                  <w:vAlign w:val="center"/>
                </w:tcPr>
                <w:p w14:paraId="5ED64C96">
                  <w:pPr>
                    <w:spacing w:line="240" w:lineRule="auto"/>
                    <w:ind w:firstLine="0" w:firstLineChars="0"/>
                    <w:jc w:val="center"/>
                    <w:rPr>
                      <w:sz w:val="21"/>
                      <w:szCs w:val="21"/>
                    </w:rPr>
                  </w:pPr>
                  <w:r>
                    <w:rPr>
                      <w:rFonts w:hint="eastAsia"/>
                      <w:sz w:val="21"/>
                      <w:szCs w:val="21"/>
                    </w:rPr>
                    <w:t>89+114</w:t>
                  </w:r>
                </w:p>
              </w:tc>
              <w:tc>
                <w:tcPr>
                  <w:tcW w:w="1010" w:type="pct"/>
                  <w:vAlign w:val="center"/>
                </w:tcPr>
                <w:p w14:paraId="5E44F8F2">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c>
                <w:tcPr>
                  <w:tcW w:w="493" w:type="pct"/>
                  <w:vAlign w:val="center"/>
                </w:tcPr>
                <w:p w14:paraId="170F4FAE">
                  <w:pPr>
                    <w:spacing w:line="240" w:lineRule="auto"/>
                    <w:ind w:firstLine="0" w:firstLineChars="0"/>
                    <w:jc w:val="center"/>
                    <w:rPr>
                      <w:sz w:val="21"/>
                      <w:szCs w:val="21"/>
                    </w:rPr>
                  </w:pPr>
                  <w:r>
                    <w:rPr>
                      <w:rFonts w:hint="eastAsia"/>
                      <w:sz w:val="21"/>
                      <w:szCs w:val="21"/>
                    </w:rPr>
                    <w:t>8500</w:t>
                  </w:r>
                </w:p>
              </w:tc>
              <w:tc>
                <w:tcPr>
                  <w:tcW w:w="1188" w:type="pct"/>
                  <w:vAlign w:val="center"/>
                </w:tcPr>
                <w:p w14:paraId="4170920A">
                  <w:pPr>
                    <w:spacing w:line="240" w:lineRule="auto"/>
                    <w:ind w:firstLine="0" w:firstLineChars="0"/>
                    <w:jc w:val="center"/>
                    <w:rPr>
                      <w:sz w:val="21"/>
                      <w:szCs w:val="21"/>
                    </w:rPr>
                  </w:pPr>
                  <w:r>
                    <w:rPr>
                      <w:rFonts w:hint="eastAsia"/>
                      <w:sz w:val="21"/>
                      <w:szCs w:val="21"/>
                    </w:rPr>
                    <w:t>8趟</w:t>
                  </w:r>
                </w:p>
              </w:tc>
            </w:tr>
            <w:tr w14:paraId="0F345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blHeader/>
                <w:jc w:val="center"/>
              </w:trPr>
              <w:tc>
                <w:tcPr>
                  <w:tcW w:w="696" w:type="pct"/>
                  <w:vAlign w:val="center"/>
                </w:tcPr>
                <w:p w14:paraId="7AAF7686">
                  <w:pPr>
                    <w:spacing w:line="240" w:lineRule="auto"/>
                    <w:ind w:firstLine="0" w:firstLineChars="0"/>
                    <w:jc w:val="center"/>
                    <w:rPr>
                      <w:sz w:val="21"/>
                      <w:szCs w:val="21"/>
                    </w:rPr>
                  </w:pPr>
                  <w:r>
                    <w:rPr>
                      <w:rFonts w:hint="eastAsia"/>
                      <w:sz w:val="21"/>
                      <w:szCs w:val="21"/>
                    </w:rPr>
                    <w:t>12</w:t>
                  </w:r>
                </w:p>
              </w:tc>
              <w:tc>
                <w:tcPr>
                  <w:tcW w:w="940" w:type="pct"/>
                  <w:vAlign w:val="center"/>
                </w:tcPr>
                <w:p w14:paraId="3862EDF0">
                  <w:pPr>
                    <w:spacing w:line="240" w:lineRule="auto"/>
                    <w:ind w:firstLine="0" w:firstLineChars="0"/>
                    <w:jc w:val="center"/>
                    <w:rPr>
                      <w:sz w:val="21"/>
                      <w:szCs w:val="21"/>
                    </w:rPr>
                  </w:pPr>
                  <w:r>
                    <w:rPr>
                      <w:rFonts w:hint="eastAsia"/>
                      <w:sz w:val="21"/>
                      <w:szCs w:val="21"/>
                    </w:rPr>
                    <w:t>潜水泵</w:t>
                  </w:r>
                </w:p>
              </w:tc>
              <w:tc>
                <w:tcPr>
                  <w:tcW w:w="673" w:type="pct"/>
                  <w:vAlign w:val="center"/>
                </w:tcPr>
                <w:p w14:paraId="464EE262">
                  <w:pPr>
                    <w:spacing w:line="240" w:lineRule="auto"/>
                    <w:ind w:firstLine="0" w:firstLineChars="0"/>
                    <w:jc w:val="center"/>
                    <w:rPr>
                      <w:sz w:val="21"/>
                      <w:szCs w:val="21"/>
                    </w:rPr>
                  </w:pPr>
                  <w:r>
                    <w:rPr>
                      <w:rFonts w:hint="eastAsia"/>
                      <w:sz w:val="21"/>
                      <w:szCs w:val="21"/>
                    </w:rPr>
                    <w:t>80m</w:t>
                  </w:r>
                  <w:r>
                    <w:rPr>
                      <w:rFonts w:hint="eastAsia"/>
                      <w:sz w:val="21"/>
                      <w:szCs w:val="21"/>
                      <w:vertAlign w:val="superscript"/>
                    </w:rPr>
                    <w:t>3</w:t>
                  </w:r>
                </w:p>
              </w:tc>
              <w:tc>
                <w:tcPr>
                  <w:tcW w:w="1010" w:type="pct"/>
                  <w:vAlign w:val="center"/>
                </w:tcPr>
                <w:p w14:paraId="5B4FAD68">
                  <w:pPr>
                    <w:spacing w:line="240" w:lineRule="auto"/>
                    <w:ind w:firstLine="0" w:firstLineChars="0"/>
                    <w:jc w:val="center"/>
                    <w:rPr>
                      <w:sz w:val="21"/>
                      <w:szCs w:val="21"/>
                    </w:rPr>
                  </w:pPr>
                  <w:r>
                    <w:rPr>
                      <w:rFonts w:hint="eastAsia"/>
                      <w:sz w:val="21"/>
                      <w:szCs w:val="21"/>
                    </w:rPr>
                    <w:t>22kW，380V</w:t>
                  </w:r>
                </w:p>
              </w:tc>
              <w:tc>
                <w:tcPr>
                  <w:tcW w:w="493" w:type="pct"/>
                  <w:vAlign w:val="center"/>
                </w:tcPr>
                <w:p w14:paraId="1ABC4686">
                  <w:pPr>
                    <w:spacing w:line="240" w:lineRule="auto"/>
                    <w:ind w:firstLine="0" w:firstLineChars="0"/>
                    <w:jc w:val="center"/>
                    <w:rPr>
                      <w:sz w:val="21"/>
                      <w:szCs w:val="21"/>
                    </w:rPr>
                  </w:pPr>
                  <w:r>
                    <w:rPr>
                      <w:rFonts w:hint="eastAsia"/>
                      <w:sz w:val="21"/>
                      <w:szCs w:val="21"/>
                    </w:rPr>
                    <w:t>6</w:t>
                  </w:r>
                </w:p>
              </w:tc>
              <w:tc>
                <w:tcPr>
                  <w:tcW w:w="1188" w:type="pct"/>
                  <w:vAlign w:val="center"/>
                </w:tcPr>
                <w:p w14:paraId="43EA510E">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r>
            <w:tr w14:paraId="1836D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blHeader/>
                <w:jc w:val="center"/>
              </w:trPr>
              <w:tc>
                <w:tcPr>
                  <w:tcW w:w="696" w:type="pct"/>
                  <w:vAlign w:val="center"/>
                </w:tcPr>
                <w:p w14:paraId="674B1907">
                  <w:pPr>
                    <w:spacing w:line="240" w:lineRule="auto"/>
                    <w:ind w:firstLine="0" w:firstLineChars="0"/>
                    <w:jc w:val="center"/>
                    <w:rPr>
                      <w:sz w:val="21"/>
                      <w:szCs w:val="21"/>
                    </w:rPr>
                  </w:pPr>
                  <w:r>
                    <w:rPr>
                      <w:rFonts w:hint="eastAsia"/>
                      <w:sz w:val="21"/>
                      <w:szCs w:val="21"/>
                    </w:rPr>
                    <w:t>13</w:t>
                  </w:r>
                </w:p>
              </w:tc>
              <w:tc>
                <w:tcPr>
                  <w:tcW w:w="940" w:type="pct"/>
                  <w:vAlign w:val="center"/>
                </w:tcPr>
                <w:p w14:paraId="470C032D">
                  <w:pPr>
                    <w:spacing w:line="240" w:lineRule="auto"/>
                    <w:ind w:firstLine="0" w:firstLineChars="0"/>
                    <w:jc w:val="center"/>
                    <w:rPr>
                      <w:sz w:val="21"/>
                      <w:szCs w:val="21"/>
                    </w:rPr>
                  </w:pPr>
                  <w:r>
                    <w:rPr>
                      <w:rFonts w:hint="eastAsia"/>
                      <w:sz w:val="21"/>
                      <w:szCs w:val="21"/>
                    </w:rPr>
                    <w:t>变压器</w:t>
                  </w:r>
                </w:p>
              </w:tc>
              <w:tc>
                <w:tcPr>
                  <w:tcW w:w="673" w:type="pct"/>
                  <w:vAlign w:val="center"/>
                </w:tcPr>
                <w:p w14:paraId="32E2A2D3">
                  <w:pPr>
                    <w:spacing w:line="240" w:lineRule="auto"/>
                    <w:ind w:firstLine="0" w:firstLineChars="0"/>
                    <w:jc w:val="center"/>
                    <w:rPr>
                      <w:sz w:val="21"/>
                      <w:szCs w:val="21"/>
                    </w:rPr>
                  </w:pPr>
                  <w:r>
                    <w:rPr>
                      <w:kern w:val="0"/>
                      <w:sz w:val="21"/>
                      <w:szCs w:val="21"/>
                    </w:rPr>
                    <w:t>YBM-12-50</w:t>
                  </w:r>
                </w:p>
              </w:tc>
              <w:tc>
                <w:tcPr>
                  <w:tcW w:w="1010" w:type="pct"/>
                  <w:vAlign w:val="center"/>
                </w:tcPr>
                <w:p w14:paraId="3B8D4B73">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c>
                <w:tcPr>
                  <w:tcW w:w="493" w:type="pct"/>
                  <w:vAlign w:val="center"/>
                </w:tcPr>
                <w:p w14:paraId="3694499A">
                  <w:pPr>
                    <w:spacing w:line="240" w:lineRule="auto"/>
                    <w:ind w:firstLine="0" w:firstLineChars="0"/>
                    <w:jc w:val="center"/>
                    <w:rPr>
                      <w:sz w:val="21"/>
                      <w:szCs w:val="21"/>
                    </w:rPr>
                  </w:pPr>
                  <w:r>
                    <w:rPr>
                      <w:rFonts w:hint="eastAsia"/>
                      <w:sz w:val="21"/>
                      <w:szCs w:val="21"/>
                    </w:rPr>
                    <w:t>1</w:t>
                  </w:r>
                </w:p>
              </w:tc>
              <w:tc>
                <w:tcPr>
                  <w:tcW w:w="1188" w:type="pct"/>
                  <w:vAlign w:val="center"/>
                </w:tcPr>
                <w:p w14:paraId="71D87614">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r>
            <w:tr w14:paraId="0D068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blHeader/>
                <w:jc w:val="center"/>
              </w:trPr>
              <w:tc>
                <w:tcPr>
                  <w:tcW w:w="696" w:type="pct"/>
                  <w:vAlign w:val="center"/>
                </w:tcPr>
                <w:p w14:paraId="0A964508">
                  <w:pPr>
                    <w:spacing w:line="240" w:lineRule="auto"/>
                    <w:ind w:firstLine="0" w:firstLineChars="0"/>
                    <w:jc w:val="center"/>
                    <w:rPr>
                      <w:sz w:val="21"/>
                      <w:szCs w:val="21"/>
                    </w:rPr>
                  </w:pPr>
                  <w:r>
                    <w:rPr>
                      <w:rFonts w:hint="eastAsia"/>
                      <w:sz w:val="21"/>
                      <w:szCs w:val="21"/>
                    </w:rPr>
                    <w:t>14</w:t>
                  </w:r>
                </w:p>
              </w:tc>
              <w:tc>
                <w:tcPr>
                  <w:tcW w:w="940" w:type="pct"/>
                  <w:vAlign w:val="center"/>
                </w:tcPr>
                <w:p w14:paraId="41E30A30">
                  <w:pPr>
                    <w:spacing w:line="240" w:lineRule="auto"/>
                    <w:ind w:firstLine="0" w:firstLineChars="0"/>
                    <w:jc w:val="center"/>
                    <w:rPr>
                      <w:sz w:val="21"/>
                      <w:szCs w:val="21"/>
                    </w:rPr>
                  </w:pPr>
                  <w:r>
                    <w:rPr>
                      <w:sz w:val="21"/>
                      <w:szCs w:val="21"/>
                    </w:rPr>
                    <w:t>除尘风机</w:t>
                  </w:r>
                </w:p>
              </w:tc>
              <w:tc>
                <w:tcPr>
                  <w:tcW w:w="673" w:type="pct"/>
                  <w:vAlign w:val="center"/>
                </w:tcPr>
                <w:p w14:paraId="3E0ABBD0">
                  <w:pPr>
                    <w:spacing w:line="240" w:lineRule="auto"/>
                    <w:ind w:firstLine="0" w:firstLineChars="0"/>
                    <w:jc w:val="center"/>
                    <w:rPr>
                      <w:sz w:val="21"/>
                      <w:szCs w:val="21"/>
                    </w:rPr>
                  </w:pPr>
                  <w:r>
                    <w:rPr>
                      <w:kern w:val="0"/>
                      <w:sz w:val="21"/>
                      <w:szCs w:val="21"/>
                    </w:rPr>
                    <w:t>MC-3</w:t>
                  </w:r>
                </w:p>
              </w:tc>
              <w:tc>
                <w:tcPr>
                  <w:tcW w:w="1010" w:type="pct"/>
                  <w:vAlign w:val="center"/>
                </w:tcPr>
                <w:p w14:paraId="3CD3F560">
                  <w:pPr>
                    <w:spacing w:line="240" w:lineRule="auto"/>
                    <w:ind w:firstLine="0" w:firstLineChars="0"/>
                    <w:jc w:val="center"/>
                    <w:rPr>
                      <w:sz w:val="21"/>
                      <w:szCs w:val="21"/>
                    </w:rPr>
                  </w:pPr>
                  <w:r>
                    <w:rPr>
                      <w:rFonts w:hint="eastAsia"/>
                      <w:sz w:val="21"/>
                      <w:szCs w:val="21"/>
                    </w:rPr>
                    <w:t>7.5kW，380V</w:t>
                  </w:r>
                </w:p>
              </w:tc>
              <w:tc>
                <w:tcPr>
                  <w:tcW w:w="493" w:type="pct"/>
                  <w:vAlign w:val="center"/>
                </w:tcPr>
                <w:p w14:paraId="2A794369">
                  <w:pPr>
                    <w:spacing w:line="240" w:lineRule="auto"/>
                    <w:ind w:firstLine="0" w:firstLineChars="0"/>
                    <w:jc w:val="center"/>
                    <w:rPr>
                      <w:sz w:val="21"/>
                      <w:szCs w:val="21"/>
                    </w:rPr>
                  </w:pPr>
                  <w:r>
                    <w:rPr>
                      <w:rFonts w:hint="eastAsia"/>
                      <w:sz w:val="21"/>
                      <w:szCs w:val="21"/>
                    </w:rPr>
                    <w:t>7</w:t>
                  </w:r>
                </w:p>
              </w:tc>
              <w:tc>
                <w:tcPr>
                  <w:tcW w:w="1188" w:type="pct"/>
                  <w:vAlign w:val="center"/>
                </w:tcPr>
                <w:p w14:paraId="091BDD54">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r>
            <w:tr w14:paraId="3C53D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blHeader/>
                <w:jc w:val="center"/>
              </w:trPr>
              <w:tc>
                <w:tcPr>
                  <w:tcW w:w="696" w:type="pct"/>
                  <w:vAlign w:val="center"/>
                </w:tcPr>
                <w:p w14:paraId="4F3F3796">
                  <w:pPr>
                    <w:spacing w:line="240" w:lineRule="auto"/>
                    <w:ind w:firstLine="0" w:firstLineChars="0"/>
                    <w:jc w:val="center"/>
                    <w:rPr>
                      <w:sz w:val="21"/>
                      <w:szCs w:val="21"/>
                    </w:rPr>
                  </w:pPr>
                  <w:r>
                    <w:rPr>
                      <w:rFonts w:hint="eastAsia"/>
                      <w:sz w:val="21"/>
                      <w:szCs w:val="21"/>
                    </w:rPr>
                    <w:t>15</w:t>
                  </w:r>
                </w:p>
              </w:tc>
              <w:tc>
                <w:tcPr>
                  <w:tcW w:w="940" w:type="pct"/>
                  <w:vAlign w:val="center"/>
                </w:tcPr>
                <w:p w14:paraId="47444225">
                  <w:pPr>
                    <w:spacing w:line="240" w:lineRule="auto"/>
                    <w:ind w:firstLine="0" w:firstLineChars="0"/>
                    <w:jc w:val="center"/>
                    <w:rPr>
                      <w:sz w:val="21"/>
                      <w:szCs w:val="21"/>
                    </w:rPr>
                  </w:pPr>
                  <w:r>
                    <w:rPr>
                      <w:rFonts w:hint="eastAsia"/>
                      <w:sz w:val="21"/>
                      <w:szCs w:val="21"/>
                    </w:rPr>
                    <w:t>全自动洗车</w:t>
                  </w:r>
                </w:p>
              </w:tc>
              <w:tc>
                <w:tcPr>
                  <w:tcW w:w="673" w:type="pct"/>
                  <w:vAlign w:val="center"/>
                </w:tcPr>
                <w:p w14:paraId="20AA5850">
                  <w:pPr>
                    <w:spacing w:line="240" w:lineRule="auto"/>
                    <w:ind w:firstLine="0" w:firstLineChars="0"/>
                    <w:jc w:val="center"/>
                    <w:rPr>
                      <w:sz w:val="21"/>
                      <w:szCs w:val="21"/>
                    </w:rPr>
                  </w:pPr>
                  <w:r>
                    <w:rPr>
                      <w:rFonts w:hint="eastAsia"/>
                      <w:sz w:val="21"/>
                      <w:szCs w:val="21"/>
                    </w:rPr>
                    <w:t>2.5*3.7*1.2</w:t>
                  </w:r>
                </w:p>
              </w:tc>
              <w:tc>
                <w:tcPr>
                  <w:tcW w:w="1010" w:type="pct"/>
                  <w:vAlign w:val="center"/>
                </w:tcPr>
                <w:p w14:paraId="420ACADB">
                  <w:pPr>
                    <w:spacing w:line="240" w:lineRule="auto"/>
                    <w:ind w:firstLine="0" w:firstLineChars="0"/>
                    <w:jc w:val="center"/>
                    <w:rPr>
                      <w:sz w:val="21"/>
                      <w:szCs w:val="21"/>
                    </w:rPr>
                  </w:pPr>
                  <w:r>
                    <w:rPr>
                      <w:rFonts w:hint="eastAsia"/>
                      <w:sz w:val="21"/>
                      <w:szCs w:val="21"/>
                    </w:rPr>
                    <w:t>7.5kW，380V</w:t>
                  </w:r>
                </w:p>
              </w:tc>
              <w:tc>
                <w:tcPr>
                  <w:tcW w:w="493" w:type="pct"/>
                  <w:vAlign w:val="center"/>
                </w:tcPr>
                <w:p w14:paraId="33150C93">
                  <w:pPr>
                    <w:spacing w:line="240" w:lineRule="auto"/>
                    <w:ind w:firstLine="0" w:firstLineChars="0"/>
                    <w:jc w:val="center"/>
                    <w:rPr>
                      <w:sz w:val="21"/>
                      <w:szCs w:val="21"/>
                    </w:rPr>
                  </w:pPr>
                  <w:r>
                    <w:rPr>
                      <w:rFonts w:hint="eastAsia"/>
                      <w:sz w:val="21"/>
                      <w:szCs w:val="21"/>
                    </w:rPr>
                    <w:t>1</w:t>
                  </w:r>
                </w:p>
              </w:tc>
              <w:tc>
                <w:tcPr>
                  <w:tcW w:w="1188" w:type="pct"/>
                  <w:vAlign w:val="center"/>
                </w:tcPr>
                <w:p w14:paraId="49903526">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w:t>
                  </w:r>
                </w:p>
              </w:tc>
            </w:tr>
          </w:tbl>
          <w:p w14:paraId="7C6C83DF">
            <w:pPr>
              <w:pStyle w:val="15"/>
              <w:ind w:left="0" w:leftChars="0" w:firstLine="0" w:firstLineChars="0"/>
              <w:rPr>
                <w:rFonts w:hint="default"/>
              </w:rPr>
            </w:pPr>
          </w:p>
          <w:p w14:paraId="3A451BF0">
            <w:pPr>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6、工程占地</w:t>
            </w:r>
          </w:p>
          <w:p w14:paraId="2AF3D972">
            <w:pPr>
              <w:keepNext w:val="0"/>
              <w:keepLines w:val="0"/>
              <w:pageBreakBefore w:val="0"/>
              <w:kinsoku/>
              <w:wordWrap/>
              <w:overflowPunct/>
              <w:topLinePunct w:val="0"/>
              <w:autoSpaceDE/>
              <w:autoSpaceDN/>
              <w:bidi w:val="0"/>
              <w:adjustRightInd/>
              <w:spacing w:line="360" w:lineRule="auto"/>
              <w:ind w:left="0" w:right="0" w:firstLine="480" w:firstLineChars="200"/>
              <w:textAlignment w:val="auto"/>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rPr>
              <w:t>项目地位于安徽省</w:t>
            </w:r>
            <w:r>
              <w:rPr>
                <w:rFonts w:hint="eastAsia" w:cs="Times New Roman"/>
                <w:color w:val="auto"/>
                <w:sz w:val="24"/>
                <w:highlight w:val="none"/>
                <w:lang w:val="en-US" w:eastAsia="zh-CN"/>
              </w:rPr>
              <w:t>淮南市凤台县新集镇王集村、罗杨庄、大庄村</w:t>
            </w:r>
            <w:r>
              <w:rPr>
                <w:rFonts w:hint="default" w:ascii="Times New Roman" w:hAnsi="Times New Roman" w:cs="Times New Roman"/>
                <w:color w:val="auto"/>
                <w:sz w:val="24"/>
                <w:highlight w:val="none"/>
              </w:rPr>
              <w:t>境内，不在安徽省生态功能重要性评估区域和安徽省生态</w:t>
            </w:r>
            <w:r>
              <w:rPr>
                <w:rFonts w:hint="default" w:cs="Times New Roman"/>
                <w:color w:val="auto"/>
                <w:sz w:val="24"/>
                <w:highlight w:val="none"/>
                <w:lang w:val="en-US" w:eastAsia="zh-CN"/>
              </w:rPr>
              <w:t>环境敏感性评估区域范围内，</w:t>
            </w:r>
            <w:r>
              <w:rPr>
                <w:rFonts w:hint="eastAsia" w:cs="Times New Roman"/>
                <w:color w:val="auto"/>
                <w:sz w:val="24"/>
                <w:highlight w:val="none"/>
                <w:lang w:val="en-US" w:eastAsia="zh-CN"/>
              </w:rPr>
              <w:t>本项目临时用地为主体工程勘查区域及施工场地，共布置1个注浆站和</w:t>
            </w:r>
            <w:r>
              <w:rPr>
                <w:rFonts w:hint="default" w:cs="Times New Roman"/>
                <w:color w:val="auto"/>
                <w:sz w:val="24"/>
                <w:highlight w:val="none"/>
                <w:lang w:val="en-US" w:eastAsia="zh-CN"/>
              </w:rPr>
              <w:t>11个井场，用于设置表土剥离堆放场、施工便道、运输便道、材料堆场及临时工棚，完成治理后，恢复场</w:t>
            </w:r>
            <w:r>
              <w:rPr>
                <w:rFonts w:hint="default" w:ascii="Times New Roman" w:hAnsi="Times New Roman" w:cs="Times New Roman"/>
                <w:color w:val="auto"/>
                <w:sz w:val="24"/>
                <w:highlight w:val="none"/>
                <w:lang w:val="en-US" w:eastAsia="zh-CN"/>
              </w:rPr>
              <w:t>地原貌，项目已取得临时用地手续，项目用地合法。</w:t>
            </w:r>
          </w:p>
          <w:p w14:paraId="64C1B84B">
            <w:pPr>
              <w:keepNext w:val="0"/>
              <w:keepLines w:val="0"/>
              <w:pageBreakBefore w:val="0"/>
              <w:kinsoku/>
              <w:wordWrap/>
              <w:overflowPunct/>
              <w:topLinePunct w:val="0"/>
              <w:autoSpaceDE/>
              <w:autoSpaceDN/>
              <w:bidi w:val="0"/>
              <w:adjustRightInd/>
              <w:spacing w:line="360" w:lineRule="auto"/>
              <w:ind w:left="0" w:right="0" w:firstLine="480"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color w:val="auto"/>
                <w:sz w:val="24"/>
                <w:highlight w:val="none"/>
              </w:rPr>
              <w:t>新集一矿覆岩离层注浆减沉控沉绿色开采治理工</w:t>
            </w:r>
            <w:r>
              <w:rPr>
                <w:rFonts w:hint="default" w:ascii="Times New Roman" w:hAnsi="Times New Roman" w:cs="Times New Roman"/>
                <w:color w:val="auto"/>
                <w:sz w:val="24"/>
                <w:highlight w:val="none"/>
                <w:lang w:val="en-US" w:eastAsia="zh-CN"/>
              </w:rPr>
              <w:t>程项目临时用地申报地类以第三次全国土地调查2024年度变更调查数据为基础，</w:t>
            </w:r>
            <w:r>
              <w:rPr>
                <w:rFonts w:hint="default" w:ascii="Times New Roman" w:hAnsi="Times New Roman" w:eastAsia="宋体" w:cs="Times New Roman"/>
                <w:color w:val="auto"/>
                <w:kern w:val="2"/>
                <w:sz w:val="24"/>
                <w:szCs w:val="24"/>
                <w:highlight w:val="none"/>
                <w:lang w:val="en-US" w:eastAsia="zh-CN" w:bidi="ar-SA"/>
              </w:rPr>
              <w:t>总面积</w:t>
            </w:r>
            <w:r>
              <w:rPr>
                <w:rFonts w:hint="eastAsia" w:cs="Times New Roman"/>
                <w:color w:val="auto"/>
                <w:kern w:val="2"/>
                <w:sz w:val="24"/>
                <w:szCs w:val="24"/>
                <w:highlight w:val="none"/>
                <w:lang w:val="en-US" w:eastAsia="zh-CN" w:bidi="ar-SA"/>
              </w:rPr>
              <w:t>0.9379</w:t>
            </w:r>
            <w:r>
              <w:rPr>
                <w:rFonts w:hint="default" w:ascii="Times New Roman" w:hAnsi="Times New Roman" w:eastAsia="宋体" w:cs="Times New Roman"/>
                <w:color w:val="auto"/>
                <w:kern w:val="2"/>
                <w:sz w:val="24"/>
                <w:szCs w:val="24"/>
                <w:highlight w:val="none"/>
                <w:lang w:val="en-US" w:eastAsia="zh-CN" w:bidi="ar-SA"/>
              </w:rPr>
              <w:t>hm²,其中农用地</w:t>
            </w:r>
            <w:r>
              <w:rPr>
                <w:rFonts w:hint="eastAsia" w:cs="Times New Roman"/>
                <w:color w:val="auto"/>
                <w:kern w:val="2"/>
                <w:sz w:val="24"/>
                <w:szCs w:val="24"/>
                <w:highlight w:val="none"/>
                <w:lang w:val="en-US" w:eastAsia="zh-CN" w:bidi="ar-SA"/>
              </w:rPr>
              <w:t>占用0.1531</w:t>
            </w:r>
            <w:r>
              <w:rPr>
                <w:rFonts w:hint="default" w:ascii="Times New Roman" w:hAnsi="Times New Roman" w:eastAsia="宋体" w:cs="Times New Roman"/>
                <w:color w:val="auto"/>
                <w:kern w:val="2"/>
                <w:sz w:val="24"/>
                <w:szCs w:val="24"/>
                <w:highlight w:val="none"/>
                <w:lang w:val="en-US" w:eastAsia="zh-CN" w:bidi="ar-SA"/>
              </w:rPr>
              <w:t>hm²(耕地</w:t>
            </w:r>
            <w:r>
              <w:rPr>
                <w:rFonts w:hint="eastAsia" w:cs="Times New Roman"/>
                <w:color w:val="auto"/>
                <w:kern w:val="2"/>
                <w:sz w:val="24"/>
                <w:szCs w:val="24"/>
                <w:highlight w:val="none"/>
                <w:lang w:val="en-US" w:eastAsia="zh-CN" w:bidi="ar-SA"/>
              </w:rPr>
              <w:t>0.1304</w:t>
            </w:r>
            <w:r>
              <w:rPr>
                <w:rFonts w:hint="default" w:ascii="Times New Roman" w:hAnsi="Times New Roman" w:eastAsia="宋体" w:cs="Times New Roman"/>
                <w:color w:val="auto"/>
                <w:kern w:val="2"/>
                <w:sz w:val="24"/>
                <w:szCs w:val="24"/>
                <w:highlight w:val="none"/>
                <w:lang w:val="en-US" w:eastAsia="zh-CN" w:bidi="ar-SA"/>
              </w:rPr>
              <w:t>hm²,占用永久基本农田</w:t>
            </w:r>
            <w:r>
              <w:rPr>
                <w:rFonts w:hint="eastAsia" w:cs="Times New Roman"/>
                <w:color w:val="auto"/>
                <w:kern w:val="2"/>
                <w:sz w:val="24"/>
                <w:szCs w:val="24"/>
                <w:highlight w:val="none"/>
                <w:lang w:val="en-US" w:eastAsia="zh-CN" w:bidi="ar-SA"/>
              </w:rPr>
              <w:t>0.0845</w:t>
            </w:r>
            <w:r>
              <w:rPr>
                <w:rFonts w:hint="default" w:ascii="Times New Roman" w:hAnsi="Times New Roman" w:eastAsia="宋体" w:cs="Times New Roman"/>
                <w:color w:val="auto"/>
                <w:kern w:val="2"/>
                <w:sz w:val="24"/>
                <w:szCs w:val="24"/>
                <w:highlight w:val="none"/>
                <w:lang w:val="en-US" w:eastAsia="zh-CN" w:bidi="ar-SA"/>
              </w:rPr>
              <w:t>hm²)</w:t>
            </w:r>
            <w:r>
              <w:rPr>
                <w:rFonts w:hint="eastAsia" w:cs="Times New Roman"/>
                <w:color w:val="auto"/>
                <w:kern w:val="2"/>
                <w:sz w:val="24"/>
                <w:szCs w:val="24"/>
                <w:highlight w:val="none"/>
                <w:lang w:val="en-US" w:eastAsia="zh-CN" w:bidi="ar-SA"/>
              </w:rPr>
              <w:t>，建设用地占用0.7848</w:t>
            </w:r>
            <w:r>
              <w:rPr>
                <w:rFonts w:hint="default" w:ascii="Times New Roman" w:hAnsi="Times New Roman" w:eastAsia="宋体" w:cs="Times New Roman"/>
                <w:color w:val="auto"/>
                <w:kern w:val="2"/>
                <w:sz w:val="24"/>
                <w:szCs w:val="24"/>
                <w:highlight w:val="none"/>
                <w:lang w:val="en-US" w:eastAsia="zh-CN" w:bidi="ar-SA"/>
              </w:rPr>
              <w:t>hm²。项目临时用地土地利用情况详见下表：</w:t>
            </w:r>
          </w:p>
          <w:p w14:paraId="209277E6">
            <w:pPr>
              <w:spacing w:line="240" w:lineRule="atLeas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黑体" w:cs="Times New Roman"/>
                <w:color w:val="auto"/>
                <w:szCs w:val="20"/>
                <w:highlight w:val="none"/>
              </w:rPr>
              <w:t>表</w:t>
            </w:r>
            <w:r>
              <w:rPr>
                <w:rFonts w:hint="eastAsia" w:ascii="Times New Roman" w:hAnsi="Times New Roman" w:eastAsia="黑体" w:cs="Times New Roman"/>
                <w:color w:val="auto"/>
                <w:szCs w:val="20"/>
                <w:highlight w:val="none"/>
                <w:lang w:val="en-US" w:eastAsia="zh-CN"/>
              </w:rPr>
              <w:t>2-</w:t>
            </w:r>
            <w:r>
              <w:rPr>
                <w:rFonts w:hint="eastAsia" w:eastAsia="黑体" w:cs="Times New Roman"/>
                <w:color w:val="auto"/>
                <w:szCs w:val="20"/>
                <w:highlight w:val="none"/>
                <w:lang w:val="en-US" w:eastAsia="zh-CN"/>
              </w:rPr>
              <w:t>7</w:t>
            </w:r>
            <w:r>
              <w:rPr>
                <w:rFonts w:hint="default" w:ascii="Times New Roman" w:hAnsi="Times New Roman" w:eastAsia="黑体" w:cs="Times New Roman"/>
                <w:color w:val="auto"/>
                <w:szCs w:val="20"/>
                <w:highlight w:val="none"/>
                <w:lang w:val="en-US" w:eastAsia="zh-CN"/>
              </w:rPr>
              <w:t xml:space="preserve">  </w:t>
            </w:r>
            <w:r>
              <w:rPr>
                <w:rFonts w:hint="default" w:ascii="Times New Roman" w:hAnsi="Times New Roman" w:eastAsia="黑体" w:cs="Times New Roman"/>
                <w:color w:val="auto"/>
                <w:szCs w:val="20"/>
                <w:highlight w:val="none"/>
              </w:rPr>
              <w:t>土地利用现状统计表(总表)</w:t>
            </w:r>
            <w:r>
              <w:rPr>
                <w:rFonts w:hint="default" w:ascii="Times New Roman" w:hAnsi="Times New Roman" w:eastAsia="黑体" w:cs="Times New Roman"/>
                <w:color w:val="auto"/>
                <w:szCs w:val="20"/>
                <w:highlight w:val="none"/>
                <w:lang w:val="en-US" w:eastAsia="zh-CN"/>
              </w:rPr>
              <w:t xml:space="preserve">  </w:t>
            </w:r>
            <w:r>
              <w:rPr>
                <w:rFonts w:hint="default" w:ascii="Times New Roman" w:hAnsi="Times New Roman" w:eastAsia="黑体" w:cs="Times New Roman"/>
                <w:color w:val="auto"/>
                <w:szCs w:val="20"/>
                <w:highlight w:val="none"/>
              </w:rPr>
              <w:t>单位：hm²</w:t>
            </w:r>
          </w:p>
          <w:tbl>
            <w:tblPr>
              <w:tblStyle w:val="111"/>
              <w:tblpPr w:leftFromText="180" w:rightFromText="180" w:vertAnchor="text" w:horzAnchor="page" w:tblpXSpec="center" w:tblpY="270"/>
              <w:tblOverlap w:val="never"/>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133"/>
              <w:gridCol w:w="836"/>
              <w:gridCol w:w="1134"/>
              <w:gridCol w:w="886"/>
              <w:gridCol w:w="799"/>
              <w:gridCol w:w="887"/>
              <w:gridCol w:w="700"/>
              <w:gridCol w:w="1474"/>
            </w:tblGrid>
            <w:tr w14:paraId="53718E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37" w:type="dxa"/>
                  <w:tcBorders>
                    <w:tl2br w:val="nil"/>
                    <w:tr2bl w:val="nil"/>
                  </w:tcBorders>
                  <w:noWrap w:val="0"/>
                  <w:vAlign w:val="center"/>
                </w:tcPr>
                <w:p w14:paraId="0D8A3DB7">
                  <w:pPr>
                    <w:pStyle w:val="118"/>
                    <w:keepNext w:val="0"/>
                    <w:keepLines w:val="0"/>
                    <w:pageBreakBefore w:val="0"/>
                    <w:widowControl/>
                    <w:kinsoku w:val="0"/>
                    <w:wordWrap/>
                    <w:overflowPunct/>
                    <w:topLinePunct w:val="0"/>
                    <w:autoSpaceDE w:val="0"/>
                    <w:autoSpaceDN w:val="0"/>
                    <w:bidi w:val="0"/>
                    <w:adjustRightInd w:val="0"/>
                    <w:snapToGrid w:val="0"/>
                    <w:spacing w:line="224" w:lineRule="auto"/>
                    <w:ind w:left="0"/>
                    <w:jc w:val="center"/>
                    <w:textAlignment w:val="baseline"/>
                    <w:rPr>
                      <w:rFonts w:hint="default" w:ascii="Times New Roman" w:hAnsi="Times New Roman" w:cs="Times New Roman"/>
                      <w:color w:val="auto"/>
                      <w:sz w:val="21"/>
                      <w:szCs w:val="21"/>
                      <w:highlight w:val="none"/>
                    </w:rPr>
                  </w:pPr>
                  <w:r>
                    <w:rPr>
                      <w:rFonts w:hint="eastAsia" w:ascii="Times New Roman" w:hAnsi="Times New Roman" w:cs="Times New Roman"/>
                      <w:color w:val="auto"/>
                      <w:spacing w:val="-4"/>
                      <w:sz w:val="21"/>
                      <w:szCs w:val="21"/>
                      <w:highlight w:val="none"/>
                      <w:lang w:val="en-US" w:eastAsia="zh-CN"/>
                    </w:rPr>
                    <w:t>二</w:t>
                  </w:r>
                  <w:r>
                    <w:rPr>
                      <w:rFonts w:hint="default" w:ascii="Times New Roman" w:hAnsi="Times New Roman" w:cs="Times New Roman"/>
                      <w:color w:val="auto"/>
                      <w:spacing w:val="-4"/>
                      <w:sz w:val="21"/>
                      <w:szCs w:val="21"/>
                      <w:highlight w:val="none"/>
                    </w:rPr>
                    <w:t>级类</w:t>
                  </w:r>
                </w:p>
              </w:tc>
              <w:tc>
                <w:tcPr>
                  <w:tcW w:w="1976" w:type="dxa"/>
                  <w:gridSpan w:val="2"/>
                  <w:tcBorders>
                    <w:tl2br w:val="nil"/>
                    <w:tr2bl w:val="nil"/>
                  </w:tcBorders>
                  <w:noWrap w:val="0"/>
                  <w:vAlign w:val="center"/>
                </w:tcPr>
                <w:p w14:paraId="11B86AC2">
                  <w:pPr>
                    <w:pStyle w:val="118"/>
                    <w:keepNext w:val="0"/>
                    <w:keepLines w:val="0"/>
                    <w:pageBreakBefore w:val="0"/>
                    <w:widowControl/>
                    <w:kinsoku w:val="0"/>
                    <w:wordWrap/>
                    <w:overflowPunct/>
                    <w:topLinePunct w:val="0"/>
                    <w:autoSpaceDE w:val="0"/>
                    <w:autoSpaceDN w:val="0"/>
                    <w:bidi w:val="0"/>
                    <w:adjustRightInd w:val="0"/>
                    <w:snapToGrid w:val="0"/>
                    <w:spacing w:line="224" w:lineRule="auto"/>
                    <w:ind w:left="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pacing w:val="-5"/>
                      <w:sz w:val="21"/>
                      <w:szCs w:val="21"/>
                      <w:highlight w:val="none"/>
                    </w:rPr>
                    <w:t>二级地类</w:t>
                  </w:r>
                </w:p>
              </w:tc>
              <w:tc>
                <w:tcPr>
                  <w:tcW w:w="1687" w:type="dxa"/>
                  <w:gridSpan w:val="2"/>
                  <w:tcBorders>
                    <w:tl2br w:val="nil"/>
                    <w:tr2bl w:val="nil"/>
                  </w:tcBorders>
                  <w:noWrap w:val="0"/>
                  <w:vAlign w:val="center"/>
                </w:tcPr>
                <w:p w14:paraId="60D384AD">
                  <w:pPr>
                    <w:pStyle w:val="118"/>
                    <w:keepNext w:val="0"/>
                    <w:keepLines w:val="0"/>
                    <w:pageBreakBefore w:val="0"/>
                    <w:widowControl/>
                    <w:kinsoku w:val="0"/>
                    <w:wordWrap/>
                    <w:overflowPunct/>
                    <w:topLinePunct w:val="0"/>
                    <w:autoSpaceDE w:val="0"/>
                    <w:autoSpaceDN w:val="0"/>
                    <w:bidi w:val="0"/>
                    <w:adjustRightInd w:val="0"/>
                    <w:snapToGrid w:val="0"/>
                    <w:spacing w:line="222" w:lineRule="auto"/>
                    <w:ind w:left="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pacing w:val="-7"/>
                      <w:sz w:val="21"/>
                      <w:szCs w:val="21"/>
                      <w:highlight w:val="none"/>
                    </w:rPr>
                    <w:t>复垦前</w:t>
                  </w:r>
                </w:p>
              </w:tc>
              <w:tc>
                <w:tcPr>
                  <w:tcW w:w="3064" w:type="dxa"/>
                  <w:gridSpan w:val="3"/>
                  <w:tcBorders>
                    <w:tl2br w:val="nil"/>
                    <w:tr2bl w:val="nil"/>
                  </w:tcBorders>
                  <w:noWrap w:val="0"/>
                  <w:vAlign w:val="center"/>
                </w:tcPr>
                <w:p w14:paraId="37742636">
                  <w:pPr>
                    <w:pStyle w:val="118"/>
                    <w:keepNext w:val="0"/>
                    <w:keepLines w:val="0"/>
                    <w:pageBreakBefore w:val="0"/>
                    <w:widowControl/>
                    <w:kinsoku w:val="0"/>
                    <w:wordWrap/>
                    <w:overflowPunct/>
                    <w:topLinePunct w:val="0"/>
                    <w:autoSpaceDE w:val="0"/>
                    <w:autoSpaceDN w:val="0"/>
                    <w:bidi w:val="0"/>
                    <w:adjustRightInd w:val="0"/>
                    <w:snapToGrid w:val="0"/>
                    <w:spacing w:line="222" w:lineRule="auto"/>
                    <w:ind w:left="0"/>
                    <w:jc w:val="center"/>
                    <w:textAlignment w:val="baseline"/>
                    <w:rPr>
                      <w:rFonts w:hint="eastAsia" w:ascii="Times New Roman" w:hAnsi="Times New Roman" w:eastAsia="宋体" w:cs="Times New Roman"/>
                      <w:color w:val="auto"/>
                      <w:spacing w:val="-7"/>
                      <w:sz w:val="21"/>
                      <w:szCs w:val="21"/>
                      <w:highlight w:val="none"/>
                      <w:lang w:val="en-US" w:eastAsia="zh-CN"/>
                    </w:rPr>
                  </w:pPr>
                  <w:r>
                    <w:rPr>
                      <w:rFonts w:hint="eastAsia" w:ascii="Times New Roman" w:hAnsi="Times New Roman" w:cs="Times New Roman"/>
                      <w:color w:val="auto"/>
                      <w:spacing w:val="-7"/>
                      <w:sz w:val="21"/>
                      <w:szCs w:val="21"/>
                      <w:highlight w:val="none"/>
                      <w:lang w:val="en-US" w:eastAsia="zh-CN"/>
                    </w:rPr>
                    <w:t>复耕后</w:t>
                  </w:r>
                </w:p>
              </w:tc>
            </w:tr>
            <w:tr w14:paraId="278848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37" w:type="dxa"/>
                  <w:tcBorders>
                    <w:tl2br w:val="nil"/>
                    <w:tr2bl w:val="nil"/>
                  </w:tcBorders>
                  <w:noWrap w:val="0"/>
                  <w:vAlign w:val="center"/>
                </w:tcPr>
                <w:p w14:paraId="6A0B63B1">
                  <w:pPr>
                    <w:pStyle w:val="118"/>
                    <w:keepNext w:val="0"/>
                    <w:keepLines w:val="0"/>
                    <w:pageBreakBefore w:val="0"/>
                    <w:widowControl/>
                    <w:kinsoku w:val="0"/>
                    <w:wordWrap/>
                    <w:overflowPunct/>
                    <w:topLinePunct w:val="0"/>
                    <w:autoSpaceDE w:val="0"/>
                    <w:autoSpaceDN w:val="0"/>
                    <w:bidi w:val="0"/>
                    <w:adjustRightInd w:val="0"/>
                    <w:snapToGrid w:val="0"/>
                    <w:spacing w:line="224" w:lineRule="auto"/>
                    <w:ind w:left="0"/>
                    <w:jc w:val="center"/>
                    <w:textAlignment w:val="baseline"/>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名称</w:t>
                  </w:r>
                </w:p>
              </w:tc>
              <w:tc>
                <w:tcPr>
                  <w:tcW w:w="838" w:type="dxa"/>
                  <w:tcBorders>
                    <w:tl2br w:val="nil"/>
                    <w:tr2bl w:val="nil"/>
                  </w:tcBorders>
                  <w:noWrap w:val="0"/>
                  <w:vAlign w:val="center"/>
                </w:tcPr>
                <w:p w14:paraId="5BC7C6A7">
                  <w:pPr>
                    <w:pStyle w:val="118"/>
                    <w:keepNext w:val="0"/>
                    <w:keepLines w:val="0"/>
                    <w:pageBreakBefore w:val="0"/>
                    <w:widowControl/>
                    <w:kinsoku w:val="0"/>
                    <w:wordWrap/>
                    <w:overflowPunct/>
                    <w:topLinePunct w:val="0"/>
                    <w:autoSpaceDE w:val="0"/>
                    <w:autoSpaceDN w:val="0"/>
                    <w:bidi w:val="0"/>
                    <w:adjustRightInd w:val="0"/>
                    <w:snapToGrid w:val="0"/>
                    <w:spacing w:line="224" w:lineRule="auto"/>
                    <w:ind w:left="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pacing w:val="-7"/>
                      <w:sz w:val="21"/>
                      <w:szCs w:val="21"/>
                      <w:highlight w:val="none"/>
                    </w:rPr>
                    <w:t>编号</w:t>
                  </w:r>
                </w:p>
              </w:tc>
              <w:tc>
                <w:tcPr>
                  <w:tcW w:w="1138" w:type="dxa"/>
                  <w:tcBorders>
                    <w:tl2br w:val="nil"/>
                    <w:tr2bl w:val="nil"/>
                  </w:tcBorders>
                  <w:noWrap w:val="0"/>
                  <w:vAlign w:val="center"/>
                </w:tcPr>
                <w:p w14:paraId="5FEB759B">
                  <w:pPr>
                    <w:pStyle w:val="118"/>
                    <w:keepNext w:val="0"/>
                    <w:keepLines w:val="0"/>
                    <w:pageBreakBefore w:val="0"/>
                    <w:widowControl/>
                    <w:kinsoku w:val="0"/>
                    <w:wordWrap/>
                    <w:overflowPunct/>
                    <w:topLinePunct w:val="0"/>
                    <w:autoSpaceDE w:val="0"/>
                    <w:autoSpaceDN w:val="0"/>
                    <w:bidi w:val="0"/>
                    <w:adjustRightInd w:val="0"/>
                    <w:snapToGrid w:val="0"/>
                    <w:spacing w:line="221" w:lineRule="auto"/>
                    <w:ind w:left="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pacing w:val="-7"/>
                      <w:sz w:val="21"/>
                      <w:szCs w:val="21"/>
                      <w:highlight w:val="none"/>
                    </w:rPr>
                    <w:t>名称</w:t>
                  </w:r>
                </w:p>
              </w:tc>
              <w:tc>
                <w:tcPr>
                  <w:tcW w:w="887" w:type="dxa"/>
                  <w:tcBorders>
                    <w:tl2br w:val="nil"/>
                    <w:tr2bl w:val="nil"/>
                  </w:tcBorders>
                  <w:noWrap w:val="0"/>
                  <w:vAlign w:val="center"/>
                </w:tcPr>
                <w:p w14:paraId="566256AC">
                  <w:pPr>
                    <w:pStyle w:val="118"/>
                    <w:keepNext w:val="0"/>
                    <w:keepLines w:val="0"/>
                    <w:pageBreakBefore w:val="0"/>
                    <w:widowControl/>
                    <w:kinsoku w:val="0"/>
                    <w:wordWrap/>
                    <w:overflowPunct/>
                    <w:topLinePunct w:val="0"/>
                    <w:autoSpaceDE w:val="0"/>
                    <w:autoSpaceDN w:val="0"/>
                    <w:bidi w:val="0"/>
                    <w:adjustRightInd w:val="0"/>
                    <w:snapToGrid w:val="0"/>
                    <w:spacing w:line="223" w:lineRule="auto"/>
                    <w:ind w:left="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pacing w:val="-8"/>
                      <w:sz w:val="21"/>
                      <w:szCs w:val="21"/>
                      <w:highlight w:val="none"/>
                    </w:rPr>
                    <w:t>面积</w:t>
                  </w:r>
                </w:p>
              </w:tc>
              <w:tc>
                <w:tcPr>
                  <w:tcW w:w="800" w:type="dxa"/>
                  <w:tcBorders>
                    <w:tl2br w:val="nil"/>
                    <w:tr2bl w:val="nil"/>
                  </w:tcBorders>
                  <w:noWrap w:val="0"/>
                  <w:vAlign w:val="center"/>
                </w:tcPr>
                <w:p w14:paraId="0CE5FA03">
                  <w:pPr>
                    <w:pStyle w:val="118"/>
                    <w:keepNext w:val="0"/>
                    <w:keepLines w:val="0"/>
                    <w:pageBreakBefore w:val="0"/>
                    <w:widowControl/>
                    <w:kinsoku w:val="0"/>
                    <w:wordWrap/>
                    <w:overflowPunct/>
                    <w:topLinePunct w:val="0"/>
                    <w:autoSpaceDE w:val="0"/>
                    <w:autoSpaceDN w:val="0"/>
                    <w:bidi w:val="0"/>
                    <w:adjustRightInd w:val="0"/>
                    <w:snapToGrid w:val="0"/>
                    <w:spacing w:line="223" w:lineRule="auto"/>
                    <w:ind w:left="0"/>
                    <w:jc w:val="center"/>
                    <w:textAlignment w:val="baseline"/>
                    <w:rPr>
                      <w:rFonts w:hint="eastAsia" w:ascii="Times New Roman" w:hAnsi="Times New Roman" w:eastAsia="宋体" w:cs="Times New Roman"/>
                      <w:color w:val="auto"/>
                      <w:spacing w:val="-8"/>
                      <w:sz w:val="21"/>
                      <w:szCs w:val="21"/>
                      <w:highlight w:val="none"/>
                      <w:lang w:val="en-US" w:eastAsia="zh-CN"/>
                    </w:rPr>
                  </w:pPr>
                  <w:r>
                    <w:rPr>
                      <w:rFonts w:hint="eastAsia" w:ascii="Times New Roman" w:hAnsi="Times New Roman" w:cs="Times New Roman"/>
                      <w:color w:val="auto"/>
                      <w:spacing w:val="-8"/>
                      <w:sz w:val="21"/>
                      <w:szCs w:val="21"/>
                      <w:highlight w:val="none"/>
                      <w:lang w:val="en-US" w:eastAsia="zh-CN"/>
                    </w:rPr>
                    <w:t>比例</w:t>
                  </w:r>
                </w:p>
              </w:tc>
              <w:tc>
                <w:tcPr>
                  <w:tcW w:w="888" w:type="dxa"/>
                  <w:tcBorders>
                    <w:tl2br w:val="nil"/>
                    <w:tr2bl w:val="nil"/>
                  </w:tcBorders>
                  <w:noWrap w:val="0"/>
                  <w:vAlign w:val="center"/>
                </w:tcPr>
                <w:p w14:paraId="32461AD6">
                  <w:pPr>
                    <w:pStyle w:val="118"/>
                    <w:keepNext w:val="0"/>
                    <w:keepLines w:val="0"/>
                    <w:pageBreakBefore w:val="0"/>
                    <w:widowControl/>
                    <w:kinsoku w:val="0"/>
                    <w:wordWrap/>
                    <w:overflowPunct/>
                    <w:topLinePunct w:val="0"/>
                    <w:autoSpaceDE w:val="0"/>
                    <w:autoSpaceDN w:val="0"/>
                    <w:bidi w:val="0"/>
                    <w:adjustRightInd w:val="0"/>
                    <w:snapToGrid w:val="0"/>
                    <w:spacing w:line="223" w:lineRule="auto"/>
                    <w:ind w:left="0"/>
                    <w:jc w:val="center"/>
                    <w:textAlignment w:val="baseline"/>
                    <w:rPr>
                      <w:rFonts w:hint="eastAsia" w:ascii="Times New Roman" w:hAnsi="Times New Roman" w:eastAsia="宋体" w:cs="Times New Roman"/>
                      <w:color w:val="auto"/>
                      <w:spacing w:val="-8"/>
                      <w:sz w:val="21"/>
                      <w:szCs w:val="21"/>
                      <w:highlight w:val="none"/>
                      <w:lang w:val="en-US" w:eastAsia="zh-CN"/>
                    </w:rPr>
                  </w:pPr>
                  <w:r>
                    <w:rPr>
                      <w:rFonts w:hint="eastAsia" w:ascii="Times New Roman" w:hAnsi="Times New Roman" w:cs="Times New Roman"/>
                      <w:color w:val="auto"/>
                      <w:spacing w:val="-8"/>
                      <w:sz w:val="21"/>
                      <w:szCs w:val="21"/>
                      <w:highlight w:val="none"/>
                      <w:lang w:val="en-US" w:eastAsia="zh-CN"/>
                    </w:rPr>
                    <w:t>面积</w:t>
                  </w:r>
                </w:p>
              </w:tc>
              <w:tc>
                <w:tcPr>
                  <w:tcW w:w="700" w:type="dxa"/>
                  <w:tcBorders>
                    <w:tl2br w:val="nil"/>
                    <w:tr2bl w:val="nil"/>
                  </w:tcBorders>
                  <w:noWrap w:val="0"/>
                  <w:vAlign w:val="center"/>
                </w:tcPr>
                <w:p w14:paraId="0E4BF1ED">
                  <w:pPr>
                    <w:pStyle w:val="118"/>
                    <w:keepNext w:val="0"/>
                    <w:keepLines w:val="0"/>
                    <w:pageBreakBefore w:val="0"/>
                    <w:widowControl/>
                    <w:kinsoku w:val="0"/>
                    <w:wordWrap/>
                    <w:overflowPunct/>
                    <w:topLinePunct w:val="0"/>
                    <w:autoSpaceDE w:val="0"/>
                    <w:autoSpaceDN w:val="0"/>
                    <w:bidi w:val="0"/>
                    <w:adjustRightInd w:val="0"/>
                    <w:snapToGrid w:val="0"/>
                    <w:spacing w:line="223" w:lineRule="auto"/>
                    <w:ind w:left="0"/>
                    <w:jc w:val="center"/>
                    <w:textAlignment w:val="baseline"/>
                    <w:rPr>
                      <w:rFonts w:hint="eastAsia" w:ascii="Times New Roman" w:hAnsi="Times New Roman" w:eastAsia="宋体" w:cs="Times New Roman"/>
                      <w:color w:val="auto"/>
                      <w:spacing w:val="-8"/>
                      <w:sz w:val="21"/>
                      <w:szCs w:val="21"/>
                      <w:highlight w:val="none"/>
                      <w:lang w:val="en-US" w:eastAsia="zh-CN"/>
                    </w:rPr>
                  </w:pPr>
                  <w:r>
                    <w:rPr>
                      <w:rFonts w:hint="eastAsia" w:ascii="Times New Roman" w:hAnsi="Times New Roman" w:cs="Times New Roman"/>
                      <w:color w:val="auto"/>
                      <w:spacing w:val="-8"/>
                      <w:sz w:val="21"/>
                      <w:szCs w:val="21"/>
                      <w:highlight w:val="none"/>
                      <w:lang w:val="en-US" w:eastAsia="zh-CN"/>
                    </w:rPr>
                    <w:t>比例</w:t>
                  </w:r>
                </w:p>
              </w:tc>
              <w:tc>
                <w:tcPr>
                  <w:tcW w:w="1476" w:type="dxa"/>
                  <w:tcBorders>
                    <w:tl2br w:val="nil"/>
                    <w:tr2bl w:val="nil"/>
                  </w:tcBorders>
                  <w:noWrap w:val="0"/>
                  <w:vAlign w:val="center"/>
                </w:tcPr>
                <w:p w14:paraId="4ACC867D">
                  <w:pPr>
                    <w:pStyle w:val="118"/>
                    <w:keepNext w:val="0"/>
                    <w:keepLines w:val="0"/>
                    <w:pageBreakBefore w:val="0"/>
                    <w:widowControl/>
                    <w:kinsoku w:val="0"/>
                    <w:wordWrap/>
                    <w:overflowPunct/>
                    <w:topLinePunct w:val="0"/>
                    <w:autoSpaceDE w:val="0"/>
                    <w:autoSpaceDN w:val="0"/>
                    <w:bidi w:val="0"/>
                    <w:adjustRightInd w:val="0"/>
                    <w:snapToGrid w:val="0"/>
                    <w:spacing w:line="223" w:lineRule="auto"/>
                    <w:ind w:left="0"/>
                    <w:jc w:val="center"/>
                    <w:textAlignment w:val="baseline"/>
                    <w:rPr>
                      <w:rFonts w:hint="default" w:ascii="Times New Roman" w:hAnsi="Times New Roman" w:eastAsia="宋体" w:cs="Times New Roman"/>
                      <w:color w:val="auto"/>
                      <w:spacing w:val="-8"/>
                      <w:sz w:val="21"/>
                      <w:szCs w:val="21"/>
                      <w:highlight w:val="none"/>
                      <w:lang w:val="en-US" w:eastAsia="zh-CN"/>
                    </w:rPr>
                  </w:pPr>
                  <w:r>
                    <w:rPr>
                      <w:rFonts w:hint="eastAsia" w:ascii="Times New Roman" w:hAnsi="Times New Roman" w:cs="Times New Roman"/>
                      <w:color w:val="auto"/>
                      <w:spacing w:val="-8"/>
                      <w:sz w:val="21"/>
                      <w:szCs w:val="21"/>
                      <w:highlight w:val="none"/>
                      <w:lang w:val="en-US" w:eastAsia="zh-CN"/>
                    </w:rPr>
                    <w:t>拟增减（+、—）</w:t>
                  </w:r>
                </w:p>
              </w:tc>
            </w:tr>
            <w:tr w14:paraId="6765E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37" w:type="dxa"/>
                  <w:vMerge w:val="restart"/>
                  <w:tcBorders>
                    <w:tl2br w:val="nil"/>
                    <w:tr2bl w:val="nil"/>
                  </w:tcBorders>
                  <w:noWrap w:val="0"/>
                  <w:vAlign w:val="center"/>
                </w:tcPr>
                <w:p w14:paraId="3418A3D2">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耕地</w:t>
                  </w:r>
                </w:p>
              </w:tc>
              <w:tc>
                <w:tcPr>
                  <w:tcW w:w="838" w:type="dxa"/>
                  <w:tcBorders>
                    <w:tl2br w:val="nil"/>
                    <w:tr2bl w:val="nil"/>
                  </w:tcBorders>
                  <w:noWrap w:val="0"/>
                  <w:vAlign w:val="center"/>
                </w:tcPr>
                <w:p w14:paraId="753F0977">
                  <w:pPr>
                    <w:pStyle w:val="118"/>
                    <w:keepNext w:val="0"/>
                    <w:keepLines w:val="0"/>
                    <w:pageBreakBefore w:val="0"/>
                    <w:widowControl/>
                    <w:kinsoku w:val="0"/>
                    <w:wordWrap/>
                    <w:overflowPunct/>
                    <w:topLinePunct w:val="0"/>
                    <w:autoSpaceDE w:val="0"/>
                    <w:autoSpaceDN w:val="0"/>
                    <w:bidi w:val="0"/>
                    <w:adjustRightInd w:val="0"/>
                    <w:snapToGrid w:val="0"/>
                    <w:spacing w:line="258" w:lineRule="exact"/>
                    <w:ind w:left="0"/>
                    <w:jc w:val="center"/>
                    <w:textAlignment w:val="baseline"/>
                    <w:rPr>
                      <w:rFonts w:hint="default" w:ascii="Times New Roman" w:hAnsi="Times New Roman" w:cs="Times New Roman"/>
                      <w:color w:val="auto"/>
                      <w:sz w:val="21"/>
                      <w:szCs w:val="21"/>
                      <w:highlight w:val="none"/>
                    </w:rPr>
                  </w:pPr>
                  <w:bookmarkStart w:id="5" w:name="bookmark131"/>
                  <w:bookmarkEnd w:id="5"/>
                  <w:r>
                    <w:rPr>
                      <w:rFonts w:hint="default" w:ascii="Times New Roman" w:hAnsi="Times New Roman" w:cs="Times New Roman"/>
                      <w:color w:val="auto"/>
                      <w:spacing w:val="2"/>
                      <w:position w:val="1"/>
                      <w:sz w:val="21"/>
                      <w:szCs w:val="21"/>
                      <w:highlight w:val="none"/>
                    </w:rPr>
                    <w:t>0103</w:t>
                  </w:r>
                </w:p>
              </w:tc>
              <w:tc>
                <w:tcPr>
                  <w:tcW w:w="1138" w:type="dxa"/>
                  <w:tcBorders>
                    <w:tl2br w:val="nil"/>
                    <w:tr2bl w:val="nil"/>
                  </w:tcBorders>
                  <w:noWrap w:val="0"/>
                  <w:vAlign w:val="center"/>
                </w:tcPr>
                <w:p w14:paraId="4D2CEF85">
                  <w:pPr>
                    <w:pStyle w:val="118"/>
                    <w:keepNext w:val="0"/>
                    <w:keepLines w:val="0"/>
                    <w:pageBreakBefore w:val="0"/>
                    <w:widowControl/>
                    <w:kinsoku w:val="0"/>
                    <w:wordWrap/>
                    <w:overflowPunct/>
                    <w:topLinePunct w:val="0"/>
                    <w:autoSpaceDE w:val="0"/>
                    <w:autoSpaceDN w:val="0"/>
                    <w:bidi w:val="0"/>
                    <w:adjustRightInd w:val="0"/>
                    <w:snapToGrid w:val="0"/>
                    <w:spacing w:line="231" w:lineRule="auto"/>
                    <w:ind w:left="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旱地</w:t>
                  </w:r>
                </w:p>
              </w:tc>
              <w:tc>
                <w:tcPr>
                  <w:tcW w:w="887" w:type="dxa"/>
                  <w:tcBorders>
                    <w:tl2br w:val="nil"/>
                    <w:tr2bl w:val="nil"/>
                  </w:tcBorders>
                  <w:noWrap w:val="0"/>
                  <w:vAlign w:val="center"/>
                </w:tcPr>
                <w:p w14:paraId="0793EC38">
                  <w:pPr>
                    <w:pStyle w:val="118"/>
                    <w:keepNext w:val="0"/>
                    <w:keepLines w:val="0"/>
                    <w:pageBreakBefore w:val="0"/>
                    <w:widowControl/>
                    <w:kinsoku w:val="0"/>
                    <w:wordWrap/>
                    <w:overflowPunct/>
                    <w:topLinePunct w:val="0"/>
                    <w:autoSpaceDE w:val="0"/>
                    <w:autoSpaceDN w:val="0"/>
                    <w:bidi w:val="0"/>
                    <w:adjustRightInd w:val="0"/>
                    <w:snapToGrid w:val="0"/>
                    <w:spacing w:line="257" w:lineRule="exact"/>
                    <w:ind w:left="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pacing w:val="3"/>
                      <w:position w:val="1"/>
                      <w:sz w:val="21"/>
                      <w:szCs w:val="21"/>
                      <w:highlight w:val="none"/>
                    </w:rPr>
                    <w:t>0.</w:t>
                  </w:r>
                  <w:r>
                    <w:rPr>
                      <w:rFonts w:hint="eastAsia" w:ascii="Times New Roman" w:hAnsi="Times New Roman" w:cs="Times New Roman"/>
                      <w:color w:val="auto"/>
                      <w:spacing w:val="3"/>
                      <w:position w:val="1"/>
                      <w:sz w:val="21"/>
                      <w:szCs w:val="21"/>
                      <w:highlight w:val="none"/>
                      <w:lang w:val="en-US" w:eastAsia="zh-CN"/>
                    </w:rPr>
                    <w:t>1304</w:t>
                  </w:r>
                </w:p>
              </w:tc>
              <w:tc>
                <w:tcPr>
                  <w:tcW w:w="800" w:type="dxa"/>
                  <w:tcBorders>
                    <w:tl2br w:val="nil"/>
                    <w:tr2bl w:val="nil"/>
                  </w:tcBorders>
                  <w:noWrap w:val="0"/>
                  <w:vAlign w:val="center"/>
                </w:tcPr>
                <w:p w14:paraId="161AD3E7">
                  <w:pPr>
                    <w:pStyle w:val="118"/>
                    <w:keepNext w:val="0"/>
                    <w:keepLines w:val="0"/>
                    <w:pageBreakBefore w:val="0"/>
                    <w:widowControl/>
                    <w:kinsoku w:val="0"/>
                    <w:wordWrap/>
                    <w:overflowPunct/>
                    <w:topLinePunct w:val="0"/>
                    <w:autoSpaceDE w:val="0"/>
                    <w:autoSpaceDN w:val="0"/>
                    <w:bidi w:val="0"/>
                    <w:adjustRightInd w:val="0"/>
                    <w:snapToGrid w:val="0"/>
                    <w:spacing w:line="257"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13.90</w:t>
                  </w:r>
                </w:p>
              </w:tc>
              <w:tc>
                <w:tcPr>
                  <w:tcW w:w="888" w:type="dxa"/>
                  <w:tcBorders>
                    <w:tl2br w:val="nil"/>
                    <w:tr2bl w:val="nil"/>
                  </w:tcBorders>
                  <w:noWrap w:val="0"/>
                  <w:vAlign w:val="center"/>
                </w:tcPr>
                <w:p w14:paraId="709F6A25">
                  <w:pPr>
                    <w:pStyle w:val="118"/>
                    <w:keepNext w:val="0"/>
                    <w:keepLines w:val="0"/>
                    <w:pageBreakBefore w:val="0"/>
                    <w:widowControl/>
                    <w:kinsoku w:val="0"/>
                    <w:wordWrap/>
                    <w:overflowPunct/>
                    <w:topLinePunct w:val="0"/>
                    <w:autoSpaceDE w:val="0"/>
                    <w:autoSpaceDN w:val="0"/>
                    <w:bidi w:val="0"/>
                    <w:adjustRightInd w:val="0"/>
                    <w:snapToGrid w:val="0"/>
                    <w:spacing w:line="257"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0.1386</w:t>
                  </w:r>
                </w:p>
              </w:tc>
              <w:tc>
                <w:tcPr>
                  <w:tcW w:w="700" w:type="dxa"/>
                  <w:tcBorders>
                    <w:tl2br w:val="nil"/>
                    <w:tr2bl w:val="nil"/>
                  </w:tcBorders>
                  <w:noWrap w:val="0"/>
                  <w:vAlign w:val="center"/>
                </w:tcPr>
                <w:p w14:paraId="1866CA6A">
                  <w:pPr>
                    <w:pStyle w:val="118"/>
                    <w:keepNext w:val="0"/>
                    <w:keepLines w:val="0"/>
                    <w:pageBreakBefore w:val="0"/>
                    <w:widowControl/>
                    <w:kinsoku w:val="0"/>
                    <w:wordWrap/>
                    <w:overflowPunct/>
                    <w:topLinePunct w:val="0"/>
                    <w:autoSpaceDE w:val="0"/>
                    <w:autoSpaceDN w:val="0"/>
                    <w:bidi w:val="0"/>
                    <w:adjustRightInd w:val="0"/>
                    <w:snapToGrid w:val="0"/>
                    <w:spacing w:line="257"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14.78</w:t>
                  </w:r>
                </w:p>
              </w:tc>
              <w:tc>
                <w:tcPr>
                  <w:tcW w:w="1476" w:type="dxa"/>
                  <w:tcBorders>
                    <w:tl2br w:val="nil"/>
                    <w:tr2bl w:val="nil"/>
                  </w:tcBorders>
                  <w:noWrap w:val="0"/>
                  <w:vAlign w:val="center"/>
                </w:tcPr>
                <w:p w14:paraId="396B95D0">
                  <w:pPr>
                    <w:pStyle w:val="118"/>
                    <w:keepNext w:val="0"/>
                    <w:keepLines w:val="0"/>
                    <w:pageBreakBefore w:val="0"/>
                    <w:widowControl/>
                    <w:kinsoku w:val="0"/>
                    <w:wordWrap/>
                    <w:overflowPunct/>
                    <w:topLinePunct w:val="0"/>
                    <w:autoSpaceDE w:val="0"/>
                    <w:autoSpaceDN w:val="0"/>
                    <w:bidi w:val="0"/>
                    <w:adjustRightInd w:val="0"/>
                    <w:snapToGrid w:val="0"/>
                    <w:spacing w:line="257"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0.0082</w:t>
                  </w:r>
                </w:p>
              </w:tc>
            </w:tr>
            <w:tr w14:paraId="04B627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37" w:type="dxa"/>
                  <w:vMerge w:val="continue"/>
                  <w:tcBorders>
                    <w:tl2br w:val="nil"/>
                    <w:tr2bl w:val="nil"/>
                  </w:tcBorders>
                  <w:noWrap w:val="0"/>
                  <w:vAlign w:val="center"/>
                </w:tcPr>
                <w:p w14:paraId="0D3BA7D8">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default" w:ascii="Times New Roman" w:hAnsi="Times New Roman" w:cs="Times New Roman"/>
                      <w:color w:val="auto"/>
                      <w:sz w:val="21"/>
                      <w:szCs w:val="21"/>
                      <w:highlight w:val="none"/>
                    </w:rPr>
                  </w:pPr>
                </w:p>
              </w:tc>
              <w:tc>
                <w:tcPr>
                  <w:tcW w:w="1976" w:type="dxa"/>
                  <w:gridSpan w:val="2"/>
                  <w:tcBorders>
                    <w:tl2br w:val="nil"/>
                    <w:tr2bl w:val="nil"/>
                  </w:tcBorders>
                  <w:noWrap w:val="0"/>
                  <w:vAlign w:val="center"/>
                </w:tcPr>
                <w:p w14:paraId="5284A437">
                  <w:pPr>
                    <w:pStyle w:val="118"/>
                    <w:keepNext w:val="0"/>
                    <w:keepLines w:val="0"/>
                    <w:pageBreakBefore w:val="0"/>
                    <w:widowControl/>
                    <w:kinsoku w:val="0"/>
                    <w:wordWrap/>
                    <w:overflowPunct/>
                    <w:topLinePunct w:val="0"/>
                    <w:autoSpaceDE w:val="0"/>
                    <w:autoSpaceDN w:val="0"/>
                    <w:bidi w:val="0"/>
                    <w:adjustRightInd w:val="0"/>
                    <w:snapToGrid w:val="0"/>
                    <w:spacing w:line="231" w:lineRule="auto"/>
                    <w:ind w:left="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pacing w:val="2"/>
                      <w:sz w:val="21"/>
                      <w:szCs w:val="21"/>
                      <w:highlight w:val="none"/>
                    </w:rPr>
                    <w:t>小计</w:t>
                  </w:r>
                </w:p>
              </w:tc>
              <w:tc>
                <w:tcPr>
                  <w:tcW w:w="887" w:type="dxa"/>
                  <w:tcBorders>
                    <w:tl2br w:val="nil"/>
                    <w:tr2bl w:val="nil"/>
                  </w:tcBorders>
                  <w:noWrap w:val="0"/>
                  <w:vAlign w:val="center"/>
                </w:tcPr>
                <w:p w14:paraId="38C95C19">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0.1304</w:t>
                  </w:r>
                </w:p>
              </w:tc>
              <w:tc>
                <w:tcPr>
                  <w:tcW w:w="800" w:type="dxa"/>
                  <w:tcBorders>
                    <w:tl2br w:val="nil"/>
                    <w:tr2bl w:val="nil"/>
                  </w:tcBorders>
                  <w:noWrap w:val="0"/>
                  <w:vAlign w:val="center"/>
                </w:tcPr>
                <w:p w14:paraId="3EB42AD4">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1"/>
                      <w:position w:val="1"/>
                      <w:sz w:val="21"/>
                      <w:szCs w:val="21"/>
                      <w:highlight w:val="none"/>
                      <w:lang w:val="en-US" w:eastAsia="zh-CN"/>
                    </w:rPr>
                  </w:pPr>
                  <w:r>
                    <w:rPr>
                      <w:rFonts w:hint="eastAsia" w:ascii="Times New Roman" w:hAnsi="Times New Roman" w:cs="Times New Roman"/>
                      <w:color w:val="auto"/>
                      <w:spacing w:val="1"/>
                      <w:position w:val="1"/>
                      <w:sz w:val="21"/>
                      <w:szCs w:val="21"/>
                      <w:highlight w:val="none"/>
                      <w:lang w:val="en-US" w:eastAsia="zh-CN"/>
                    </w:rPr>
                    <w:t>13.90</w:t>
                  </w:r>
                </w:p>
              </w:tc>
              <w:tc>
                <w:tcPr>
                  <w:tcW w:w="888" w:type="dxa"/>
                  <w:tcBorders>
                    <w:tl2br w:val="nil"/>
                    <w:tr2bl w:val="nil"/>
                  </w:tcBorders>
                  <w:noWrap w:val="0"/>
                  <w:vAlign w:val="center"/>
                </w:tcPr>
                <w:p w14:paraId="27CDF722">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1"/>
                      <w:position w:val="1"/>
                      <w:sz w:val="21"/>
                      <w:szCs w:val="21"/>
                      <w:highlight w:val="none"/>
                      <w:lang w:val="en-US" w:eastAsia="zh-CN"/>
                    </w:rPr>
                  </w:pPr>
                  <w:r>
                    <w:rPr>
                      <w:rFonts w:hint="eastAsia" w:ascii="Times New Roman" w:hAnsi="Times New Roman" w:cs="Times New Roman"/>
                      <w:color w:val="auto"/>
                      <w:spacing w:val="1"/>
                      <w:position w:val="1"/>
                      <w:sz w:val="21"/>
                      <w:szCs w:val="21"/>
                      <w:highlight w:val="none"/>
                      <w:lang w:val="en-US" w:eastAsia="zh-CN"/>
                    </w:rPr>
                    <w:t>0.1386</w:t>
                  </w:r>
                </w:p>
              </w:tc>
              <w:tc>
                <w:tcPr>
                  <w:tcW w:w="700" w:type="dxa"/>
                  <w:tcBorders>
                    <w:tl2br w:val="nil"/>
                    <w:tr2bl w:val="nil"/>
                  </w:tcBorders>
                  <w:noWrap w:val="0"/>
                  <w:vAlign w:val="center"/>
                </w:tcPr>
                <w:p w14:paraId="16475526">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1"/>
                      <w:position w:val="1"/>
                      <w:sz w:val="21"/>
                      <w:szCs w:val="21"/>
                      <w:highlight w:val="none"/>
                      <w:lang w:val="en-US" w:eastAsia="zh-CN"/>
                    </w:rPr>
                  </w:pPr>
                  <w:r>
                    <w:rPr>
                      <w:rFonts w:hint="eastAsia" w:ascii="Times New Roman" w:hAnsi="Times New Roman" w:cs="Times New Roman"/>
                      <w:color w:val="auto"/>
                      <w:spacing w:val="1"/>
                      <w:position w:val="1"/>
                      <w:sz w:val="21"/>
                      <w:szCs w:val="21"/>
                      <w:highlight w:val="none"/>
                      <w:lang w:val="en-US" w:eastAsia="zh-CN"/>
                    </w:rPr>
                    <w:t>14.78</w:t>
                  </w:r>
                </w:p>
              </w:tc>
              <w:tc>
                <w:tcPr>
                  <w:tcW w:w="1476" w:type="dxa"/>
                  <w:tcBorders>
                    <w:tl2br w:val="nil"/>
                    <w:tr2bl w:val="nil"/>
                  </w:tcBorders>
                  <w:noWrap w:val="0"/>
                  <w:vAlign w:val="center"/>
                </w:tcPr>
                <w:p w14:paraId="1762C168">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1"/>
                      <w:position w:val="1"/>
                      <w:sz w:val="21"/>
                      <w:szCs w:val="21"/>
                      <w:highlight w:val="none"/>
                      <w:lang w:val="en-US" w:eastAsia="zh-CN"/>
                    </w:rPr>
                  </w:pPr>
                  <w:r>
                    <w:rPr>
                      <w:rFonts w:hint="eastAsia" w:ascii="Times New Roman" w:hAnsi="Times New Roman" w:cs="Times New Roman"/>
                      <w:color w:val="auto"/>
                      <w:spacing w:val="1"/>
                      <w:position w:val="1"/>
                      <w:sz w:val="21"/>
                      <w:szCs w:val="21"/>
                      <w:highlight w:val="none"/>
                      <w:lang w:val="en-US" w:eastAsia="zh-CN"/>
                    </w:rPr>
                    <w:t>0.0082</w:t>
                  </w:r>
                </w:p>
              </w:tc>
            </w:tr>
            <w:tr w14:paraId="7BCBD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37" w:type="dxa"/>
                  <w:vMerge w:val="restart"/>
                  <w:tcBorders>
                    <w:tl2br w:val="nil"/>
                    <w:tr2bl w:val="nil"/>
                  </w:tcBorders>
                  <w:noWrap w:val="0"/>
                  <w:vAlign w:val="center"/>
                </w:tcPr>
                <w:p w14:paraId="7FFFBCEC">
                  <w:pPr>
                    <w:pStyle w:val="118"/>
                    <w:keepNext w:val="0"/>
                    <w:keepLines w:val="0"/>
                    <w:pageBreakBefore w:val="0"/>
                    <w:widowControl/>
                    <w:kinsoku w:val="0"/>
                    <w:wordWrap/>
                    <w:overflowPunct/>
                    <w:topLinePunct w:val="0"/>
                    <w:autoSpaceDE w:val="0"/>
                    <w:autoSpaceDN w:val="0"/>
                    <w:bidi w:val="0"/>
                    <w:adjustRightInd w:val="0"/>
                    <w:snapToGrid w:val="0"/>
                    <w:spacing w:line="241" w:lineRule="auto"/>
                    <w:ind w:left="0"/>
                    <w:jc w:val="center"/>
                    <w:textAlignment w:val="baseline"/>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种植园地</w:t>
                  </w:r>
                </w:p>
              </w:tc>
              <w:tc>
                <w:tcPr>
                  <w:tcW w:w="838" w:type="dxa"/>
                  <w:tcBorders>
                    <w:tl2br w:val="nil"/>
                    <w:tr2bl w:val="nil"/>
                  </w:tcBorders>
                  <w:noWrap w:val="0"/>
                  <w:vAlign w:val="center"/>
                </w:tcPr>
                <w:p w14:paraId="62DD848F">
                  <w:pPr>
                    <w:pStyle w:val="118"/>
                    <w:keepNext w:val="0"/>
                    <w:keepLines w:val="0"/>
                    <w:pageBreakBefore w:val="0"/>
                    <w:widowControl/>
                    <w:kinsoku w:val="0"/>
                    <w:wordWrap/>
                    <w:overflowPunct/>
                    <w:topLinePunct w:val="0"/>
                    <w:autoSpaceDE w:val="0"/>
                    <w:autoSpaceDN w:val="0"/>
                    <w:bidi w:val="0"/>
                    <w:adjustRightInd w:val="0"/>
                    <w:snapToGrid w:val="0"/>
                    <w:spacing w:line="257" w:lineRule="exact"/>
                    <w:ind w:left="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0201</w:t>
                  </w:r>
                </w:p>
              </w:tc>
              <w:tc>
                <w:tcPr>
                  <w:tcW w:w="1138" w:type="dxa"/>
                  <w:tcBorders>
                    <w:tl2br w:val="nil"/>
                    <w:tr2bl w:val="nil"/>
                  </w:tcBorders>
                  <w:noWrap w:val="0"/>
                  <w:vAlign w:val="center"/>
                </w:tcPr>
                <w:p w14:paraId="63EE3CC5">
                  <w:pPr>
                    <w:pStyle w:val="118"/>
                    <w:keepNext w:val="0"/>
                    <w:keepLines w:val="0"/>
                    <w:pageBreakBefore w:val="0"/>
                    <w:widowControl/>
                    <w:kinsoku w:val="0"/>
                    <w:wordWrap/>
                    <w:overflowPunct/>
                    <w:topLinePunct w:val="0"/>
                    <w:autoSpaceDE w:val="0"/>
                    <w:autoSpaceDN w:val="0"/>
                    <w:bidi w:val="0"/>
                    <w:adjustRightInd w:val="0"/>
                    <w:snapToGrid w:val="0"/>
                    <w:spacing w:line="232" w:lineRule="auto"/>
                    <w:ind w:left="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园地</w:t>
                  </w:r>
                </w:p>
              </w:tc>
              <w:tc>
                <w:tcPr>
                  <w:tcW w:w="887" w:type="dxa"/>
                  <w:tcBorders>
                    <w:tl2br w:val="nil"/>
                    <w:tr2bl w:val="nil"/>
                  </w:tcBorders>
                  <w:noWrap w:val="0"/>
                  <w:vAlign w:val="center"/>
                </w:tcPr>
                <w:p w14:paraId="09F0BEF8">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pacing w:val="3"/>
                      <w:position w:val="1"/>
                      <w:sz w:val="21"/>
                      <w:szCs w:val="21"/>
                      <w:highlight w:val="none"/>
                    </w:rPr>
                    <w:t>0.</w:t>
                  </w:r>
                  <w:r>
                    <w:rPr>
                      <w:rFonts w:hint="eastAsia" w:ascii="Times New Roman" w:hAnsi="Times New Roman" w:cs="Times New Roman"/>
                      <w:color w:val="auto"/>
                      <w:spacing w:val="3"/>
                      <w:position w:val="1"/>
                      <w:sz w:val="21"/>
                      <w:szCs w:val="21"/>
                      <w:highlight w:val="none"/>
                      <w:lang w:val="en-US" w:eastAsia="zh-CN"/>
                    </w:rPr>
                    <w:t>0145</w:t>
                  </w:r>
                </w:p>
              </w:tc>
              <w:tc>
                <w:tcPr>
                  <w:tcW w:w="800" w:type="dxa"/>
                  <w:tcBorders>
                    <w:tl2br w:val="nil"/>
                    <w:tr2bl w:val="nil"/>
                  </w:tcBorders>
                  <w:noWrap w:val="0"/>
                  <w:vAlign w:val="center"/>
                </w:tcPr>
                <w:p w14:paraId="148DCA40">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1.55</w:t>
                  </w:r>
                </w:p>
              </w:tc>
              <w:tc>
                <w:tcPr>
                  <w:tcW w:w="888" w:type="dxa"/>
                  <w:tcBorders>
                    <w:tl2br w:val="nil"/>
                    <w:tr2bl w:val="nil"/>
                  </w:tcBorders>
                  <w:noWrap w:val="0"/>
                  <w:vAlign w:val="center"/>
                </w:tcPr>
                <w:p w14:paraId="0EDF3E70">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0.0145</w:t>
                  </w:r>
                </w:p>
              </w:tc>
              <w:tc>
                <w:tcPr>
                  <w:tcW w:w="700" w:type="dxa"/>
                  <w:tcBorders>
                    <w:tl2br w:val="nil"/>
                    <w:tr2bl w:val="nil"/>
                  </w:tcBorders>
                  <w:noWrap w:val="0"/>
                  <w:vAlign w:val="center"/>
                </w:tcPr>
                <w:p w14:paraId="01558CD0">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1.55</w:t>
                  </w:r>
                </w:p>
              </w:tc>
              <w:tc>
                <w:tcPr>
                  <w:tcW w:w="1476" w:type="dxa"/>
                  <w:tcBorders>
                    <w:tl2br w:val="nil"/>
                    <w:tr2bl w:val="nil"/>
                  </w:tcBorders>
                  <w:noWrap w:val="0"/>
                  <w:vAlign w:val="center"/>
                </w:tcPr>
                <w:p w14:paraId="301E0A98">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0.0000</w:t>
                  </w:r>
                </w:p>
              </w:tc>
            </w:tr>
            <w:tr w14:paraId="28F1E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37" w:type="dxa"/>
                  <w:vMerge w:val="continue"/>
                  <w:tcBorders>
                    <w:tl2br w:val="nil"/>
                    <w:tr2bl w:val="nil"/>
                  </w:tcBorders>
                  <w:noWrap w:val="0"/>
                  <w:vAlign w:val="center"/>
                </w:tcPr>
                <w:p w14:paraId="6B008E1E">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default" w:ascii="Times New Roman" w:hAnsi="Times New Roman" w:cs="Times New Roman"/>
                      <w:color w:val="auto"/>
                      <w:sz w:val="21"/>
                      <w:szCs w:val="21"/>
                      <w:highlight w:val="none"/>
                    </w:rPr>
                  </w:pPr>
                </w:p>
              </w:tc>
              <w:tc>
                <w:tcPr>
                  <w:tcW w:w="1976" w:type="dxa"/>
                  <w:gridSpan w:val="2"/>
                  <w:tcBorders>
                    <w:tl2br w:val="nil"/>
                    <w:tr2bl w:val="nil"/>
                  </w:tcBorders>
                  <w:noWrap w:val="0"/>
                  <w:vAlign w:val="center"/>
                </w:tcPr>
                <w:p w14:paraId="3DC2AC7E">
                  <w:pPr>
                    <w:pStyle w:val="118"/>
                    <w:keepNext w:val="0"/>
                    <w:keepLines w:val="0"/>
                    <w:pageBreakBefore w:val="0"/>
                    <w:widowControl/>
                    <w:kinsoku w:val="0"/>
                    <w:wordWrap/>
                    <w:overflowPunct/>
                    <w:topLinePunct w:val="0"/>
                    <w:autoSpaceDE w:val="0"/>
                    <w:autoSpaceDN w:val="0"/>
                    <w:bidi w:val="0"/>
                    <w:adjustRightInd w:val="0"/>
                    <w:snapToGrid w:val="0"/>
                    <w:spacing w:line="231" w:lineRule="auto"/>
                    <w:ind w:left="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pacing w:val="2"/>
                      <w:sz w:val="21"/>
                      <w:szCs w:val="21"/>
                      <w:highlight w:val="none"/>
                    </w:rPr>
                    <w:t>小计</w:t>
                  </w:r>
                </w:p>
              </w:tc>
              <w:tc>
                <w:tcPr>
                  <w:tcW w:w="887" w:type="dxa"/>
                  <w:tcBorders>
                    <w:tl2br w:val="nil"/>
                    <w:tr2bl w:val="nil"/>
                  </w:tcBorders>
                  <w:noWrap w:val="0"/>
                  <w:vAlign w:val="center"/>
                </w:tcPr>
                <w:p w14:paraId="02FB82EE">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pacing w:val="3"/>
                      <w:position w:val="1"/>
                      <w:sz w:val="21"/>
                      <w:szCs w:val="21"/>
                      <w:highlight w:val="none"/>
                    </w:rPr>
                    <w:t>0.0</w:t>
                  </w:r>
                  <w:r>
                    <w:rPr>
                      <w:rFonts w:hint="eastAsia" w:ascii="Times New Roman" w:hAnsi="Times New Roman" w:cs="Times New Roman"/>
                      <w:color w:val="auto"/>
                      <w:spacing w:val="3"/>
                      <w:position w:val="1"/>
                      <w:sz w:val="21"/>
                      <w:szCs w:val="21"/>
                      <w:highlight w:val="none"/>
                      <w:lang w:val="en-US" w:eastAsia="zh-CN"/>
                    </w:rPr>
                    <w:t>145</w:t>
                  </w:r>
                </w:p>
              </w:tc>
              <w:tc>
                <w:tcPr>
                  <w:tcW w:w="800" w:type="dxa"/>
                  <w:tcBorders>
                    <w:tl2br w:val="nil"/>
                    <w:tr2bl w:val="nil"/>
                  </w:tcBorders>
                  <w:noWrap w:val="0"/>
                  <w:vAlign w:val="center"/>
                </w:tcPr>
                <w:p w14:paraId="136D8709">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1.55</w:t>
                  </w:r>
                </w:p>
              </w:tc>
              <w:tc>
                <w:tcPr>
                  <w:tcW w:w="888" w:type="dxa"/>
                  <w:tcBorders>
                    <w:tl2br w:val="nil"/>
                    <w:tr2bl w:val="nil"/>
                  </w:tcBorders>
                  <w:noWrap w:val="0"/>
                  <w:vAlign w:val="center"/>
                </w:tcPr>
                <w:p w14:paraId="18A73C6A">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0.0145</w:t>
                  </w:r>
                </w:p>
              </w:tc>
              <w:tc>
                <w:tcPr>
                  <w:tcW w:w="700" w:type="dxa"/>
                  <w:tcBorders>
                    <w:tl2br w:val="nil"/>
                    <w:tr2bl w:val="nil"/>
                  </w:tcBorders>
                  <w:noWrap w:val="0"/>
                  <w:vAlign w:val="center"/>
                </w:tcPr>
                <w:p w14:paraId="49F5AC9F">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1.55</w:t>
                  </w:r>
                </w:p>
              </w:tc>
              <w:tc>
                <w:tcPr>
                  <w:tcW w:w="1476" w:type="dxa"/>
                  <w:tcBorders>
                    <w:tl2br w:val="nil"/>
                    <w:tr2bl w:val="nil"/>
                  </w:tcBorders>
                  <w:noWrap w:val="0"/>
                  <w:vAlign w:val="center"/>
                </w:tcPr>
                <w:p w14:paraId="3C7A8983">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0.0000</w:t>
                  </w:r>
                </w:p>
              </w:tc>
            </w:tr>
            <w:tr w14:paraId="36B7F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1137" w:type="dxa"/>
                  <w:vMerge w:val="restart"/>
                  <w:tcBorders>
                    <w:tl2br w:val="nil"/>
                    <w:tr2bl w:val="nil"/>
                  </w:tcBorders>
                  <w:noWrap w:val="0"/>
                  <w:vAlign w:val="center"/>
                </w:tcPr>
                <w:p w14:paraId="1D3A70EC">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水域及水利设施用地</w:t>
                  </w:r>
                </w:p>
              </w:tc>
              <w:tc>
                <w:tcPr>
                  <w:tcW w:w="838" w:type="dxa"/>
                  <w:tcBorders>
                    <w:tl2br w:val="nil"/>
                    <w:tr2bl w:val="nil"/>
                  </w:tcBorders>
                  <w:noWrap w:val="0"/>
                  <w:vAlign w:val="center"/>
                </w:tcPr>
                <w:p w14:paraId="09E9CC8A">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1104</w:t>
                  </w:r>
                </w:p>
              </w:tc>
              <w:tc>
                <w:tcPr>
                  <w:tcW w:w="1138" w:type="dxa"/>
                  <w:tcBorders>
                    <w:tl2br w:val="nil"/>
                    <w:tr2bl w:val="nil"/>
                  </w:tcBorders>
                  <w:noWrap w:val="0"/>
                  <w:vAlign w:val="center"/>
                </w:tcPr>
                <w:p w14:paraId="20B2EB88">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eastAsia"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坑塘水面</w:t>
                  </w:r>
                </w:p>
              </w:tc>
              <w:tc>
                <w:tcPr>
                  <w:tcW w:w="887" w:type="dxa"/>
                  <w:tcBorders>
                    <w:tl2br w:val="nil"/>
                    <w:tr2bl w:val="nil"/>
                  </w:tcBorders>
                  <w:noWrap w:val="0"/>
                  <w:vAlign w:val="center"/>
                </w:tcPr>
                <w:p w14:paraId="2663BF15">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0.0069</w:t>
                  </w:r>
                </w:p>
              </w:tc>
              <w:tc>
                <w:tcPr>
                  <w:tcW w:w="800" w:type="dxa"/>
                  <w:tcBorders>
                    <w:tl2br w:val="nil"/>
                    <w:tr2bl w:val="nil"/>
                  </w:tcBorders>
                  <w:noWrap w:val="0"/>
                  <w:vAlign w:val="center"/>
                </w:tcPr>
                <w:p w14:paraId="3AE42852">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0.74</w:t>
                  </w:r>
                </w:p>
              </w:tc>
              <w:tc>
                <w:tcPr>
                  <w:tcW w:w="888" w:type="dxa"/>
                  <w:tcBorders>
                    <w:tl2br w:val="nil"/>
                    <w:tr2bl w:val="nil"/>
                  </w:tcBorders>
                  <w:noWrap w:val="0"/>
                  <w:vAlign w:val="center"/>
                </w:tcPr>
                <w:p w14:paraId="283472AB">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0.0000</w:t>
                  </w:r>
                </w:p>
              </w:tc>
              <w:tc>
                <w:tcPr>
                  <w:tcW w:w="700" w:type="dxa"/>
                  <w:tcBorders>
                    <w:tl2br w:val="nil"/>
                    <w:tr2bl w:val="nil"/>
                  </w:tcBorders>
                  <w:noWrap w:val="0"/>
                  <w:vAlign w:val="center"/>
                </w:tcPr>
                <w:p w14:paraId="4F714440">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0.00</w:t>
                  </w:r>
                </w:p>
              </w:tc>
              <w:tc>
                <w:tcPr>
                  <w:tcW w:w="1476" w:type="dxa"/>
                  <w:tcBorders>
                    <w:tl2br w:val="nil"/>
                    <w:tr2bl w:val="nil"/>
                  </w:tcBorders>
                  <w:noWrap w:val="0"/>
                  <w:vAlign w:val="center"/>
                </w:tcPr>
                <w:p w14:paraId="75464C4E">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-0.0069</w:t>
                  </w:r>
                </w:p>
              </w:tc>
            </w:tr>
            <w:tr w14:paraId="05E358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1137" w:type="dxa"/>
                  <w:vMerge w:val="continue"/>
                  <w:tcBorders>
                    <w:tl2br w:val="nil"/>
                    <w:tr2bl w:val="nil"/>
                  </w:tcBorders>
                  <w:noWrap w:val="0"/>
                  <w:vAlign w:val="center"/>
                </w:tcPr>
                <w:p w14:paraId="576A357D">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pPr>
                </w:p>
              </w:tc>
              <w:tc>
                <w:tcPr>
                  <w:tcW w:w="838" w:type="dxa"/>
                  <w:tcBorders>
                    <w:tl2br w:val="nil"/>
                    <w:tr2bl w:val="nil"/>
                  </w:tcBorders>
                  <w:noWrap w:val="0"/>
                  <w:vAlign w:val="center"/>
                </w:tcPr>
                <w:p w14:paraId="0410874A">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1107</w:t>
                  </w:r>
                </w:p>
              </w:tc>
              <w:tc>
                <w:tcPr>
                  <w:tcW w:w="1138" w:type="dxa"/>
                  <w:tcBorders>
                    <w:tl2br w:val="nil"/>
                    <w:tr2bl w:val="nil"/>
                  </w:tcBorders>
                  <w:noWrap w:val="0"/>
                  <w:vAlign w:val="center"/>
                </w:tcPr>
                <w:p w14:paraId="2E52ADB6">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eastAsia"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沟渠</w:t>
                  </w:r>
                </w:p>
              </w:tc>
              <w:tc>
                <w:tcPr>
                  <w:tcW w:w="887" w:type="dxa"/>
                  <w:tcBorders>
                    <w:tl2br w:val="nil"/>
                    <w:tr2bl w:val="nil"/>
                  </w:tcBorders>
                  <w:noWrap w:val="0"/>
                  <w:vAlign w:val="center"/>
                </w:tcPr>
                <w:p w14:paraId="7ADC8C54">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0.0013</w:t>
                  </w:r>
                </w:p>
              </w:tc>
              <w:tc>
                <w:tcPr>
                  <w:tcW w:w="800" w:type="dxa"/>
                  <w:tcBorders>
                    <w:tl2br w:val="nil"/>
                    <w:tr2bl w:val="nil"/>
                  </w:tcBorders>
                  <w:noWrap w:val="0"/>
                  <w:vAlign w:val="center"/>
                </w:tcPr>
                <w:p w14:paraId="516CEE6E">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0.14</w:t>
                  </w:r>
                </w:p>
              </w:tc>
              <w:tc>
                <w:tcPr>
                  <w:tcW w:w="888" w:type="dxa"/>
                  <w:tcBorders>
                    <w:tl2br w:val="nil"/>
                    <w:tr2bl w:val="nil"/>
                  </w:tcBorders>
                  <w:noWrap w:val="0"/>
                  <w:vAlign w:val="center"/>
                </w:tcPr>
                <w:p w14:paraId="31C93208">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0.0000</w:t>
                  </w:r>
                </w:p>
              </w:tc>
              <w:tc>
                <w:tcPr>
                  <w:tcW w:w="700" w:type="dxa"/>
                  <w:tcBorders>
                    <w:tl2br w:val="nil"/>
                    <w:tr2bl w:val="nil"/>
                  </w:tcBorders>
                  <w:noWrap w:val="0"/>
                  <w:vAlign w:val="center"/>
                </w:tcPr>
                <w:p w14:paraId="21CB0173">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0.00</w:t>
                  </w:r>
                </w:p>
              </w:tc>
              <w:tc>
                <w:tcPr>
                  <w:tcW w:w="1476" w:type="dxa"/>
                  <w:tcBorders>
                    <w:tl2br w:val="nil"/>
                    <w:tr2bl w:val="nil"/>
                  </w:tcBorders>
                  <w:noWrap w:val="0"/>
                  <w:vAlign w:val="center"/>
                </w:tcPr>
                <w:p w14:paraId="26E38133">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-0.0013</w:t>
                  </w:r>
                </w:p>
              </w:tc>
            </w:tr>
            <w:tr w14:paraId="0BA95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1137" w:type="dxa"/>
                  <w:vMerge w:val="continue"/>
                  <w:tcBorders>
                    <w:tl2br w:val="nil"/>
                    <w:tr2bl w:val="nil"/>
                  </w:tcBorders>
                  <w:noWrap w:val="0"/>
                  <w:vAlign w:val="center"/>
                </w:tcPr>
                <w:p w14:paraId="0F061629">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cs="Times New Roman"/>
                      <w:color w:val="auto"/>
                      <w:spacing w:val="2"/>
                      <w:sz w:val="21"/>
                      <w:szCs w:val="21"/>
                      <w:highlight w:val="none"/>
                    </w:rPr>
                  </w:pPr>
                </w:p>
              </w:tc>
              <w:tc>
                <w:tcPr>
                  <w:tcW w:w="1976" w:type="dxa"/>
                  <w:gridSpan w:val="2"/>
                  <w:tcBorders>
                    <w:tl2br w:val="nil"/>
                    <w:tr2bl w:val="nil"/>
                  </w:tcBorders>
                  <w:noWrap w:val="0"/>
                  <w:vAlign w:val="center"/>
                </w:tcPr>
                <w:p w14:paraId="4C7ABFAB">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eastAsia"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小计</w:t>
                  </w:r>
                </w:p>
              </w:tc>
              <w:tc>
                <w:tcPr>
                  <w:tcW w:w="887" w:type="dxa"/>
                  <w:tcBorders>
                    <w:tl2br w:val="nil"/>
                    <w:tr2bl w:val="nil"/>
                  </w:tcBorders>
                  <w:noWrap w:val="0"/>
                  <w:vAlign w:val="center"/>
                </w:tcPr>
                <w:p w14:paraId="1F85FA3C">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0.0082</w:t>
                  </w:r>
                </w:p>
              </w:tc>
              <w:tc>
                <w:tcPr>
                  <w:tcW w:w="800" w:type="dxa"/>
                  <w:tcBorders>
                    <w:tl2br w:val="nil"/>
                    <w:tr2bl w:val="nil"/>
                  </w:tcBorders>
                  <w:noWrap w:val="0"/>
                  <w:vAlign w:val="center"/>
                </w:tcPr>
                <w:p w14:paraId="165CE28D">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0.87</w:t>
                  </w:r>
                </w:p>
              </w:tc>
              <w:tc>
                <w:tcPr>
                  <w:tcW w:w="888" w:type="dxa"/>
                  <w:tcBorders>
                    <w:tl2br w:val="nil"/>
                    <w:tr2bl w:val="nil"/>
                  </w:tcBorders>
                  <w:noWrap w:val="0"/>
                  <w:vAlign w:val="center"/>
                </w:tcPr>
                <w:p w14:paraId="616CB23A">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0.0000</w:t>
                  </w:r>
                </w:p>
              </w:tc>
              <w:tc>
                <w:tcPr>
                  <w:tcW w:w="700" w:type="dxa"/>
                  <w:tcBorders>
                    <w:tl2br w:val="nil"/>
                    <w:tr2bl w:val="nil"/>
                  </w:tcBorders>
                  <w:noWrap w:val="0"/>
                  <w:vAlign w:val="center"/>
                </w:tcPr>
                <w:p w14:paraId="66D83A06">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0.00</w:t>
                  </w:r>
                </w:p>
              </w:tc>
              <w:tc>
                <w:tcPr>
                  <w:tcW w:w="1476" w:type="dxa"/>
                  <w:tcBorders>
                    <w:tl2br w:val="nil"/>
                    <w:tr2bl w:val="nil"/>
                  </w:tcBorders>
                  <w:noWrap w:val="0"/>
                  <w:vAlign w:val="center"/>
                </w:tcPr>
                <w:p w14:paraId="44038281">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-0.0082</w:t>
                  </w:r>
                </w:p>
              </w:tc>
            </w:tr>
            <w:tr w14:paraId="65C7A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7" w:hRule="atLeast"/>
                <w:jc w:val="center"/>
              </w:trPr>
              <w:tc>
                <w:tcPr>
                  <w:tcW w:w="1137" w:type="dxa"/>
                  <w:vMerge w:val="restart"/>
                  <w:tcBorders>
                    <w:tl2br w:val="nil"/>
                    <w:tr2bl w:val="nil"/>
                  </w:tcBorders>
                  <w:noWrap w:val="0"/>
                  <w:vAlign w:val="center"/>
                </w:tcPr>
                <w:p w14:paraId="4BAC5A4C">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水域及水利设施用地</w:t>
                  </w:r>
                </w:p>
              </w:tc>
              <w:tc>
                <w:tcPr>
                  <w:tcW w:w="838" w:type="dxa"/>
                  <w:tcBorders>
                    <w:tl2br w:val="nil"/>
                    <w:tr2bl w:val="nil"/>
                  </w:tcBorders>
                  <w:noWrap w:val="0"/>
                  <w:vAlign w:val="center"/>
                </w:tcPr>
                <w:p w14:paraId="50EDA679">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1109</w:t>
                  </w:r>
                </w:p>
              </w:tc>
              <w:tc>
                <w:tcPr>
                  <w:tcW w:w="1138" w:type="dxa"/>
                  <w:tcBorders>
                    <w:tl2br w:val="nil"/>
                    <w:tr2bl w:val="nil"/>
                  </w:tcBorders>
                  <w:noWrap w:val="0"/>
                  <w:vAlign w:val="center"/>
                </w:tcPr>
                <w:p w14:paraId="01C4081F">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水工建筑用地</w:t>
                  </w:r>
                </w:p>
              </w:tc>
              <w:tc>
                <w:tcPr>
                  <w:tcW w:w="887" w:type="dxa"/>
                  <w:tcBorders>
                    <w:tl2br w:val="nil"/>
                    <w:tr2bl w:val="nil"/>
                  </w:tcBorders>
                  <w:noWrap w:val="0"/>
                  <w:vAlign w:val="center"/>
                </w:tcPr>
                <w:p w14:paraId="36BCCF80">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0.2314</w:t>
                  </w:r>
                </w:p>
              </w:tc>
              <w:tc>
                <w:tcPr>
                  <w:tcW w:w="800" w:type="dxa"/>
                  <w:tcBorders>
                    <w:tl2br w:val="nil"/>
                    <w:tr2bl w:val="nil"/>
                  </w:tcBorders>
                  <w:noWrap w:val="0"/>
                  <w:vAlign w:val="center"/>
                </w:tcPr>
                <w:p w14:paraId="70DB3A29">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24.67</w:t>
                  </w:r>
                </w:p>
              </w:tc>
              <w:tc>
                <w:tcPr>
                  <w:tcW w:w="888" w:type="dxa"/>
                  <w:tcBorders>
                    <w:tl2br w:val="nil"/>
                    <w:tr2bl w:val="nil"/>
                  </w:tcBorders>
                  <w:noWrap w:val="0"/>
                  <w:vAlign w:val="center"/>
                </w:tcPr>
                <w:p w14:paraId="230D1BCE">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0.2314</w:t>
                  </w:r>
                </w:p>
              </w:tc>
              <w:tc>
                <w:tcPr>
                  <w:tcW w:w="700" w:type="dxa"/>
                  <w:tcBorders>
                    <w:tl2br w:val="nil"/>
                    <w:tr2bl w:val="nil"/>
                  </w:tcBorders>
                  <w:noWrap w:val="0"/>
                  <w:vAlign w:val="center"/>
                </w:tcPr>
                <w:p w14:paraId="276C6DA0">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24.67</w:t>
                  </w:r>
                </w:p>
              </w:tc>
              <w:tc>
                <w:tcPr>
                  <w:tcW w:w="1476" w:type="dxa"/>
                  <w:tcBorders>
                    <w:tl2br w:val="nil"/>
                    <w:tr2bl w:val="nil"/>
                  </w:tcBorders>
                  <w:noWrap w:val="0"/>
                  <w:vAlign w:val="center"/>
                </w:tcPr>
                <w:p w14:paraId="31945654">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0.0000</w:t>
                  </w:r>
                </w:p>
              </w:tc>
            </w:tr>
            <w:tr w14:paraId="025CBF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7" w:hRule="atLeast"/>
                <w:jc w:val="center"/>
              </w:trPr>
              <w:tc>
                <w:tcPr>
                  <w:tcW w:w="1137" w:type="dxa"/>
                  <w:vMerge w:val="continue"/>
                  <w:tcBorders>
                    <w:tl2br w:val="nil"/>
                    <w:tr2bl w:val="nil"/>
                  </w:tcBorders>
                  <w:noWrap w:val="0"/>
                  <w:vAlign w:val="center"/>
                </w:tcPr>
                <w:p w14:paraId="51530B10">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pPr>
                </w:p>
              </w:tc>
              <w:tc>
                <w:tcPr>
                  <w:tcW w:w="1976" w:type="dxa"/>
                  <w:gridSpan w:val="2"/>
                  <w:tcBorders>
                    <w:tl2br w:val="nil"/>
                    <w:tr2bl w:val="nil"/>
                  </w:tcBorders>
                  <w:noWrap w:val="0"/>
                  <w:vAlign w:val="center"/>
                </w:tcPr>
                <w:p w14:paraId="4B0DDD72">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eastAsia"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小计</w:t>
                  </w:r>
                </w:p>
              </w:tc>
              <w:tc>
                <w:tcPr>
                  <w:tcW w:w="887" w:type="dxa"/>
                  <w:tcBorders>
                    <w:tl2br w:val="nil"/>
                    <w:tr2bl w:val="nil"/>
                  </w:tcBorders>
                  <w:noWrap w:val="0"/>
                  <w:vAlign w:val="center"/>
                </w:tcPr>
                <w:p w14:paraId="138F047B">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0.2314</w:t>
                  </w:r>
                </w:p>
              </w:tc>
              <w:tc>
                <w:tcPr>
                  <w:tcW w:w="800" w:type="dxa"/>
                  <w:tcBorders>
                    <w:tl2br w:val="nil"/>
                    <w:tr2bl w:val="nil"/>
                  </w:tcBorders>
                  <w:noWrap w:val="0"/>
                  <w:vAlign w:val="center"/>
                </w:tcPr>
                <w:p w14:paraId="2809F910">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24.67</w:t>
                  </w:r>
                </w:p>
              </w:tc>
              <w:tc>
                <w:tcPr>
                  <w:tcW w:w="888" w:type="dxa"/>
                  <w:tcBorders>
                    <w:tl2br w:val="nil"/>
                    <w:tr2bl w:val="nil"/>
                  </w:tcBorders>
                  <w:noWrap w:val="0"/>
                  <w:vAlign w:val="center"/>
                </w:tcPr>
                <w:p w14:paraId="75178CCD">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0.2314</w:t>
                  </w:r>
                </w:p>
              </w:tc>
              <w:tc>
                <w:tcPr>
                  <w:tcW w:w="700" w:type="dxa"/>
                  <w:tcBorders>
                    <w:tl2br w:val="nil"/>
                    <w:tr2bl w:val="nil"/>
                  </w:tcBorders>
                  <w:noWrap w:val="0"/>
                  <w:vAlign w:val="center"/>
                </w:tcPr>
                <w:p w14:paraId="40D6842B">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24.67</w:t>
                  </w:r>
                </w:p>
              </w:tc>
              <w:tc>
                <w:tcPr>
                  <w:tcW w:w="1476" w:type="dxa"/>
                  <w:tcBorders>
                    <w:tl2br w:val="nil"/>
                    <w:tr2bl w:val="nil"/>
                  </w:tcBorders>
                  <w:noWrap w:val="0"/>
                  <w:vAlign w:val="center"/>
                </w:tcPr>
                <w:p w14:paraId="7A043976">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0.0000</w:t>
                  </w:r>
                </w:p>
              </w:tc>
            </w:tr>
            <w:tr w14:paraId="7E64D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 w:hRule="atLeast"/>
                <w:jc w:val="center"/>
              </w:trPr>
              <w:tc>
                <w:tcPr>
                  <w:tcW w:w="1137" w:type="dxa"/>
                  <w:vMerge w:val="restart"/>
                  <w:tcBorders>
                    <w:tl2br w:val="nil"/>
                    <w:tr2bl w:val="nil"/>
                  </w:tcBorders>
                  <w:noWrap w:val="0"/>
                  <w:vAlign w:val="center"/>
                </w:tcPr>
                <w:p w14:paraId="065AB3B2">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工矿用地</w:t>
                  </w:r>
                </w:p>
              </w:tc>
              <w:tc>
                <w:tcPr>
                  <w:tcW w:w="838" w:type="dxa"/>
                  <w:tcBorders>
                    <w:tl2br w:val="nil"/>
                    <w:tr2bl w:val="nil"/>
                  </w:tcBorders>
                  <w:noWrap w:val="0"/>
                  <w:vAlign w:val="center"/>
                </w:tcPr>
                <w:p w14:paraId="46D273B0">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0602</w:t>
                  </w:r>
                </w:p>
              </w:tc>
              <w:tc>
                <w:tcPr>
                  <w:tcW w:w="1138" w:type="dxa"/>
                  <w:tcBorders>
                    <w:tl2br w:val="nil"/>
                    <w:tr2bl w:val="nil"/>
                  </w:tcBorders>
                  <w:noWrap w:val="0"/>
                  <w:vAlign w:val="center"/>
                </w:tcPr>
                <w:p w14:paraId="23D82DE0">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eastAsia"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采矿用地</w:t>
                  </w:r>
                </w:p>
              </w:tc>
              <w:tc>
                <w:tcPr>
                  <w:tcW w:w="887" w:type="dxa"/>
                  <w:tcBorders>
                    <w:tl2br w:val="nil"/>
                    <w:tr2bl w:val="nil"/>
                  </w:tcBorders>
                  <w:noWrap w:val="0"/>
                  <w:vAlign w:val="center"/>
                </w:tcPr>
                <w:p w14:paraId="4307DC1A">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0.5279</w:t>
                  </w:r>
                </w:p>
              </w:tc>
              <w:tc>
                <w:tcPr>
                  <w:tcW w:w="800" w:type="dxa"/>
                  <w:tcBorders>
                    <w:tl2br w:val="nil"/>
                    <w:tr2bl w:val="nil"/>
                  </w:tcBorders>
                  <w:noWrap w:val="0"/>
                  <w:vAlign w:val="center"/>
                </w:tcPr>
                <w:p w14:paraId="1F4E2520">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56.29</w:t>
                  </w:r>
                </w:p>
              </w:tc>
              <w:tc>
                <w:tcPr>
                  <w:tcW w:w="888" w:type="dxa"/>
                  <w:tcBorders>
                    <w:tl2br w:val="nil"/>
                    <w:tr2bl w:val="nil"/>
                  </w:tcBorders>
                  <w:noWrap w:val="0"/>
                  <w:vAlign w:val="center"/>
                </w:tcPr>
                <w:p w14:paraId="74D05A75">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0.5279</w:t>
                  </w:r>
                </w:p>
              </w:tc>
              <w:tc>
                <w:tcPr>
                  <w:tcW w:w="700" w:type="dxa"/>
                  <w:tcBorders>
                    <w:tl2br w:val="nil"/>
                    <w:tr2bl w:val="nil"/>
                  </w:tcBorders>
                  <w:noWrap w:val="0"/>
                  <w:vAlign w:val="center"/>
                </w:tcPr>
                <w:p w14:paraId="437C66EC">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56.29</w:t>
                  </w:r>
                </w:p>
              </w:tc>
              <w:tc>
                <w:tcPr>
                  <w:tcW w:w="1476" w:type="dxa"/>
                  <w:tcBorders>
                    <w:tl2br w:val="nil"/>
                    <w:tr2bl w:val="nil"/>
                  </w:tcBorders>
                  <w:noWrap w:val="0"/>
                  <w:vAlign w:val="center"/>
                </w:tcPr>
                <w:p w14:paraId="7CBCDF1D">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0.0000</w:t>
                  </w:r>
                </w:p>
              </w:tc>
            </w:tr>
            <w:tr w14:paraId="7C79D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 w:hRule="atLeast"/>
                <w:jc w:val="center"/>
              </w:trPr>
              <w:tc>
                <w:tcPr>
                  <w:tcW w:w="1137" w:type="dxa"/>
                  <w:vMerge w:val="continue"/>
                  <w:tcBorders>
                    <w:tl2br w:val="nil"/>
                    <w:tr2bl w:val="nil"/>
                  </w:tcBorders>
                  <w:noWrap w:val="0"/>
                  <w:vAlign w:val="center"/>
                </w:tcPr>
                <w:p w14:paraId="30DDFAEA">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pPr>
                </w:p>
              </w:tc>
              <w:tc>
                <w:tcPr>
                  <w:tcW w:w="1976" w:type="dxa"/>
                  <w:gridSpan w:val="2"/>
                  <w:tcBorders>
                    <w:tl2br w:val="nil"/>
                    <w:tr2bl w:val="nil"/>
                  </w:tcBorders>
                  <w:noWrap w:val="0"/>
                  <w:vAlign w:val="center"/>
                </w:tcPr>
                <w:p w14:paraId="5418BB74">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eastAsia"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小计</w:t>
                  </w:r>
                </w:p>
              </w:tc>
              <w:tc>
                <w:tcPr>
                  <w:tcW w:w="887" w:type="dxa"/>
                  <w:tcBorders>
                    <w:tl2br w:val="nil"/>
                    <w:tr2bl w:val="nil"/>
                  </w:tcBorders>
                  <w:noWrap w:val="0"/>
                  <w:vAlign w:val="center"/>
                </w:tcPr>
                <w:p w14:paraId="4066FAC4">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0.5279</w:t>
                  </w:r>
                </w:p>
              </w:tc>
              <w:tc>
                <w:tcPr>
                  <w:tcW w:w="800" w:type="dxa"/>
                  <w:tcBorders>
                    <w:tl2br w:val="nil"/>
                    <w:tr2bl w:val="nil"/>
                  </w:tcBorders>
                  <w:noWrap w:val="0"/>
                  <w:vAlign w:val="center"/>
                </w:tcPr>
                <w:p w14:paraId="2197A081">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56.29</w:t>
                  </w:r>
                </w:p>
              </w:tc>
              <w:tc>
                <w:tcPr>
                  <w:tcW w:w="888" w:type="dxa"/>
                  <w:tcBorders>
                    <w:tl2br w:val="nil"/>
                    <w:tr2bl w:val="nil"/>
                  </w:tcBorders>
                  <w:noWrap w:val="0"/>
                  <w:vAlign w:val="center"/>
                </w:tcPr>
                <w:p w14:paraId="0991EABF">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0.5279</w:t>
                  </w:r>
                </w:p>
              </w:tc>
              <w:tc>
                <w:tcPr>
                  <w:tcW w:w="700" w:type="dxa"/>
                  <w:tcBorders>
                    <w:tl2br w:val="nil"/>
                    <w:tr2bl w:val="nil"/>
                  </w:tcBorders>
                  <w:noWrap w:val="0"/>
                  <w:vAlign w:val="center"/>
                </w:tcPr>
                <w:p w14:paraId="32242048">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56.29</w:t>
                  </w:r>
                </w:p>
              </w:tc>
              <w:tc>
                <w:tcPr>
                  <w:tcW w:w="1476" w:type="dxa"/>
                  <w:tcBorders>
                    <w:tl2br w:val="nil"/>
                    <w:tr2bl w:val="nil"/>
                  </w:tcBorders>
                  <w:noWrap w:val="0"/>
                  <w:vAlign w:val="center"/>
                </w:tcPr>
                <w:p w14:paraId="6CFF761B">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0.0000</w:t>
                  </w:r>
                </w:p>
              </w:tc>
            </w:tr>
            <w:tr w14:paraId="56D7F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jc w:val="center"/>
              </w:trPr>
              <w:tc>
                <w:tcPr>
                  <w:tcW w:w="1137" w:type="dxa"/>
                  <w:vMerge w:val="restart"/>
                  <w:tcBorders>
                    <w:tl2br w:val="nil"/>
                    <w:tr2bl w:val="nil"/>
                  </w:tcBorders>
                  <w:noWrap w:val="0"/>
                  <w:vAlign w:val="center"/>
                </w:tcPr>
                <w:p w14:paraId="619DAB76">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公共管理与公共服务用地</w:t>
                  </w:r>
                </w:p>
              </w:tc>
              <w:tc>
                <w:tcPr>
                  <w:tcW w:w="838" w:type="dxa"/>
                  <w:tcBorders>
                    <w:tl2br w:val="nil"/>
                    <w:tr2bl w:val="nil"/>
                  </w:tcBorders>
                  <w:noWrap w:val="0"/>
                  <w:vAlign w:val="center"/>
                </w:tcPr>
                <w:p w14:paraId="3F7E3B09">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0809</w:t>
                  </w:r>
                </w:p>
              </w:tc>
              <w:tc>
                <w:tcPr>
                  <w:tcW w:w="1138" w:type="dxa"/>
                  <w:tcBorders>
                    <w:tl2br w:val="nil"/>
                    <w:tr2bl w:val="nil"/>
                  </w:tcBorders>
                  <w:noWrap w:val="0"/>
                  <w:vAlign w:val="center"/>
                </w:tcPr>
                <w:p w14:paraId="56A0A250">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eastAsia"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公共设施用地</w:t>
                  </w:r>
                </w:p>
              </w:tc>
              <w:tc>
                <w:tcPr>
                  <w:tcW w:w="887" w:type="dxa"/>
                  <w:tcBorders>
                    <w:tl2br w:val="nil"/>
                    <w:tr2bl w:val="nil"/>
                  </w:tcBorders>
                  <w:noWrap w:val="0"/>
                  <w:vAlign w:val="center"/>
                </w:tcPr>
                <w:p w14:paraId="44065CFC">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0.0255</w:t>
                  </w:r>
                </w:p>
              </w:tc>
              <w:tc>
                <w:tcPr>
                  <w:tcW w:w="800" w:type="dxa"/>
                  <w:tcBorders>
                    <w:tl2br w:val="nil"/>
                    <w:tr2bl w:val="nil"/>
                  </w:tcBorders>
                  <w:noWrap w:val="0"/>
                  <w:vAlign w:val="center"/>
                </w:tcPr>
                <w:p w14:paraId="22878D7B">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2.72</w:t>
                  </w:r>
                </w:p>
              </w:tc>
              <w:tc>
                <w:tcPr>
                  <w:tcW w:w="888" w:type="dxa"/>
                  <w:tcBorders>
                    <w:tl2br w:val="nil"/>
                    <w:tr2bl w:val="nil"/>
                  </w:tcBorders>
                  <w:noWrap w:val="0"/>
                  <w:vAlign w:val="center"/>
                </w:tcPr>
                <w:p w14:paraId="6038AB79">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0.0255</w:t>
                  </w:r>
                </w:p>
              </w:tc>
              <w:tc>
                <w:tcPr>
                  <w:tcW w:w="700" w:type="dxa"/>
                  <w:tcBorders>
                    <w:tl2br w:val="nil"/>
                    <w:tr2bl w:val="nil"/>
                  </w:tcBorders>
                  <w:noWrap w:val="0"/>
                  <w:vAlign w:val="center"/>
                </w:tcPr>
                <w:p w14:paraId="275AC6BD">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2.72</w:t>
                  </w:r>
                </w:p>
              </w:tc>
              <w:tc>
                <w:tcPr>
                  <w:tcW w:w="1476" w:type="dxa"/>
                  <w:tcBorders>
                    <w:tl2br w:val="nil"/>
                    <w:tr2bl w:val="nil"/>
                  </w:tcBorders>
                  <w:noWrap w:val="0"/>
                  <w:vAlign w:val="center"/>
                </w:tcPr>
                <w:p w14:paraId="22CB4E8B">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0.0000</w:t>
                  </w:r>
                </w:p>
              </w:tc>
            </w:tr>
            <w:tr w14:paraId="466B10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jc w:val="center"/>
              </w:trPr>
              <w:tc>
                <w:tcPr>
                  <w:tcW w:w="1137" w:type="dxa"/>
                  <w:vMerge w:val="continue"/>
                  <w:tcBorders>
                    <w:tl2br w:val="nil"/>
                    <w:tr2bl w:val="nil"/>
                  </w:tcBorders>
                  <w:noWrap w:val="0"/>
                  <w:vAlign w:val="center"/>
                </w:tcPr>
                <w:p w14:paraId="22529510">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pPr>
                </w:p>
              </w:tc>
              <w:tc>
                <w:tcPr>
                  <w:tcW w:w="1976" w:type="dxa"/>
                  <w:gridSpan w:val="2"/>
                  <w:tcBorders>
                    <w:tl2br w:val="nil"/>
                    <w:tr2bl w:val="nil"/>
                  </w:tcBorders>
                  <w:noWrap w:val="0"/>
                  <w:vAlign w:val="center"/>
                </w:tcPr>
                <w:p w14:paraId="33D587EA">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eastAsia"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小计</w:t>
                  </w:r>
                </w:p>
              </w:tc>
              <w:tc>
                <w:tcPr>
                  <w:tcW w:w="887" w:type="dxa"/>
                  <w:tcBorders>
                    <w:tl2br w:val="nil"/>
                    <w:tr2bl w:val="nil"/>
                  </w:tcBorders>
                  <w:noWrap w:val="0"/>
                  <w:vAlign w:val="center"/>
                </w:tcPr>
                <w:p w14:paraId="7D641722">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0.0255</w:t>
                  </w:r>
                </w:p>
              </w:tc>
              <w:tc>
                <w:tcPr>
                  <w:tcW w:w="800" w:type="dxa"/>
                  <w:tcBorders>
                    <w:tl2br w:val="nil"/>
                    <w:tr2bl w:val="nil"/>
                  </w:tcBorders>
                  <w:noWrap w:val="0"/>
                  <w:vAlign w:val="center"/>
                </w:tcPr>
                <w:p w14:paraId="756B3F3D">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2.72</w:t>
                  </w:r>
                </w:p>
              </w:tc>
              <w:tc>
                <w:tcPr>
                  <w:tcW w:w="888" w:type="dxa"/>
                  <w:tcBorders>
                    <w:tl2br w:val="nil"/>
                    <w:tr2bl w:val="nil"/>
                  </w:tcBorders>
                  <w:noWrap w:val="0"/>
                  <w:vAlign w:val="center"/>
                </w:tcPr>
                <w:p w14:paraId="7925C03C">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0.0255</w:t>
                  </w:r>
                </w:p>
              </w:tc>
              <w:tc>
                <w:tcPr>
                  <w:tcW w:w="700" w:type="dxa"/>
                  <w:tcBorders>
                    <w:tl2br w:val="nil"/>
                    <w:tr2bl w:val="nil"/>
                  </w:tcBorders>
                  <w:noWrap w:val="0"/>
                  <w:vAlign w:val="center"/>
                </w:tcPr>
                <w:p w14:paraId="6949E048">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2.72</w:t>
                  </w:r>
                </w:p>
              </w:tc>
              <w:tc>
                <w:tcPr>
                  <w:tcW w:w="1476" w:type="dxa"/>
                  <w:tcBorders>
                    <w:tl2br w:val="nil"/>
                    <w:tr2bl w:val="nil"/>
                  </w:tcBorders>
                  <w:noWrap w:val="0"/>
                  <w:vAlign w:val="center"/>
                </w:tcPr>
                <w:p w14:paraId="3AB53009">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0.0000</w:t>
                  </w:r>
                </w:p>
              </w:tc>
            </w:tr>
            <w:tr w14:paraId="152F5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jc w:val="center"/>
              </w:trPr>
              <w:tc>
                <w:tcPr>
                  <w:tcW w:w="3113" w:type="dxa"/>
                  <w:gridSpan w:val="3"/>
                  <w:tcBorders>
                    <w:tl2br w:val="nil"/>
                    <w:tr2bl w:val="nil"/>
                  </w:tcBorders>
                  <w:noWrap w:val="0"/>
                  <w:vAlign w:val="center"/>
                </w:tcPr>
                <w:p w14:paraId="07B067EE">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合计</w:t>
                  </w:r>
                </w:p>
              </w:tc>
              <w:tc>
                <w:tcPr>
                  <w:tcW w:w="887" w:type="dxa"/>
                  <w:tcBorders>
                    <w:tl2br w:val="nil"/>
                    <w:tr2bl w:val="nil"/>
                  </w:tcBorders>
                  <w:noWrap w:val="0"/>
                  <w:vAlign w:val="center"/>
                </w:tcPr>
                <w:p w14:paraId="52A01AC6">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0.9379</w:t>
                  </w:r>
                </w:p>
              </w:tc>
              <w:tc>
                <w:tcPr>
                  <w:tcW w:w="800" w:type="dxa"/>
                  <w:tcBorders>
                    <w:tl2br w:val="nil"/>
                    <w:tr2bl w:val="nil"/>
                  </w:tcBorders>
                  <w:noWrap w:val="0"/>
                  <w:vAlign w:val="center"/>
                </w:tcPr>
                <w:p w14:paraId="4BD57CC4">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100.00</w:t>
                  </w:r>
                </w:p>
              </w:tc>
              <w:tc>
                <w:tcPr>
                  <w:tcW w:w="888" w:type="dxa"/>
                  <w:tcBorders>
                    <w:tl2br w:val="nil"/>
                    <w:tr2bl w:val="nil"/>
                  </w:tcBorders>
                  <w:noWrap w:val="0"/>
                  <w:vAlign w:val="center"/>
                </w:tcPr>
                <w:p w14:paraId="3EC50FBA">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0.9379</w:t>
                  </w:r>
                </w:p>
              </w:tc>
              <w:tc>
                <w:tcPr>
                  <w:tcW w:w="700" w:type="dxa"/>
                  <w:tcBorders>
                    <w:tl2br w:val="nil"/>
                    <w:tr2bl w:val="nil"/>
                  </w:tcBorders>
                  <w:noWrap w:val="0"/>
                  <w:vAlign w:val="center"/>
                </w:tcPr>
                <w:p w14:paraId="3072FEE2">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100.00</w:t>
                  </w:r>
                </w:p>
              </w:tc>
              <w:tc>
                <w:tcPr>
                  <w:tcW w:w="1476" w:type="dxa"/>
                  <w:tcBorders>
                    <w:tl2br w:val="nil"/>
                    <w:tr2bl w:val="nil"/>
                  </w:tcBorders>
                  <w:noWrap w:val="0"/>
                  <w:vAlign w:val="center"/>
                </w:tcPr>
                <w:p w14:paraId="6AE421D9">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00.0000</w:t>
                  </w:r>
                </w:p>
              </w:tc>
            </w:tr>
          </w:tbl>
          <w:p w14:paraId="3F4864CE">
            <w:pPr>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7、公用工程</w:t>
            </w:r>
          </w:p>
          <w:p w14:paraId="4C0822B6">
            <w:pPr>
              <w:widowControl/>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（1）给水</w:t>
            </w:r>
          </w:p>
          <w:p w14:paraId="5E890794">
            <w:pPr>
              <w:widowControl/>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本项目为临时工程，施工期间工作人员生活用水，由建设单位统一采购桶装水使用。车辆冲洗用水、洒水抑尘用水和施工用水</w:t>
            </w:r>
            <w:r>
              <w:rPr>
                <w:rFonts w:hint="default" w:ascii="Times New Roman" w:hAnsi="Times New Roman" w:cs="Times New Roman"/>
                <w:bCs/>
                <w:color w:val="auto"/>
                <w:sz w:val="24"/>
                <w:highlight w:val="none"/>
              </w:rPr>
              <w:t>全部由</w:t>
            </w:r>
            <w:r>
              <w:rPr>
                <w:rFonts w:hint="eastAsia" w:cs="Times New Roman"/>
                <w:bCs/>
                <w:color w:val="auto"/>
                <w:sz w:val="24"/>
                <w:highlight w:val="none"/>
                <w:lang w:val="en-US" w:eastAsia="zh-CN"/>
              </w:rPr>
              <w:t>附近村庄供水设施提供</w:t>
            </w:r>
            <w:r>
              <w:rPr>
                <w:rFonts w:hint="default" w:ascii="Times New Roman" w:hAnsi="Times New Roman" w:cs="Times New Roman"/>
                <w:color w:val="auto"/>
                <w:sz w:val="24"/>
                <w:highlight w:val="none"/>
              </w:rPr>
              <w:t>。</w:t>
            </w:r>
          </w:p>
          <w:p w14:paraId="6B39A0C0">
            <w:pPr>
              <w:widowControl/>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①生活用排水</w:t>
            </w:r>
          </w:p>
          <w:p w14:paraId="2E70AB09">
            <w:pPr>
              <w:widowControl/>
              <w:spacing w:line="360" w:lineRule="auto"/>
              <w:ind w:firstLine="480" w:firstLineChars="200"/>
              <w:jc w:val="left"/>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项目施工期间场地员工约</w:t>
            </w:r>
            <w:r>
              <w:rPr>
                <w:rFonts w:hint="eastAsia" w:cs="Times New Roman"/>
                <w:color w:val="auto"/>
                <w:sz w:val="24"/>
                <w:highlight w:val="none"/>
                <w:lang w:val="en-US" w:eastAsia="zh-CN"/>
              </w:rPr>
              <w:t>20</w:t>
            </w:r>
            <w:r>
              <w:rPr>
                <w:rFonts w:hint="default" w:ascii="Times New Roman" w:hAnsi="Times New Roman" w:cs="Times New Roman"/>
                <w:color w:val="auto"/>
                <w:sz w:val="24"/>
                <w:highlight w:val="none"/>
              </w:rPr>
              <w:t>人，施工期</w:t>
            </w:r>
            <w:r>
              <w:rPr>
                <w:rFonts w:hint="eastAsia" w:cs="Times New Roman"/>
                <w:color w:val="auto"/>
                <w:sz w:val="24"/>
                <w:highlight w:val="none"/>
                <w:lang w:val="en-US" w:eastAsia="zh-CN"/>
              </w:rPr>
              <w:t>365</w:t>
            </w:r>
            <w:r>
              <w:rPr>
                <w:rFonts w:hint="default" w:ascii="Times New Roman" w:hAnsi="Times New Roman" w:cs="Times New Roman"/>
                <w:color w:val="auto"/>
                <w:sz w:val="24"/>
                <w:highlight w:val="none"/>
              </w:rPr>
              <w:t>天，场区</w:t>
            </w:r>
            <w:r>
              <w:rPr>
                <w:rFonts w:hint="eastAsia" w:cs="Times New Roman"/>
                <w:color w:val="auto"/>
                <w:sz w:val="24"/>
                <w:highlight w:val="none"/>
                <w:lang w:val="en-US" w:eastAsia="zh-CN"/>
              </w:rPr>
              <w:t>不</w:t>
            </w:r>
            <w:r>
              <w:rPr>
                <w:rFonts w:hint="default" w:ascii="Times New Roman" w:hAnsi="Times New Roman" w:cs="Times New Roman"/>
                <w:color w:val="auto"/>
                <w:sz w:val="24"/>
                <w:highlight w:val="none"/>
              </w:rPr>
              <w:t>设置食堂</w:t>
            </w:r>
            <w:r>
              <w:rPr>
                <w:rFonts w:hint="eastAsia" w:cs="Times New Roman"/>
                <w:color w:val="auto"/>
                <w:sz w:val="24"/>
                <w:highlight w:val="none"/>
                <w:lang w:val="en-US" w:eastAsia="zh-CN"/>
              </w:rPr>
              <w:t>和宿舍</w:t>
            </w:r>
            <w:r>
              <w:rPr>
                <w:rFonts w:hint="default" w:ascii="Times New Roman" w:hAnsi="Times New Roman" w:cs="Times New Roman"/>
                <w:color w:val="auto"/>
                <w:sz w:val="24"/>
                <w:highlight w:val="none"/>
              </w:rPr>
              <w:t>，根据《安徽省行业用水定额》（DB34T679-2025），员工生活用水按60L/人·d计算，因此项目施工期生活用水量约为</w:t>
            </w:r>
            <w:r>
              <w:rPr>
                <w:rFonts w:hint="eastAsia" w:cs="Times New Roman"/>
                <w:color w:val="auto"/>
                <w:sz w:val="24"/>
                <w:highlight w:val="none"/>
                <w:lang w:val="en-US" w:eastAsia="zh-CN"/>
              </w:rPr>
              <w:t>1.2</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/d。施工期生活污水产生量按用水量的80%计，则项目生活污水产生量为</w:t>
            </w:r>
            <w:r>
              <w:rPr>
                <w:rFonts w:hint="eastAsia" w:cs="Times New Roman"/>
                <w:color w:val="auto"/>
                <w:sz w:val="24"/>
                <w:highlight w:val="none"/>
                <w:lang w:val="en-US" w:eastAsia="zh-CN"/>
              </w:rPr>
              <w:t>0.96</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/d，主要污染物为COD、SS、氨氮、BOD</w:t>
            </w:r>
            <w:r>
              <w:rPr>
                <w:rFonts w:hint="default" w:ascii="Times New Roman" w:hAnsi="Times New Roman" w:cs="Times New Roman"/>
                <w:color w:val="auto"/>
                <w:sz w:val="24"/>
                <w:highlight w:val="none"/>
                <w:vertAlign w:val="subscript"/>
              </w:rPr>
              <w:t>5</w:t>
            </w:r>
            <w:r>
              <w:rPr>
                <w:rFonts w:hint="default" w:ascii="Times New Roman" w:hAnsi="Times New Roman" w:cs="Times New Roman"/>
                <w:color w:val="auto"/>
                <w:sz w:val="24"/>
                <w:highlight w:val="none"/>
              </w:rPr>
              <w:t>。生活污水</w:t>
            </w:r>
            <w:r>
              <w:rPr>
                <w:rFonts w:hint="default" w:ascii="Times New Roman" w:hAnsi="Times New Roman" w:cs="Times New Roman"/>
                <w:color w:val="auto"/>
                <w:sz w:val="24"/>
                <w:highlight w:val="none"/>
                <w:lang w:val="en-US" w:eastAsia="zh-CN"/>
              </w:rPr>
              <w:t>一并</w:t>
            </w:r>
            <w:r>
              <w:rPr>
                <w:rFonts w:hint="default" w:ascii="Times New Roman" w:hAnsi="Times New Roman" w:cs="Times New Roman"/>
                <w:color w:val="auto"/>
                <w:sz w:val="24"/>
                <w:highlight w:val="none"/>
              </w:rPr>
              <w:t>经化粪池预处理后定期委托第三方使用吸污车运送至</w:t>
            </w:r>
            <w:r>
              <w:rPr>
                <w:rFonts w:hint="eastAsia" w:cs="Times New Roman"/>
                <w:color w:val="auto"/>
                <w:sz w:val="24"/>
                <w:highlight w:val="none"/>
                <w:lang w:val="en-US" w:eastAsia="zh-CN"/>
              </w:rPr>
              <w:t>新集一矿</w:t>
            </w:r>
            <w:r>
              <w:rPr>
                <w:rFonts w:hint="default" w:ascii="Times New Roman" w:hAnsi="Times New Roman" w:cs="Times New Roman"/>
                <w:color w:val="auto"/>
                <w:sz w:val="24"/>
                <w:highlight w:val="none"/>
              </w:rPr>
              <w:t>现有生活污水处理站进行处理。</w:t>
            </w:r>
          </w:p>
          <w:p w14:paraId="425F92BB">
            <w:pPr>
              <w:widowControl/>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②车辆冲洗用排水</w:t>
            </w:r>
          </w:p>
          <w:p w14:paraId="55C624BC">
            <w:pPr>
              <w:widowControl/>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本项目施工场地出口设置车辆冲洗装置一套，用于冲洗出场车辆车身及轮胎。根据《安徽省行业用水定额》洗车用水定额为0.09m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/（车次），根据建设单位提供经验，施工期场地每天进出车辆约15辆，</w:t>
            </w:r>
            <w:r>
              <w:rPr>
                <w:rFonts w:hint="default" w:ascii="Times New Roman" w:hAnsi="Times New Roman" w:cs="Times New Roman"/>
                <w:color w:val="auto"/>
                <w:kern w:val="0"/>
                <w:sz w:val="24"/>
                <w:highlight w:val="none"/>
              </w:rPr>
              <w:t>因此项目场地</w:t>
            </w:r>
            <w:r>
              <w:rPr>
                <w:rFonts w:hint="default" w:ascii="Times New Roman" w:hAnsi="Times New Roman" w:cs="Times New Roman"/>
                <w:color w:val="auto"/>
                <w:sz w:val="24"/>
                <w:highlight w:val="none"/>
              </w:rPr>
              <w:t>车辆冲洗用水为1.35</w:t>
            </w:r>
            <w:r>
              <w:rPr>
                <w:rFonts w:hint="default" w:ascii="Times New Roman" w:hAnsi="Times New Roman" w:cs="Times New Roman"/>
                <w:color w:val="auto"/>
                <w:kern w:val="0"/>
                <w:sz w:val="24"/>
                <w:highlight w:val="none"/>
              </w:rPr>
              <w:t>m</w:t>
            </w:r>
            <w:r>
              <w:rPr>
                <w:rFonts w:hint="default" w:ascii="Times New Roman" w:hAnsi="Times New Roman" w:cs="Times New Roman"/>
                <w:color w:val="auto"/>
                <w:kern w:val="0"/>
                <w:sz w:val="24"/>
                <w:highlight w:val="none"/>
                <w:vertAlign w:val="superscript"/>
              </w:rPr>
              <w:t xml:space="preserve">3 </w:t>
            </w:r>
            <w:r>
              <w:rPr>
                <w:rFonts w:hint="default" w:ascii="Times New Roman" w:hAnsi="Times New Roman" w:cs="Times New Roman"/>
                <w:color w:val="auto"/>
                <w:kern w:val="0"/>
                <w:sz w:val="24"/>
                <w:highlight w:val="none"/>
              </w:rPr>
              <w:t>/d，</w:t>
            </w:r>
            <w:r>
              <w:rPr>
                <w:rFonts w:hint="default" w:ascii="Times New Roman" w:hAnsi="Times New Roman" w:cs="Times New Roman"/>
                <w:color w:val="auto"/>
                <w:sz w:val="24"/>
                <w:highlight w:val="none"/>
              </w:rPr>
              <w:t>车辆冲洗约30%消耗（蒸发和车辆带走），</w:t>
            </w:r>
            <w:r>
              <w:rPr>
                <w:rFonts w:hint="default" w:ascii="Times New Roman" w:hAnsi="Times New Roman" w:cs="Times New Roman"/>
                <w:color w:val="auto"/>
                <w:kern w:val="0"/>
                <w:sz w:val="24"/>
                <w:highlight w:val="none"/>
              </w:rPr>
              <w:t>其余约</w:t>
            </w:r>
            <w:bookmarkStart w:id="6" w:name="OLE_LINK4"/>
            <w:r>
              <w:rPr>
                <w:rFonts w:hint="default" w:ascii="Times New Roman" w:hAnsi="Times New Roman" w:cs="Times New Roman"/>
                <w:color w:val="auto"/>
                <w:kern w:val="0"/>
                <w:sz w:val="24"/>
                <w:highlight w:val="none"/>
              </w:rPr>
              <w:t>0.945m</w:t>
            </w:r>
            <w:r>
              <w:rPr>
                <w:rFonts w:hint="default" w:ascii="Times New Roman" w:hAnsi="Times New Roman" w:cs="Times New Roman"/>
                <w:color w:val="auto"/>
                <w:kern w:val="0"/>
                <w:sz w:val="24"/>
                <w:highlight w:val="none"/>
                <w:vertAlign w:val="superscript"/>
              </w:rPr>
              <w:t>3</w:t>
            </w:r>
            <w:r>
              <w:rPr>
                <w:rFonts w:hint="default" w:ascii="Times New Roman" w:hAnsi="Times New Roman" w:cs="Times New Roman"/>
                <w:color w:val="auto"/>
                <w:kern w:val="0"/>
                <w:sz w:val="24"/>
                <w:highlight w:val="none"/>
              </w:rPr>
              <w:t>/d</w:t>
            </w:r>
            <w:bookmarkEnd w:id="6"/>
            <w:r>
              <w:rPr>
                <w:rFonts w:hint="default" w:ascii="Times New Roman" w:hAnsi="Times New Roman" w:cs="Times New Roman"/>
                <w:color w:val="auto"/>
                <w:kern w:val="0"/>
                <w:sz w:val="24"/>
                <w:highlight w:val="none"/>
              </w:rPr>
              <w:t>水经三级沉淀池处理后循环利用，不外排，每日补充水量约0.405m</w:t>
            </w:r>
            <w:r>
              <w:rPr>
                <w:rFonts w:hint="default" w:ascii="Times New Roman" w:hAnsi="Times New Roman" w:cs="Times New Roman"/>
                <w:color w:val="auto"/>
                <w:kern w:val="0"/>
                <w:sz w:val="24"/>
                <w:highlight w:val="none"/>
                <w:vertAlign w:val="superscript"/>
              </w:rPr>
              <w:t>3</w:t>
            </w:r>
            <w:r>
              <w:rPr>
                <w:rFonts w:hint="default" w:ascii="Times New Roman" w:hAnsi="Times New Roman" w:cs="Times New Roman"/>
                <w:color w:val="auto"/>
                <w:kern w:val="0"/>
                <w:sz w:val="24"/>
                <w:highlight w:val="none"/>
              </w:rPr>
              <w:t>/d。</w:t>
            </w:r>
          </w:p>
          <w:p w14:paraId="17C65C37">
            <w:pPr>
              <w:widowControl/>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③</w:t>
            </w:r>
            <w:r>
              <w:rPr>
                <w:rFonts w:hint="eastAsia" w:cs="Times New Roman"/>
                <w:color w:val="auto"/>
                <w:sz w:val="24"/>
                <w:highlight w:val="none"/>
                <w:lang w:val="en-US" w:eastAsia="zh-CN"/>
              </w:rPr>
              <w:t>场地洒水</w:t>
            </w:r>
            <w:r>
              <w:rPr>
                <w:rFonts w:hint="default" w:ascii="Times New Roman" w:hAnsi="Times New Roman" w:cs="Times New Roman"/>
                <w:color w:val="auto"/>
                <w:sz w:val="24"/>
                <w:highlight w:val="none"/>
              </w:rPr>
              <w:t>抑尘用排水</w:t>
            </w:r>
          </w:p>
          <w:p w14:paraId="7C9A6B63">
            <w:pPr>
              <w:widowControl/>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本项目施工</w:t>
            </w:r>
            <w:r>
              <w:rPr>
                <w:rFonts w:hint="eastAsia" w:cs="Times New Roman"/>
                <w:color w:val="auto"/>
                <w:sz w:val="24"/>
                <w:highlight w:val="none"/>
                <w:lang w:val="en-US" w:eastAsia="zh-CN"/>
              </w:rPr>
              <w:t>期间对</w:t>
            </w:r>
            <w:r>
              <w:rPr>
                <w:rFonts w:ascii="Segoe UI" w:hAnsi="Segoe UI" w:eastAsia="Segoe UI" w:cs="Segoe UI"/>
                <w:i w:val="0"/>
                <w:iCs w:val="0"/>
                <w:caps w:val="0"/>
                <w:color w:val="0F1115"/>
                <w:spacing w:val="0"/>
                <w:sz w:val="24"/>
                <w:szCs w:val="24"/>
                <w:shd w:val="clear" w:fill="FFFFFF"/>
              </w:rPr>
              <w:t>施工道路、钻场、材料堆场等</w:t>
            </w:r>
            <w:r>
              <w:rPr>
                <w:rFonts w:hint="eastAsia" w:ascii="Segoe UI" w:hAnsi="Segoe UI" w:eastAsia="宋体" w:cs="Segoe UI"/>
                <w:i w:val="0"/>
                <w:iCs w:val="0"/>
                <w:caps w:val="0"/>
                <w:color w:val="0F1115"/>
                <w:spacing w:val="0"/>
                <w:sz w:val="24"/>
                <w:szCs w:val="24"/>
                <w:shd w:val="clear" w:fill="FFFFFF"/>
                <w:lang w:val="en-US" w:eastAsia="zh-CN"/>
              </w:rPr>
              <w:t>进行</w:t>
            </w:r>
            <w:r>
              <w:rPr>
                <w:rFonts w:ascii="Segoe UI" w:hAnsi="Segoe UI" w:eastAsia="Segoe UI" w:cs="Segoe UI"/>
                <w:i w:val="0"/>
                <w:iCs w:val="0"/>
                <w:caps w:val="0"/>
                <w:color w:val="0F1115"/>
                <w:spacing w:val="0"/>
                <w:sz w:val="24"/>
                <w:szCs w:val="24"/>
                <w:shd w:val="clear" w:fill="FFFFFF"/>
              </w:rPr>
              <w:t>洒水抑尘</w:t>
            </w:r>
            <w:r>
              <w:rPr>
                <w:rFonts w:hint="default" w:ascii="Times New Roman" w:hAnsi="Times New Roman" w:cs="Times New Roman"/>
                <w:color w:val="auto"/>
                <w:sz w:val="24"/>
                <w:highlight w:val="none"/>
              </w:rPr>
              <w:t>，根据施工单位提供资料，</w:t>
            </w:r>
            <w:r>
              <w:rPr>
                <w:rFonts w:hint="eastAsia" w:cs="Times New Roman"/>
                <w:color w:val="auto"/>
                <w:sz w:val="24"/>
                <w:highlight w:val="none"/>
                <w:lang w:val="en-US" w:eastAsia="zh-CN"/>
              </w:rPr>
              <w:t>场地洒水抑尘</w:t>
            </w:r>
            <w:r>
              <w:rPr>
                <w:rFonts w:hint="default" w:ascii="Times New Roman" w:hAnsi="Times New Roman" w:cs="Times New Roman"/>
                <w:color w:val="auto"/>
                <w:sz w:val="24"/>
                <w:highlight w:val="none"/>
              </w:rPr>
              <w:t>用水约0.2</w:t>
            </w:r>
            <w:r>
              <w:rPr>
                <w:rFonts w:hint="default" w:ascii="Times New Roman" w:hAnsi="Times New Roman" w:cs="Times New Roman"/>
                <w:color w:val="auto"/>
                <w:kern w:val="0"/>
                <w:sz w:val="24"/>
                <w:highlight w:val="none"/>
              </w:rPr>
              <w:t>m</w:t>
            </w:r>
            <w:r>
              <w:rPr>
                <w:rFonts w:hint="default" w:ascii="Times New Roman" w:hAnsi="Times New Roman" w:cs="Times New Roman"/>
                <w:color w:val="auto"/>
                <w:kern w:val="0"/>
                <w:sz w:val="24"/>
                <w:highlight w:val="none"/>
                <w:vertAlign w:val="superscript"/>
              </w:rPr>
              <w:t xml:space="preserve">3 </w:t>
            </w:r>
            <w:r>
              <w:rPr>
                <w:rFonts w:hint="default" w:ascii="Times New Roman" w:hAnsi="Times New Roman" w:cs="Times New Roman"/>
                <w:color w:val="auto"/>
                <w:kern w:val="0"/>
                <w:sz w:val="24"/>
                <w:highlight w:val="none"/>
              </w:rPr>
              <w:t>/d，</w:t>
            </w:r>
            <w:r>
              <w:rPr>
                <w:rFonts w:hint="default" w:ascii="Times New Roman" w:hAnsi="Times New Roman" w:cs="Times New Roman"/>
                <w:color w:val="auto"/>
                <w:sz w:val="24"/>
                <w:highlight w:val="none"/>
              </w:rPr>
              <w:t>洒水抑尘水全部挥发消耗。</w:t>
            </w:r>
          </w:p>
          <w:p w14:paraId="50125A90">
            <w:pPr>
              <w:widowControl/>
              <w:spacing w:line="360" w:lineRule="auto"/>
              <w:ind w:firstLine="480" w:firstLineChars="200"/>
              <w:jc w:val="left"/>
              <w:rPr>
                <w:rFonts w:hint="default" w:ascii="Times New Roman" w:hAnsi="Times New Roman" w:cs="Times New Roman"/>
                <w:color w:val="auto"/>
                <w:sz w:val="24"/>
                <w:highlight w:val="none"/>
              </w:rPr>
            </w:pPr>
            <w:r>
              <w:rPr>
                <w:rFonts w:hint="eastAsia" w:ascii="微软雅黑" w:hAnsi="微软雅黑" w:eastAsia="微软雅黑" w:cs="微软雅黑"/>
                <w:color w:val="auto"/>
                <w:sz w:val="24"/>
                <w:highlight w:val="none"/>
              </w:rPr>
              <w:t>④</w:t>
            </w:r>
            <w:r>
              <w:rPr>
                <w:rFonts w:hint="default" w:ascii="Times New Roman" w:hAnsi="Times New Roman" w:cs="Times New Roman"/>
                <w:color w:val="auto"/>
                <w:sz w:val="24"/>
                <w:highlight w:val="none"/>
              </w:rPr>
              <w:t>施工用排水</w:t>
            </w:r>
          </w:p>
          <w:p w14:paraId="6F1BD713">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本项目施工用水主要是</w:t>
            </w:r>
            <w:r>
              <w:rPr>
                <w:rFonts w:hint="eastAsia" w:cs="Times New Roman"/>
                <w:color w:val="auto"/>
                <w:sz w:val="24"/>
                <w:highlight w:val="none"/>
                <w:lang w:val="en-US" w:eastAsia="zh-CN"/>
              </w:rPr>
              <w:t>钻井</w:t>
            </w:r>
            <w:r>
              <w:rPr>
                <w:rFonts w:hint="default" w:ascii="Times New Roman" w:hAnsi="Times New Roman" w:cs="Times New Roman"/>
                <w:color w:val="auto"/>
                <w:sz w:val="24"/>
                <w:highlight w:val="none"/>
              </w:rPr>
              <w:t>用水、</w:t>
            </w:r>
            <w:r>
              <w:rPr>
                <w:rFonts w:hint="eastAsia" w:cs="Times New Roman"/>
                <w:color w:val="auto"/>
                <w:sz w:val="24"/>
                <w:highlight w:val="none"/>
                <w:lang w:val="en-US" w:eastAsia="zh-CN"/>
              </w:rPr>
              <w:t>制浆注浆</w:t>
            </w:r>
            <w:r>
              <w:rPr>
                <w:rFonts w:hint="default" w:ascii="Times New Roman" w:hAnsi="Times New Roman" w:cs="Times New Roman"/>
                <w:color w:val="auto"/>
                <w:sz w:val="24"/>
                <w:highlight w:val="none"/>
              </w:rPr>
              <w:t>用水</w:t>
            </w:r>
            <w:r>
              <w:rPr>
                <w:rFonts w:hint="eastAsia" w:cs="Times New Roman"/>
                <w:color w:val="auto"/>
                <w:sz w:val="24"/>
                <w:highlight w:val="none"/>
                <w:lang w:val="en-US" w:eastAsia="zh-CN"/>
              </w:rPr>
              <w:t>和固井封孔水泥用水</w:t>
            </w:r>
            <w:r>
              <w:rPr>
                <w:rFonts w:hint="default" w:ascii="Times New Roman" w:hAnsi="Times New Roman" w:cs="Times New Roman"/>
                <w:color w:val="auto"/>
                <w:sz w:val="24"/>
                <w:highlight w:val="none"/>
              </w:rPr>
              <w:t>。</w:t>
            </w:r>
          </w:p>
          <w:p w14:paraId="071B5DD4">
            <w:pPr>
              <w:spacing w:line="360" w:lineRule="auto"/>
              <w:ind w:firstLine="480" w:firstLineChars="200"/>
              <w:rPr>
                <w:rFonts w:hint="default" w:ascii="Times New Roman" w:hAnsi="Times New Roman" w:eastAsia="宋体" w:cs="Times New Roman"/>
                <w:sz w:val="24"/>
                <w:szCs w:val="24"/>
                <w:highlight w:val="none"/>
              </w:rPr>
            </w:pPr>
            <w:r>
              <w:rPr>
                <w:rFonts w:hint="eastAsia" w:cs="Times New Roman"/>
                <w:color w:val="auto"/>
                <w:sz w:val="24"/>
                <w:highlight w:val="none"/>
                <w:lang w:val="en-US" w:eastAsia="zh-CN"/>
              </w:rPr>
              <w:t>钻井用水：</w:t>
            </w:r>
            <w:r>
              <w:rPr>
                <w:rFonts w:hint="default" w:ascii="Times New Roman" w:hAnsi="Times New Roman" w:eastAsia="宋体" w:cs="Times New Roman"/>
                <w:sz w:val="24"/>
                <w:szCs w:val="24"/>
                <w:highlight w:val="none"/>
              </w:rPr>
              <w:t>项目钻井过程中需要使用钻井泥浆作为钻井润滑助剂使用，钻井泥浆使用水进行调配。根据建设单位提供的资料，每个钻孔总用水约为30m³，共11个钻孔，项目施工时间约为</w:t>
            </w:r>
            <w:r>
              <w:rPr>
                <w:rFonts w:hint="eastAsia" w:cs="Times New Roman"/>
                <w:sz w:val="24"/>
                <w:szCs w:val="24"/>
                <w:highlight w:val="none"/>
                <w:lang w:val="en-US" w:eastAsia="zh-CN"/>
              </w:rPr>
              <w:t>365</w:t>
            </w:r>
            <w:r>
              <w:rPr>
                <w:rFonts w:hint="default" w:ascii="Times New Roman" w:hAnsi="Times New Roman" w:eastAsia="宋体" w:cs="Times New Roman"/>
                <w:sz w:val="24"/>
                <w:szCs w:val="24"/>
                <w:highlight w:val="none"/>
                <w:lang w:val="en-US" w:eastAsia="zh-CN"/>
              </w:rPr>
              <w:t>天</w:t>
            </w:r>
            <w:r>
              <w:rPr>
                <w:rFonts w:hint="default" w:ascii="Times New Roman" w:hAnsi="Times New Roman" w:eastAsia="宋体" w:cs="Times New Roman"/>
                <w:sz w:val="24"/>
                <w:szCs w:val="24"/>
                <w:highlight w:val="none"/>
              </w:rPr>
              <w:t>，则本项目钻井总用水量330m³，则每天用水</w:t>
            </w:r>
            <w:r>
              <w:rPr>
                <w:rFonts w:hint="eastAsia" w:cs="Times New Roman"/>
                <w:sz w:val="24"/>
                <w:szCs w:val="24"/>
                <w:highlight w:val="none"/>
                <w:lang w:val="en-US" w:eastAsia="zh-CN"/>
              </w:rPr>
              <w:t>0.9</w:t>
            </w:r>
            <w:r>
              <w:rPr>
                <w:rFonts w:hint="default" w:ascii="Times New Roman" w:hAnsi="Times New Roman" w:eastAsia="宋体" w:cs="Times New Roman"/>
                <w:sz w:val="24"/>
                <w:szCs w:val="24"/>
                <w:highlight w:val="none"/>
              </w:rPr>
              <w:t>m³。钻井用水经沉淀池收集后全部回用，不外排。</w:t>
            </w:r>
          </w:p>
          <w:p w14:paraId="7682D5C4">
            <w:pPr>
              <w:spacing w:line="360" w:lineRule="auto"/>
              <w:ind w:firstLine="480" w:firstLineChars="200"/>
              <w:rPr>
                <w:rFonts w:hint="default" w:ascii="Times New Roman" w:hAnsi="Times New Roman" w:eastAsia="宋体" w:cs="Times New Roman"/>
                <w:sz w:val="24"/>
                <w:szCs w:val="24"/>
                <w:highlight w:val="none"/>
              </w:rPr>
            </w:pPr>
            <w:r>
              <w:rPr>
                <w:rFonts w:hint="eastAsia" w:cs="Times New Roman"/>
                <w:sz w:val="24"/>
                <w:szCs w:val="24"/>
                <w:highlight w:val="none"/>
                <w:lang w:val="en-US" w:eastAsia="zh-CN"/>
              </w:rPr>
              <w:t>制浆注浆用水：</w:t>
            </w:r>
            <w:r>
              <w:rPr>
                <w:rFonts w:hint="default" w:ascii="Times New Roman" w:hAnsi="Times New Roman" w:eastAsia="宋体" w:cs="Times New Roman"/>
                <w:sz w:val="24"/>
                <w:szCs w:val="24"/>
                <w:highlight w:val="none"/>
              </w:rPr>
              <w:t>项目钻井过程中</w:t>
            </w:r>
            <w:r>
              <w:rPr>
                <w:rFonts w:hint="eastAsia" w:cs="Times New Roman"/>
                <w:sz w:val="24"/>
                <w:szCs w:val="24"/>
                <w:highlight w:val="none"/>
                <w:lang w:val="en-US" w:eastAsia="zh-CN"/>
              </w:rPr>
              <w:t>制浆注浆</w:t>
            </w:r>
            <w:r>
              <w:rPr>
                <w:rFonts w:ascii="Segoe UI" w:hAnsi="Segoe UI" w:eastAsia="Segoe UI" w:cs="Segoe UI"/>
                <w:i w:val="0"/>
                <w:iCs w:val="0"/>
                <w:caps w:val="0"/>
                <w:color w:val="0F1115"/>
                <w:spacing w:val="0"/>
                <w:sz w:val="24"/>
                <w:szCs w:val="24"/>
                <w:shd w:val="clear" w:fill="FFFFFF"/>
              </w:rPr>
              <w:t>用水主要用于粉煤灰浆液的配制，将水与电厂Ⅲ级粉煤灰按设计配比混合制</w:t>
            </w:r>
            <w:r>
              <w:rPr>
                <w:rFonts w:hint="default" w:ascii="Times New Roman" w:hAnsi="Times New Roman" w:eastAsia="宋体" w:cs="Times New Roman"/>
                <w:sz w:val="24"/>
                <w:szCs w:val="24"/>
                <w:highlight w:val="none"/>
              </w:rPr>
              <w:t>成浆液，是施工用水中用量最大的环节。本项目</w:t>
            </w:r>
            <w:r>
              <w:rPr>
                <w:rFonts w:hint="eastAsia" w:ascii="Times New Roman" w:hAnsi="Times New Roman" w:eastAsia="宋体" w:cs="Times New Roman"/>
                <w:sz w:val="24"/>
                <w:szCs w:val="24"/>
                <w:highlight w:val="none"/>
                <w:lang w:val="en-US" w:eastAsia="zh-CN"/>
              </w:rPr>
              <w:t>制浆</w:t>
            </w:r>
            <w:r>
              <w:rPr>
                <w:rFonts w:hint="default" w:ascii="Times New Roman" w:hAnsi="Times New Roman" w:eastAsia="宋体" w:cs="Times New Roman"/>
                <w:sz w:val="24"/>
                <w:szCs w:val="24"/>
                <w:highlight w:val="none"/>
              </w:rPr>
              <w:t>用</w:t>
            </w:r>
            <w:r>
              <w:rPr>
                <w:rFonts w:hint="eastAsia" w:ascii="Times New Roman" w:hAnsi="Times New Roman" w:eastAsia="宋体" w:cs="Times New Roman"/>
                <w:sz w:val="24"/>
                <w:szCs w:val="24"/>
                <w:highlight w:val="none"/>
                <w:lang w:val="en-US" w:eastAsia="zh-CN"/>
              </w:rPr>
              <w:t>粉煤灰</w:t>
            </w:r>
            <w:r>
              <w:rPr>
                <w:rFonts w:hint="default" w:ascii="Times New Roman" w:hAnsi="Times New Roman" w:eastAsia="宋体" w:cs="Times New Roman"/>
                <w:sz w:val="24"/>
                <w:szCs w:val="24"/>
                <w:highlight w:val="none"/>
              </w:rPr>
              <w:t>和水质量比例为1：1</w:t>
            </w:r>
            <w:r>
              <w:rPr>
                <w:rFonts w:hint="eastAsia" w:ascii="Times New Roman" w:hAnsi="Times New Roman" w:eastAsia="宋体" w:cs="Times New Roman"/>
                <w:sz w:val="24"/>
                <w:szCs w:val="24"/>
                <w:highlight w:val="none"/>
                <w:lang w:val="en-US" w:eastAsia="zh-CN"/>
              </w:rPr>
              <w:t>.</w:t>
            </w:r>
            <w:r>
              <w:rPr>
                <w:rFonts w:hint="eastAsia" w:cs="Times New Roman"/>
                <w:sz w:val="24"/>
                <w:szCs w:val="24"/>
                <w:highlight w:val="none"/>
                <w:lang w:val="en-US" w:eastAsia="zh-CN"/>
              </w:rPr>
              <w:t>2</w:t>
            </w:r>
            <w:r>
              <w:rPr>
                <w:rFonts w:hint="default" w:ascii="Times New Roman" w:hAnsi="Times New Roman" w:eastAsia="宋体" w:cs="Times New Roman"/>
                <w:sz w:val="24"/>
                <w:szCs w:val="24"/>
                <w:highlight w:val="none"/>
              </w:rPr>
              <w:t>，本项目注浆材料为电厂Ⅲ级粉煤灰，设计</w:t>
            </w:r>
            <w:r>
              <w:rPr>
                <w:rFonts w:hint="eastAsia" w:ascii="Times New Roman" w:hAnsi="Times New Roman" w:eastAsia="宋体" w:cs="Times New Roman"/>
                <w:sz w:val="24"/>
                <w:szCs w:val="24"/>
                <w:highlight w:val="none"/>
                <w:lang w:val="en-US" w:eastAsia="zh-CN"/>
              </w:rPr>
              <w:t>11个钻孔注浆所需粉煤</w:t>
            </w:r>
            <w:r>
              <w:rPr>
                <w:rFonts w:hint="default" w:ascii="Times New Roman" w:hAnsi="Times New Roman" w:eastAsia="宋体" w:cs="Times New Roman"/>
                <w:sz w:val="24"/>
                <w:szCs w:val="24"/>
                <w:highlight w:val="none"/>
              </w:rPr>
              <w:t>灰量</w:t>
            </w:r>
            <w:r>
              <w:rPr>
                <w:rFonts w:hint="eastAsia" w:ascii="Times New Roman" w:hAnsi="Times New Roman" w:eastAsia="宋体" w:cs="Times New Roman"/>
                <w:sz w:val="24"/>
                <w:szCs w:val="24"/>
                <w:highlight w:val="none"/>
                <w:lang w:val="en-US" w:eastAsia="zh-CN"/>
              </w:rPr>
              <w:t>约为</w:t>
            </w:r>
            <w:r>
              <w:rPr>
                <w:rFonts w:hint="eastAsia" w:cs="Times New Roman"/>
                <w:sz w:val="24"/>
                <w:szCs w:val="24"/>
                <w:highlight w:val="none"/>
                <w:lang w:val="en-US" w:eastAsia="zh-CN"/>
              </w:rPr>
              <w:t>15</w:t>
            </w:r>
            <w:r>
              <w:rPr>
                <w:rFonts w:hint="default" w:ascii="Times New Roman" w:hAnsi="Times New Roman" w:eastAsia="宋体" w:cs="Times New Roman"/>
                <w:sz w:val="24"/>
                <w:szCs w:val="24"/>
                <w:highlight w:val="none"/>
              </w:rPr>
              <w:t>万t，</w:t>
            </w:r>
            <w:r>
              <w:rPr>
                <w:rFonts w:hint="eastAsia" w:ascii="Times New Roman" w:hAnsi="Times New Roman" w:eastAsia="宋体" w:cs="Times New Roman"/>
                <w:sz w:val="24"/>
                <w:szCs w:val="24"/>
                <w:highlight w:val="none"/>
                <w:lang w:val="en-US" w:eastAsia="zh-CN"/>
              </w:rPr>
              <w:t>注浆制浆用水量约为</w:t>
            </w:r>
            <w:r>
              <w:rPr>
                <w:rFonts w:hint="eastAsia" w:cs="Times New Roman"/>
                <w:sz w:val="24"/>
                <w:szCs w:val="24"/>
                <w:highlight w:val="none"/>
                <w:lang w:val="en-US" w:eastAsia="zh-CN"/>
              </w:rPr>
              <w:t>18</w:t>
            </w:r>
            <w:r>
              <w:rPr>
                <w:rFonts w:hint="eastAsia" w:ascii="Times New Roman" w:hAnsi="Times New Roman" w:eastAsia="宋体" w:cs="Times New Roman"/>
                <w:sz w:val="24"/>
                <w:szCs w:val="24"/>
                <w:highlight w:val="none"/>
                <w:lang w:val="en-US" w:eastAsia="zh-CN"/>
              </w:rPr>
              <w:t>万t</w:t>
            </w:r>
            <w:r>
              <w:rPr>
                <w:rFonts w:hint="eastAsia" w:eastAsia="宋体" w:cs="Times New Roman"/>
                <w:sz w:val="24"/>
                <w:szCs w:val="24"/>
                <w:highlight w:val="none"/>
                <w:lang w:val="en-US" w:eastAsia="zh-CN"/>
              </w:rPr>
              <w:t>，</w:t>
            </w:r>
            <w:r>
              <w:rPr>
                <w:rFonts w:hint="default" w:ascii="Times New Roman" w:hAnsi="Times New Roman" w:eastAsia="宋体" w:cs="Times New Roman"/>
                <w:sz w:val="24"/>
                <w:szCs w:val="24"/>
                <w:highlight w:val="none"/>
                <w:lang w:eastAsia="zh-CN"/>
              </w:rPr>
              <w:t>按照</w:t>
            </w:r>
            <w:r>
              <w:rPr>
                <w:rFonts w:hint="eastAsia" w:cs="Times New Roman"/>
                <w:sz w:val="24"/>
                <w:szCs w:val="24"/>
                <w:highlight w:val="none"/>
                <w:lang w:val="en-US" w:eastAsia="zh-CN"/>
              </w:rPr>
              <w:t>365</w:t>
            </w:r>
            <w:r>
              <w:rPr>
                <w:rFonts w:hint="default" w:ascii="Times New Roman" w:hAnsi="Times New Roman" w:eastAsia="宋体" w:cs="Times New Roman"/>
                <w:sz w:val="24"/>
                <w:szCs w:val="24"/>
                <w:highlight w:val="none"/>
                <w:lang w:val="en-US" w:eastAsia="zh-CN"/>
              </w:rPr>
              <w:t>天进行折算，封孔用水量为</w:t>
            </w:r>
            <w:r>
              <w:rPr>
                <w:rFonts w:hint="eastAsia" w:cs="Times New Roman"/>
                <w:sz w:val="24"/>
                <w:szCs w:val="24"/>
                <w:highlight w:val="none"/>
                <w:lang w:val="en-US" w:eastAsia="zh-CN"/>
              </w:rPr>
              <w:t>493</w:t>
            </w:r>
            <w:r>
              <w:rPr>
                <w:rFonts w:hint="default" w:ascii="Times New Roman" w:hAnsi="Times New Roman" w:eastAsia="宋体" w:cs="Times New Roman"/>
                <w:sz w:val="24"/>
                <w:szCs w:val="24"/>
                <w:highlight w:val="none"/>
                <w:lang w:val="en-US" w:eastAsia="zh-CN"/>
              </w:rPr>
              <w:t>t/d，</w:t>
            </w:r>
            <w:r>
              <w:rPr>
                <w:rFonts w:hint="default" w:ascii="Times New Roman" w:hAnsi="Times New Roman" w:eastAsia="宋体" w:cs="Times New Roman"/>
                <w:sz w:val="24"/>
                <w:szCs w:val="24"/>
                <w:highlight w:val="none"/>
              </w:rPr>
              <w:t>该部分用水随着施工全部进入地下。</w:t>
            </w:r>
          </w:p>
          <w:p w14:paraId="2ABADE12">
            <w:pPr>
              <w:spacing w:line="360" w:lineRule="auto"/>
              <w:ind w:firstLine="480" w:firstLineChars="200"/>
              <w:rPr>
                <w:rFonts w:hint="default"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lang w:val="en-US" w:eastAsia="zh-CN"/>
              </w:rPr>
              <w:t>固井</w:t>
            </w:r>
            <w:r>
              <w:rPr>
                <w:rFonts w:hint="default" w:ascii="Times New Roman" w:hAnsi="Times New Roman" w:eastAsia="宋体" w:cs="Times New Roman"/>
                <w:sz w:val="24"/>
                <w:szCs w:val="24"/>
                <w:highlight w:val="none"/>
              </w:rPr>
              <w:t>封孔水泥配浆用水：施工结束后，封孔水泥配浆用水，根据建设单位施工经验，本项目</w:t>
            </w:r>
            <w:r>
              <w:rPr>
                <w:rFonts w:hint="eastAsia" w:ascii="Times New Roman" w:hAnsi="Times New Roman" w:eastAsia="宋体" w:cs="Times New Roman"/>
                <w:sz w:val="24"/>
                <w:szCs w:val="24"/>
                <w:highlight w:val="none"/>
                <w:lang w:val="en-US" w:eastAsia="zh-CN"/>
              </w:rPr>
              <w:t>固井</w:t>
            </w:r>
            <w:r>
              <w:rPr>
                <w:rFonts w:hint="default" w:ascii="Times New Roman" w:hAnsi="Times New Roman" w:eastAsia="宋体" w:cs="Times New Roman"/>
                <w:sz w:val="24"/>
                <w:szCs w:val="24"/>
                <w:highlight w:val="none"/>
              </w:rPr>
              <w:t>封孔用水泥和水质量比例为1：1，本项目</w:t>
            </w:r>
            <w:r>
              <w:rPr>
                <w:rFonts w:hint="eastAsia" w:ascii="Times New Roman" w:hAnsi="Times New Roman" w:eastAsia="宋体" w:cs="Times New Roman"/>
                <w:sz w:val="24"/>
                <w:szCs w:val="24"/>
                <w:highlight w:val="none"/>
                <w:lang w:val="en-US" w:eastAsia="zh-CN"/>
              </w:rPr>
              <w:t>水泥总用量130t</w:t>
            </w:r>
            <w:r>
              <w:rPr>
                <w:rFonts w:hint="default" w:ascii="Times New Roman" w:hAnsi="Times New Roman" w:eastAsia="宋体" w:cs="Times New Roman"/>
                <w:sz w:val="24"/>
                <w:szCs w:val="24"/>
                <w:highlight w:val="none"/>
              </w:rPr>
              <w:t>，</w:t>
            </w:r>
            <w:r>
              <w:rPr>
                <w:rFonts w:hint="eastAsia" w:ascii="Times New Roman" w:hAnsi="Times New Roman" w:eastAsia="宋体" w:cs="Times New Roman"/>
                <w:sz w:val="24"/>
                <w:szCs w:val="24"/>
                <w:highlight w:val="none"/>
                <w:lang w:val="en-US" w:eastAsia="zh-CN"/>
              </w:rPr>
              <w:t>所以</w:t>
            </w:r>
            <w:r>
              <w:rPr>
                <w:rFonts w:hint="default" w:ascii="Times New Roman" w:hAnsi="Times New Roman" w:eastAsia="宋体" w:cs="Times New Roman"/>
                <w:sz w:val="24"/>
                <w:szCs w:val="24"/>
                <w:highlight w:val="none"/>
              </w:rPr>
              <w:t>本项目</w:t>
            </w:r>
            <w:r>
              <w:rPr>
                <w:rFonts w:hint="eastAsia" w:ascii="Times New Roman" w:hAnsi="Times New Roman" w:eastAsia="宋体" w:cs="Times New Roman"/>
                <w:sz w:val="24"/>
                <w:szCs w:val="24"/>
                <w:highlight w:val="none"/>
                <w:lang w:val="en-US" w:eastAsia="zh-CN"/>
              </w:rPr>
              <w:t>固井</w:t>
            </w:r>
            <w:r>
              <w:rPr>
                <w:rFonts w:hint="default" w:ascii="Times New Roman" w:hAnsi="Times New Roman" w:eastAsia="宋体" w:cs="Times New Roman"/>
                <w:sz w:val="24"/>
                <w:szCs w:val="24"/>
                <w:highlight w:val="none"/>
              </w:rPr>
              <w:t>封孔水泥配浆用水量为</w:t>
            </w:r>
            <w:r>
              <w:rPr>
                <w:rFonts w:hint="eastAsia" w:ascii="Times New Roman" w:hAnsi="Times New Roman" w:eastAsia="宋体" w:cs="Times New Roman"/>
                <w:sz w:val="24"/>
                <w:szCs w:val="24"/>
                <w:highlight w:val="none"/>
                <w:lang w:val="en-US" w:eastAsia="zh-CN"/>
              </w:rPr>
              <w:t>130t</w:t>
            </w:r>
            <w:r>
              <w:rPr>
                <w:rFonts w:hint="default" w:ascii="Times New Roman" w:hAnsi="Times New Roman" w:eastAsia="宋体" w:cs="Times New Roman"/>
                <w:sz w:val="24"/>
                <w:szCs w:val="24"/>
                <w:highlight w:val="none"/>
              </w:rPr>
              <w:t>，</w:t>
            </w:r>
            <w:r>
              <w:rPr>
                <w:rFonts w:hint="default" w:ascii="Times New Roman" w:hAnsi="Times New Roman" w:eastAsia="宋体" w:cs="Times New Roman"/>
                <w:sz w:val="24"/>
                <w:szCs w:val="24"/>
                <w:highlight w:val="none"/>
                <w:lang w:eastAsia="zh-CN"/>
              </w:rPr>
              <w:t>按照</w:t>
            </w:r>
            <w:r>
              <w:rPr>
                <w:rFonts w:hint="eastAsia" w:cs="Times New Roman"/>
                <w:sz w:val="24"/>
                <w:szCs w:val="24"/>
                <w:highlight w:val="none"/>
                <w:lang w:val="en-US" w:eastAsia="zh-CN"/>
              </w:rPr>
              <w:t>365</w:t>
            </w:r>
            <w:r>
              <w:rPr>
                <w:rFonts w:hint="default" w:ascii="Times New Roman" w:hAnsi="Times New Roman" w:eastAsia="宋体" w:cs="Times New Roman"/>
                <w:sz w:val="24"/>
                <w:szCs w:val="24"/>
                <w:highlight w:val="none"/>
                <w:lang w:val="en-US" w:eastAsia="zh-CN"/>
              </w:rPr>
              <w:t>天进行折算，封孔用水量为0.</w:t>
            </w:r>
            <w:r>
              <w:rPr>
                <w:rFonts w:hint="eastAsia" w:cs="Times New Roman"/>
                <w:sz w:val="24"/>
                <w:szCs w:val="24"/>
                <w:highlight w:val="none"/>
                <w:lang w:val="en-US" w:eastAsia="zh-CN"/>
              </w:rPr>
              <w:t>36</w:t>
            </w:r>
            <w:r>
              <w:rPr>
                <w:rFonts w:hint="default" w:ascii="Times New Roman" w:hAnsi="Times New Roman" w:eastAsia="宋体" w:cs="Times New Roman"/>
                <w:sz w:val="24"/>
                <w:szCs w:val="24"/>
                <w:highlight w:val="none"/>
                <w:lang w:val="en-US" w:eastAsia="zh-CN"/>
              </w:rPr>
              <w:t>t/d</w:t>
            </w:r>
            <w:r>
              <w:rPr>
                <w:rFonts w:hint="eastAsia" w:cs="Times New Roman"/>
                <w:sz w:val="24"/>
                <w:szCs w:val="24"/>
                <w:highlight w:val="none"/>
                <w:lang w:val="en-US" w:eastAsia="zh-CN"/>
              </w:rPr>
              <w:t>，</w:t>
            </w:r>
            <w:r>
              <w:rPr>
                <w:rFonts w:hint="default" w:ascii="Times New Roman" w:hAnsi="Times New Roman" w:eastAsia="宋体" w:cs="Times New Roman"/>
                <w:sz w:val="24"/>
                <w:szCs w:val="24"/>
                <w:highlight w:val="none"/>
              </w:rPr>
              <w:t>该部分用水随着施工全部进入地下。</w:t>
            </w:r>
          </w:p>
          <w:p w14:paraId="0640D475">
            <w:pPr>
              <w:spacing w:line="360" w:lineRule="auto"/>
              <w:ind w:firstLine="480"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（2）排水</w:t>
            </w:r>
          </w:p>
          <w:p w14:paraId="5C09B92D">
            <w:pPr>
              <w:spacing w:line="360" w:lineRule="auto"/>
              <w:ind w:firstLine="480"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生活污水</w:t>
            </w:r>
            <w:r>
              <w:rPr>
                <w:rFonts w:hint="eastAsia" w:cs="Times New Roman"/>
                <w:sz w:val="24"/>
                <w:szCs w:val="24"/>
                <w:highlight w:val="none"/>
                <w:lang w:val="en-US" w:eastAsia="zh-CN"/>
              </w:rPr>
              <w:t>经</w:t>
            </w:r>
            <w:r>
              <w:rPr>
                <w:rFonts w:hint="default" w:ascii="Times New Roman" w:hAnsi="Times New Roman" w:eastAsia="宋体" w:cs="Times New Roman"/>
                <w:sz w:val="24"/>
                <w:szCs w:val="24"/>
                <w:highlight w:val="none"/>
              </w:rPr>
              <w:t>化粪池</w:t>
            </w:r>
            <w:r>
              <w:rPr>
                <w:rFonts w:hint="eastAsia" w:cs="Times New Roman"/>
                <w:sz w:val="24"/>
                <w:szCs w:val="24"/>
                <w:highlight w:val="none"/>
                <w:lang w:val="en-US" w:eastAsia="zh-CN"/>
              </w:rPr>
              <w:t>预处理后定期委托第三方使用吸污车运送至新集一矿现有生活污水处理站进行处理</w:t>
            </w:r>
            <w:r>
              <w:rPr>
                <w:rFonts w:hint="default" w:ascii="Times New Roman" w:hAnsi="Times New Roman" w:eastAsia="宋体" w:cs="Times New Roman"/>
                <w:sz w:val="24"/>
                <w:szCs w:val="24"/>
                <w:highlight w:val="none"/>
              </w:rPr>
              <w:t>；设备冲洗废水经沉淀池沉淀后回用，不外排；钻井废水经泥浆池后回用于钻井。</w:t>
            </w:r>
          </w:p>
          <w:p w14:paraId="69BD6102">
            <w:pPr>
              <w:spacing w:line="360" w:lineRule="auto"/>
              <w:jc w:val="center"/>
              <w:rPr>
                <w:rFonts w:hint="default" w:ascii="Times New Roman" w:hAnsi="Times New Roman" w:eastAsia="黑体" w:cs="Times New Roman"/>
                <w:color w:val="auto"/>
                <w:szCs w:val="20"/>
                <w:highlight w:val="none"/>
              </w:rPr>
            </w:pPr>
            <w:r>
              <w:rPr>
                <w:rFonts w:hint="default" w:ascii="Times New Roman" w:hAnsi="Times New Roman" w:eastAsia="宋体" w:cs="Times New Roman"/>
                <w:sz w:val="24"/>
                <w:szCs w:val="24"/>
                <w:highlight w:val="none"/>
                <w:lang w:val="en-US" w:eastAsia="zh-CN"/>
              </w:rPr>
              <w:drawing>
                <wp:inline distT="0" distB="0" distL="114300" distR="114300">
                  <wp:extent cx="4709160" cy="3757295"/>
                  <wp:effectExtent l="0" t="0" r="0" b="0"/>
                  <wp:docPr id="129" name="E657119C-6982-421D-8BA7-E74DEB70A7D9-1" descr="C:/Users/Administrator/AppData/Roaming/Kingsoft/wps/addons/data/win-i386/kinsertprocesson/insertimage.GELfwz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E657119C-6982-421D-8BA7-E74DEB70A7D9-1" descr="C:/Users/Administrator/AppData/Roaming/Kingsoft/wps/addons/data/win-i386/kinsertprocesson/insertimage.GELfwzinsertimage"/>
                          <pic:cNvPicPr>
                            <a:picLocks noChangeAspect="1"/>
                          </pic:cNvPicPr>
                        </pic:nvPicPr>
                        <pic:blipFill>
                          <a:blip r:embed="rId12"/>
                          <a:stretch>
                            <a:fillRect/>
                          </a:stretch>
                        </pic:blipFill>
                        <pic:spPr>
                          <a:xfrm>
                            <a:off x="0" y="0"/>
                            <a:ext cx="4709160" cy="3757295"/>
                          </a:xfrm>
                          <a:prstGeom prst="rect">
                            <a:avLst/>
                          </a:prstGeom>
                        </pic:spPr>
                      </pic:pic>
                    </a:graphicData>
                  </a:graphic>
                </wp:inline>
              </w:drawing>
            </w:r>
          </w:p>
          <w:p w14:paraId="5A049C81">
            <w:pPr>
              <w:spacing w:line="240" w:lineRule="atLeast"/>
              <w:jc w:val="center"/>
              <w:rPr>
                <w:rFonts w:hint="default" w:ascii="Times New Roman" w:hAnsi="Times New Roman" w:cs="Times New Roman"/>
                <w:b/>
                <w:color w:val="auto"/>
                <w:sz w:val="24"/>
                <w:highlight w:val="none"/>
              </w:rPr>
            </w:pPr>
            <w:r>
              <w:rPr>
                <w:rFonts w:hint="default" w:ascii="Times New Roman" w:hAnsi="Times New Roman" w:eastAsia="黑体" w:cs="Times New Roman"/>
                <w:color w:val="auto"/>
                <w:szCs w:val="20"/>
                <w:highlight w:val="none"/>
              </w:rPr>
              <w:t>图2-3  项目水平衡图  单位：m</w:t>
            </w:r>
            <w:r>
              <w:rPr>
                <w:rFonts w:hint="default" w:ascii="Times New Roman" w:hAnsi="Times New Roman" w:eastAsia="黑体" w:cs="Times New Roman"/>
                <w:color w:val="auto"/>
                <w:szCs w:val="20"/>
                <w:highlight w:val="none"/>
                <w:vertAlign w:val="superscript"/>
              </w:rPr>
              <w:t>3</w:t>
            </w:r>
            <w:r>
              <w:rPr>
                <w:rFonts w:hint="default" w:ascii="Times New Roman" w:hAnsi="Times New Roman" w:eastAsia="黑体" w:cs="Times New Roman"/>
                <w:color w:val="auto"/>
                <w:szCs w:val="20"/>
                <w:highlight w:val="none"/>
              </w:rPr>
              <w:t>/d</w:t>
            </w:r>
          </w:p>
          <w:p w14:paraId="42974EFD">
            <w:pPr>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8、供配电</w:t>
            </w:r>
          </w:p>
          <w:p w14:paraId="0DE55C3D">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eastAsia="宋体" w:cs="Times New Roman"/>
                <w:color w:val="auto"/>
                <w:sz w:val="24"/>
                <w:szCs w:val="32"/>
                <w:highlight w:val="none"/>
                <w:lang w:val="en-US" w:eastAsia="zh-CN"/>
              </w:rPr>
              <w:t>本项目用电自矿风井电源接驳点接入，设计用电负荷1100kW，配置YBM-12-50变压器一台，采用三级配电、一机一闸一漏保，主要为钻场提供动力，包括钻机、泥浆泵、搅拌机、注浆机和夜间施工照明用电。</w:t>
            </w:r>
          </w:p>
          <w:p w14:paraId="254B4B6E">
            <w:pPr>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9、职工定员</w:t>
            </w:r>
          </w:p>
          <w:p w14:paraId="088DF556">
            <w:pPr>
              <w:spacing w:line="360" w:lineRule="auto"/>
              <w:ind w:firstLine="480" w:firstLineChars="200"/>
              <w:rPr>
                <w:rFonts w:hint="default" w:ascii="Times New Roman" w:hAnsi="Times New Roman" w:eastAsia="宋体" w:cs="Times New Roman"/>
                <w:color w:val="auto"/>
                <w:sz w:val="24"/>
                <w:szCs w:val="32"/>
                <w:highlight w:val="none"/>
                <w:lang w:val="en-US" w:eastAsia="zh-CN"/>
              </w:rPr>
            </w:pPr>
            <w:r>
              <w:rPr>
                <w:rFonts w:hint="default" w:ascii="Times New Roman" w:hAnsi="Times New Roman" w:cs="Times New Roman"/>
                <w:color w:val="auto"/>
                <w:sz w:val="24"/>
                <w:highlight w:val="none"/>
              </w:rPr>
              <w:t>本项目钻孔投入</w:t>
            </w:r>
            <w:r>
              <w:rPr>
                <w:rFonts w:hint="default" w:ascii="Times New Roman" w:hAnsi="Times New Roman" w:eastAsia="宋体" w:cs="Times New Roman"/>
                <w:color w:val="auto"/>
                <w:sz w:val="24"/>
                <w:szCs w:val="32"/>
                <w:highlight w:val="none"/>
                <w:lang w:val="en-US" w:eastAsia="zh-CN"/>
              </w:rPr>
              <w:t>3</w:t>
            </w:r>
            <w:r>
              <w:rPr>
                <w:rFonts w:hint="eastAsia" w:ascii="Times New Roman" w:hAnsi="Times New Roman" w:eastAsia="宋体" w:cs="Times New Roman"/>
                <w:color w:val="auto"/>
                <w:sz w:val="24"/>
                <w:szCs w:val="32"/>
                <w:highlight w:val="none"/>
                <w:lang w:val="en-US" w:eastAsia="zh-CN"/>
              </w:rPr>
              <w:t>台TSJ-2000钻机</w:t>
            </w:r>
            <w:r>
              <w:rPr>
                <w:rFonts w:hint="default" w:ascii="Times New Roman" w:hAnsi="Times New Roman" w:eastAsia="宋体" w:cs="Times New Roman"/>
                <w:color w:val="auto"/>
                <w:sz w:val="24"/>
                <w:szCs w:val="32"/>
                <w:highlight w:val="none"/>
                <w:lang w:val="en-US" w:eastAsia="zh-CN"/>
              </w:rPr>
              <w:t>，，项目劳动定员</w:t>
            </w:r>
            <w:r>
              <w:rPr>
                <w:rFonts w:hint="eastAsia" w:eastAsia="宋体" w:cs="Times New Roman"/>
                <w:color w:val="auto"/>
                <w:sz w:val="24"/>
                <w:szCs w:val="32"/>
                <w:highlight w:val="none"/>
                <w:lang w:val="en-US" w:eastAsia="zh-CN"/>
              </w:rPr>
              <w:t>20</w:t>
            </w:r>
            <w:r>
              <w:rPr>
                <w:rFonts w:hint="default" w:ascii="Times New Roman" w:hAnsi="Times New Roman" w:eastAsia="宋体" w:cs="Times New Roman"/>
                <w:color w:val="auto"/>
                <w:sz w:val="24"/>
                <w:szCs w:val="32"/>
                <w:highlight w:val="none"/>
                <w:lang w:val="en-US" w:eastAsia="zh-CN"/>
              </w:rPr>
              <w:t>人。</w:t>
            </w:r>
          </w:p>
          <w:p w14:paraId="75900946">
            <w:pPr>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10、施工进度</w:t>
            </w:r>
          </w:p>
          <w:p w14:paraId="1B2536BB">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本项目1</w:t>
            </w:r>
            <w:r>
              <w:rPr>
                <w:rFonts w:hint="eastAsia"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个井场，</w:t>
            </w:r>
            <w:r>
              <w:rPr>
                <w:rFonts w:hint="eastAsia" w:ascii="Times New Roman" w:hAnsi="Times New Roman" w:cs="Times New Roman"/>
                <w:color w:val="auto"/>
                <w:sz w:val="24"/>
                <w:highlight w:val="none"/>
                <w:lang w:val="en-US" w:eastAsia="zh-CN"/>
              </w:rPr>
              <w:t>11</w:t>
            </w:r>
            <w:r>
              <w:rPr>
                <w:rFonts w:hint="default" w:ascii="Times New Roman" w:hAnsi="Times New Roman" w:cs="Times New Roman"/>
                <w:color w:val="auto"/>
                <w:sz w:val="24"/>
                <w:highlight w:val="none"/>
              </w:rPr>
              <w:t>个钻孔。本项目拟投入3台</w:t>
            </w:r>
            <w:r>
              <w:rPr>
                <w:rFonts w:hint="eastAsia" w:ascii="Times New Roman" w:hAnsi="Times New Roman" w:cs="Times New Roman"/>
                <w:color w:val="auto"/>
                <w:sz w:val="24"/>
                <w:highlight w:val="none"/>
                <w:lang w:val="en-US" w:eastAsia="zh-CN"/>
              </w:rPr>
              <w:t>TSJ-2000</w:t>
            </w:r>
            <w:r>
              <w:rPr>
                <w:rFonts w:hint="default" w:ascii="Times New Roman" w:hAnsi="Times New Roman" w:cs="Times New Roman"/>
                <w:color w:val="auto"/>
                <w:sz w:val="24"/>
                <w:highlight w:val="none"/>
              </w:rPr>
              <w:t>钻机进行施工。</w:t>
            </w:r>
            <w:r>
              <w:rPr>
                <w:rFonts w:hint="eastAsia" w:ascii="Times New Roman" w:hAnsi="Times New Roman" w:cs="Times New Roman"/>
                <w:color w:val="auto"/>
                <w:sz w:val="24"/>
                <w:highlight w:val="none"/>
                <w:lang w:val="en-US" w:eastAsia="zh-CN"/>
              </w:rPr>
              <w:t>本项目施工</w:t>
            </w:r>
            <w:r>
              <w:rPr>
                <w:rFonts w:hint="default" w:ascii="Times New Roman" w:hAnsi="Times New Roman" w:cs="Times New Roman"/>
                <w:color w:val="auto"/>
                <w:sz w:val="24"/>
                <w:highlight w:val="none"/>
              </w:rPr>
              <w:t>优先投入1台钻机施工两个岩移观测孔</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后续</w:t>
            </w:r>
            <w:r>
              <w:rPr>
                <w:rFonts w:hint="default" w:ascii="Times New Roman" w:hAnsi="Times New Roman" w:cs="Times New Roman"/>
                <w:color w:val="auto"/>
                <w:sz w:val="24"/>
                <w:highlight w:val="none"/>
              </w:rPr>
              <w:t>3台钻机全部进场，为满足“距离切眼最近的钻孔必须提前成孔”的刚性要求，3台钻机分别布置于靠近切眼一侧的井场同步开钻，同时施工井场数达到峰值3个。总工期为</w:t>
            </w:r>
            <w:r>
              <w:rPr>
                <w:rFonts w:hint="eastAsia" w:ascii="Times New Roman" w:hAnsi="Times New Roman" w:cs="Times New Roman"/>
                <w:color w:val="auto"/>
                <w:sz w:val="24"/>
                <w:highlight w:val="none"/>
                <w:lang w:val="en-US" w:eastAsia="zh-CN"/>
              </w:rPr>
              <w:t>12</w:t>
            </w:r>
            <w:r>
              <w:rPr>
                <w:rFonts w:hint="default" w:ascii="Times New Roman" w:hAnsi="Times New Roman" w:cs="Times New Roman"/>
                <w:color w:val="auto"/>
                <w:sz w:val="24"/>
                <w:highlight w:val="none"/>
              </w:rPr>
              <w:t>个月（</w:t>
            </w:r>
            <w:r>
              <w:rPr>
                <w:rFonts w:hint="eastAsia" w:ascii="Times New Roman" w:hAnsi="Times New Roman" w:cs="Times New Roman"/>
                <w:color w:val="auto"/>
                <w:sz w:val="24"/>
                <w:highlight w:val="none"/>
                <w:lang w:val="en-US" w:eastAsia="zh-CN"/>
              </w:rPr>
              <w:t>365</w:t>
            </w:r>
            <w:r>
              <w:rPr>
                <w:rFonts w:hint="default" w:ascii="Times New Roman" w:hAnsi="Times New Roman" w:cs="Times New Roman"/>
                <w:color w:val="auto"/>
                <w:sz w:val="24"/>
                <w:highlight w:val="none"/>
              </w:rPr>
              <w:t>d），进度保障措施具体如下：</w:t>
            </w:r>
          </w:p>
          <w:p w14:paraId="6B8BFDFB">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（1）第一时间组建项目部，并对技术人员及施工人员进行培训，组织施工设备；按照工程项目要求组织精干、高效的施工队伍，明确生产任务，做好施工前的各项准备工作。</w:t>
            </w:r>
          </w:p>
          <w:p w14:paraId="559D0B8F">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（2）实行项目经理负责制，抽调经验丰富，年富力强的技术管理骨干组成项目管理人员，做到分工明确、责任到人、管理到位；抽选技术较好、工作积极、素质较高的熟练工人作为主要施工操作人员。</w:t>
            </w:r>
          </w:p>
          <w:p w14:paraId="1ADB291E">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（3）在配备充足的施工机械的基础上，同时加强施工机械的维护保养，提高机械的完好率，配备充足的机务管理人员和维修人员，配齐充足的配件和易损件。</w:t>
            </w:r>
          </w:p>
          <w:p w14:paraId="4A18A1C3">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（4）合理安排施工顺序，优化施工程序，加强现场调度，发挥机械作业效率，充分利用人、材、物等资源，尽量缩短工期。</w:t>
            </w:r>
          </w:p>
          <w:p w14:paraId="0D75738C">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（5）做好进度控制，合理划分施工流水段，按照施工总进度网络计划进行控制，安排好月、旬、日计划，做好流水作业施工。</w:t>
            </w:r>
          </w:p>
          <w:p w14:paraId="24DE7930">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（6）加强各方面的协调工作，使各环节密切配合，减少施工干扰，提高施工效率。</w:t>
            </w:r>
          </w:p>
          <w:p w14:paraId="421B3E5F">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（7）做好施工排水、防护，尽量减少雨季对施工的影响。</w:t>
            </w:r>
          </w:p>
          <w:p w14:paraId="18DB749A">
            <w:pPr>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11、土石方平衡</w:t>
            </w:r>
          </w:p>
          <w:p w14:paraId="7D2D632B">
            <w:pPr>
              <w:spacing w:line="360" w:lineRule="auto"/>
              <w:ind w:firstLine="480" w:firstLineChars="200"/>
              <w:rPr>
                <w:rFonts w:hint="default" w:ascii="Times New Roman" w:hAnsi="Times New Roman" w:eastAsia="黑体" w:cs="Times New Roman"/>
                <w:color w:val="auto"/>
                <w:spacing w:val="-3"/>
                <w:sz w:val="21"/>
                <w:szCs w:val="21"/>
                <w:highlight w:val="none"/>
                <w:lang w:eastAsia="zh-CN"/>
              </w:rPr>
            </w:pPr>
            <w:r>
              <w:rPr>
                <w:rFonts w:hint="default" w:ascii="Times New Roman" w:hAnsi="Times New Roman" w:cs="Times New Roman"/>
                <w:color w:val="auto"/>
                <w:sz w:val="24"/>
                <w:highlight w:val="none"/>
              </w:rPr>
              <w:t>本项目所用场地占地类型为农用地</w:t>
            </w:r>
            <w:r>
              <w:rPr>
                <w:rFonts w:hint="eastAsia" w:cs="Times New Roman"/>
                <w:color w:val="auto"/>
                <w:sz w:val="24"/>
                <w:highlight w:val="none"/>
                <w:lang w:val="en-US" w:eastAsia="zh-CN"/>
              </w:rPr>
              <w:t>和建筑用地</w:t>
            </w:r>
            <w:r>
              <w:rPr>
                <w:rFonts w:hint="default" w:ascii="Times New Roman" w:hAnsi="Times New Roman" w:cs="Times New Roman"/>
                <w:color w:val="auto"/>
                <w:sz w:val="24"/>
                <w:highlight w:val="none"/>
              </w:rPr>
              <w:t>，施工前需对临时地块内占用耕地部分表土进行0.3m厚表土剥离。因此本项目土石方平衡如下：</w:t>
            </w:r>
          </w:p>
          <w:p w14:paraId="4112F48A">
            <w:pPr>
              <w:pStyle w:val="118"/>
              <w:jc w:val="center"/>
              <w:rPr>
                <w:rFonts w:hint="default" w:ascii="Times New Roman" w:hAnsi="Times New Roman" w:eastAsia="黑体" w:cs="Times New Roman"/>
                <w:color w:val="auto"/>
                <w:sz w:val="21"/>
                <w:szCs w:val="21"/>
                <w:highlight w:val="none"/>
                <w:lang w:eastAsia="zh-CN"/>
              </w:rPr>
            </w:pPr>
            <w:r>
              <w:rPr>
                <w:rFonts w:hint="default" w:ascii="Times New Roman" w:hAnsi="Times New Roman" w:eastAsia="黑体" w:cs="Times New Roman"/>
                <w:color w:val="auto"/>
                <w:spacing w:val="-3"/>
                <w:sz w:val="21"/>
                <w:szCs w:val="21"/>
                <w:highlight w:val="none"/>
                <w:lang w:eastAsia="zh-CN"/>
              </w:rPr>
              <w:t>表2-</w:t>
            </w:r>
            <w:r>
              <w:rPr>
                <w:rFonts w:hint="eastAsia" w:ascii="Times New Roman" w:hAnsi="Times New Roman" w:eastAsia="黑体" w:cs="Times New Roman"/>
                <w:color w:val="auto"/>
                <w:spacing w:val="-3"/>
                <w:sz w:val="21"/>
                <w:szCs w:val="21"/>
                <w:highlight w:val="none"/>
                <w:lang w:val="en-US" w:eastAsia="zh-CN"/>
              </w:rPr>
              <w:t>8</w:t>
            </w:r>
            <w:r>
              <w:rPr>
                <w:rFonts w:hint="default" w:ascii="Times New Roman" w:hAnsi="Times New Roman" w:eastAsia="黑体" w:cs="Times New Roman"/>
                <w:color w:val="auto"/>
                <w:spacing w:val="-3"/>
                <w:sz w:val="21"/>
                <w:szCs w:val="21"/>
                <w:highlight w:val="none"/>
                <w:lang w:eastAsia="zh-CN"/>
              </w:rPr>
              <w:t xml:space="preserve">  土石方平衡表</w:t>
            </w:r>
            <w:r>
              <w:rPr>
                <w:rFonts w:hint="default" w:ascii="Times New Roman" w:hAnsi="Times New Roman" w:eastAsia="黑体" w:cs="Times New Roman"/>
                <w:color w:val="auto"/>
                <w:spacing w:val="1"/>
                <w:sz w:val="21"/>
                <w:szCs w:val="21"/>
                <w:highlight w:val="none"/>
                <w:lang w:eastAsia="zh-CN"/>
              </w:rPr>
              <w:t xml:space="preserve">  </w:t>
            </w:r>
            <w:r>
              <w:rPr>
                <w:rFonts w:hint="default" w:ascii="Times New Roman" w:hAnsi="Times New Roman" w:eastAsia="黑体" w:cs="Times New Roman"/>
                <w:color w:val="auto"/>
                <w:spacing w:val="-3"/>
                <w:sz w:val="21"/>
                <w:szCs w:val="21"/>
                <w:highlight w:val="none"/>
                <w:lang w:eastAsia="zh-CN"/>
              </w:rPr>
              <w:t>单位：m³</w:t>
            </w:r>
          </w:p>
          <w:tbl>
            <w:tblPr>
              <w:tblStyle w:val="29"/>
              <w:tblW w:w="4995"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85" w:type="dxa"/>
                <w:bottom w:w="0" w:type="dxa"/>
                <w:right w:w="85" w:type="dxa"/>
              </w:tblCellMar>
            </w:tblPr>
            <w:tblGrid>
              <w:gridCol w:w="1135"/>
              <w:gridCol w:w="1330"/>
              <w:gridCol w:w="782"/>
              <w:gridCol w:w="782"/>
              <w:gridCol w:w="3817"/>
            </w:tblGrid>
            <w:tr w14:paraId="072521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85" w:type="dxa"/>
                  <w:bottom w:w="0" w:type="dxa"/>
                  <w:right w:w="85" w:type="dxa"/>
                </w:tblCellMar>
              </w:tblPrEx>
              <w:trPr>
                <w:trHeight w:val="23" w:hRule="atLeast"/>
                <w:jc w:val="center"/>
              </w:trPr>
              <w:tc>
                <w:tcPr>
                  <w:tcW w:w="2466" w:type="dxa"/>
                  <w:gridSpan w:val="2"/>
                  <w:noWrap w:val="0"/>
                  <w:vAlign w:val="center"/>
                </w:tcPr>
                <w:p w14:paraId="326DA0DA">
                  <w:pPr>
                    <w:spacing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工程分区</w:t>
                  </w:r>
                </w:p>
              </w:tc>
              <w:tc>
                <w:tcPr>
                  <w:tcW w:w="782" w:type="dxa"/>
                  <w:noWrap w:val="0"/>
                  <w:vAlign w:val="center"/>
                </w:tcPr>
                <w:p w14:paraId="16CA6E7A">
                  <w:pPr>
                    <w:spacing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挖方量</w:t>
                  </w:r>
                </w:p>
              </w:tc>
              <w:tc>
                <w:tcPr>
                  <w:tcW w:w="782" w:type="dxa"/>
                  <w:noWrap w:val="0"/>
                  <w:vAlign w:val="center"/>
                </w:tcPr>
                <w:p w14:paraId="336A9F62">
                  <w:pPr>
                    <w:spacing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回填量</w:t>
                  </w:r>
                </w:p>
              </w:tc>
              <w:tc>
                <w:tcPr>
                  <w:tcW w:w="3818" w:type="dxa"/>
                  <w:noWrap w:val="0"/>
                  <w:vAlign w:val="center"/>
                </w:tcPr>
                <w:p w14:paraId="5595C632">
                  <w:pPr>
                    <w:spacing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r>
            <w:tr w14:paraId="168734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85" w:type="dxa"/>
                  <w:bottom w:w="0" w:type="dxa"/>
                  <w:right w:w="85" w:type="dxa"/>
                </w:tblCellMar>
              </w:tblPrEx>
              <w:trPr>
                <w:trHeight w:val="23" w:hRule="atLeast"/>
                <w:jc w:val="center"/>
              </w:trPr>
              <w:tc>
                <w:tcPr>
                  <w:tcW w:w="1136" w:type="dxa"/>
                  <w:vMerge w:val="restart"/>
                  <w:noWrap w:val="0"/>
                  <w:vAlign w:val="center"/>
                </w:tcPr>
                <w:p w14:paraId="3CE43C95">
                  <w:pPr>
                    <w:spacing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主体工程区</w:t>
                  </w:r>
                </w:p>
              </w:tc>
              <w:tc>
                <w:tcPr>
                  <w:tcW w:w="1330" w:type="dxa"/>
                  <w:noWrap w:val="0"/>
                  <w:vAlign w:val="center"/>
                </w:tcPr>
                <w:p w14:paraId="1D78CA13">
                  <w:pPr>
                    <w:spacing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表土剥离</w:t>
                  </w:r>
                </w:p>
              </w:tc>
              <w:tc>
                <w:tcPr>
                  <w:tcW w:w="782" w:type="dxa"/>
                  <w:noWrap w:val="0"/>
                  <w:vAlign w:val="center"/>
                </w:tcPr>
                <w:p w14:paraId="1F4CC6ED">
                  <w:pPr>
                    <w:spacing w:line="24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391.2</w:t>
                  </w:r>
                </w:p>
              </w:tc>
              <w:tc>
                <w:tcPr>
                  <w:tcW w:w="782" w:type="dxa"/>
                  <w:noWrap w:val="0"/>
                  <w:vAlign w:val="center"/>
                </w:tcPr>
                <w:p w14:paraId="7580267C">
                  <w:pPr>
                    <w:spacing w:line="24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391.2</w:t>
                  </w:r>
                </w:p>
              </w:tc>
              <w:tc>
                <w:tcPr>
                  <w:tcW w:w="3818" w:type="dxa"/>
                  <w:noWrap w:val="0"/>
                  <w:vAlign w:val="center"/>
                </w:tcPr>
                <w:p w14:paraId="2BCB02D8">
                  <w:pPr>
                    <w:spacing w:line="240" w:lineRule="atLeast"/>
                    <w:jc w:val="both"/>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施工前对临时用地范围内占用耕地进行表土剥离，剥离面积0.1304hm²，剥离厚度0.3m，剥离表土量391.2m³。剥离表土集中堆放于表土剥离堆放场（地块二、三、四、九，总面积0.0230hm²，堆高约3m），四周设草袋防护及临时排水沟。</w:t>
                  </w:r>
                </w:p>
                <w:p w14:paraId="215F8258">
                  <w:pPr>
                    <w:spacing w:line="240" w:lineRule="atLeast"/>
                    <w:jc w:val="both"/>
                    <w:rPr>
                      <w:rFonts w:hint="default" w:ascii="Times New Roman" w:hAnsi="Times New Roman" w:cs="Times New Roman"/>
                      <w:color w:val="auto"/>
                      <w:szCs w:val="21"/>
                      <w:highlight w:val="none"/>
                    </w:rPr>
                  </w:pPr>
                  <w:r>
                    <w:rPr>
                      <w:rFonts w:hint="default" w:ascii="Times New Roman" w:hAnsi="Times New Roman" w:eastAsia="宋体" w:cs="Times New Roman"/>
                      <w:color w:val="auto"/>
                      <w:szCs w:val="21"/>
                      <w:highlight w:val="none"/>
                    </w:rPr>
                    <w:t>复垦时，将储存的391.2m³表土全部回覆至复垦责任区，复垦后耕地面积0.1386hm²，平均摊铺厚度0.3m，满足耕地种植要求。表土剥离量与回覆量一致，实现内部平衡。</w:t>
                  </w:r>
                </w:p>
              </w:tc>
            </w:tr>
            <w:tr w14:paraId="0C8436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85" w:type="dxa"/>
                  <w:bottom w:w="0" w:type="dxa"/>
                  <w:right w:w="85" w:type="dxa"/>
                </w:tblCellMar>
              </w:tblPrEx>
              <w:trPr>
                <w:trHeight w:val="245" w:hRule="atLeast"/>
                <w:jc w:val="center"/>
              </w:trPr>
              <w:tc>
                <w:tcPr>
                  <w:tcW w:w="1136" w:type="dxa"/>
                  <w:vMerge w:val="continue"/>
                  <w:noWrap w:val="0"/>
                  <w:vAlign w:val="center"/>
                </w:tcPr>
                <w:p w14:paraId="39248CAF">
                  <w:pPr>
                    <w:spacing w:line="240" w:lineRule="atLeast"/>
                    <w:jc w:val="center"/>
                    <w:rPr>
                      <w:rFonts w:hint="default" w:ascii="Times New Roman" w:hAnsi="Times New Roman" w:cs="Times New Roman"/>
                      <w:color w:val="auto"/>
                      <w:szCs w:val="21"/>
                      <w:highlight w:val="none"/>
                    </w:rPr>
                  </w:pPr>
                </w:p>
              </w:tc>
              <w:tc>
                <w:tcPr>
                  <w:tcW w:w="1330" w:type="dxa"/>
                  <w:noWrap w:val="0"/>
                  <w:vAlign w:val="center"/>
                </w:tcPr>
                <w:p w14:paraId="0CD66B54">
                  <w:pPr>
                    <w:spacing w:line="240" w:lineRule="atLeas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设施基础工程</w:t>
                  </w:r>
                </w:p>
              </w:tc>
              <w:tc>
                <w:tcPr>
                  <w:tcW w:w="782" w:type="dxa"/>
                  <w:noWrap w:val="0"/>
                  <w:vAlign w:val="center"/>
                </w:tcPr>
                <w:p w14:paraId="4EF666EA">
                  <w:pPr>
                    <w:spacing w:line="24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480</w:t>
                  </w:r>
                </w:p>
              </w:tc>
              <w:tc>
                <w:tcPr>
                  <w:tcW w:w="782" w:type="dxa"/>
                  <w:noWrap w:val="0"/>
                  <w:vAlign w:val="center"/>
                </w:tcPr>
                <w:p w14:paraId="27D77501">
                  <w:pPr>
                    <w:spacing w:line="24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480</w:t>
                  </w:r>
                </w:p>
              </w:tc>
              <w:tc>
                <w:tcPr>
                  <w:tcW w:w="3818" w:type="dxa"/>
                  <w:noWrap w:val="0"/>
                  <w:vAlign w:val="center"/>
                </w:tcPr>
                <w:p w14:paraId="7F651588">
                  <w:pPr>
                    <w:spacing w:line="240" w:lineRule="atLeast"/>
                    <w:jc w:val="both"/>
                    <w:rPr>
                      <w:rFonts w:hint="default" w:ascii="Times New Roman" w:hAnsi="Times New Roman" w:cs="Times New Roman"/>
                      <w:color w:val="auto"/>
                      <w:szCs w:val="21"/>
                      <w:highlight w:val="none"/>
                    </w:rPr>
                  </w:pPr>
                  <w:r>
                    <w:rPr>
                      <w:szCs w:val="21"/>
                      <w:highlight w:val="none"/>
                    </w:rPr>
                    <w:t>各类</w:t>
                  </w:r>
                  <w:r>
                    <w:rPr>
                      <w:rFonts w:hint="default" w:ascii="Times New Roman" w:hAnsi="Times New Roman" w:eastAsia="宋体" w:cs="Times New Roman"/>
                      <w:color w:val="auto"/>
                      <w:szCs w:val="21"/>
                      <w:highlight w:val="none"/>
                    </w:rPr>
                    <w:t>池体开挖土方，施工时用于场地回填。本工程配套：</w:t>
                  </w:r>
                  <w:r>
                    <w:rPr>
                      <w:rFonts w:hint="eastAsia" w:ascii="Times New Roman" w:hAnsi="Times New Roman" w:eastAsia="宋体" w:cs="Times New Roman"/>
                      <w:color w:val="auto"/>
                      <w:szCs w:val="21"/>
                      <w:highlight w:val="none"/>
                      <w:lang w:val="en-US" w:eastAsia="zh-CN"/>
                    </w:rPr>
                    <w:t>泥浆</w:t>
                  </w:r>
                  <w:r>
                    <w:rPr>
                      <w:rFonts w:hint="default" w:ascii="Times New Roman" w:hAnsi="Times New Roman" w:eastAsia="宋体" w:cs="Times New Roman"/>
                      <w:color w:val="auto"/>
                      <w:szCs w:val="21"/>
                      <w:highlight w:val="none"/>
                    </w:rPr>
                    <w:t>池1</w:t>
                  </w:r>
                  <w:r>
                    <w:rPr>
                      <w:rFonts w:hint="eastAsia" w:cs="Times New Roman"/>
                      <w:color w:val="auto"/>
                      <w:szCs w:val="21"/>
                      <w:highlight w:val="none"/>
                      <w:lang w:val="en-US" w:eastAsia="zh-CN"/>
                    </w:rPr>
                    <w:t>1</w:t>
                  </w:r>
                  <w:r>
                    <w:rPr>
                      <w:rFonts w:hint="default" w:ascii="Times New Roman" w:hAnsi="Times New Roman" w:eastAsia="宋体" w:cs="Times New Roman"/>
                      <w:color w:val="auto"/>
                      <w:szCs w:val="21"/>
                      <w:highlight w:val="none"/>
                    </w:rPr>
                    <w:t>座容积</w:t>
                  </w:r>
                  <w:r>
                    <w:rPr>
                      <w:rFonts w:hint="eastAsia" w:cs="Times New Roman"/>
                      <w:color w:val="auto"/>
                      <w:szCs w:val="21"/>
                      <w:highlight w:val="none"/>
                      <w:lang w:val="en-US" w:eastAsia="zh-CN"/>
                    </w:rPr>
                    <w:t>220</w:t>
                  </w:r>
                  <w:r>
                    <w:rPr>
                      <w:rFonts w:hint="default" w:ascii="Times New Roman" w:hAnsi="Times New Roman" w:eastAsia="宋体" w:cs="Times New Roman"/>
                      <w:color w:val="auto"/>
                      <w:szCs w:val="21"/>
                      <w:highlight w:val="none"/>
                    </w:rPr>
                    <w:t>m³。内部用水泥砂浆抹面；废浆池</w:t>
                  </w:r>
                  <w:r>
                    <w:rPr>
                      <w:rFonts w:hint="eastAsia" w:cs="Times New Roman"/>
                      <w:color w:val="auto"/>
                      <w:szCs w:val="21"/>
                      <w:highlight w:val="none"/>
                      <w:lang w:val="en-US" w:eastAsia="zh-CN"/>
                    </w:rPr>
                    <w:t>11</w:t>
                  </w:r>
                  <w:r>
                    <w:rPr>
                      <w:rFonts w:hint="default" w:ascii="Times New Roman" w:hAnsi="Times New Roman" w:eastAsia="宋体" w:cs="Times New Roman"/>
                      <w:color w:val="auto"/>
                      <w:szCs w:val="21"/>
                      <w:highlight w:val="none"/>
                    </w:rPr>
                    <w:t>座容积</w:t>
                  </w:r>
                  <w:r>
                    <w:rPr>
                      <w:rFonts w:hint="eastAsia" w:ascii="Times New Roman" w:hAnsi="Times New Roman" w:eastAsia="宋体" w:cs="Times New Roman"/>
                      <w:color w:val="auto"/>
                      <w:szCs w:val="21"/>
                      <w:highlight w:val="none"/>
                      <w:lang w:val="en-US" w:eastAsia="zh-CN"/>
                    </w:rPr>
                    <w:t>2</w:t>
                  </w:r>
                  <w:r>
                    <w:rPr>
                      <w:rFonts w:hint="eastAsia" w:cs="Times New Roman"/>
                      <w:color w:val="auto"/>
                      <w:szCs w:val="21"/>
                      <w:highlight w:val="none"/>
                      <w:lang w:val="en-US" w:eastAsia="zh-CN"/>
                    </w:rPr>
                    <w:t>20</w:t>
                  </w:r>
                  <w:r>
                    <w:rPr>
                      <w:rFonts w:hint="default" w:ascii="Times New Roman" w:hAnsi="Times New Roman" w:eastAsia="宋体" w:cs="Times New Roman"/>
                      <w:color w:val="auto"/>
                      <w:szCs w:val="21"/>
                      <w:highlight w:val="none"/>
                    </w:rPr>
                    <w:t>m³ 。内部用水泥砂浆抹面。沉淀池（2座，单个容积</w:t>
                  </w:r>
                  <w:r>
                    <w:rPr>
                      <w:rFonts w:hint="eastAsia" w:ascii="Times New Roman" w:hAnsi="Times New Roman" w:eastAsia="宋体" w:cs="Times New Roman"/>
                      <w:color w:val="auto"/>
                      <w:szCs w:val="21"/>
                      <w:highlight w:val="none"/>
                      <w:lang w:val="en-US" w:eastAsia="zh-CN"/>
                    </w:rPr>
                    <w:t>15</w:t>
                  </w:r>
                  <w:r>
                    <w:rPr>
                      <w:rFonts w:hint="default" w:ascii="Times New Roman" w:hAnsi="Times New Roman" w:eastAsia="宋体" w:cs="Times New Roman"/>
                      <w:color w:val="auto"/>
                      <w:szCs w:val="21"/>
                      <w:highlight w:val="none"/>
                    </w:rPr>
                    <w:t>m³），</w:t>
                  </w:r>
                  <w:r>
                    <w:rPr>
                      <w:rFonts w:hint="eastAsia" w:ascii="Times New Roman" w:hAnsi="Times New Roman" w:eastAsia="宋体" w:cs="Times New Roman"/>
                      <w:color w:val="auto"/>
                      <w:szCs w:val="21"/>
                      <w:highlight w:val="none"/>
                      <w:lang w:val="en-US" w:eastAsia="zh-CN"/>
                    </w:rPr>
                    <w:t>化粪</w:t>
                  </w:r>
                  <w:r>
                    <w:rPr>
                      <w:rFonts w:hint="default" w:ascii="Times New Roman" w:hAnsi="Times New Roman" w:eastAsia="宋体" w:cs="Times New Roman"/>
                      <w:color w:val="auto"/>
                      <w:szCs w:val="21"/>
                      <w:highlight w:val="none"/>
                    </w:rPr>
                    <w:t>池容积</w:t>
                  </w:r>
                  <w:r>
                    <w:rPr>
                      <w:rFonts w:hint="eastAsia" w:ascii="Times New Roman" w:hAnsi="Times New Roman" w:eastAsia="宋体" w:cs="Times New Roman"/>
                      <w:color w:val="auto"/>
                      <w:szCs w:val="21"/>
                      <w:highlight w:val="none"/>
                      <w:lang w:val="en-US" w:eastAsia="zh-CN"/>
                    </w:rPr>
                    <w:t>10</w:t>
                  </w:r>
                  <w:r>
                    <w:rPr>
                      <w:rFonts w:hint="default" w:ascii="Times New Roman" w:hAnsi="Times New Roman" w:eastAsia="宋体" w:cs="Times New Roman"/>
                      <w:color w:val="auto"/>
                      <w:szCs w:val="21"/>
                      <w:highlight w:val="none"/>
                    </w:rPr>
                    <w:t>m³。</w:t>
                  </w:r>
                  <w:r>
                    <w:rPr>
                      <w:rFonts w:hint="eastAsia" w:ascii="Times New Roman" w:hAnsi="Times New Roman" w:eastAsia="宋体" w:cs="Times New Roman"/>
                      <w:color w:val="auto"/>
                      <w:szCs w:val="21"/>
                      <w:highlight w:val="none"/>
                    </w:rPr>
                    <w:t>开挖池体挖方量合计为：</w:t>
                  </w:r>
                  <w:r>
                    <w:rPr>
                      <w:rFonts w:hint="eastAsia" w:ascii="Times New Roman" w:hAnsi="Times New Roman" w:eastAsia="宋体" w:cs="Times New Roman"/>
                      <w:color w:val="auto"/>
                      <w:szCs w:val="21"/>
                      <w:highlight w:val="none"/>
                      <w:lang w:val="en-US" w:eastAsia="zh-CN"/>
                    </w:rPr>
                    <w:t>370</w:t>
                  </w:r>
                  <w:r>
                    <w:rPr>
                      <w:rFonts w:hint="default" w:ascii="Times New Roman" w:hAnsi="Times New Roman" w:eastAsia="宋体" w:cs="Times New Roman"/>
                      <w:color w:val="auto"/>
                      <w:szCs w:val="21"/>
                      <w:highlight w:val="none"/>
                    </w:rPr>
                    <w:t>m³。</w:t>
                  </w:r>
                </w:p>
              </w:tc>
            </w:tr>
            <w:tr w14:paraId="6A5A2C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85" w:type="dxa"/>
                  <w:bottom w:w="0" w:type="dxa"/>
                  <w:right w:w="85" w:type="dxa"/>
                </w:tblCellMar>
              </w:tblPrEx>
              <w:trPr>
                <w:trHeight w:val="245" w:hRule="atLeast"/>
                <w:jc w:val="center"/>
              </w:trPr>
              <w:tc>
                <w:tcPr>
                  <w:tcW w:w="2466" w:type="dxa"/>
                  <w:gridSpan w:val="2"/>
                  <w:noWrap w:val="0"/>
                  <w:vAlign w:val="center"/>
                </w:tcPr>
                <w:p w14:paraId="2EDB700C">
                  <w:pPr>
                    <w:spacing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合计</w:t>
                  </w:r>
                </w:p>
              </w:tc>
              <w:tc>
                <w:tcPr>
                  <w:tcW w:w="782" w:type="dxa"/>
                  <w:noWrap w:val="0"/>
                  <w:vAlign w:val="center"/>
                </w:tcPr>
                <w:p w14:paraId="6D23FD0F">
                  <w:pPr>
                    <w:spacing w:line="24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871.2</w:t>
                  </w:r>
                </w:p>
              </w:tc>
              <w:tc>
                <w:tcPr>
                  <w:tcW w:w="782" w:type="dxa"/>
                  <w:noWrap w:val="0"/>
                  <w:vAlign w:val="center"/>
                </w:tcPr>
                <w:p w14:paraId="5F3E7987">
                  <w:pPr>
                    <w:spacing w:line="24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871.2</w:t>
                  </w:r>
                </w:p>
              </w:tc>
              <w:tc>
                <w:tcPr>
                  <w:tcW w:w="3818" w:type="dxa"/>
                  <w:noWrap w:val="0"/>
                  <w:vAlign w:val="center"/>
                </w:tcPr>
                <w:p w14:paraId="73BE8100">
                  <w:pPr>
                    <w:spacing w:line="24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w:t>
                  </w:r>
                </w:p>
              </w:tc>
            </w:tr>
          </w:tbl>
          <w:p w14:paraId="0BBBB7C6">
            <w:pPr>
              <w:pStyle w:val="118"/>
              <w:jc w:val="center"/>
              <w:rPr>
                <w:rFonts w:hint="default" w:ascii="Times New Roman" w:hAnsi="Times New Roman" w:eastAsia="黑体" w:cs="Times New Roman"/>
                <w:color w:val="auto"/>
                <w:spacing w:val="-3"/>
                <w:sz w:val="21"/>
                <w:szCs w:val="21"/>
                <w:highlight w:val="none"/>
                <w:lang w:eastAsia="zh-CN"/>
              </w:rPr>
            </w:pPr>
          </w:p>
          <w:p w14:paraId="4264B87D">
            <w:pPr>
              <w:pStyle w:val="118"/>
              <w:jc w:val="center"/>
              <w:rPr>
                <w:rFonts w:hint="default" w:ascii="Times New Roman" w:hAnsi="Times New Roman" w:eastAsia="黑体" w:cs="Times New Roman"/>
                <w:color w:val="auto"/>
                <w:spacing w:val="-3"/>
                <w:sz w:val="21"/>
                <w:szCs w:val="21"/>
                <w:highlight w:val="none"/>
                <w:lang w:eastAsia="zh-CN"/>
              </w:rPr>
            </w:pPr>
          </w:p>
          <w:p w14:paraId="5BEDEBF7">
            <w:pPr>
              <w:pStyle w:val="118"/>
              <w:jc w:val="center"/>
              <w:rPr>
                <w:rFonts w:hint="default" w:ascii="Times New Roman" w:hAnsi="Times New Roman" w:eastAsia="黑体" w:cs="Times New Roman"/>
                <w:color w:val="auto"/>
                <w:spacing w:val="-3"/>
                <w:sz w:val="21"/>
                <w:szCs w:val="21"/>
                <w:highlight w:val="none"/>
                <w:lang w:eastAsia="zh-CN"/>
              </w:rPr>
            </w:pPr>
          </w:p>
          <w:p w14:paraId="4E7C0088">
            <w:pPr>
              <w:pStyle w:val="118"/>
              <w:jc w:val="center"/>
              <w:rPr>
                <w:rFonts w:hint="default" w:ascii="Times New Roman" w:hAnsi="Times New Roman" w:eastAsia="黑体" w:cs="Times New Roman"/>
                <w:color w:val="auto"/>
                <w:spacing w:val="-3"/>
                <w:sz w:val="21"/>
                <w:szCs w:val="21"/>
                <w:highlight w:val="none"/>
                <w:lang w:eastAsia="zh-CN"/>
              </w:rPr>
            </w:pPr>
          </w:p>
          <w:p w14:paraId="76F1FCFD">
            <w:pPr>
              <w:pStyle w:val="118"/>
              <w:jc w:val="center"/>
              <w:rPr>
                <w:rFonts w:hint="default" w:ascii="Times New Roman" w:hAnsi="Times New Roman" w:eastAsia="黑体" w:cs="Times New Roman"/>
                <w:color w:val="auto"/>
                <w:spacing w:val="-3"/>
                <w:sz w:val="21"/>
                <w:szCs w:val="21"/>
                <w:highlight w:val="none"/>
                <w:lang w:eastAsia="zh-CN"/>
              </w:rPr>
            </w:pPr>
          </w:p>
          <w:p w14:paraId="39648314">
            <w:pPr>
              <w:pStyle w:val="118"/>
              <w:jc w:val="center"/>
              <w:rPr>
                <w:rFonts w:hint="default" w:ascii="Times New Roman" w:hAnsi="Times New Roman" w:eastAsia="黑体" w:cs="Times New Roman"/>
                <w:color w:val="auto"/>
                <w:spacing w:val="-3"/>
                <w:sz w:val="21"/>
                <w:szCs w:val="21"/>
                <w:highlight w:val="none"/>
                <w:lang w:eastAsia="zh-CN"/>
              </w:rPr>
            </w:pPr>
          </w:p>
          <w:p w14:paraId="67D927A7">
            <w:pPr>
              <w:pStyle w:val="118"/>
              <w:jc w:val="center"/>
              <w:rPr>
                <w:rFonts w:hint="default" w:ascii="Times New Roman" w:hAnsi="Times New Roman" w:eastAsia="黑体" w:cs="Times New Roman"/>
                <w:color w:val="auto"/>
                <w:spacing w:val="-3"/>
                <w:sz w:val="21"/>
                <w:szCs w:val="21"/>
                <w:highlight w:val="none"/>
                <w:lang w:eastAsia="zh-CN"/>
              </w:rPr>
            </w:pPr>
          </w:p>
          <w:p w14:paraId="4500304E">
            <w:pPr>
              <w:pStyle w:val="118"/>
              <w:jc w:val="center"/>
              <w:rPr>
                <w:rFonts w:hint="default" w:ascii="Times New Roman" w:hAnsi="Times New Roman" w:eastAsia="黑体" w:cs="Times New Roman"/>
                <w:color w:val="auto"/>
                <w:spacing w:val="-3"/>
                <w:sz w:val="21"/>
                <w:szCs w:val="21"/>
                <w:highlight w:val="none"/>
                <w:lang w:eastAsia="zh-CN"/>
              </w:rPr>
            </w:pPr>
          </w:p>
          <w:p w14:paraId="7DCD6053">
            <w:pPr>
              <w:pStyle w:val="118"/>
              <w:jc w:val="center"/>
              <w:rPr>
                <w:rFonts w:hint="default" w:ascii="Times New Roman" w:hAnsi="Times New Roman" w:eastAsia="黑体" w:cs="Times New Roman"/>
                <w:color w:val="auto"/>
                <w:spacing w:val="-3"/>
                <w:sz w:val="21"/>
                <w:szCs w:val="21"/>
                <w:highlight w:val="none"/>
                <w:lang w:eastAsia="zh-CN"/>
              </w:rPr>
            </w:pPr>
          </w:p>
          <w:p w14:paraId="3B292472">
            <w:pPr>
              <w:pStyle w:val="118"/>
              <w:jc w:val="center"/>
              <w:rPr>
                <w:rFonts w:hint="default" w:ascii="Times New Roman" w:hAnsi="Times New Roman" w:eastAsia="黑体" w:cs="Times New Roman"/>
                <w:color w:val="auto"/>
                <w:spacing w:val="-3"/>
                <w:sz w:val="21"/>
                <w:szCs w:val="21"/>
                <w:highlight w:val="none"/>
                <w:lang w:eastAsia="zh-CN"/>
              </w:rPr>
            </w:pPr>
          </w:p>
          <w:p w14:paraId="7B400397">
            <w:pPr>
              <w:pStyle w:val="118"/>
              <w:jc w:val="center"/>
              <w:rPr>
                <w:rFonts w:hint="default" w:ascii="Times New Roman" w:hAnsi="Times New Roman" w:eastAsia="黑体" w:cs="Times New Roman"/>
                <w:color w:val="auto"/>
                <w:spacing w:val="-3"/>
                <w:sz w:val="21"/>
                <w:szCs w:val="21"/>
                <w:highlight w:val="none"/>
                <w:lang w:eastAsia="zh-CN"/>
              </w:rPr>
            </w:pPr>
          </w:p>
          <w:p w14:paraId="5B30EA68">
            <w:pPr>
              <w:pStyle w:val="118"/>
              <w:jc w:val="center"/>
              <w:rPr>
                <w:rFonts w:hint="default" w:ascii="Times New Roman" w:hAnsi="Times New Roman" w:eastAsia="黑体" w:cs="Times New Roman"/>
                <w:color w:val="auto"/>
                <w:spacing w:val="-3"/>
                <w:sz w:val="21"/>
                <w:szCs w:val="21"/>
                <w:highlight w:val="none"/>
                <w:lang w:eastAsia="zh-CN"/>
              </w:rPr>
            </w:pPr>
          </w:p>
          <w:p w14:paraId="62F82F29">
            <w:pPr>
              <w:pStyle w:val="118"/>
              <w:jc w:val="center"/>
              <w:rPr>
                <w:rFonts w:hint="default" w:ascii="Times New Roman" w:hAnsi="Times New Roman" w:eastAsia="黑体" w:cs="Times New Roman"/>
                <w:color w:val="auto"/>
                <w:spacing w:val="-3"/>
                <w:sz w:val="21"/>
                <w:szCs w:val="21"/>
                <w:highlight w:val="none"/>
                <w:lang w:eastAsia="zh-CN"/>
              </w:rPr>
            </w:pPr>
          </w:p>
          <w:p w14:paraId="30573C87">
            <w:pPr>
              <w:pStyle w:val="118"/>
              <w:jc w:val="center"/>
              <w:rPr>
                <w:rFonts w:hint="default" w:ascii="Times New Roman" w:hAnsi="Times New Roman" w:eastAsia="黑体" w:cs="Times New Roman"/>
                <w:color w:val="auto"/>
                <w:spacing w:val="-3"/>
                <w:sz w:val="21"/>
                <w:szCs w:val="21"/>
                <w:highlight w:val="none"/>
                <w:lang w:eastAsia="zh-CN"/>
              </w:rPr>
            </w:pPr>
          </w:p>
          <w:p w14:paraId="0BDF9C21">
            <w:pPr>
              <w:pStyle w:val="118"/>
              <w:jc w:val="center"/>
              <w:rPr>
                <w:rFonts w:hint="default" w:ascii="Times New Roman" w:hAnsi="Times New Roman" w:eastAsia="黑体" w:cs="Times New Roman"/>
                <w:color w:val="auto"/>
                <w:spacing w:val="-3"/>
                <w:sz w:val="21"/>
                <w:szCs w:val="21"/>
                <w:highlight w:val="none"/>
                <w:lang w:eastAsia="zh-CN"/>
              </w:rPr>
            </w:pPr>
          </w:p>
          <w:p w14:paraId="35507157">
            <w:pPr>
              <w:pStyle w:val="118"/>
              <w:jc w:val="center"/>
              <w:rPr>
                <w:rFonts w:hint="default" w:ascii="Times New Roman" w:hAnsi="Times New Roman" w:eastAsia="黑体" w:cs="Times New Roman"/>
                <w:color w:val="auto"/>
                <w:spacing w:val="-3"/>
                <w:sz w:val="21"/>
                <w:szCs w:val="21"/>
                <w:highlight w:val="none"/>
                <w:lang w:eastAsia="zh-CN"/>
              </w:rPr>
            </w:pPr>
          </w:p>
          <w:p w14:paraId="148CF97A">
            <w:pPr>
              <w:pStyle w:val="118"/>
              <w:jc w:val="center"/>
              <w:rPr>
                <w:rFonts w:hint="default" w:ascii="Times New Roman" w:hAnsi="Times New Roman" w:eastAsia="黑体" w:cs="Times New Roman"/>
                <w:color w:val="auto"/>
                <w:spacing w:val="-3"/>
                <w:sz w:val="21"/>
                <w:szCs w:val="21"/>
                <w:highlight w:val="none"/>
                <w:lang w:eastAsia="zh-CN"/>
              </w:rPr>
            </w:pPr>
          </w:p>
          <w:p w14:paraId="50B00E37">
            <w:pPr>
              <w:pStyle w:val="118"/>
              <w:jc w:val="center"/>
              <w:rPr>
                <w:rFonts w:hint="default" w:ascii="Times New Roman" w:hAnsi="Times New Roman" w:eastAsia="黑体" w:cs="Times New Roman"/>
                <w:color w:val="auto"/>
                <w:spacing w:val="-3"/>
                <w:sz w:val="21"/>
                <w:szCs w:val="21"/>
                <w:highlight w:val="none"/>
                <w:lang w:eastAsia="zh-CN"/>
              </w:rPr>
            </w:pPr>
          </w:p>
          <w:p w14:paraId="39582917">
            <w:pPr>
              <w:pStyle w:val="118"/>
              <w:jc w:val="center"/>
              <w:rPr>
                <w:rFonts w:hint="default" w:ascii="Times New Roman" w:hAnsi="Times New Roman" w:eastAsia="黑体" w:cs="Times New Roman"/>
                <w:color w:val="auto"/>
                <w:spacing w:val="-3"/>
                <w:sz w:val="21"/>
                <w:szCs w:val="21"/>
                <w:highlight w:val="none"/>
                <w:lang w:eastAsia="zh-CN"/>
              </w:rPr>
            </w:pPr>
          </w:p>
          <w:p w14:paraId="06ED04E2">
            <w:pPr>
              <w:pStyle w:val="118"/>
              <w:jc w:val="center"/>
              <w:rPr>
                <w:rFonts w:hint="default" w:ascii="Times New Roman" w:hAnsi="Times New Roman" w:eastAsia="黑体" w:cs="Times New Roman"/>
                <w:color w:val="auto"/>
                <w:spacing w:val="-3"/>
                <w:sz w:val="21"/>
                <w:szCs w:val="21"/>
                <w:highlight w:val="none"/>
                <w:lang w:eastAsia="zh-CN"/>
              </w:rPr>
            </w:pPr>
          </w:p>
          <w:p w14:paraId="1CBABCF6">
            <w:pPr>
              <w:pStyle w:val="118"/>
              <w:jc w:val="center"/>
              <w:rPr>
                <w:rFonts w:hint="default" w:ascii="Times New Roman" w:hAnsi="Times New Roman" w:eastAsia="黑体" w:cs="Times New Roman"/>
                <w:color w:val="auto"/>
                <w:spacing w:val="-3"/>
                <w:sz w:val="21"/>
                <w:szCs w:val="21"/>
                <w:highlight w:val="none"/>
                <w:lang w:eastAsia="zh-CN"/>
              </w:rPr>
            </w:pPr>
          </w:p>
          <w:p w14:paraId="73AA69FF">
            <w:pPr>
              <w:pStyle w:val="118"/>
              <w:jc w:val="center"/>
              <w:rPr>
                <w:rFonts w:hint="default" w:ascii="Times New Roman" w:hAnsi="Times New Roman" w:eastAsia="黑体" w:cs="Times New Roman"/>
                <w:color w:val="auto"/>
                <w:spacing w:val="-3"/>
                <w:sz w:val="21"/>
                <w:szCs w:val="21"/>
                <w:highlight w:val="none"/>
                <w:lang w:eastAsia="zh-CN"/>
              </w:rPr>
            </w:pPr>
          </w:p>
          <w:p w14:paraId="491790E0">
            <w:pPr>
              <w:pStyle w:val="118"/>
              <w:jc w:val="center"/>
              <w:rPr>
                <w:rFonts w:hint="default" w:ascii="Times New Roman" w:hAnsi="Times New Roman" w:eastAsia="黑体" w:cs="Times New Roman"/>
                <w:color w:val="auto"/>
                <w:spacing w:val="-3"/>
                <w:sz w:val="21"/>
                <w:szCs w:val="21"/>
                <w:highlight w:val="none"/>
                <w:lang w:eastAsia="zh-CN"/>
              </w:rPr>
            </w:pPr>
          </w:p>
          <w:p w14:paraId="24B55DF0">
            <w:pPr>
              <w:pStyle w:val="118"/>
              <w:jc w:val="center"/>
              <w:rPr>
                <w:rFonts w:hint="default" w:ascii="Times New Roman" w:hAnsi="Times New Roman" w:eastAsia="黑体" w:cs="Times New Roman"/>
                <w:color w:val="auto"/>
                <w:spacing w:val="-3"/>
                <w:sz w:val="21"/>
                <w:szCs w:val="21"/>
                <w:highlight w:val="none"/>
                <w:lang w:eastAsia="zh-CN"/>
              </w:rPr>
            </w:pPr>
          </w:p>
          <w:p w14:paraId="5BE24913">
            <w:pPr>
              <w:pStyle w:val="118"/>
              <w:jc w:val="center"/>
              <w:rPr>
                <w:rFonts w:hint="default" w:ascii="Times New Roman" w:hAnsi="Times New Roman" w:eastAsia="黑体" w:cs="Times New Roman"/>
                <w:color w:val="auto"/>
                <w:spacing w:val="-3"/>
                <w:sz w:val="21"/>
                <w:szCs w:val="21"/>
                <w:highlight w:val="none"/>
                <w:lang w:eastAsia="zh-CN"/>
              </w:rPr>
            </w:pPr>
          </w:p>
          <w:p w14:paraId="01FFC952">
            <w:pPr>
              <w:pStyle w:val="118"/>
              <w:jc w:val="center"/>
              <w:rPr>
                <w:rFonts w:hint="default" w:ascii="Times New Roman" w:hAnsi="Times New Roman" w:eastAsia="黑体" w:cs="Times New Roman"/>
                <w:color w:val="auto"/>
                <w:spacing w:val="-3"/>
                <w:sz w:val="21"/>
                <w:szCs w:val="21"/>
                <w:highlight w:val="none"/>
                <w:lang w:eastAsia="zh-CN"/>
              </w:rPr>
            </w:pPr>
          </w:p>
          <w:p w14:paraId="26803E12">
            <w:pPr>
              <w:pStyle w:val="118"/>
              <w:jc w:val="center"/>
              <w:rPr>
                <w:rFonts w:hint="default" w:ascii="Times New Roman" w:hAnsi="Times New Roman" w:eastAsia="黑体" w:cs="Times New Roman"/>
                <w:color w:val="auto"/>
                <w:spacing w:val="-3"/>
                <w:sz w:val="21"/>
                <w:szCs w:val="21"/>
                <w:highlight w:val="none"/>
                <w:lang w:eastAsia="zh-CN"/>
              </w:rPr>
            </w:pPr>
          </w:p>
          <w:p w14:paraId="4A96ABB8">
            <w:pPr>
              <w:pStyle w:val="118"/>
              <w:jc w:val="center"/>
              <w:rPr>
                <w:rFonts w:hint="default" w:ascii="Times New Roman" w:hAnsi="Times New Roman" w:eastAsia="黑体" w:cs="Times New Roman"/>
                <w:color w:val="auto"/>
                <w:spacing w:val="-3"/>
                <w:sz w:val="21"/>
                <w:szCs w:val="21"/>
                <w:highlight w:val="none"/>
                <w:lang w:eastAsia="zh-CN"/>
              </w:rPr>
            </w:pPr>
          </w:p>
          <w:p w14:paraId="0613F347">
            <w:pPr>
              <w:pStyle w:val="118"/>
              <w:jc w:val="center"/>
              <w:rPr>
                <w:rFonts w:hint="default" w:ascii="Times New Roman" w:hAnsi="Times New Roman" w:eastAsia="黑体" w:cs="Times New Roman"/>
                <w:color w:val="auto"/>
                <w:spacing w:val="-3"/>
                <w:sz w:val="21"/>
                <w:szCs w:val="21"/>
                <w:highlight w:val="none"/>
                <w:lang w:eastAsia="zh-CN"/>
              </w:rPr>
            </w:pPr>
          </w:p>
          <w:p w14:paraId="11A238B9">
            <w:pPr>
              <w:rPr>
                <w:rStyle w:val="114"/>
                <w:rFonts w:hint="default" w:ascii="Times New Roman" w:hAnsi="Times New Roman" w:eastAsia="仿宋" w:cs="Times New Roman"/>
                <w:color w:val="auto"/>
                <w:sz w:val="24"/>
                <w:szCs w:val="24"/>
                <w:highlight w:val="none"/>
              </w:rPr>
            </w:pPr>
          </w:p>
        </w:tc>
      </w:tr>
      <w:tr w14:paraId="087796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80" w:hRule="atLeast"/>
          <w:jc w:val="center"/>
        </w:trPr>
        <w:tc>
          <w:tcPr>
            <w:tcW w:w="249" w:type="pct"/>
            <w:noWrap w:val="0"/>
            <w:vAlign w:val="center"/>
          </w:tcPr>
          <w:p w14:paraId="46295416">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 w:val="24"/>
                <w:highlight w:val="none"/>
              </w:rPr>
              <w:t>总平面及现场布置</w:t>
            </w:r>
          </w:p>
        </w:tc>
        <w:tc>
          <w:tcPr>
            <w:tcW w:w="4751" w:type="pct"/>
            <w:noWrap w:val="0"/>
            <w:vAlign w:val="center"/>
          </w:tcPr>
          <w:p w14:paraId="0391AD3E">
            <w:pPr>
              <w:pStyle w:val="52"/>
              <w:spacing w:line="360" w:lineRule="auto"/>
              <w:ind w:firstLine="480" w:firstLineChars="200"/>
              <w:jc w:val="left"/>
              <w:rPr>
                <w:rFonts w:hint="default" w:ascii="Times New Roman" w:hAnsi="Times New Roman" w:cs="Times New Roman"/>
                <w:color w:val="0000FF"/>
                <w:highlight w:val="none"/>
              </w:rPr>
            </w:pPr>
            <w:r>
              <w:rPr>
                <w:rFonts w:hint="eastAsia" w:ascii="Times New Roman" w:hAnsi="Times New Roman" w:cs="Times New Roman"/>
                <w:color w:val="auto"/>
                <w:highlight w:val="none"/>
                <w:lang w:val="en-US" w:eastAsia="zh-CN"/>
              </w:rPr>
              <w:t>本项目在注浆站</w:t>
            </w:r>
            <w:r>
              <w:rPr>
                <w:rFonts w:hint="default" w:ascii="Times New Roman" w:hAnsi="Times New Roman" w:cs="Times New Roman"/>
                <w:color w:val="auto"/>
                <w:highlight w:val="none"/>
              </w:rPr>
              <w:t>分别布置，</w:t>
            </w:r>
            <w:r>
              <w:rPr>
                <w:rFonts w:hint="eastAsia" w:ascii="Times New Roman" w:hAnsi="Times New Roman" w:cs="Times New Roman"/>
                <w:color w:val="auto"/>
                <w:highlight w:val="none"/>
                <w:lang w:val="en-US" w:eastAsia="zh-CN"/>
              </w:rPr>
              <w:t>搅拌</w:t>
            </w:r>
            <w:r>
              <w:rPr>
                <w:rFonts w:hint="default" w:ascii="Times New Roman" w:hAnsi="Times New Roman" w:cs="Times New Roman"/>
                <w:color w:val="auto"/>
                <w:highlight w:val="none"/>
              </w:rPr>
              <w:t>区、控</w:t>
            </w:r>
            <w:r>
              <w:rPr>
                <w:rFonts w:hint="eastAsia" w:ascii="Times New Roman" w:hAnsi="Times New Roman" w:cs="Times New Roman"/>
                <w:color w:val="auto"/>
                <w:highlight w:val="none"/>
                <w:lang w:val="en-US" w:eastAsia="zh-CN"/>
              </w:rPr>
              <w:t>制</w:t>
            </w:r>
            <w:r>
              <w:rPr>
                <w:rFonts w:hint="default" w:ascii="Times New Roman" w:hAnsi="Times New Roman" w:cs="Times New Roman"/>
                <w:color w:val="auto"/>
                <w:highlight w:val="none"/>
              </w:rPr>
              <w:t>区、注浆区、办公区等区域</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在井场布置</w:t>
            </w:r>
            <w:r>
              <w:rPr>
                <w:rFonts w:hint="default" w:ascii="Times New Roman" w:hAnsi="Times New Roman" w:cs="Times New Roman"/>
                <w:color w:val="auto"/>
                <w:highlight w:val="none"/>
              </w:rPr>
              <w:t>钻孔作业区</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岩屑区、管材区等区域</w:t>
            </w:r>
            <w:r>
              <w:rPr>
                <w:rFonts w:hint="default" w:ascii="Times New Roman" w:hAnsi="Times New Roman" w:cs="Times New Roman"/>
                <w:color w:val="auto"/>
                <w:highlight w:val="none"/>
              </w:rPr>
              <w:t>。项目区注浆站位于项目内南侧位置，钻井区位于项目区内西</w:t>
            </w:r>
            <w:r>
              <w:rPr>
                <w:rFonts w:hint="eastAsia" w:ascii="Times New Roman" w:hAnsi="Times New Roman" w:cs="Times New Roman"/>
                <w:color w:val="auto"/>
                <w:highlight w:val="none"/>
                <w:lang w:val="en-US" w:eastAsia="zh-CN"/>
              </w:rPr>
              <w:t>北</w:t>
            </w:r>
            <w:r>
              <w:rPr>
                <w:rFonts w:hint="default" w:ascii="Times New Roman" w:hAnsi="Times New Roman" w:cs="Times New Roman"/>
                <w:color w:val="auto"/>
                <w:highlight w:val="none"/>
              </w:rPr>
              <w:t>侧区域。根据施工工序并结合现场情况，各施工场地出入口设置在靠近道路的一侧，总平面布置采取的原则是紧密结合地形、使工艺流程顺畅、功能分区明确、建筑物布置紧凑、对外交通运输联系方便、用地节约；在满足施工的前提下，使现场场地布置简洁、集中。</w:t>
            </w:r>
            <w:r>
              <w:rPr>
                <w:rFonts w:hint="eastAsia" w:ascii="Times New Roman" w:hAnsi="Times New Roman" w:cs="Times New Roman"/>
                <w:color w:val="auto"/>
                <w:highlight w:val="none"/>
                <w:lang w:val="en-US" w:eastAsia="zh-CN"/>
              </w:rPr>
              <w:t>注浆站和井场</w:t>
            </w:r>
            <w:r>
              <w:rPr>
                <w:rFonts w:hint="default" w:ascii="Times New Roman" w:hAnsi="Times New Roman" w:cs="Times New Roman"/>
                <w:color w:val="auto"/>
                <w:highlight w:val="none"/>
              </w:rPr>
              <w:t>平面布置见下图：</w:t>
            </w:r>
          </w:p>
          <w:p w14:paraId="2031E826">
            <w:pPr>
              <w:pStyle w:val="52"/>
              <w:spacing w:line="360" w:lineRule="auto"/>
              <w:jc w:val="center"/>
              <w:rPr>
                <w:rFonts w:hint="default" w:ascii="Times New Roman" w:hAnsi="Times New Roman" w:eastAsia="黑体" w:cs="Times New Roman"/>
                <w:color w:val="0000FF"/>
                <w:sz w:val="21"/>
                <w:szCs w:val="20"/>
                <w:highlight w:val="none"/>
              </w:rPr>
            </w:pPr>
            <w:r>
              <w:drawing>
                <wp:inline distT="0" distB="0" distL="114300" distR="114300">
                  <wp:extent cx="4031615" cy="6139815"/>
                  <wp:effectExtent l="0" t="0" r="6985" b="1333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3"/>
                          <a:stretch>
                            <a:fillRect/>
                          </a:stretch>
                        </pic:blipFill>
                        <pic:spPr>
                          <a:xfrm>
                            <a:off x="0" y="0"/>
                            <a:ext cx="4031615" cy="6139815"/>
                          </a:xfrm>
                          <a:prstGeom prst="rect">
                            <a:avLst/>
                          </a:prstGeom>
                          <a:noFill/>
                          <a:ln>
                            <a:noFill/>
                          </a:ln>
                        </pic:spPr>
                      </pic:pic>
                    </a:graphicData>
                  </a:graphic>
                </wp:inline>
              </w:drawing>
            </w:r>
          </w:p>
          <w:p w14:paraId="0AEF2FFF">
            <w:pPr>
              <w:pStyle w:val="52"/>
              <w:spacing w:line="360" w:lineRule="auto"/>
              <w:jc w:val="center"/>
              <w:rPr>
                <w:rFonts w:hint="default" w:ascii="Times New Roman" w:hAnsi="Times New Roman" w:eastAsia="黑体" w:cs="Times New Roman"/>
                <w:color w:val="auto"/>
                <w:sz w:val="21"/>
                <w:szCs w:val="20"/>
                <w:highlight w:val="none"/>
              </w:rPr>
            </w:pPr>
            <w:r>
              <w:rPr>
                <w:rFonts w:hint="default" w:ascii="Times New Roman" w:hAnsi="Times New Roman" w:eastAsia="黑体" w:cs="Times New Roman"/>
                <w:color w:val="auto"/>
                <w:sz w:val="21"/>
                <w:szCs w:val="20"/>
                <w:highlight w:val="none"/>
              </w:rPr>
              <w:t>图2-4  项目</w:t>
            </w:r>
            <w:r>
              <w:rPr>
                <w:rFonts w:hint="eastAsia" w:ascii="Times New Roman" w:hAnsi="Times New Roman" w:eastAsia="黑体" w:cs="Times New Roman"/>
                <w:color w:val="auto"/>
                <w:sz w:val="21"/>
                <w:szCs w:val="20"/>
                <w:highlight w:val="none"/>
                <w:lang w:val="en-US" w:eastAsia="zh-CN"/>
              </w:rPr>
              <w:t>1、4-9、11号</w:t>
            </w:r>
            <w:r>
              <w:rPr>
                <w:rFonts w:hint="default" w:ascii="Times New Roman" w:hAnsi="Times New Roman" w:eastAsia="黑体" w:cs="Times New Roman"/>
                <w:color w:val="auto"/>
                <w:sz w:val="21"/>
                <w:szCs w:val="20"/>
                <w:highlight w:val="none"/>
              </w:rPr>
              <w:t>井场</w:t>
            </w:r>
            <w:r>
              <w:rPr>
                <w:rFonts w:hint="eastAsia" w:ascii="Times New Roman" w:hAnsi="Times New Roman" w:eastAsia="黑体" w:cs="Times New Roman"/>
                <w:color w:val="auto"/>
                <w:sz w:val="21"/>
                <w:szCs w:val="20"/>
                <w:highlight w:val="none"/>
                <w:lang w:val="en-US" w:eastAsia="zh-CN"/>
              </w:rPr>
              <w:t>平面</w:t>
            </w:r>
            <w:r>
              <w:rPr>
                <w:rFonts w:hint="default" w:ascii="Times New Roman" w:hAnsi="Times New Roman" w:eastAsia="黑体" w:cs="Times New Roman"/>
                <w:color w:val="auto"/>
                <w:sz w:val="21"/>
                <w:szCs w:val="20"/>
                <w:highlight w:val="none"/>
              </w:rPr>
              <w:t>布置图</w:t>
            </w:r>
          </w:p>
          <w:p w14:paraId="01145F2F">
            <w:pPr>
              <w:pStyle w:val="52"/>
              <w:spacing w:line="360" w:lineRule="auto"/>
              <w:jc w:val="center"/>
              <w:rPr>
                <w:rFonts w:hint="default" w:ascii="Times New Roman" w:hAnsi="Times New Roman" w:eastAsia="黑体" w:cs="Times New Roman"/>
                <w:color w:val="0000FF"/>
                <w:sz w:val="21"/>
                <w:szCs w:val="20"/>
                <w:highlight w:val="none"/>
              </w:rPr>
            </w:pPr>
            <w:r>
              <w:drawing>
                <wp:inline distT="0" distB="0" distL="114300" distR="114300">
                  <wp:extent cx="4439920" cy="6981825"/>
                  <wp:effectExtent l="0" t="0" r="17780" b="952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4"/>
                          <a:stretch>
                            <a:fillRect/>
                          </a:stretch>
                        </pic:blipFill>
                        <pic:spPr>
                          <a:xfrm>
                            <a:off x="0" y="0"/>
                            <a:ext cx="4439920" cy="6981825"/>
                          </a:xfrm>
                          <a:prstGeom prst="rect">
                            <a:avLst/>
                          </a:prstGeom>
                          <a:noFill/>
                          <a:ln>
                            <a:noFill/>
                          </a:ln>
                        </pic:spPr>
                      </pic:pic>
                    </a:graphicData>
                  </a:graphic>
                </wp:inline>
              </w:drawing>
            </w:r>
          </w:p>
          <w:p w14:paraId="14A2AD3F">
            <w:pPr>
              <w:pStyle w:val="52"/>
              <w:spacing w:line="360" w:lineRule="auto"/>
              <w:jc w:val="center"/>
              <w:rPr>
                <w:rFonts w:hint="default" w:ascii="Times New Roman" w:hAnsi="Times New Roman" w:eastAsia="黑体" w:cs="Times New Roman"/>
                <w:color w:val="auto"/>
                <w:sz w:val="21"/>
                <w:szCs w:val="20"/>
                <w:highlight w:val="none"/>
              </w:rPr>
            </w:pPr>
            <w:r>
              <w:rPr>
                <w:rFonts w:hint="default" w:ascii="Times New Roman" w:hAnsi="Times New Roman" w:eastAsia="黑体" w:cs="Times New Roman"/>
                <w:color w:val="auto"/>
                <w:sz w:val="21"/>
                <w:szCs w:val="20"/>
                <w:highlight w:val="none"/>
              </w:rPr>
              <w:t>图2-</w:t>
            </w:r>
            <w:r>
              <w:rPr>
                <w:rFonts w:hint="eastAsia" w:ascii="Times New Roman" w:hAnsi="Times New Roman" w:eastAsia="黑体" w:cs="Times New Roman"/>
                <w:color w:val="auto"/>
                <w:sz w:val="21"/>
                <w:szCs w:val="20"/>
                <w:highlight w:val="none"/>
                <w:lang w:val="en-US" w:eastAsia="zh-CN"/>
              </w:rPr>
              <w:t>5</w:t>
            </w:r>
            <w:r>
              <w:rPr>
                <w:rFonts w:hint="default" w:ascii="Times New Roman" w:hAnsi="Times New Roman" w:eastAsia="黑体" w:cs="Times New Roman"/>
                <w:color w:val="auto"/>
                <w:sz w:val="21"/>
                <w:szCs w:val="20"/>
                <w:highlight w:val="none"/>
              </w:rPr>
              <w:t xml:space="preserve">  项目</w:t>
            </w:r>
            <w:r>
              <w:rPr>
                <w:rFonts w:hint="eastAsia" w:ascii="Times New Roman" w:hAnsi="Times New Roman" w:eastAsia="黑体" w:cs="Times New Roman"/>
                <w:color w:val="auto"/>
                <w:sz w:val="21"/>
                <w:szCs w:val="20"/>
                <w:highlight w:val="none"/>
                <w:lang w:val="en-US" w:eastAsia="zh-CN"/>
              </w:rPr>
              <w:t>2、3号</w:t>
            </w:r>
            <w:r>
              <w:rPr>
                <w:rFonts w:hint="default" w:ascii="Times New Roman" w:hAnsi="Times New Roman" w:eastAsia="黑体" w:cs="Times New Roman"/>
                <w:color w:val="auto"/>
                <w:sz w:val="21"/>
                <w:szCs w:val="20"/>
                <w:highlight w:val="none"/>
              </w:rPr>
              <w:t>井场</w:t>
            </w:r>
            <w:r>
              <w:rPr>
                <w:rFonts w:hint="eastAsia" w:ascii="Times New Roman" w:hAnsi="Times New Roman" w:eastAsia="黑体" w:cs="Times New Roman"/>
                <w:color w:val="auto"/>
                <w:sz w:val="21"/>
                <w:szCs w:val="20"/>
                <w:highlight w:val="none"/>
                <w:lang w:val="en-US" w:eastAsia="zh-CN"/>
              </w:rPr>
              <w:t>平面</w:t>
            </w:r>
            <w:r>
              <w:rPr>
                <w:rFonts w:hint="default" w:ascii="Times New Roman" w:hAnsi="Times New Roman" w:eastAsia="黑体" w:cs="Times New Roman"/>
                <w:color w:val="auto"/>
                <w:sz w:val="21"/>
                <w:szCs w:val="20"/>
                <w:highlight w:val="none"/>
              </w:rPr>
              <w:t>布置图</w:t>
            </w:r>
          </w:p>
          <w:p w14:paraId="5FB698E7">
            <w:pPr>
              <w:pStyle w:val="52"/>
              <w:spacing w:line="360" w:lineRule="auto"/>
              <w:jc w:val="center"/>
              <w:rPr>
                <w:rFonts w:hint="default" w:ascii="Times New Roman" w:hAnsi="Times New Roman" w:eastAsia="黑体" w:cs="Times New Roman"/>
                <w:color w:val="0000FF"/>
                <w:sz w:val="21"/>
                <w:szCs w:val="20"/>
                <w:highlight w:val="none"/>
              </w:rPr>
            </w:pPr>
          </w:p>
          <w:p w14:paraId="657531CE">
            <w:pPr>
              <w:pStyle w:val="52"/>
              <w:spacing w:line="360" w:lineRule="auto"/>
              <w:jc w:val="center"/>
              <w:rPr>
                <w:rFonts w:hint="default" w:ascii="Times New Roman" w:hAnsi="Times New Roman" w:eastAsia="黑体" w:cs="Times New Roman"/>
                <w:color w:val="0000FF"/>
                <w:sz w:val="21"/>
                <w:szCs w:val="20"/>
                <w:highlight w:val="none"/>
              </w:rPr>
            </w:pPr>
          </w:p>
          <w:p w14:paraId="60CF1608">
            <w:pPr>
              <w:pStyle w:val="52"/>
              <w:spacing w:line="360" w:lineRule="auto"/>
              <w:jc w:val="center"/>
              <w:rPr>
                <w:rFonts w:hint="default" w:ascii="Times New Roman" w:hAnsi="Times New Roman" w:eastAsia="黑体" w:cs="Times New Roman"/>
                <w:color w:val="0000FF"/>
                <w:sz w:val="21"/>
                <w:szCs w:val="20"/>
                <w:highlight w:val="none"/>
              </w:rPr>
            </w:pPr>
          </w:p>
          <w:p w14:paraId="0851104A">
            <w:pPr>
              <w:pStyle w:val="52"/>
              <w:spacing w:line="360" w:lineRule="auto"/>
              <w:jc w:val="both"/>
              <w:rPr>
                <w:rFonts w:hint="default" w:ascii="Times New Roman" w:hAnsi="Times New Roman" w:eastAsia="黑体" w:cs="Times New Roman"/>
                <w:color w:val="0000FF"/>
                <w:sz w:val="21"/>
                <w:szCs w:val="20"/>
                <w:highlight w:val="none"/>
              </w:rPr>
            </w:pPr>
          </w:p>
          <w:p w14:paraId="330828C1">
            <w:pPr>
              <w:pStyle w:val="52"/>
              <w:spacing w:line="360" w:lineRule="auto"/>
              <w:jc w:val="center"/>
              <w:rPr>
                <w:rFonts w:hint="default" w:ascii="Times New Roman" w:hAnsi="Times New Roman" w:eastAsia="黑体" w:cs="Times New Roman"/>
                <w:color w:val="0000FF"/>
                <w:sz w:val="21"/>
                <w:szCs w:val="20"/>
                <w:highlight w:val="none"/>
              </w:rPr>
            </w:pPr>
            <w:r>
              <w:drawing>
                <wp:inline distT="0" distB="0" distL="114300" distR="114300">
                  <wp:extent cx="3663315" cy="5641340"/>
                  <wp:effectExtent l="0" t="0" r="13335" b="1651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5"/>
                          <a:stretch>
                            <a:fillRect/>
                          </a:stretch>
                        </pic:blipFill>
                        <pic:spPr>
                          <a:xfrm>
                            <a:off x="0" y="0"/>
                            <a:ext cx="3663315" cy="5641340"/>
                          </a:xfrm>
                          <a:prstGeom prst="rect">
                            <a:avLst/>
                          </a:prstGeom>
                          <a:noFill/>
                          <a:ln>
                            <a:noFill/>
                          </a:ln>
                        </pic:spPr>
                      </pic:pic>
                    </a:graphicData>
                  </a:graphic>
                </wp:inline>
              </w:drawing>
            </w:r>
          </w:p>
          <w:p w14:paraId="1E8F0A58">
            <w:pPr>
              <w:pStyle w:val="52"/>
              <w:spacing w:line="360" w:lineRule="auto"/>
              <w:jc w:val="center"/>
              <w:rPr>
                <w:rFonts w:hint="default" w:ascii="Times New Roman" w:hAnsi="Times New Roman" w:eastAsia="黑体" w:cs="Times New Roman"/>
                <w:color w:val="auto"/>
                <w:sz w:val="21"/>
                <w:szCs w:val="20"/>
                <w:highlight w:val="none"/>
              </w:rPr>
            </w:pPr>
            <w:r>
              <w:rPr>
                <w:rFonts w:hint="default" w:ascii="Times New Roman" w:hAnsi="Times New Roman" w:eastAsia="黑体" w:cs="Times New Roman"/>
                <w:color w:val="auto"/>
                <w:sz w:val="21"/>
                <w:szCs w:val="20"/>
                <w:highlight w:val="none"/>
              </w:rPr>
              <w:t>图2-</w:t>
            </w:r>
            <w:r>
              <w:rPr>
                <w:rFonts w:hint="eastAsia" w:ascii="Times New Roman" w:hAnsi="Times New Roman" w:eastAsia="黑体" w:cs="Times New Roman"/>
                <w:color w:val="auto"/>
                <w:sz w:val="21"/>
                <w:szCs w:val="20"/>
                <w:highlight w:val="none"/>
                <w:lang w:val="en-US" w:eastAsia="zh-CN"/>
              </w:rPr>
              <w:t>6</w:t>
            </w:r>
            <w:r>
              <w:rPr>
                <w:rFonts w:hint="default" w:ascii="Times New Roman" w:hAnsi="Times New Roman" w:eastAsia="黑体" w:cs="Times New Roman"/>
                <w:color w:val="auto"/>
                <w:sz w:val="21"/>
                <w:szCs w:val="20"/>
                <w:highlight w:val="none"/>
              </w:rPr>
              <w:t xml:space="preserve">  项目</w:t>
            </w:r>
            <w:r>
              <w:rPr>
                <w:rFonts w:hint="eastAsia" w:ascii="Times New Roman" w:hAnsi="Times New Roman" w:eastAsia="黑体" w:cs="Times New Roman"/>
                <w:color w:val="auto"/>
                <w:sz w:val="21"/>
                <w:szCs w:val="20"/>
                <w:highlight w:val="none"/>
                <w:lang w:val="en-US" w:eastAsia="zh-CN"/>
              </w:rPr>
              <w:t>10号</w:t>
            </w:r>
            <w:r>
              <w:rPr>
                <w:rFonts w:hint="default" w:ascii="Times New Roman" w:hAnsi="Times New Roman" w:eastAsia="黑体" w:cs="Times New Roman"/>
                <w:color w:val="auto"/>
                <w:sz w:val="21"/>
                <w:szCs w:val="20"/>
                <w:highlight w:val="none"/>
              </w:rPr>
              <w:t>井场</w:t>
            </w:r>
            <w:r>
              <w:rPr>
                <w:rFonts w:hint="eastAsia" w:ascii="Times New Roman" w:hAnsi="Times New Roman" w:eastAsia="黑体" w:cs="Times New Roman"/>
                <w:color w:val="auto"/>
                <w:sz w:val="21"/>
                <w:szCs w:val="20"/>
                <w:highlight w:val="none"/>
                <w:lang w:val="en-US" w:eastAsia="zh-CN"/>
              </w:rPr>
              <w:t>平面</w:t>
            </w:r>
            <w:r>
              <w:rPr>
                <w:rFonts w:hint="default" w:ascii="Times New Roman" w:hAnsi="Times New Roman" w:eastAsia="黑体" w:cs="Times New Roman"/>
                <w:color w:val="auto"/>
                <w:sz w:val="21"/>
                <w:szCs w:val="20"/>
                <w:highlight w:val="none"/>
              </w:rPr>
              <w:t>布置图</w:t>
            </w:r>
          </w:p>
          <w:p w14:paraId="66BF9BD0">
            <w:pPr>
              <w:pStyle w:val="52"/>
              <w:jc w:val="center"/>
            </w:pPr>
          </w:p>
          <w:p w14:paraId="500C368F">
            <w:pPr>
              <w:pStyle w:val="52"/>
              <w:jc w:val="center"/>
              <w:rPr>
                <w:rFonts w:hint="default" w:ascii="Times New Roman" w:hAnsi="Times New Roman" w:eastAsia="黑体" w:cs="Times New Roman"/>
                <w:color w:val="0000FF"/>
                <w:sz w:val="21"/>
                <w:szCs w:val="20"/>
                <w:highlight w:val="none"/>
              </w:rPr>
            </w:pPr>
            <w:r>
              <w:drawing>
                <wp:inline distT="0" distB="0" distL="114300" distR="114300">
                  <wp:extent cx="5043805" cy="2233295"/>
                  <wp:effectExtent l="0" t="0" r="0" b="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6"/>
                          <a:srcRect b="10028"/>
                          <a:stretch>
                            <a:fillRect/>
                          </a:stretch>
                        </pic:blipFill>
                        <pic:spPr>
                          <a:xfrm>
                            <a:off x="0" y="0"/>
                            <a:ext cx="5043805" cy="2233295"/>
                          </a:xfrm>
                          <a:prstGeom prst="rect">
                            <a:avLst/>
                          </a:prstGeom>
                          <a:noFill/>
                          <a:ln>
                            <a:noFill/>
                          </a:ln>
                        </pic:spPr>
                      </pic:pic>
                    </a:graphicData>
                  </a:graphic>
                </wp:inline>
              </w:drawing>
            </w:r>
          </w:p>
          <w:p w14:paraId="4475BB6C">
            <w:pPr>
              <w:pStyle w:val="52"/>
              <w:jc w:val="center"/>
              <w:rPr>
                <w:rFonts w:hint="default" w:ascii="Times New Roman" w:hAnsi="Times New Roman" w:cs="Times New Roman"/>
                <w:color w:val="auto"/>
                <w:highlight w:val="none"/>
              </w:rPr>
            </w:pPr>
            <w:r>
              <w:rPr>
                <w:rFonts w:hint="default" w:ascii="Times New Roman" w:hAnsi="Times New Roman" w:eastAsia="黑体" w:cs="Times New Roman"/>
                <w:color w:val="auto"/>
                <w:sz w:val="21"/>
                <w:szCs w:val="20"/>
                <w:highlight w:val="none"/>
              </w:rPr>
              <w:t>图2-</w:t>
            </w:r>
            <w:r>
              <w:rPr>
                <w:rFonts w:hint="eastAsia" w:ascii="Times New Roman" w:hAnsi="Times New Roman" w:eastAsia="黑体" w:cs="Times New Roman"/>
                <w:color w:val="auto"/>
                <w:sz w:val="21"/>
                <w:szCs w:val="20"/>
                <w:highlight w:val="none"/>
                <w:lang w:val="en-US" w:eastAsia="zh-CN"/>
              </w:rPr>
              <w:t>7</w:t>
            </w:r>
            <w:r>
              <w:rPr>
                <w:rFonts w:hint="default" w:ascii="Times New Roman" w:hAnsi="Times New Roman" w:eastAsia="黑体" w:cs="Times New Roman"/>
                <w:color w:val="auto"/>
                <w:sz w:val="21"/>
                <w:szCs w:val="20"/>
                <w:highlight w:val="none"/>
              </w:rPr>
              <w:t xml:space="preserve">  项目井场布置图</w:t>
            </w:r>
          </w:p>
        </w:tc>
      </w:tr>
      <w:tr w14:paraId="195F9E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9" w:type="pct"/>
            <w:noWrap w:val="0"/>
            <w:vAlign w:val="center"/>
          </w:tcPr>
          <w:p w14:paraId="2B95B258">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 w:val="24"/>
                <w:highlight w:val="none"/>
              </w:rPr>
              <w:t>施工方案</w:t>
            </w:r>
          </w:p>
        </w:tc>
        <w:tc>
          <w:tcPr>
            <w:tcW w:w="4751" w:type="pct"/>
            <w:tcBorders>
              <w:right w:val="single" w:color="auto" w:sz="4" w:space="0"/>
            </w:tcBorders>
            <w:noWrap w:val="0"/>
            <w:vAlign w:val="center"/>
          </w:tcPr>
          <w:p w14:paraId="4F983A45">
            <w:pPr>
              <w:pStyle w:val="16"/>
              <w:tabs>
                <w:tab w:val="left" w:pos="0"/>
              </w:tabs>
              <w:spacing w:line="360" w:lineRule="auto"/>
              <w:ind w:firstLine="482" w:firstLineChars="200"/>
              <w:contextualSpacing/>
              <w:rPr>
                <w:rFonts w:hint="default" w:ascii="Times New Roman" w:hAnsi="Times New Roman" w:cs="Times New Roman"/>
                <w:b/>
                <w:bCs/>
                <w:color w:val="auto"/>
                <w:sz w:val="24"/>
                <w:highlight w:val="none"/>
              </w:rPr>
            </w:pPr>
            <w:bookmarkStart w:id="7" w:name="_Hlk37164306"/>
            <w:bookmarkStart w:id="8" w:name="_Toc37525376"/>
            <w:bookmarkStart w:id="9" w:name="_Toc37525370"/>
            <w:r>
              <w:rPr>
                <w:rFonts w:hint="default" w:ascii="Times New Roman" w:hAnsi="Times New Roman" w:cs="Times New Roman"/>
                <w:b/>
                <w:bCs/>
                <w:color w:val="auto"/>
                <w:sz w:val="24"/>
                <w:highlight w:val="none"/>
              </w:rPr>
              <w:t>1 施工工艺</w:t>
            </w:r>
          </w:p>
          <w:p w14:paraId="479A7F5D">
            <w:pPr>
              <w:pStyle w:val="16"/>
              <w:tabs>
                <w:tab w:val="left" w:pos="0"/>
              </w:tabs>
              <w:spacing w:line="360" w:lineRule="auto"/>
              <w:ind w:firstLine="480" w:firstLineChars="200"/>
              <w:contextualSpacing/>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施工方案分为钻前工程、钻井工程、注浆工程和生态恢复工程。</w:t>
            </w:r>
          </w:p>
          <w:p w14:paraId="2B846388">
            <w:pPr>
              <w:pStyle w:val="16"/>
              <w:tabs>
                <w:tab w:val="left" w:pos="0"/>
              </w:tabs>
              <w:spacing w:line="360" w:lineRule="auto"/>
              <w:ind w:firstLine="482" w:firstLineChars="200"/>
              <w:contextualSpacing/>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1.1 钻前工程</w:t>
            </w:r>
          </w:p>
          <w:p w14:paraId="651C5B5B">
            <w:pPr>
              <w:pStyle w:val="16"/>
              <w:tabs>
                <w:tab w:val="left" w:pos="0"/>
              </w:tabs>
              <w:spacing w:line="360" w:lineRule="auto"/>
              <w:ind w:firstLine="480" w:firstLineChars="200"/>
              <w:contextualSpacing/>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项目钻前工程是为钻井工程进行前期的基础设施建设，主要包括场地整平、安装钻探设备、搭设临时建筑物以及相关附属设施建设等。根据现场调查，用地现状为耕地，场地经防尘网覆盖。钻前工程工艺流程见下图。</w:t>
            </w:r>
          </w:p>
          <w:p w14:paraId="7816B506">
            <w:pPr>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c">
                  <w:drawing>
                    <wp:inline distT="0" distB="0" distL="114300" distR="114300">
                      <wp:extent cx="4770120" cy="2529840"/>
                      <wp:effectExtent l="0" t="0" r="0" b="0"/>
                      <wp:docPr id="40" name="画布 4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38" name="组合 38"/>
                              <wpg:cNvGrpSpPr/>
                              <wpg:grpSpPr>
                                <a:xfrm>
                                  <a:off x="1223010" y="31750"/>
                                  <a:ext cx="2846070" cy="2462530"/>
                                  <a:chOff x="4769" y="4610"/>
                                  <a:chExt cx="4482" cy="3878"/>
                                </a:xfrm>
                              </wpg:grpSpPr>
                              <wps:wsp>
                                <wps:cNvPr id="18" name="矩形 18"/>
                                <wps:cNvSpPr/>
                                <wps:spPr>
                                  <a:xfrm>
                                    <a:off x="4769" y="6830"/>
                                    <a:ext cx="1917" cy="65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159CAC9">
                                      <w:pPr>
                                        <w:spacing w:line="240" w:lineRule="exact"/>
                                        <w:rPr>
                                          <w:sz w:val="18"/>
                                          <w:szCs w:val="18"/>
                                        </w:rPr>
                                      </w:pPr>
                                      <w:r>
                                        <w:rPr>
                                          <w:rFonts w:ascii="黑体" w:hAnsi="黑体" w:eastAsia="黑体"/>
                                          <w:sz w:val="18"/>
                                          <w:szCs w:val="18"/>
                                        </w:rPr>
                                        <w:t>搭设临时建筑物及相关附属设施建设</w:t>
                                      </w:r>
                                    </w:p>
                                  </w:txbxContent>
                                </wps:txbx>
                                <wps:bodyPr upright="1"/>
                              </wps:wsp>
                              <wps:wsp>
                                <wps:cNvPr id="19" name="矩形 19"/>
                                <wps:cNvSpPr/>
                                <wps:spPr>
                                  <a:xfrm>
                                    <a:off x="4770" y="7940"/>
                                    <a:ext cx="1915" cy="45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382DE62">
                                      <w:pPr>
                                        <w:spacing w:line="360" w:lineRule="auto"/>
                                        <w:jc w:val="center"/>
                                        <w:rPr>
                                          <w:rFonts w:ascii="黑体" w:hAnsi="黑体" w:eastAsia="黑体"/>
                                          <w:sz w:val="18"/>
                                          <w:szCs w:val="18"/>
                                        </w:rPr>
                                      </w:pPr>
                                      <w:r>
                                        <w:rPr>
                                          <w:rFonts w:hint="eastAsia" w:ascii="黑体" w:hAnsi="黑体" w:eastAsia="黑体"/>
                                          <w:sz w:val="18"/>
                                          <w:szCs w:val="18"/>
                                        </w:rPr>
                                        <w:t>安装钻探设备</w:t>
                                      </w:r>
                                    </w:p>
                                  </w:txbxContent>
                                </wps:txbx>
                                <wps:bodyPr upright="1"/>
                              </wps:wsp>
                              <wps:wsp>
                                <wps:cNvPr id="21" name="矩形 21"/>
                                <wps:cNvSpPr/>
                                <wps:spPr>
                                  <a:xfrm>
                                    <a:off x="4770" y="5720"/>
                                    <a:ext cx="1915" cy="65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4167C29">
                                      <w:pPr>
                                        <w:spacing w:line="360" w:lineRule="auto"/>
                                        <w:jc w:val="center"/>
                                        <w:rPr>
                                          <w:sz w:val="18"/>
                                          <w:szCs w:val="18"/>
                                        </w:rPr>
                                      </w:pPr>
                                      <w:r>
                                        <w:rPr>
                                          <w:rFonts w:hint="eastAsia" w:ascii="黑体" w:hAnsi="黑体" w:eastAsia="黑体"/>
                                          <w:sz w:val="18"/>
                                          <w:szCs w:val="18"/>
                                        </w:rPr>
                                        <w:t>场地建设和</w:t>
                                      </w:r>
                                      <w:r>
                                        <w:rPr>
                                          <w:rFonts w:ascii="黑体" w:hAnsi="黑体" w:eastAsia="黑体"/>
                                          <w:sz w:val="18"/>
                                          <w:szCs w:val="18"/>
                                        </w:rPr>
                                        <w:t>整平</w:t>
                                      </w:r>
                                    </w:p>
                                  </w:txbxContent>
                                </wps:txbx>
                                <wps:bodyPr upright="1"/>
                              </wps:wsp>
                              <wps:wsp>
                                <wps:cNvPr id="22" name="直接箭头连接符 22"/>
                                <wps:cNvCnPr/>
                                <wps:spPr>
                                  <a:xfrm>
                                    <a:off x="6698" y="5994"/>
                                    <a:ext cx="615" cy="1"/>
                                  </a:xfrm>
                                  <a:prstGeom prst="straightConnector1">
                                    <a:avLst/>
                                  </a:prstGeom>
                                  <a:ln w="9525" cap="flat" cmpd="sng">
                                    <a:solidFill>
                                      <a:srgbClr val="000000"/>
                                    </a:solidFill>
                                    <a:prstDash val="solid"/>
                                    <a:headEnd type="none" w="med" len="med"/>
                                    <a:tailEnd type="triangle" w="sm" len="med"/>
                                  </a:ln>
                                </wps:spPr>
                                <wps:bodyPr/>
                              </wps:wsp>
                              <wps:wsp>
                                <wps:cNvPr id="26" name="直接箭头连接符 26"/>
                                <wps:cNvCnPr/>
                                <wps:spPr>
                                  <a:xfrm>
                                    <a:off x="6698" y="4885"/>
                                    <a:ext cx="616" cy="1"/>
                                  </a:xfrm>
                                  <a:prstGeom prst="straightConnector1">
                                    <a:avLst/>
                                  </a:prstGeom>
                                  <a:ln w="9525" cap="flat" cmpd="sng">
                                    <a:solidFill>
                                      <a:srgbClr val="000000"/>
                                    </a:solidFill>
                                    <a:prstDash val="solid"/>
                                    <a:headEnd type="none" w="med" len="med"/>
                                    <a:tailEnd type="triangle" w="sm" len="med"/>
                                  </a:ln>
                                </wps:spPr>
                                <wps:bodyPr/>
                              </wps:wsp>
                              <wps:wsp>
                                <wps:cNvPr id="27" name="矩形 27"/>
                                <wps:cNvSpPr/>
                                <wps:spPr>
                                  <a:xfrm>
                                    <a:off x="7145" y="5668"/>
                                    <a:ext cx="2055" cy="621"/>
                                  </a:xfrm>
                                  <a:prstGeom prst="rect">
                                    <a:avLst/>
                                  </a:prstGeom>
                                  <a:noFill/>
                                  <a:ln>
                                    <a:noFill/>
                                  </a:ln>
                                </wps:spPr>
                                <wps:txbx>
                                  <w:txbxContent>
                                    <w:p w14:paraId="2390BC32">
                                      <w:pPr>
                                        <w:spacing w:line="240" w:lineRule="exact"/>
                                        <w:jc w:val="center"/>
                                        <w:rPr>
                                          <w:sz w:val="18"/>
                                          <w:szCs w:val="18"/>
                                        </w:rPr>
                                      </w:pPr>
                                      <w:r>
                                        <w:rPr>
                                          <w:rFonts w:hint="eastAsia" w:ascii="黑体" w:hAnsi="黑体" w:eastAsia="黑体"/>
                                          <w:sz w:val="18"/>
                                          <w:szCs w:val="18"/>
                                        </w:rPr>
                                        <w:t>水土流失、植被破坏、施工噪声、扬尘、废渣</w:t>
                                      </w:r>
                                    </w:p>
                                  </w:txbxContent>
                                </wps:txbx>
                                <wps:bodyPr upright="1"/>
                              </wps:wsp>
                              <wps:wsp>
                                <wps:cNvPr id="28" name="矩形 28"/>
                                <wps:cNvSpPr/>
                                <wps:spPr>
                                  <a:xfrm>
                                    <a:off x="7187" y="6900"/>
                                    <a:ext cx="2055" cy="548"/>
                                  </a:xfrm>
                                  <a:prstGeom prst="rect">
                                    <a:avLst/>
                                  </a:prstGeom>
                                  <a:noFill/>
                                  <a:ln>
                                    <a:noFill/>
                                  </a:ln>
                                </wps:spPr>
                                <wps:txbx>
                                  <w:txbxContent>
                                    <w:p w14:paraId="532D98DB">
                                      <w:pPr>
                                        <w:spacing w:line="240" w:lineRule="exact"/>
                                        <w:jc w:val="center"/>
                                        <w:rPr>
                                          <w:sz w:val="18"/>
                                          <w:szCs w:val="18"/>
                                        </w:rPr>
                                      </w:pPr>
                                      <w:r>
                                        <w:rPr>
                                          <w:rFonts w:hint="eastAsia" w:ascii="黑体" w:hAnsi="黑体" w:eastAsia="黑体"/>
                                          <w:sz w:val="18"/>
                                          <w:szCs w:val="18"/>
                                        </w:rPr>
                                        <w:t>施工噪声、扬尘、废渣</w:t>
                                      </w:r>
                                    </w:p>
                                  </w:txbxContent>
                                </wps:txbx>
                                <wps:bodyPr upright="1"/>
                              </wps:wsp>
                              <wps:wsp>
                                <wps:cNvPr id="29" name="矩形 29"/>
                                <wps:cNvSpPr/>
                                <wps:spPr>
                                  <a:xfrm>
                                    <a:off x="6963" y="8021"/>
                                    <a:ext cx="2055" cy="467"/>
                                  </a:xfrm>
                                  <a:prstGeom prst="rect">
                                    <a:avLst/>
                                  </a:prstGeom>
                                  <a:noFill/>
                                  <a:ln>
                                    <a:noFill/>
                                  </a:ln>
                                </wps:spPr>
                                <wps:txbx>
                                  <w:txbxContent>
                                    <w:p w14:paraId="6AA7C179">
                                      <w:pPr>
                                        <w:spacing w:line="240" w:lineRule="exact"/>
                                        <w:jc w:val="center"/>
                                        <w:rPr>
                                          <w:sz w:val="18"/>
                                          <w:szCs w:val="18"/>
                                        </w:rPr>
                                      </w:pPr>
                                      <w:r>
                                        <w:rPr>
                                          <w:rFonts w:hint="eastAsia" w:ascii="黑体" w:hAnsi="黑体" w:eastAsia="黑体"/>
                                          <w:sz w:val="18"/>
                                          <w:szCs w:val="18"/>
                                        </w:rPr>
                                        <w:t>施工噪声、扬尘</w:t>
                                      </w:r>
                                    </w:p>
                                  </w:txbxContent>
                                </wps:txbx>
                                <wps:bodyPr upright="1"/>
                              </wps:wsp>
                              <wps:wsp>
                                <wps:cNvPr id="30" name="矩形 30"/>
                                <wps:cNvSpPr/>
                                <wps:spPr>
                                  <a:xfrm>
                                    <a:off x="4770" y="4610"/>
                                    <a:ext cx="1915" cy="65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CFB38F8">
                                      <w:pPr>
                                        <w:spacing w:line="360" w:lineRule="auto"/>
                                        <w:jc w:val="center"/>
                                        <w:rPr>
                                          <w:sz w:val="18"/>
                                          <w:szCs w:val="18"/>
                                        </w:rPr>
                                      </w:pPr>
                                      <w:r>
                                        <w:rPr>
                                          <w:rFonts w:hint="eastAsia" w:ascii="黑体" w:hAnsi="黑体" w:eastAsia="黑体"/>
                                          <w:sz w:val="18"/>
                                          <w:szCs w:val="18"/>
                                        </w:rPr>
                                        <w:t>表土剥离</w:t>
                                      </w:r>
                                    </w:p>
                                  </w:txbxContent>
                                </wps:txbx>
                                <wps:bodyPr upright="1"/>
                              </wps:wsp>
                              <wps:wsp>
                                <wps:cNvPr id="31" name="直接箭头连接符 31"/>
                                <wps:cNvCnPr/>
                                <wps:spPr>
                                  <a:xfrm>
                                    <a:off x="6698" y="8214"/>
                                    <a:ext cx="615" cy="1"/>
                                  </a:xfrm>
                                  <a:prstGeom prst="straightConnector1">
                                    <a:avLst/>
                                  </a:prstGeom>
                                  <a:ln w="9525" cap="flat" cmpd="sng">
                                    <a:solidFill>
                                      <a:srgbClr val="000000"/>
                                    </a:solidFill>
                                    <a:prstDash val="solid"/>
                                    <a:headEnd type="none" w="med" len="med"/>
                                    <a:tailEnd type="triangle" w="sm" len="med"/>
                                  </a:ln>
                                </wps:spPr>
                                <wps:bodyPr/>
                              </wps:wsp>
                              <wps:wsp>
                                <wps:cNvPr id="32" name="直接箭头连接符 32"/>
                                <wps:cNvCnPr/>
                                <wps:spPr>
                                  <a:xfrm>
                                    <a:off x="6698" y="7104"/>
                                    <a:ext cx="616" cy="1"/>
                                  </a:xfrm>
                                  <a:prstGeom prst="straightConnector1">
                                    <a:avLst/>
                                  </a:prstGeom>
                                  <a:ln w="9525" cap="flat" cmpd="sng">
                                    <a:solidFill>
                                      <a:srgbClr val="000000"/>
                                    </a:solidFill>
                                    <a:prstDash val="solid"/>
                                    <a:headEnd type="none" w="med" len="med"/>
                                    <a:tailEnd type="triangle" w="sm" len="med"/>
                                  </a:ln>
                                </wps:spPr>
                                <wps:bodyPr/>
                              </wps:wsp>
                              <wps:wsp>
                                <wps:cNvPr id="33" name="矩形 33"/>
                                <wps:cNvSpPr/>
                                <wps:spPr>
                                  <a:xfrm>
                                    <a:off x="7196" y="4672"/>
                                    <a:ext cx="2055" cy="467"/>
                                  </a:xfrm>
                                  <a:prstGeom prst="rect">
                                    <a:avLst/>
                                  </a:prstGeom>
                                  <a:noFill/>
                                  <a:ln>
                                    <a:noFill/>
                                  </a:ln>
                                </wps:spPr>
                                <wps:txbx>
                                  <w:txbxContent>
                                    <w:p w14:paraId="3A5B6403">
                                      <w:pPr>
                                        <w:spacing w:line="240" w:lineRule="exact"/>
                                        <w:jc w:val="center"/>
                                        <w:rPr>
                                          <w:sz w:val="18"/>
                                          <w:szCs w:val="18"/>
                                        </w:rPr>
                                      </w:pPr>
                                      <w:r>
                                        <w:rPr>
                                          <w:rFonts w:hint="eastAsia" w:ascii="黑体" w:hAnsi="黑体" w:eastAsia="黑体"/>
                                          <w:sz w:val="18"/>
                                          <w:szCs w:val="18"/>
                                        </w:rPr>
                                        <w:t>施工噪声、扬尘、弃土</w:t>
                                      </w:r>
                                    </w:p>
                                  </w:txbxContent>
                                </wps:txbx>
                                <wps:bodyPr upright="1"/>
                              </wps:wsp>
                              <wps:wsp>
                                <wps:cNvPr id="34" name="直接箭头连接符 34"/>
                                <wps:cNvCnPr/>
                                <wps:spPr>
                                  <a:xfrm>
                                    <a:off x="5728" y="5262"/>
                                    <a:ext cx="1" cy="458"/>
                                  </a:xfrm>
                                  <a:prstGeom prst="straightConnector1">
                                    <a:avLst/>
                                  </a:prstGeom>
                                  <a:ln w="9525" cap="flat" cmpd="sng">
                                    <a:solidFill>
                                      <a:srgbClr val="000000"/>
                                    </a:solidFill>
                                    <a:prstDash val="solid"/>
                                    <a:headEnd type="none" w="med" len="med"/>
                                    <a:tailEnd type="triangle" w="sm" len="med"/>
                                  </a:ln>
                                </wps:spPr>
                                <wps:bodyPr/>
                              </wps:wsp>
                              <wps:wsp>
                                <wps:cNvPr id="35" name="直接箭头连接符 35"/>
                                <wps:cNvCnPr/>
                                <wps:spPr>
                                  <a:xfrm>
                                    <a:off x="5728" y="6372"/>
                                    <a:ext cx="1" cy="458"/>
                                  </a:xfrm>
                                  <a:prstGeom prst="straightConnector1">
                                    <a:avLst/>
                                  </a:prstGeom>
                                  <a:ln w="9525" cap="flat" cmpd="sng">
                                    <a:solidFill>
                                      <a:srgbClr val="000000"/>
                                    </a:solidFill>
                                    <a:prstDash val="solid"/>
                                    <a:headEnd type="none" w="med" len="med"/>
                                    <a:tailEnd type="triangle" w="sm" len="med"/>
                                  </a:ln>
                                </wps:spPr>
                                <wps:bodyPr/>
                              </wps:wsp>
                              <wps:wsp>
                                <wps:cNvPr id="37" name="直接箭头连接符 37"/>
                                <wps:cNvCnPr/>
                                <wps:spPr>
                                  <a:xfrm>
                                    <a:off x="5728" y="7482"/>
                                    <a:ext cx="1" cy="458"/>
                                  </a:xfrm>
                                  <a:prstGeom prst="straightConnector1">
                                    <a:avLst/>
                                  </a:prstGeom>
                                  <a:ln w="9525" cap="flat" cmpd="sng">
                                    <a:solidFill>
                                      <a:srgbClr val="000000"/>
                                    </a:solidFill>
                                    <a:prstDash val="solid"/>
                                    <a:headEnd type="none" w="med" len="med"/>
                                    <a:tailEnd type="triangle" w="sm" len="med"/>
                                  </a:ln>
                                </wps:spPr>
                                <wps:bodyPr/>
                              </wps:wsp>
                            </wpg:wgp>
                          </wpc:wpc>
                        </a:graphicData>
                      </a:graphic>
                    </wp:inline>
                  </w:drawing>
                </mc:Choice>
                <mc:Fallback>
                  <w:pict>
                    <v:group id="_x0000_s1026" o:spid="_x0000_s1026" o:spt="203" style="height:199.2pt;width:375.6pt;" coordsize="4770120,2529840" editas="canvas" o:gfxdata="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">
                      <o:lock v:ext="edit" aspectratio="f"/>
                      <v:shape id="_x0000_s1026" o:spid="_x0000_s1026" style="position:absolute;left:0;top:0;height:2529840;width:4770120;" filled="f" stroked="f" coordsize="21600,21600" o:gfxdata="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">
                        <v:fill on="f" focussize="0,0"/>
                        <v:stroke on="f"/>
                        <v:imagedata o:title=""/>
                        <o:lock v:ext="edit" aspectratio="t"/>
                      </v:shape>
                      <v:group id="_x0000_s1026" o:spid="_x0000_s1026" o:spt="203" style="position:absolute;left:1223010;top:31750;height:2462530;width:2846070;" coordorigin="4769,4610" coordsize="4482,3878" o:gfxdata="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">
                        <o:lock v:ext="edit" aspectratio="f"/>
                        <v:rect id="_x0000_s1026" o:spid="_x0000_s1026" o:spt="1" style="position:absolute;left:4769;top:6830;height:652;width:1917;" fillcolor="#FFFFFF" filled="t" stroked="t" coordsize="21600,21600" o:gfxdata="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vqEpe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159CAC9">
                                <w:pPr>
                                  <w:spacing w:line="240" w:lineRule="exact"/>
                                  <w:rPr>
                                    <w:sz w:val="18"/>
                                    <w:szCs w:val="18"/>
                                  </w:rPr>
                                </w:pPr>
                                <w:r>
                                  <w:rPr>
                                    <w:rFonts w:ascii="黑体" w:hAnsi="黑体" w:eastAsia="黑体"/>
                                    <w:sz w:val="18"/>
                                    <w:szCs w:val="18"/>
                                  </w:rPr>
                                  <w:t>搭设临时建筑物及相关附属设施建设</w:t>
                                </w:r>
                              </w:p>
                            </w:txbxContent>
                          </v:textbox>
                        </v:rect>
                        <v:rect id="_x0000_s1026" o:spid="_x0000_s1026" o:spt="1" style="position:absolute;left:4770;top:7940;height:454;width:1915;" fillcolor="#FFFFFF" filled="t" stroked="t" coordsize="21600,21600" o:gfxdata="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Ka3DL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7382DE62">
                                <w:pPr>
                                  <w:spacing w:line="360" w:lineRule="auto"/>
                                  <w:jc w:val="center"/>
                                  <w:rPr>
                                    <w:rFonts w:ascii="黑体" w:hAnsi="黑体" w:eastAsia="黑体"/>
                                    <w:sz w:val="18"/>
                                    <w:szCs w:val="18"/>
                                  </w:rPr>
                                </w:pPr>
                                <w:r>
                                  <w:rPr>
                                    <w:rFonts w:hint="eastAsia" w:ascii="黑体" w:hAnsi="黑体" w:eastAsia="黑体"/>
                                    <w:sz w:val="18"/>
                                    <w:szCs w:val="18"/>
                                  </w:rPr>
                                  <w:t>安装钻探设备</w:t>
                                </w:r>
                              </w:p>
                            </w:txbxContent>
                          </v:textbox>
                        </v:rect>
                        <v:rect id="_x0000_s1026" o:spid="_x0000_s1026" o:spt="1" style="position:absolute;left:4770;top:5720;height:652;width:1915;" fillcolor="#FFFFFF" filled="t" stroked="t" coordsize="21600,21600" o:gfxdata="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vHG3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4167C29">
                                <w:pPr>
                                  <w:spacing w:line="360" w:lineRule="auto"/>
                                  <w:jc w:val="center"/>
                                  <w:rPr>
                                    <w:sz w:val="18"/>
                                    <w:szCs w:val="18"/>
                                  </w:rPr>
                                </w:pPr>
                                <w:r>
                                  <w:rPr>
                                    <w:rFonts w:hint="eastAsia" w:ascii="黑体" w:hAnsi="黑体" w:eastAsia="黑体"/>
                                    <w:sz w:val="18"/>
                                    <w:szCs w:val="18"/>
                                  </w:rPr>
                                  <w:t>场地建设和</w:t>
                                </w:r>
                                <w:r>
                                  <w:rPr>
                                    <w:rFonts w:ascii="黑体" w:hAnsi="黑体" w:eastAsia="黑体"/>
                                    <w:sz w:val="18"/>
                                    <w:szCs w:val="18"/>
                                  </w:rPr>
                                  <w:t>整平</w:t>
                                </w:r>
                              </w:p>
                            </w:txbxContent>
                          </v:textbox>
                        </v:rect>
                        <v:shape id="_x0000_s1026" o:spid="_x0000_s1026" o:spt="32" type="#_x0000_t32" style="position:absolute;left:6698;top:5994;height:1;width:615;" filled="f" stroked="t" coordsize="21600,21600" o:gfxdata="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6Dm/xvQAA&#10;ANsAAAAPAAAAAAAAAAEAIAAAACIAAABkcnMvZG93bnJldi54bWxQSwECFAAUAAAACACHTuJAMy8F&#10;njsAAAA5AAAAEAAAAAAAAAABACAAAAAMAQAAZHJzL3NoYXBleG1sLnhtbFBLBQYAAAAABgAGAFsB&#10;AAC2AwAAAAA=&#10;">
                          <v:fill on="f" focussize="0,0"/>
                          <v:stroke color="#000000" joinstyle="round" endarrow="block" endarrowwidth="narrow"/>
                          <v:imagedata o:title=""/>
                          <o:lock v:ext="edit" aspectratio="f"/>
                        </v:shape>
                        <v:shape id="_x0000_s1026" o:spid="_x0000_s1026" o:spt="32" type="#_x0000_t32" style="position:absolute;left:6698;top:4885;height:1;width:616;" filled="f" stroked="t" coordsize="21600,21600" o:gfxdata="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TVp8r4A&#10;AADbAAAADwAAAAAAAAABACAAAAAiAAAAZHJzL2Rvd25yZXYueG1sUEsBAhQAFAAAAAgAh07iQDMv&#10;BZ47AAAAOQAAABAAAAAAAAAAAQAgAAAADQEAAGRycy9zaGFwZXhtbC54bWxQSwUGAAAAAAYABgBb&#10;AQAAtwMAAAAA&#10;">
                          <v:fill on="f" focussize="0,0"/>
                          <v:stroke color="#000000" joinstyle="round" endarrow="block" endarrowwidth="narrow"/>
                          <v:imagedata o:title=""/>
                          <o:lock v:ext="edit" aspectratio="f"/>
                        </v:shape>
                        <v:rect id="_x0000_s1026" o:spid="_x0000_s1026" o:spt="1" style="position:absolute;left:7145;top:5668;height:621;width:2055;" filled="f" stroked="f" coordsize="21600,21600" o:gfxdata="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uvbZ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390BC32">
                                <w:pPr>
                                  <w:spacing w:line="240" w:lineRule="exact"/>
                                  <w:jc w:val="center"/>
                                  <w:rPr>
                                    <w:sz w:val="18"/>
                                    <w:szCs w:val="18"/>
                                  </w:rPr>
                                </w:pPr>
                                <w:r>
                                  <w:rPr>
                                    <w:rFonts w:hint="eastAsia" w:ascii="黑体" w:hAnsi="黑体" w:eastAsia="黑体"/>
                                    <w:sz w:val="18"/>
                                    <w:szCs w:val="18"/>
                                  </w:rPr>
                                  <w:t>水土流失、植被破坏、施工噪声、扬尘、废渣</w:t>
                                </w:r>
                              </w:p>
                            </w:txbxContent>
                          </v:textbox>
                        </v:rect>
                        <v:rect id="_x0000_s1026" o:spid="_x0000_s1026" o:spt="1" style="position:absolute;left:7187;top:6900;height:548;width:2055;" filled="f" stroked="f" coordsize="21600,21600" o:gfxdata="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CViq7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532D98DB">
                                <w:pPr>
                                  <w:spacing w:line="240" w:lineRule="exact"/>
                                  <w:jc w:val="center"/>
                                  <w:rPr>
                                    <w:sz w:val="18"/>
                                    <w:szCs w:val="18"/>
                                  </w:rPr>
                                </w:pPr>
                                <w:r>
                                  <w:rPr>
                                    <w:rFonts w:hint="eastAsia" w:ascii="黑体" w:hAnsi="黑体" w:eastAsia="黑体"/>
                                    <w:sz w:val="18"/>
                                    <w:szCs w:val="18"/>
                                  </w:rPr>
                                  <w:t>施工噪声、扬尘、废渣</w:t>
                                </w:r>
                              </w:p>
                            </w:txbxContent>
                          </v:textbox>
                        </v:rect>
                        <v:rect id="_x0000_s1026" o:spid="_x0000_s1026" o:spt="1" style="position:absolute;left:6963;top:8021;height:467;width:2055;" filled="f" stroked="f" coordsize="21600,21600" o:gfxdata="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accw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AA7C179">
                                <w:pPr>
                                  <w:spacing w:line="240" w:lineRule="exact"/>
                                  <w:jc w:val="center"/>
                                  <w:rPr>
                                    <w:sz w:val="18"/>
                                    <w:szCs w:val="18"/>
                                  </w:rPr>
                                </w:pPr>
                                <w:r>
                                  <w:rPr>
                                    <w:rFonts w:hint="eastAsia" w:ascii="黑体" w:hAnsi="黑体" w:eastAsia="黑体"/>
                                    <w:sz w:val="18"/>
                                    <w:szCs w:val="18"/>
                                  </w:rPr>
                                  <w:t>施工噪声、扬尘</w:t>
                                </w:r>
                              </w:p>
                            </w:txbxContent>
                          </v:textbox>
                        </v:rect>
                        <v:rect id="_x0000_s1026" o:spid="_x0000_s1026" o:spt="1" style="position:absolute;left:4770;top:4610;height:652;width:1915;" fillcolor="#FFFFFF" filled="t" stroked="t" coordsize="21600,21600" o:gfxdata="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ilC8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0CFB38F8">
                                <w:pPr>
                                  <w:spacing w:line="360" w:lineRule="auto"/>
                                  <w:jc w:val="center"/>
                                  <w:rPr>
                                    <w:sz w:val="18"/>
                                    <w:szCs w:val="18"/>
                                  </w:rPr>
                                </w:pPr>
                                <w:r>
                                  <w:rPr>
                                    <w:rFonts w:hint="eastAsia" w:ascii="黑体" w:hAnsi="黑体" w:eastAsia="黑体"/>
                                    <w:sz w:val="18"/>
                                    <w:szCs w:val="18"/>
                                  </w:rPr>
                                  <w:t>表土剥离</w:t>
                                </w:r>
                              </w:p>
                            </w:txbxContent>
                          </v:textbox>
                        </v:rect>
                        <v:shape id="_x0000_s1026" o:spid="_x0000_s1026" o:spt="32" type="#_x0000_t32" style="position:absolute;left:6698;top:8214;height:1;width:615;" filled="f" stroked="t" coordsize="21600,21600" o:gfxdata="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8FZ1u/&#10;AAAA2wAAAA8AAAAAAAAAAQAgAAAAIgAAAGRycy9kb3ducmV2LnhtbFBLAQIUABQAAAAIAIdO4kAz&#10;LwWeOwAAADkAAAAQAAAAAAAAAAEAIAAAAA4BAABkcnMvc2hhcGV4bWwueG1sUEsFBgAAAAAGAAYA&#10;WwEAALgDAAAAAA==&#10;">
                          <v:fill on="f" focussize="0,0"/>
                          <v:stroke color="#000000" joinstyle="round" endarrow="block" endarrowwidth="narrow"/>
                          <v:imagedata o:title=""/>
                          <o:lock v:ext="edit" aspectratio="f"/>
                        </v:shape>
                        <v:shape id="_x0000_s1026" o:spid="_x0000_s1026" o:spt="32" type="#_x0000_t32" style="position:absolute;left:6698;top:7104;height:1;width:616;" filled="f" stroked="t" coordsize="21600,21600" o:gfxdata="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1/ksvQAA&#10;ANsAAAAPAAAAAAAAAAEAIAAAACIAAABkcnMvZG93bnJldi54bWxQSwECFAAUAAAACACHTuJAMy8F&#10;njsAAAA5AAAAEAAAAAAAAAABACAAAAAMAQAAZHJzL3NoYXBleG1sLnhtbFBLBQYAAAAABgAGAFsB&#10;AAC2AwAAAAA=&#10;">
                          <v:fill on="f" focussize="0,0"/>
                          <v:stroke color="#000000" joinstyle="round" endarrow="block" endarrowwidth="narrow"/>
                          <v:imagedata o:title=""/>
                          <o:lock v:ext="edit" aspectratio="f"/>
                        </v:shape>
                        <v:rect id="_x0000_s1026" o:spid="_x0000_s1026" o:spt="1" style="position:absolute;left:7196;top:4672;height:467;width:2055;" filled="f" stroked="f" coordsize="21600,21600" o:gfxdata="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1hmB74A&#10;AADb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3A5B6403">
                                <w:pPr>
                                  <w:spacing w:line="240" w:lineRule="exact"/>
                                  <w:jc w:val="center"/>
                                  <w:rPr>
                                    <w:sz w:val="18"/>
                                    <w:szCs w:val="18"/>
                                  </w:rPr>
                                </w:pPr>
                                <w:r>
                                  <w:rPr>
                                    <w:rFonts w:hint="eastAsia" w:ascii="黑体" w:hAnsi="黑体" w:eastAsia="黑体"/>
                                    <w:sz w:val="18"/>
                                    <w:szCs w:val="18"/>
                                  </w:rPr>
                                  <w:t>施工噪声、扬尘、弃土</w:t>
                                </w:r>
                              </w:p>
                            </w:txbxContent>
                          </v:textbox>
                        </v:rect>
                        <v:shape id="_x0000_s1026" o:spid="_x0000_s1026" o:spt="32" type="#_x0000_t32" style="position:absolute;left:5728;top:5262;height:458;width:1;" filled="f" stroked="t" coordsize="21600,21600" o:gfxdata="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csTDvQAA&#10;ANsAAAAPAAAAAAAAAAEAIAAAACIAAABkcnMvZG93bnJldi54bWxQSwECFAAUAAAACACHTuJAMy8F&#10;njsAAAA5AAAAEAAAAAAAAAABACAAAAAMAQAAZHJzL3NoYXBleG1sLnhtbFBLBQYAAAAABgAGAFsB&#10;AAC2AwAAAAA=&#10;">
                          <v:fill on="f" focussize="0,0"/>
                          <v:stroke color="#000000" joinstyle="round" endarrow="block" endarrowwidth="narrow"/>
                          <v:imagedata o:title=""/>
                          <o:lock v:ext="edit" aspectratio="f"/>
                        </v:shape>
                        <v:shape id="_x0000_s1026" o:spid="_x0000_s1026" o:spt="32" type="#_x0000_t32" style="position:absolute;left:5728;top:6372;height:458;width:1;" filled="f" stroked="t" coordsize="21600,21600" o:gfxdata="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PmFYvQAA&#10;ANsAAAAPAAAAAAAAAAEAIAAAACIAAABkcnMvZG93bnJldi54bWxQSwECFAAUAAAACACHTuJAMy8F&#10;njsAAAA5AAAAEAAAAAAAAAABACAAAAAMAQAAZHJzL3NoYXBleG1sLnhtbFBLBQYAAAAABgAGAFsB&#10;AAC2AwAAAAA=&#10;">
                          <v:fill on="f" focussize="0,0"/>
                          <v:stroke color="#000000" joinstyle="round" endarrow="block" endarrowwidth="narrow"/>
                          <v:imagedata o:title=""/>
                          <o:lock v:ext="edit" aspectratio="f"/>
                        </v:shape>
                        <v:shape id="_x0000_s1026" o:spid="_x0000_s1026" o:spt="32" type="#_x0000_t32" style="position:absolute;left:5728;top:7482;height:458;width:1;" filled="f" stroked="t" coordsize="21600,21600" o:gfxdata="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oFq0vQAA&#10;ANsAAAAPAAAAAAAAAAEAIAAAACIAAABkcnMvZG93bnJldi54bWxQSwECFAAUAAAACACHTuJAMy8F&#10;njsAAAA5AAAAEAAAAAAAAAABACAAAAAMAQAAZHJzL3NoYXBleG1sLnhtbFBLBQYAAAAABgAGAFsB&#10;AAC2AwAAAAA=&#10;">
                          <v:fill on="f" focussize="0,0"/>
                          <v:stroke color="#000000" joinstyle="round" endarrow="block" endarrowwidth="narrow"/>
                          <v:imagedata o:title=""/>
                          <o:lock v:ext="edit" aspectratio="f"/>
                        </v:shape>
                      </v:group>
                      <w10:wrap type="none"/>
                      <w10:anchorlock/>
                    </v:group>
                  </w:pict>
                </mc:Fallback>
              </mc:AlternateContent>
            </w:r>
          </w:p>
          <w:p w14:paraId="57294BA9">
            <w:pPr>
              <w:spacing w:line="240" w:lineRule="atLeast"/>
              <w:jc w:val="center"/>
              <w:rPr>
                <w:rFonts w:hint="default" w:ascii="Times New Roman" w:hAnsi="Times New Roman" w:eastAsia="黑体" w:cs="Times New Roman"/>
                <w:color w:val="auto"/>
                <w:szCs w:val="20"/>
                <w:highlight w:val="none"/>
              </w:rPr>
            </w:pPr>
            <w:r>
              <w:rPr>
                <w:rFonts w:hint="default" w:ascii="Times New Roman" w:hAnsi="Times New Roman" w:eastAsia="黑体" w:cs="Times New Roman"/>
                <w:color w:val="auto"/>
                <w:szCs w:val="20"/>
                <w:highlight w:val="none"/>
              </w:rPr>
              <w:t>图2-</w:t>
            </w:r>
            <w:r>
              <w:rPr>
                <w:rFonts w:hint="eastAsia" w:eastAsia="黑体" w:cs="Times New Roman"/>
                <w:color w:val="auto"/>
                <w:szCs w:val="20"/>
                <w:highlight w:val="none"/>
                <w:lang w:val="en-US" w:eastAsia="zh-CN"/>
              </w:rPr>
              <w:t>8</w:t>
            </w:r>
            <w:r>
              <w:rPr>
                <w:rFonts w:hint="default" w:ascii="Times New Roman" w:hAnsi="Times New Roman" w:eastAsia="黑体" w:cs="Times New Roman"/>
                <w:color w:val="auto"/>
                <w:szCs w:val="20"/>
                <w:highlight w:val="none"/>
              </w:rPr>
              <w:t xml:space="preserve">  钻前工程工艺流程</w:t>
            </w:r>
          </w:p>
          <w:bookmarkEnd w:id="7"/>
          <w:bookmarkEnd w:id="8"/>
          <w:bookmarkEnd w:id="9"/>
          <w:p w14:paraId="099AA68D">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工艺流程：</w:t>
            </w:r>
          </w:p>
          <w:p w14:paraId="6B77A74B">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（1）钻前准备包括定井位、平井场、打基础、钻井设备进场和安装、井口准备、备足钻井所需要的各种工具、材料等，如：钻杆、钻铤、钻头及泥浆泵必要的配件等。</w:t>
            </w:r>
          </w:p>
          <w:p w14:paraId="595CA3B6">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（2）钻塔安装：在钻孔位置布置好基台，并搭建钻塔，本项目使用四角形钻塔。钻塔在钻井过程中，用于安放和悬挂提升系统，承受钻具重量，存放钻杆或钻铤等。此工序产生少量施工固废。</w:t>
            </w:r>
          </w:p>
          <w:p w14:paraId="3CAD95FF">
            <w:pPr>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主要污染工序：</w:t>
            </w:r>
          </w:p>
          <w:p w14:paraId="1EC48FB1">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废气：挖填土石方作业及运输车辆行驶将产生扬尘。</w:t>
            </w:r>
          </w:p>
          <w:p w14:paraId="1AFFFF22">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噪声：项目噪声污染源为相关设备运行产生的噪声。</w:t>
            </w:r>
          </w:p>
          <w:p w14:paraId="6D6F364B">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固废：主要为土石方和生活垃圾。</w:t>
            </w:r>
          </w:p>
          <w:p w14:paraId="6D8E49AE">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废水：施工废水以及职工生活污水。</w:t>
            </w:r>
          </w:p>
          <w:p w14:paraId="39063D35">
            <w:pPr>
              <w:pStyle w:val="52"/>
              <w:adjustRightInd/>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生态影响：本项目钻前工程对生态环境的影响因素包括工程占地、土石方开挖、回填等活动对的土地的扰动作用，根据工程分析，本项目钻井及配套建设用地占地面积为</w:t>
            </w:r>
            <w:r>
              <w:rPr>
                <w:rFonts w:hint="eastAsia" w:ascii="Times New Roman" w:hAnsi="Times New Roman" w:cs="Times New Roman"/>
                <w:color w:val="auto"/>
                <w:highlight w:val="none"/>
                <w:lang w:val="en-US" w:eastAsia="zh-CN"/>
              </w:rPr>
              <w:t>9379</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，位于</w:t>
            </w:r>
            <w:r>
              <w:rPr>
                <w:rFonts w:ascii="Segoe UI" w:hAnsi="Segoe UI" w:eastAsia="Segoe UI" w:cs="Segoe UI"/>
                <w:i w:val="0"/>
                <w:iCs w:val="0"/>
                <w:caps w:val="0"/>
                <w:color w:val="0F1115"/>
                <w:spacing w:val="0"/>
                <w:sz w:val="24"/>
                <w:szCs w:val="24"/>
                <w:shd w:val="clear" w:fill="FFFFFF"/>
              </w:rPr>
              <w:t>在安徽省淮南市凤台县新集镇罗杨村、大庄村、王集村境内</w:t>
            </w:r>
            <w:r>
              <w:rPr>
                <w:rFonts w:hint="default" w:ascii="Times New Roman" w:hAnsi="Times New Roman" w:cs="Times New Roman"/>
                <w:color w:val="auto"/>
                <w:highlight w:val="none"/>
              </w:rPr>
              <w:t>。</w:t>
            </w:r>
          </w:p>
          <w:p w14:paraId="18419D44">
            <w:pPr>
              <w:pStyle w:val="16"/>
              <w:tabs>
                <w:tab w:val="left" w:pos="0"/>
              </w:tabs>
              <w:spacing w:line="360" w:lineRule="auto"/>
              <w:ind w:firstLine="482" w:firstLineChars="200"/>
              <w:contextualSpacing/>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1.2 钻井工程</w:t>
            </w:r>
          </w:p>
          <w:p w14:paraId="32B6E9A5">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（1）本项目钻孔结构为：</w:t>
            </w:r>
          </w:p>
          <w:p w14:paraId="6836E60E">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微软雅黑" w:hAnsi="微软雅黑" w:eastAsia="微软雅黑" w:cs="微软雅黑"/>
                <w:color w:val="auto"/>
                <w:sz w:val="24"/>
                <w:highlight w:val="none"/>
              </w:rPr>
              <w:t>①</w:t>
            </w:r>
            <w:r>
              <w:rPr>
                <w:rFonts w:hint="default" w:ascii="Times New Roman" w:hAnsi="Times New Roman" w:eastAsia="宋体" w:cs="Times New Roman"/>
                <w:color w:val="auto"/>
                <w:sz w:val="24"/>
                <w:highlight w:val="none"/>
              </w:rPr>
              <w:t>一开</w:t>
            </w:r>
            <w:r>
              <w:rPr>
                <w:rFonts w:hint="eastAsia" w:ascii="Times New Roman" w:hAnsi="Times New Roman" w:eastAsia="宋体" w:cs="Times New Roman"/>
                <w:color w:val="auto"/>
                <w:sz w:val="24"/>
                <w:highlight w:val="none"/>
                <w:lang w:val="en-US" w:eastAsia="zh-CN"/>
              </w:rPr>
              <w:t>垂直</w:t>
            </w:r>
            <w:r>
              <w:rPr>
                <w:rFonts w:hint="default" w:ascii="Times New Roman" w:hAnsi="Times New Roman" w:eastAsia="宋体" w:cs="Times New Roman"/>
                <w:color w:val="auto"/>
                <w:sz w:val="24"/>
                <w:highlight w:val="none"/>
              </w:rPr>
              <w:t>段：一开孔径为φ</w:t>
            </w:r>
            <w:r>
              <w:rPr>
                <w:rFonts w:hint="eastAsia" w:ascii="Times New Roman" w:hAnsi="Times New Roman" w:eastAsia="宋体" w:cs="Times New Roman"/>
                <w:color w:val="auto"/>
                <w:sz w:val="24"/>
                <w:highlight w:val="none"/>
                <w:lang w:val="en-US" w:eastAsia="zh-CN"/>
              </w:rPr>
              <w:t>311</w:t>
            </w:r>
            <w:r>
              <w:rPr>
                <w:rFonts w:hint="default" w:ascii="Times New Roman" w:hAnsi="Times New Roman" w:eastAsia="宋体" w:cs="Times New Roman"/>
                <w:color w:val="auto"/>
                <w:sz w:val="24"/>
                <w:highlight w:val="none"/>
              </w:rPr>
              <w:t>mm，至基岩面以下30m左右的稳定岩层，钻至基岩5～10m后下入Φ244.5×8.94mm石油套管并采用P.O42.5水泥固井，隔离新生界松散层。</w:t>
            </w:r>
          </w:p>
          <w:p w14:paraId="5F4B3F64">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lang w:val="en-US" w:eastAsia="zh-CN"/>
              </w:rPr>
            </w:pPr>
            <w:r>
              <w:rPr>
                <w:rFonts w:hint="eastAsia" w:ascii="微软雅黑" w:hAnsi="微软雅黑" w:eastAsia="微软雅黑" w:cs="微软雅黑"/>
                <w:color w:val="auto"/>
                <w:sz w:val="24"/>
                <w:highlight w:val="none"/>
              </w:rPr>
              <w:t>②</w:t>
            </w:r>
            <w:r>
              <w:rPr>
                <w:rFonts w:hint="default" w:ascii="Times New Roman" w:hAnsi="Times New Roman" w:eastAsia="宋体" w:cs="Times New Roman"/>
                <w:color w:val="auto"/>
                <w:sz w:val="24"/>
                <w:highlight w:val="none"/>
              </w:rPr>
              <w:t>二开造斜段：二开孔径为</w:t>
            </w:r>
            <w:r>
              <w:rPr>
                <w:rFonts w:hint="default" w:ascii="Times New Roman" w:hAnsi="Times New Roman" w:eastAsia="宋体" w:cs="Times New Roman"/>
                <w:color w:val="auto"/>
                <w:sz w:val="24"/>
                <w:highlight w:val="none"/>
                <w:lang w:val="en-US" w:eastAsia="zh-CN"/>
              </w:rPr>
              <w:t>φ</w:t>
            </w:r>
            <w:r>
              <w:rPr>
                <w:rFonts w:hint="eastAsia" w:ascii="Times New Roman" w:hAnsi="Times New Roman" w:eastAsia="宋体" w:cs="Times New Roman"/>
                <w:color w:val="auto"/>
                <w:sz w:val="24"/>
                <w:highlight w:val="none"/>
                <w:lang w:val="en-US" w:eastAsia="zh-CN"/>
              </w:rPr>
              <w:t>216</w:t>
            </w:r>
            <w:r>
              <w:rPr>
                <w:rFonts w:hint="default" w:ascii="Times New Roman" w:hAnsi="Times New Roman" w:eastAsia="宋体" w:cs="Times New Roman"/>
                <w:color w:val="auto"/>
                <w:sz w:val="24"/>
                <w:highlight w:val="none"/>
                <w:lang w:val="en-US" w:eastAsia="zh-CN"/>
              </w:rPr>
              <w:t>mm，</w:t>
            </w:r>
            <w:r>
              <w:rPr>
                <w:rFonts w:hint="eastAsia" w:ascii="Times New Roman" w:hAnsi="Times New Roman" w:eastAsia="宋体" w:cs="Times New Roman"/>
                <w:color w:val="auto"/>
                <w:sz w:val="24"/>
                <w:highlight w:val="none"/>
                <w:lang w:val="en-US" w:eastAsia="zh-CN"/>
              </w:rPr>
              <w:t>钻进至片麻岩底界稳定区域</w:t>
            </w:r>
            <w:r>
              <w:rPr>
                <w:rFonts w:hint="default" w:ascii="Times New Roman" w:hAnsi="Times New Roman" w:eastAsia="宋体" w:cs="Times New Roman"/>
                <w:color w:val="auto"/>
                <w:sz w:val="24"/>
                <w:highlight w:val="none"/>
                <w:lang w:val="en-US" w:eastAsia="zh-CN"/>
              </w:rPr>
              <w:t>，全孔段下</w:t>
            </w:r>
            <w:r>
              <w:rPr>
                <w:rFonts w:hint="eastAsia" w:ascii="Times New Roman" w:hAnsi="Times New Roman" w:eastAsia="宋体" w:cs="Times New Roman"/>
                <w:color w:val="auto"/>
                <w:sz w:val="24"/>
                <w:highlight w:val="none"/>
                <w:lang w:val="en-US" w:eastAsia="zh-CN"/>
              </w:rPr>
              <w:t>入</w:t>
            </w:r>
            <w:r>
              <w:rPr>
                <w:rFonts w:hint="default" w:ascii="Times New Roman" w:hAnsi="Times New Roman" w:eastAsia="宋体" w:cs="Times New Roman"/>
                <w:color w:val="auto"/>
                <w:sz w:val="24"/>
                <w:highlight w:val="none"/>
                <w:lang w:val="en-US" w:eastAsia="zh-CN"/>
              </w:rPr>
              <w:t>Φ1</w:t>
            </w:r>
            <w:r>
              <w:rPr>
                <w:rFonts w:hint="eastAsia" w:ascii="Times New Roman" w:hAnsi="Times New Roman" w:eastAsia="宋体" w:cs="Times New Roman"/>
                <w:color w:val="auto"/>
                <w:sz w:val="24"/>
                <w:highlight w:val="none"/>
                <w:lang w:val="en-US" w:eastAsia="zh-CN"/>
              </w:rPr>
              <w:t>77.8</w:t>
            </w:r>
            <w:r>
              <w:rPr>
                <w:rFonts w:hint="default" w:ascii="Times New Roman" w:hAnsi="Times New Roman" w:eastAsia="宋体"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8.05</w:t>
            </w:r>
            <w:r>
              <w:rPr>
                <w:rFonts w:hint="default" w:ascii="Times New Roman" w:hAnsi="Times New Roman" w:eastAsia="宋体" w:cs="Times New Roman"/>
                <w:color w:val="auto"/>
                <w:sz w:val="24"/>
                <w:highlight w:val="none"/>
                <w:lang w:val="en-US" w:eastAsia="zh-CN"/>
              </w:rPr>
              <w:t>mm</w:t>
            </w:r>
            <w:r>
              <w:rPr>
                <w:rFonts w:hint="eastAsia" w:ascii="Times New Roman" w:hAnsi="Times New Roman" w:eastAsia="宋体" w:cs="Times New Roman"/>
                <w:color w:val="auto"/>
                <w:sz w:val="24"/>
                <w:highlight w:val="none"/>
                <w:lang w:val="en-US" w:eastAsia="zh-CN"/>
              </w:rPr>
              <w:t>J55钢级标准</w:t>
            </w:r>
            <w:r>
              <w:rPr>
                <w:rFonts w:hint="default" w:ascii="Times New Roman" w:hAnsi="Times New Roman" w:eastAsia="宋体" w:cs="Times New Roman"/>
                <w:color w:val="auto"/>
                <w:sz w:val="24"/>
                <w:highlight w:val="none"/>
                <w:lang w:val="en-US" w:eastAsia="zh-CN"/>
              </w:rPr>
              <w:t>石油套管，</w:t>
            </w:r>
            <w:r>
              <w:rPr>
                <w:rFonts w:hint="eastAsia" w:ascii="Times New Roman" w:hAnsi="Times New Roman" w:eastAsia="宋体" w:cs="Times New Roman"/>
                <w:color w:val="auto"/>
                <w:sz w:val="24"/>
                <w:highlight w:val="none"/>
                <w:lang w:val="en-US" w:eastAsia="zh-CN"/>
              </w:rPr>
              <w:t>孔壁与套管间隙采用</w:t>
            </w:r>
            <w:r>
              <w:rPr>
                <w:rFonts w:hint="default" w:ascii="Times New Roman" w:hAnsi="Times New Roman" w:eastAsia="宋体" w:cs="Times New Roman"/>
                <w:color w:val="auto"/>
                <w:sz w:val="24"/>
                <w:highlight w:val="none"/>
                <w:lang w:val="en-US" w:eastAsia="zh-CN"/>
              </w:rPr>
              <w:t>P.O42.5型水泥固井。</w:t>
            </w:r>
          </w:p>
          <w:p w14:paraId="67338305">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lang w:val="en-US" w:eastAsia="zh-CN"/>
              </w:rPr>
            </w:pPr>
            <w:r>
              <w:rPr>
                <w:rFonts w:hint="eastAsia" w:ascii="微软雅黑" w:hAnsi="微软雅黑" w:eastAsia="微软雅黑" w:cs="微软雅黑"/>
                <w:color w:val="auto"/>
                <w:sz w:val="24"/>
                <w:highlight w:val="none"/>
                <w:lang w:val="en-US" w:eastAsia="zh-CN"/>
              </w:rPr>
              <w:t>③</w:t>
            </w:r>
            <w:r>
              <w:rPr>
                <w:rFonts w:hint="default" w:ascii="Times New Roman" w:hAnsi="Times New Roman" w:eastAsia="宋体" w:cs="Times New Roman"/>
                <w:color w:val="auto"/>
                <w:sz w:val="24"/>
                <w:highlight w:val="none"/>
                <w:lang w:val="en-US" w:eastAsia="zh-CN"/>
              </w:rPr>
              <w:t>三开</w:t>
            </w:r>
            <w:r>
              <w:rPr>
                <w:rFonts w:hint="eastAsia" w:ascii="Times New Roman" w:hAnsi="Times New Roman" w:eastAsia="宋体" w:cs="Times New Roman"/>
                <w:color w:val="auto"/>
                <w:sz w:val="24"/>
                <w:highlight w:val="none"/>
                <w:lang w:val="en-US" w:eastAsia="zh-CN"/>
              </w:rPr>
              <w:t>近水平注浆</w:t>
            </w:r>
            <w:r>
              <w:rPr>
                <w:rFonts w:hint="default" w:ascii="Times New Roman" w:hAnsi="Times New Roman" w:eastAsia="宋体" w:cs="Times New Roman"/>
                <w:color w:val="auto"/>
                <w:sz w:val="24"/>
                <w:highlight w:val="none"/>
                <w:lang w:val="en-US" w:eastAsia="zh-CN"/>
              </w:rPr>
              <w:t>段：三开孔径φ152mm，</w:t>
            </w:r>
            <w:r>
              <w:rPr>
                <w:rFonts w:hint="eastAsia" w:ascii="Times New Roman" w:hAnsi="Times New Roman" w:eastAsia="宋体" w:cs="Times New Roman"/>
                <w:color w:val="auto"/>
                <w:sz w:val="24"/>
                <w:highlight w:val="none"/>
                <w:lang w:val="en-US" w:eastAsia="zh-CN"/>
              </w:rPr>
              <w:t>靶点区位于推覆体片麻岩底部，为</w:t>
            </w:r>
            <w:r>
              <w:rPr>
                <w:rFonts w:hint="default" w:ascii="Times New Roman" w:hAnsi="Times New Roman" w:eastAsia="宋体" w:cs="Times New Roman"/>
                <w:color w:val="auto"/>
                <w:sz w:val="24"/>
                <w:highlight w:val="none"/>
                <w:lang w:val="en-US" w:eastAsia="zh-CN"/>
              </w:rPr>
              <w:t>裸孔注浆段，</w:t>
            </w:r>
            <w:r>
              <w:rPr>
                <w:rFonts w:hint="eastAsia" w:ascii="Times New Roman" w:hAnsi="Times New Roman" w:eastAsia="宋体" w:cs="Times New Roman"/>
                <w:color w:val="auto"/>
                <w:sz w:val="24"/>
                <w:highlight w:val="none"/>
                <w:lang w:val="en-US" w:eastAsia="zh-CN"/>
              </w:rPr>
              <w:t>钻井过程中如遇特殊构造带或地层破碎，可视地层完整性及漏失情况，下入规格</w:t>
            </w:r>
            <w:r>
              <w:rPr>
                <w:rFonts w:hint="default" w:ascii="Times New Roman" w:hAnsi="Times New Roman" w:eastAsia="宋体" w:cs="Times New Roman"/>
                <w:color w:val="auto"/>
                <w:sz w:val="24"/>
                <w:highlight w:val="none"/>
                <w:lang w:val="en-US" w:eastAsia="zh-CN"/>
              </w:rPr>
              <w:t>Φ88.9mm×6.45mm 的护壁管或花管至孔底，以保障施工质量和注浆效果。</w:t>
            </w:r>
          </w:p>
          <w:p w14:paraId="346F5C99">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各钻孔孔深均为设计孔深，施工时结合现场地层实际情况进行调整。</w:t>
            </w:r>
          </w:p>
          <w:p w14:paraId="517C4D26">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（2）钻孔施工流程为：</w:t>
            </w:r>
          </w:p>
          <w:p w14:paraId="6E2F54F7">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①首先是钻孔定位与钻机安装。采用RTK等测量仪器按照施工图设计孔位坐标逐点放样，平整场地后安装钻机，调平机架、机体，准备孔口管、钻头、钻杆及岩芯管等设备，做好塔架及相关设备的安全防护。钻机安装要求天车、立轴、孔口三点一线，防止孔斜。</w:t>
            </w:r>
          </w:p>
          <w:p w14:paraId="3AC6545B">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②</w:t>
            </w:r>
            <w:r>
              <w:rPr>
                <w:rFonts w:hint="eastAsia" w:ascii="Times New Roman" w:hAnsi="Times New Roman" w:eastAsia="宋体" w:cs="Times New Roman"/>
                <w:color w:val="auto"/>
                <w:sz w:val="24"/>
                <w:highlight w:val="none"/>
                <w:lang w:val="en-US" w:eastAsia="zh-CN"/>
              </w:rPr>
              <w:t>一开垂直</w:t>
            </w:r>
            <w:r>
              <w:rPr>
                <w:rFonts w:hint="default" w:ascii="Times New Roman" w:hAnsi="Times New Roman" w:eastAsia="宋体" w:cs="Times New Roman"/>
                <w:color w:val="auto"/>
                <w:sz w:val="24"/>
                <w:highlight w:val="none"/>
              </w:rPr>
              <w:t>段：采用Φ311mm钻头开孔，正循环、机械回转钻进，穿透第四系和新近系覆盖层。垂直段段长30至100米，结合松散层造斜率进行调整。钻进过程中确保钻井液性能达标，以保障成孔质量及施工安全。在松散层垂直段后开始造斜，利用定向钻具在松散层内增斜钻进，采用定向钻进方法。钻具组合为Φ311mm牙轮钻头或复合片钻头、Φ172mm螺杆钻具、Φ172mm定向接头、Φ172mm无磁钻铤、Φ89mm钻杆、Φ89mm加重钻杆及顶驱或方钻杆。钻进至基岩5至10米后停止。造斜段采取随钻测量，控制造斜率和井眼轨迹，避免大幅度调整井斜、方位，尽量减小摩阻。一开结束后，下入J55钢级标准石油套管，规格为Φ244.5×8.94mm，孔壁和套管间隙采用P.O42.5水泥进行固管，水泥返至地面。固管结束候凝48小时后试压，设计压力为4MPa，30分钟内压降小于0.5MPa视为合格。</w:t>
            </w:r>
          </w:p>
          <w:p w14:paraId="0C441A5A">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③</w:t>
            </w:r>
            <w:r>
              <w:rPr>
                <w:rFonts w:hint="eastAsia" w:ascii="Times New Roman" w:hAnsi="Times New Roman" w:eastAsia="宋体" w:cs="Times New Roman"/>
                <w:color w:val="auto"/>
                <w:sz w:val="24"/>
                <w:highlight w:val="none"/>
                <w:lang w:val="en-US" w:eastAsia="zh-CN"/>
              </w:rPr>
              <w:t>二开</w:t>
            </w:r>
            <w:r>
              <w:rPr>
                <w:rFonts w:hint="default" w:ascii="Times New Roman" w:hAnsi="Times New Roman" w:eastAsia="宋体" w:cs="Times New Roman"/>
                <w:color w:val="auto"/>
                <w:sz w:val="24"/>
                <w:highlight w:val="none"/>
              </w:rPr>
              <w:t>造斜段：一开固井完成后，采用Φ216mm钻头（施工中为Φ215.9mm）进行二开钻进，继续定向造斜，沿设计轨迹钻进至片麻岩底界稳定区域。钻具组合为Φ216mm牙轮钻头或复合片钻头、Φ172mm螺杆钻具、Φ172mm定向接头、Φ172mm无磁钻铤、Φ89mm钻杆、Φ89mm加重钻杆及顶驱或方钻杆。钻进过程中每钻进100米进行短起一次，必要时起过复杂井段或起至套管鞋以上。钻井液性能需满足要求，松散层中采用泥浆护壁，基岩中采用清水钻进。二开结束后，下入J55钢级石油套管，规格为Φ177.8×8.05mm，孔壁和套管间隙采用P.O42.5水泥进行固管，水泥返高至地面。固管结束候凝48小时后，扫孔到出套管底0.3至0.5米处，做耐压试验，设计压力为8MPa，30分钟内压降小于0.5MPa视为合格。</w:t>
            </w:r>
          </w:p>
          <w:p w14:paraId="6E2F5864">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④</w:t>
            </w:r>
            <w:r>
              <w:rPr>
                <w:rFonts w:hint="eastAsia" w:ascii="Times New Roman" w:hAnsi="Times New Roman" w:eastAsia="宋体" w:cs="Times New Roman"/>
                <w:color w:val="auto"/>
                <w:sz w:val="24"/>
                <w:highlight w:val="none"/>
                <w:lang w:val="en-US" w:eastAsia="zh-CN"/>
              </w:rPr>
              <w:t>三开近水平注浆段</w:t>
            </w:r>
            <w:r>
              <w:rPr>
                <w:rFonts w:hint="default" w:ascii="Times New Roman" w:hAnsi="Times New Roman" w:eastAsia="宋体" w:cs="Times New Roman"/>
                <w:color w:val="auto"/>
                <w:sz w:val="24"/>
                <w:highlight w:val="none"/>
              </w:rPr>
              <w:t>：二开固井完成后，采用Φ152mm钻头（施工中为Φ152.4mm）进行三开钻进，顺层段采用定向钻进及正循环、复合钻进方法，钻进至推覆体片麻岩底部的靶点区。钻具组合为Φ152mm复合片钻头、Φ120mm螺杆钻具、Φ121mm定向接头、Φ121mm无磁钻铤、Φ89mm斜肩钻杆、Φ89mm加重钻杆、Φ121mm钻铤及顶驱或方钻杆。三开为裸孔注浆段，不设护壁钢管；钻井过程中如遇特殊构造带或地层破碎，可视地层完整性及漏失情况，下入规格为Φ88.9×6.45mm的护壁管或花管至孔底，以保障施工质量和注浆效果。钻进过程中注意控制钻压和造斜率，终孔靶点偏差小于5米。</w:t>
            </w:r>
          </w:p>
          <w:p w14:paraId="47A450F9">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⑤</w:t>
            </w:r>
            <w:r>
              <w:rPr>
                <w:rFonts w:hint="default" w:ascii="Times New Roman" w:hAnsi="Times New Roman" w:eastAsia="宋体" w:cs="Times New Roman"/>
                <w:color w:val="auto"/>
                <w:sz w:val="24"/>
                <w:highlight w:val="none"/>
              </w:rPr>
              <w:t>钻孔施工过程中同步开展录井、测井和简易水文观测。岩屑录井中第四系不捞砂样，但准确判定基岩界面，非目的层井段每5至10米捞取1包，目的层井段每2米捞取1包，建立地层剖面；钻时录井从见基岩开始每2米记录1个钻时点至完井，随时记录钻时突变点以及时发现煤层；简易水文观测要求每次起钻后、下钻前测量一次水位，正常情况下每钻进2小时记录一次钻井液消耗量，进入片麻岩后每1小时记录一次，遇漏失层段加密记录。在套管安装前完成全孔测井，质量为甲级，原则上不取芯，必要时分段取芯。</w:t>
            </w:r>
          </w:p>
          <w:p w14:paraId="1B390F8C">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微软雅黑" w:hAnsi="微软雅黑" w:eastAsia="微软雅黑" w:cs="微软雅黑"/>
                <w:color w:val="auto"/>
                <w:sz w:val="24"/>
                <w:highlight w:val="none"/>
              </w:rPr>
              <w:t>⑥</w:t>
            </w:r>
            <w:r>
              <w:rPr>
                <w:rFonts w:hint="default" w:ascii="Times New Roman" w:hAnsi="Times New Roman" w:eastAsia="宋体" w:cs="Times New Roman"/>
                <w:color w:val="auto"/>
                <w:sz w:val="24"/>
                <w:highlight w:val="none"/>
              </w:rPr>
              <w:t>钻孔终孔后，按项目管理要求确认终孔，复核靶点偏差，提交钻探成果资料。所有注浆结束后，对注浆孔进行全段封孔，扫孔至孔底，采用P.O42.5水泥注浆封孔，封孔质量良好，孔口埋暗标或明标，提交封孔报告。封孔后每个钻孔孔口半径1米范围内深挖不低于1米，截掉外露钢管，用10mm钢板覆盖孔口，最后拆除清运现场设备物资，清理整平场地，用前期剥离的表土回填，恢复临时用地地貌。</w:t>
            </w:r>
          </w:p>
          <w:p w14:paraId="5A3BE0A5">
            <w:pPr>
              <w:pStyle w:val="16"/>
              <w:tabs>
                <w:tab w:val="left" w:pos="0"/>
              </w:tabs>
              <w:spacing w:line="360" w:lineRule="auto"/>
              <w:ind w:firstLine="480" w:firstLineChars="200"/>
              <w:contextualSpacing/>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具体施工顺序见下图。</w:t>
            </w:r>
          </w:p>
          <w:p w14:paraId="577E79EF">
            <w:pPr>
              <w:spacing w:line="360" w:lineRule="auto"/>
              <w:jc w:val="center"/>
              <w:rPr>
                <w:rFonts w:hint="eastAsia" w:ascii="Times New Roman" w:hAnsi="Times New Roman" w:eastAsia="宋体" w:cs="Times New Roman"/>
                <w:color w:val="0000FF"/>
                <w:sz w:val="24"/>
                <w:highlight w:val="none"/>
                <w:lang w:eastAsia="zh-CN"/>
              </w:rPr>
            </w:pPr>
            <w:r>
              <w:rPr>
                <w:rFonts w:hint="eastAsia" w:ascii="Times New Roman" w:hAnsi="Times New Roman" w:eastAsia="宋体" w:cs="Times New Roman"/>
                <w:color w:val="0000FF"/>
                <w:sz w:val="24"/>
                <w:highlight w:val="none"/>
                <w:lang w:eastAsia="zh-CN"/>
              </w:rPr>
              <w:drawing>
                <wp:inline distT="0" distB="0" distL="114300" distR="114300">
                  <wp:extent cx="4908550" cy="4443730"/>
                  <wp:effectExtent l="0" t="0" r="0" b="0"/>
                  <wp:docPr id="153" name="E657119C-6982-421D-8BA7-E74DEB70A7D9-2" descr="C:/Users/Administrator/AppData/Roaming/Kingsoft/wps/addons/data/win-i386/kinsertprocesson/insertimage.VXqhok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E657119C-6982-421D-8BA7-E74DEB70A7D9-2" descr="C:/Users/Administrator/AppData/Roaming/Kingsoft/wps/addons/data/win-i386/kinsertprocesson/insertimage.VXqhokinsertimage"/>
                          <pic:cNvPicPr>
                            <a:picLocks noChangeAspect="1"/>
                          </pic:cNvPicPr>
                        </pic:nvPicPr>
                        <pic:blipFill>
                          <a:blip r:embed="rId17"/>
                          <a:stretch>
                            <a:fillRect/>
                          </a:stretch>
                        </pic:blipFill>
                        <pic:spPr>
                          <a:xfrm>
                            <a:off x="0" y="0"/>
                            <a:ext cx="4908550" cy="4443730"/>
                          </a:xfrm>
                          <a:prstGeom prst="rect">
                            <a:avLst/>
                          </a:prstGeom>
                        </pic:spPr>
                      </pic:pic>
                    </a:graphicData>
                  </a:graphic>
                </wp:inline>
              </w:drawing>
            </w:r>
          </w:p>
          <w:p w14:paraId="22B91123">
            <w:pPr>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N：噪声；S：固废。</w:t>
            </w:r>
          </w:p>
          <w:p w14:paraId="71ABDA78">
            <w:pPr>
              <w:spacing w:line="360" w:lineRule="auto"/>
              <w:ind w:firstLine="480"/>
              <w:jc w:val="center"/>
              <w:rPr>
                <w:rFonts w:hint="default" w:ascii="Times New Roman" w:hAnsi="Times New Roman" w:eastAsia="黑体" w:cs="Times New Roman"/>
                <w:color w:val="auto"/>
                <w:szCs w:val="21"/>
                <w:highlight w:val="none"/>
              </w:rPr>
            </w:pPr>
            <w:r>
              <w:rPr>
                <w:rFonts w:hint="default" w:ascii="Times New Roman" w:hAnsi="Times New Roman" w:eastAsia="黑体" w:cs="Times New Roman"/>
                <w:color w:val="auto"/>
                <w:szCs w:val="20"/>
                <w:highlight w:val="none"/>
              </w:rPr>
              <w:t>图2-</w:t>
            </w:r>
            <w:r>
              <w:rPr>
                <w:rFonts w:hint="eastAsia" w:eastAsia="黑体" w:cs="Times New Roman"/>
                <w:color w:val="auto"/>
                <w:szCs w:val="20"/>
                <w:highlight w:val="none"/>
                <w:lang w:val="en-US" w:eastAsia="zh-CN"/>
              </w:rPr>
              <w:t>9</w:t>
            </w:r>
            <w:r>
              <w:rPr>
                <w:rFonts w:hint="default" w:ascii="Times New Roman" w:hAnsi="Times New Roman" w:eastAsia="黑体" w:cs="Times New Roman"/>
                <w:color w:val="auto"/>
                <w:szCs w:val="20"/>
                <w:highlight w:val="none"/>
              </w:rPr>
              <w:t xml:space="preserve">  </w:t>
            </w:r>
            <w:r>
              <w:rPr>
                <w:rFonts w:hint="default" w:ascii="Times New Roman" w:hAnsi="Times New Roman" w:eastAsia="黑体" w:cs="Times New Roman"/>
                <w:color w:val="auto"/>
                <w:szCs w:val="21"/>
                <w:highlight w:val="none"/>
              </w:rPr>
              <w:t>钻孔施工流程图</w:t>
            </w:r>
          </w:p>
          <w:p w14:paraId="1574F110">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项目钻井施工过程中产生钻井岩屑，废泥浆、废包装材料，钻井设备运行产生设备运行噪声。</w:t>
            </w:r>
          </w:p>
          <w:p w14:paraId="7453DB9E">
            <w:pPr>
              <w:widowControl/>
              <w:numPr>
                <w:ilvl w:val="0"/>
                <w:numId w:val="3"/>
              </w:numPr>
              <w:kinsoku w:val="0"/>
              <w:autoSpaceDE w:val="0"/>
              <w:autoSpaceDN w:val="0"/>
              <w:adjustRightInd w:val="0"/>
              <w:snapToGrid w:val="0"/>
              <w:spacing w:line="360" w:lineRule="auto"/>
              <w:ind w:firstLine="480" w:firstLineChars="200"/>
              <w:textAlignment w:val="baseline"/>
              <w:rPr>
                <w:rFonts w:ascii="Segoe UI" w:hAnsi="Segoe UI" w:eastAsia="Segoe UI" w:cs="Segoe UI"/>
                <w:i w:val="0"/>
                <w:iCs w:val="0"/>
                <w:caps w:val="0"/>
                <w:color w:val="0F1115"/>
                <w:spacing w:val="0"/>
                <w:sz w:val="24"/>
                <w:szCs w:val="24"/>
                <w:shd w:val="clear" w:fill="FFFFFF"/>
              </w:rPr>
            </w:pPr>
            <w:r>
              <w:rPr>
                <w:rFonts w:ascii="Segoe UI" w:hAnsi="Segoe UI" w:eastAsia="Segoe UI" w:cs="Segoe UI"/>
                <w:i w:val="0"/>
                <w:iCs w:val="0"/>
                <w:caps w:val="0"/>
                <w:color w:val="0F1115"/>
                <w:spacing w:val="0"/>
                <w:sz w:val="24"/>
                <w:szCs w:val="24"/>
                <w:shd w:val="clear" w:fill="FFFFFF"/>
              </w:rPr>
              <w:t>孔口装置及注浆管道铺设</w:t>
            </w:r>
          </w:p>
          <w:p w14:paraId="4A80721D">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①孔口装置安装</w:t>
            </w:r>
          </w:p>
          <w:p w14:paraId="0D766B1F">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钻孔成孔并完成固井后，在孔口安装孔口管及注浆孔口装置。孔口管采用Φ244.5×8.94mm套管，与一开表层套管连接牢固。注浆孔口装置包括孔口法兰、阀门（25MPa石油管道用阀门）和压力表（量程不小于孔口最大压力的1.5倍，6MPa及以上）。注浆管道与孔口装置通过高压由壬或法兰连接，连接点固定结实，确保不漏浆。每个注浆孔口预留注浆管道接口，待注浆管道敷设后接入。</w:t>
            </w:r>
          </w:p>
          <w:p w14:paraId="6D1DE238">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②注浆管道敷设</w:t>
            </w:r>
          </w:p>
          <w:p w14:paraId="20714997">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注浆站至各注浆钻孔孔口敷设8条输浆管道，其中1趟Φ114.3×6.35mm输浆管道、7趟Φ89×6.45mm输浆管道，管路系统总长约8500m。管道采用高压输送管，耐压不小于15MPa，能够保障颗粒型浆液长期高压注浆对于安全、耐压、耐磨以及耐久等性能要求。</w:t>
            </w:r>
          </w:p>
          <w:p w14:paraId="7C4E5757">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管道敷设方式：注浆站位于360610工作面西部、风井区域东侧，北侧紧邻潘谢路，距各注浆钻孔孔口直线距离740～1300m。管道沿场地道路一侧敷设，穿越</w:t>
            </w:r>
            <w:r>
              <w:rPr>
                <w:rFonts w:hint="eastAsia" w:cs="Times New Roman"/>
                <w:color w:val="auto"/>
                <w:sz w:val="24"/>
                <w:highlight w:val="none"/>
                <w:lang w:val="en-US" w:eastAsia="zh-CN"/>
              </w:rPr>
              <w:t>新集镇马大路时从</w:t>
            </w:r>
            <w:r>
              <w:rPr>
                <w:rFonts w:hint="default" w:ascii="Times New Roman" w:hAnsi="Times New Roman" w:eastAsia="宋体" w:cs="Times New Roman"/>
                <w:color w:val="auto"/>
                <w:sz w:val="24"/>
                <w:highlight w:val="none"/>
              </w:rPr>
              <w:t>道路</w:t>
            </w:r>
            <w:r>
              <w:rPr>
                <w:rFonts w:hint="eastAsia" w:cs="Times New Roman"/>
                <w:color w:val="auto"/>
                <w:sz w:val="24"/>
                <w:highlight w:val="none"/>
                <w:lang w:val="en-US" w:eastAsia="zh-CN"/>
              </w:rPr>
              <w:t>桥下穿过，管道全程</w:t>
            </w:r>
            <w:r>
              <w:rPr>
                <w:rFonts w:hint="default" w:ascii="Times New Roman" w:hAnsi="Times New Roman" w:eastAsia="宋体" w:cs="Times New Roman"/>
                <w:color w:val="auto"/>
                <w:sz w:val="24"/>
                <w:highlight w:val="none"/>
              </w:rPr>
              <w:t>采用套管保护</w:t>
            </w:r>
            <w:r>
              <w:rPr>
                <w:rFonts w:hint="eastAsia" w:cs="Times New Roman"/>
                <w:color w:val="auto"/>
                <w:sz w:val="24"/>
                <w:highlight w:val="none"/>
                <w:lang w:eastAsia="zh-CN"/>
              </w:rPr>
              <w:t>，</w:t>
            </w:r>
            <w:r>
              <w:rPr>
                <w:rFonts w:hint="eastAsia" w:cs="Times New Roman"/>
                <w:color w:val="auto"/>
                <w:sz w:val="24"/>
                <w:highlight w:val="none"/>
                <w:lang w:val="en-US" w:eastAsia="zh-CN"/>
              </w:rPr>
              <w:t>在道路侧放置，不占用永久基本农田</w:t>
            </w:r>
            <w:r>
              <w:rPr>
                <w:rFonts w:hint="default" w:ascii="Times New Roman" w:hAnsi="Times New Roman" w:eastAsia="宋体" w:cs="Times New Roman"/>
                <w:color w:val="auto"/>
                <w:sz w:val="24"/>
                <w:highlight w:val="none"/>
              </w:rPr>
              <w:t>。</w:t>
            </w:r>
          </w:p>
          <w:p w14:paraId="58E92E82">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管道连接：管道连接采用高压输送管连接方式，连接点固定结实，确保不漏浆。管道系统安装25MPa石油管道用阀门，注浆泵和注浆孔口处均安设压力表。</w:t>
            </w:r>
          </w:p>
          <w:p w14:paraId="22D84595">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③管道试压与清洗</w:t>
            </w:r>
          </w:p>
          <w:p w14:paraId="36714C49">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注浆前，通过浆液输送管道连接注浆泵与待注浆孔的孔口管；启动注浆泵，泵送清水湿润充填管路，并对注浆钻孔进行压水洗孔；停止泵送清水后，将浆液经注浆泵泵送经输送管道与注浆孔输送至注浆层位。注浆过程中记录注浆量和观察泵压，在充填末期泵压逐渐升高、流量逐渐减小，达到注浆结束标准后结束注浆。若发生井下跑浆等紧急情况，立即停止注浆作业并清洗管路，防止浆液持续扩散。</w:t>
            </w:r>
          </w:p>
          <w:p w14:paraId="5AF5EDF5">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④施工时序衔接</w:t>
            </w:r>
          </w:p>
          <w:p w14:paraId="21B6CE89">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钻孔成孔后，先完成孔口装置安装，再进行注浆管道敷设。注浆管道敷设应与钻孔施工进度协调，确保钻孔成孔后能及时接入注浆管道。管道敷设完成后进行试压和清洗，合格后方可进行注浆作业。</w:t>
            </w:r>
          </w:p>
          <w:p w14:paraId="258DA647">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4</w:t>
            </w:r>
            <w:r>
              <w:rPr>
                <w:rFonts w:hint="eastAsia" w:ascii="Times New Roman" w:hAnsi="Times New Roman" w:eastAsia="宋体" w:cs="Times New Roman"/>
                <w:color w:val="auto"/>
                <w:sz w:val="24"/>
                <w:highlight w:val="none"/>
              </w:rPr>
              <w:t>）钻孔施工技术要求</w:t>
            </w:r>
          </w:p>
          <w:p w14:paraId="4630C4D0">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1）孔位测量放线</w:t>
            </w:r>
          </w:p>
          <w:p w14:paraId="57FB434A">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设计采用RTK等测量仪器按照施工图设计孔位坐标进行逐点放样。</w:t>
            </w:r>
          </w:p>
          <w:p w14:paraId="2A2C2D61">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2）钻机安装</w:t>
            </w:r>
          </w:p>
          <w:p w14:paraId="7BD5A97E">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平整场地，安装钻机，调平机架、机体，准备钻具，备好孔口管、钻头、钻杆及岩芯管等设备，并做好相关塔架及相关设备的安全防护工作。钻机安装要求天车、立轴、孔口三点一线，防止孔斜。</w:t>
            </w:r>
          </w:p>
          <w:p w14:paraId="4ED43D02">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3）钻进成孔</w:t>
            </w:r>
          </w:p>
          <w:p w14:paraId="3F3567D8">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采用φ311mm钻头开孔，穿透第四系和新近系覆盖层，进入基岩后20~30m，下φ244.5×8.94mm标准石油套管，标准丝扣及扣件连接，标号P·O 42.5水泥固井到地表。二开按孔径φ215.9mm钻进至设计深度，下φ177.8×8.05mm标准石油套管，标准丝扣及扣件连接，标号P·O 42.5水泥固井到地表；三开按孔径φ152.4mm钻进孔底。松散层中采用泥浆护壁；在基岩中应采用清水钻进。</w:t>
            </w:r>
          </w:p>
          <w:p w14:paraId="7EDD9571">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4）孔口管及固管要求</w:t>
            </w:r>
          </w:p>
          <w:p w14:paraId="79911C4A">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lang w:val="zh-CN"/>
              </w:rPr>
            </w:pPr>
            <w:r>
              <w:rPr>
                <w:rFonts w:hint="eastAsia" w:ascii="Times New Roman" w:hAnsi="Times New Roman" w:eastAsia="宋体" w:cs="Times New Roman"/>
                <w:color w:val="auto"/>
                <w:sz w:val="24"/>
                <w:highlight w:val="none"/>
              </w:rPr>
              <w:t>固管采用</w:t>
            </w:r>
            <w:r>
              <w:rPr>
                <w:rFonts w:hint="eastAsia" w:ascii="Times New Roman" w:hAnsi="Times New Roman" w:eastAsia="宋体" w:cs="Times New Roman"/>
                <w:color w:val="auto"/>
                <w:sz w:val="24"/>
                <w:highlight w:val="none"/>
                <w:lang w:val="zh-CN"/>
              </w:rPr>
              <w:t>标号</w:t>
            </w:r>
            <w:r>
              <w:rPr>
                <w:rFonts w:hint="eastAsia" w:ascii="Times New Roman" w:hAnsi="Times New Roman" w:eastAsia="宋体" w:cs="Times New Roman"/>
                <w:color w:val="auto"/>
                <w:sz w:val="24"/>
                <w:highlight w:val="none"/>
              </w:rPr>
              <w:t>P·O 42.5</w:t>
            </w:r>
            <w:r>
              <w:rPr>
                <w:rFonts w:hint="eastAsia" w:ascii="Times New Roman" w:hAnsi="Times New Roman" w:eastAsia="宋体" w:cs="Times New Roman"/>
                <w:color w:val="auto"/>
                <w:sz w:val="24"/>
                <w:highlight w:val="none"/>
                <w:lang w:val="zh-CN"/>
              </w:rPr>
              <w:t>水泥，水泥浆平均密度1.70~1.85g/cm3。一开结束后，下入表层套管，固管封固地表疏松层，水泥返至地面。固管结束候凝48h试压，设计压力为4MPa，30min内压降小于0.5MPa，视为合格。二开结束后，下入技术套管，为防止上部地层掉块卡钻，封隔漏失层，水泥返高至地面。固管结束候凝48h后</w:t>
            </w:r>
            <w:r>
              <w:rPr>
                <w:rFonts w:hint="eastAsia" w:ascii="Times New Roman" w:hAnsi="Times New Roman" w:eastAsia="宋体" w:cs="Times New Roman"/>
                <w:color w:val="auto"/>
                <w:sz w:val="24"/>
                <w:highlight w:val="none"/>
              </w:rPr>
              <w:t>扫孔到出套管底0.3m～0.5m处，设计压力做耐压试验，</w:t>
            </w:r>
            <w:r>
              <w:rPr>
                <w:rFonts w:hint="eastAsia" w:ascii="Times New Roman" w:hAnsi="Times New Roman" w:eastAsia="宋体" w:cs="Times New Roman"/>
                <w:color w:val="auto"/>
                <w:sz w:val="24"/>
                <w:highlight w:val="none"/>
                <w:lang w:val="zh-CN"/>
              </w:rPr>
              <w:t>压力为8MPa，30min内压降小于0.5MPa，视为合格。</w:t>
            </w:r>
          </w:p>
          <w:p w14:paraId="30B9A83E">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5）钻孔轨迹控制及测斜</w:t>
            </w:r>
          </w:p>
          <w:p w14:paraId="5D782205">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钻孔为定向斜钻孔，钻进过程中注意控制钻压，钻孔造斜率，造斜段采取随钻测量，终孔靶点偏差小于5m。</w:t>
            </w:r>
          </w:p>
          <w:p w14:paraId="64BE0F4D">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6）钻孔终孔</w:t>
            </w:r>
          </w:p>
          <w:p w14:paraId="6A5DF5FB">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采用152mm钻头钻进至目标层位，满足终孔条件后，按项目管理要求确认终孔。根据设计要求，施工时第一次序的钻孔结构按要求施工，其后次序的钻孔可依局部施工的效果进行适当调整。</w:t>
            </w:r>
          </w:p>
          <w:p w14:paraId="31B28570">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7）孔深校正</w:t>
            </w:r>
          </w:p>
          <w:p w14:paraId="28B5D8B4">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钻孔施工过程中，每100m、下套管前、目的层上下10m内及完井时，进行钻具全长丈量，误差不超过1.5‰，并合理平差；超过1.5‰多次丈量，找出原因并合理平差。</w:t>
            </w:r>
          </w:p>
          <w:p w14:paraId="63474203">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8）录井判层</w:t>
            </w:r>
          </w:p>
          <w:p w14:paraId="3FBC5803">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钻进过程中要严格按照钻探规程施工，严防掉钻埋钻等钻探事故。钻探过程中严格按照有关标准和设计进行录井作业，具体包括：岩屑录井和钻时录井。根据实际需要决定是否取芯作业，以对比岩层组合、确定岩性特征，提高判断离层带的准确度，确保离层注浆精准实施。</w:t>
            </w:r>
          </w:p>
          <w:p w14:paraId="37894CA6">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①岩屑录井</w:t>
            </w:r>
          </w:p>
          <w:p w14:paraId="294E42D0">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第四系不捞砂样，但应准确判定基岩界面，非目的层井段5～10m捞取1包，目的层井段每2m捞取1包，并做好鉴定，建立地层剖面。现场整理、汇总岩屑录井表，对地层做出初步的判定和划分。</w:t>
            </w:r>
          </w:p>
          <w:p w14:paraId="3A65FC7B">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②钻时录井</w:t>
            </w:r>
          </w:p>
          <w:p w14:paraId="7593C921">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钻时录井从见基岩开始每2m记录1个钻时点，至完井，以便于判断岩性变化。要随时记录钻时突变点，以便及时发现煤层，卡准煤层深、厚度等。尽量保持钻井参数的相对稳定，以便提高钻时参数反映地层岩性的有效性，并记录造成假钻时的非地质因素。</w:t>
            </w:r>
          </w:p>
          <w:p w14:paraId="1D413324">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③简易水文观测</w:t>
            </w:r>
          </w:p>
          <w:p w14:paraId="6953ADF0">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全井钻进过程中均应做好简易水文观测记录工作。每次起钻后、下钻前测量一次水位（井筒液面）；正常情况下，每钻进2h记录一次钻井液消耗量（泥浆池液面）；进入片麻岩后每1h记录一次钻井液消耗量，不足1h但大于30min时也应观察并记录钻井液消耗量。遇漏失层段，根据现场需要，加密记录。</w:t>
            </w:r>
          </w:p>
          <w:p w14:paraId="4A44C36D">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9）报表资料</w:t>
            </w:r>
          </w:p>
          <w:p w14:paraId="4B0A145F">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原始班报表要在现场用签字笔及时填写，内容真实，数据可靠；交接班班长和机长要亲笔签字；原始报表要整洁，终孔后装订成册。</w:t>
            </w:r>
          </w:p>
          <w:p w14:paraId="442D3A7A">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10）测井要求</w:t>
            </w:r>
          </w:p>
          <w:p w14:paraId="16292181">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在套管安装前完成全孔进行测井，质量为甲级；原则上不取芯，必要时分段取芯。</w:t>
            </w:r>
          </w:p>
          <w:p w14:paraId="42F71AC5">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11）封孔要求</w:t>
            </w:r>
          </w:p>
          <w:p w14:paraId="0FE374AD">
            <w:pPr>
              <w:widowControl/>
              <w:kinsoku w:val="0"/>
              <w:autoSpaceDE w:val="0"/>
              <w:autoSpaceDN w:val="0"/>
              <w:adjustRightInd w:val="0"/>
              <w:snapToGrid w:val="0"/>
              <w:spacing w:line="360" w:lineRule="auto"/>
              <w:ind w:firstLine="480" w:firstLineChars="200"/>
              <w:textAlignment w:val="baseline"/>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所有注浆结束后，需对注浆孔进行全段封孔，扫孔至孔底，采用标号P</w:t>
            </w:r>
            <w:r>
              <w:rPr>
                <w:rFonts w:hint="eastAsia" w:eastAsia="宋体" w:cs="Times New Roman"/>
                <w:color w:val="auto"/>
                <w:sz w:val="24"/>
                <w:highlight w:val="none"/>
                <w:lang w:val="en-US" w:eastAsia="zh-CN"/>
              </w:rPr>
              <w:t>.</w:t>
            </w:r>
            <w:r>
              <w:rPr>
                <w:rFonts w:hint="eastAsia" w:ascii="Times New Roman" w:hAnsi="Times New Roman" w:eastAsia="宋体" w:cs="Times New Roman"/>
                <w:color w:val="auto"/>
                <w:sz w:val="24"/>
                <w:highlight w:val="none"/>
              </w:rPr>
              <w:t>O42.5水泥注浆封孔，封孔质量良好。钻孔内部不得遗留未封闭或封闭不合格孔段。封孔应做好记录，孔口埋暗标或明标，提交封孔报告。</w:t>
            </w:r>
          </w:p>
          <w:p w14:paraId="30B91A97">
            <w:pPr>
              <w:spacing w:line="360" w:lineRule="auto"/>
              <w:ind w:firstLine="482" w:firstLineChars="200"/>
              <w:rPr>
                <w:rFonts w:hint="default" w:ascii="Times New Roman" w:hAnsi="Times New Roman" w:eastAsia="宋体" w:cs="Times New Roman"/>
                <w:b/>
                <w:sz w:val="24"/>
                <w:szCs w:val="24"/>
                <w:highlight w:val="none"/>
              </w:rPr>
            </w:pPr>
            <w:r>
              <w:rPr>
                <w:rFonts w:hint="eastAsia" w:eastAsia="宋体" w:cs="Times New Roman"/>
                <w:b/>
                <w:sz w:val="24"/>
                <w:szCs w:val="24"/>
                <w:highlight w:val="none"/>
                <w:lang w:val="en-US" w:eastAsia="zh-CN"/>
              </w:rPr>
              <w:t>2</w:t>
            </w:r>
            <w:r>
              <w:rPr>
                <w:rFonts w:hint="default" w:ascii="Times New Roman" w:hAnsi="Times New Roman" w:eastAsia="宋体" w:cs="Times New Roman"/>
                <w:b/>
                <w:sz w:val="24"/>
                <w:szCs w:val="24"/>
                <w:highlight w:val="none"/>
              </w:rPr>
              <w:t>、复垦方案</w:t>
            </w:r>
          </w:p>
          <w:p w14:paraId="395AC0AF">
            <w:pPr>
              <w:spacing w:line="360" w:lineRule="auto"/>
              <w:ind w:firstLine="460"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5"/>
                <w:sz w:val="24"/>
                <w:szCs w:val="24"/>
                <w:highlight w:val="none"/>
              </w:rPr>
              <w:t>（1）表土剥离</w:t>
            </w:r>
          </w:p>
          <w:p w14:paraId="404AA64C">
            <w:pPr>
              <w:spacing w:line="360" w:lineRule="auto"/>
              <w:ind w:firstLine="480"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所有临时用地在使用前必须进行表土剥离，设计表土剥离厚度为0.3m。剥离表</w:t>
            </w:r>
            <w:r>
              <w:rPr>
                <w:rFonts w:hint="default" w:ascii="Times New Roman" w:hAnsi="Times New Roman" w:eastAsia="宋体" w:cs="Times New Roman"/>
                <w:spacing w:val="2"/>
                <w:sz w:val="24"/>
                <w:szCs w:val="24"/>
                <w:highlight w:val="none"/>
              </w:rPr>
              <w:t>土用于复垦覆土。临时用地占用前为</w:t>
            </w:r>
            <w:r>
              <w:rPr>
                <w:rFonts w:hint="eastAsia" w:eastAsia="宋体" w:cs="Times New Roman"/>
                <w:spacing w:val="2"/>
                <w:sz w:val="24"/>
                <w:szCs w:val="24"/>
                <w:highlight w:val="none"/>
                <w:lang w:val="en-US" w:eastAsia="zh-CN"/>
              </w:rPr>
              <w:t>建设用地和农用地</w:t>
            </w:r>
            <w:r>
              <w:rPr>
                <w:rFonts w:hint="default" w:ascii="Times New Roman" w:hAnsi="Times New Roman" w:eastAsia="宋体" w:cs="Times New Roman"/>
                <w:spacing w:val="2"/>
                <w:sz w:val="24"/>
                <w:szCs w:val="24"/>
                <w:highlight w:val="none"/>
              </w:rPr>
              <w:t>，复垦方向也为</w:t>
            </w:r>
            <w:r>
              <w:rPr>
                <w:rFonts w:hint="eastAsia" w:eastAsia="宋体" w:cs="Times New Roman"/>
                <w:spacing w:val="2"/>
                <w:sz w:val="24"/>
                <w:szCs w:val="24"/>
                <w:highlight w:val="none"/>
                <w:lang w:val="en-US" w:eastAsia="zh-CN"/>
              </w:rPr>
              <w:t>建设用地和农用地</w:t>
            </w:r>
            <w:r>
              <w:rPr>
                <w:rFonts w:hint="default" w:ascii="Times New Roman" w:hAnsi="Times New Roman" w:eastAsia="宋体" w:cs="Times New Roman"/>
                <w:spacing w:val="2"/>
                <w:sz w:val="24"/>
                <w:szCs w:val="24"/>
                <w:highlight w:val="none"/>
              </w:rPr>
              <w:t>，为保障复垦质量，同时考虑施工机械施工的可行性和便利性，表土剥离后通过机械运输，集中堆存，为防治堆放期表土产生水土流失，影响土壤肥力，周围设置袋装土临时拦挡，</w:t>
            </w:r>
            <w:r>
              <w:rPr>
                <w:rFonts w:hint="default" w:ascii="Times New Roman" w:hAnsi="Times New Roman" w:eastAsia="宋体" w:cs="Times New Roman"/>
                <w:spacing w:val="-2"/>
                <w:sz w:val="24"/>
                <w:szCs w:val="24"/>
                <w:highlight w:val="none"/>
              </w:rPr>
              <w:t>设计为梯形断面。</w:t>
            </w:r>
          </w:p>
          <w:p w14:paraId="286D5E9D">
            <w:pPr>
              <w:spacing w:line="360" w:lineRule="auto"/>
              <w:ind w:firstLine="460"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5"/>
                <w:sz w:val="24"/>
                <w:szCs w:val="24"/>
                <w:highlight w:val="none"/>
              </w:rPr>
              <w:t>（2）</w:t>
            </w:r>
            <w:r>
              <w:rPr>
                <w:rFonts w:hint="default" w:ascii="Times New Roman" w:hAnsi="Times New Roman" w:eastAsia="宋体" w:cs="Times New Roman"/>
                <w:spacing w:val="-2"/>
                <w:sz w:val="24"/>
                <w:szCs w:val="24"/>
                <w:highlight w:val="none"/>
              </w:rPr>
              <w:t>表土防护</w:t>
            </w:r>
          </w:p>
          <w:p w14:paraId="3B30E503">
            <w:pPr>
              <w:spacing w:line="360" w:lineRule="auto"/>
              <w:ind w:firstLine="480"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首先，在其四周用3m高的草袋防护，编织袋所装可直接</w:t>
            </w:r>
            <w:r>
              <w:rPr>
                <w:rFonts w:hint="default" w:ascii="Times New Roman" w:hAnsi="Times New Roman" w:eastAsia="宋体" w:cs="Times New Roman"/>
                <w:spacing w:val="-1"/>
                <w:sz w:val="24"/>
                <w:szCs w:val="24"/>
                <w:highlight w:val="none"/>
              </w:rPr>
              <w:t>采用剥离表土；其次，</w:t>
            </w:r>
            <w:r>
              <w:rPr>
                <w:rFonts w:hint="default" w:ascii="Times New Roman" w:hAnsi="Times New Roman" w:eastAsia="宋体" w:cs="Times New Roman"/>
                <w:spacing w:val="2"/>
                <w:sz w:val="24"/>
                <w:szCs w:val="24"/>
                <w:highlight w:val="none"/>
              </w:rPr>
              <w:t>为减小降雨对表土的冲刷作用，减少表土流失量，在表土堆积过程中应尽量压实，并在表面覆盖土工布；再次，应在其临时表土堆放周边修建临时排水沟，以阻挡周</w:t>
            </w:r>
            <w:r>
              <w:rPr>
                <w:rFonts w:hint="default" w:ascii="Times New Roman" w:hAnsi="Times New Roman" w:eastAsia="宋体" w:cs="Times New Roman"/>
                <w:spacing w:val="5"/>
                <w:sz w:val="24"/>
                <w:szCs w:val="24"/>
                <w:highlight w:val="none"/>
              </w:rPr>
              <w:t>边雨水，排水沟断面根据当地暴雨特征值与汇流面积计算后选用底宽0.</w:t>
            </w:r>
            <w:r>
              <w:rPr>
                <w:rFonts w:hint="default" w:ascii="Times New Roman" w:hAnsi="Times New Roman" w:eastAsia="宋体" w:cs="Times New Roman"/>
                <w:spacing w:val="4"/>
                <w:sz w:val="24"/>
                <w:szCs w:val="24"/>
                <w:highlight w:val="none"/>
              </w:rPr>
              <w:t>3m、口宽</w:t>
            </w:r>
            <w:r>
              <w:rPr>
                <w:rFonts w:hint="default" w:ascii="Times New Roman" w:hAnsi="Times New Roman" w:eastAsia="宋体" w:cs="Times New Roman"/>
                <w:spacing w:val="-2"/>
                <w:sz w:val="24"/>
                <w:szCs w:val="24"/>
                <w:highlight w:val="none"/>
              </w:rPr>
              <w:t>0.9m、深0.3m的梯形断面，防止地表径流对其产生的影响；最后，在施工后期，拆</w:t>
            </w:r>
            <w:r>
              <w:rPr>
                <w:rFonts w:hint="default" w:ascii="Times New Roman" w:hAnsi="Times New Roman" w:eastAsia="宋体" w:cs="Times New Roman"/>
                <w:spacing w:val="-1"/>
                <w:sz w:val="24"/>
                <w:szCs w:val="24"/>
                <w:highlight w:val="none"/>
              </w:rPr>
              <w:t>除编织土袋尽快将表土用于覆土，尽可能减少堆放时间。</w:t>
            </w:r>
          </w:p>
          <w:p w14:paraId="701468B5">
            <w:pPr>
              <w:spacing w:line="360" w:lineRule="auto"/>
              <w:ind w:firstLine="460"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5"/>
                <w:sz w:val="24"/>
                <w:szCs w:val="24"/>
                <w:highlight w:val="none"/>
              </w:rPr>
              <w:t>堆放方式为</w:t>
            </w:r>
            <w:r>
              <w:rPr>
                <w:rFonts w:hint="eastAsia" w:eastAsia="宋体" w:cs="Times New Roman"/>
                <w:spacing w:val="-5"/>
                <w:sz w:val="24"/>
                <w:szCs w:val="24"/>
                <w:highlight w:val="none"/>
                <w:lang w:eastAsia="zh-CN"/>
              </w:rPr>
              <w:t>：</w:t>
            </w:r>
            <w:r>
              <w:rPr>
                <w:rFonts w:hint="default" w:ascii="Times New Roman" w:hAnsi="Times New Roman" w:eastAsia="宋体" w:cs="Times New Roman"/>
                <w:spacing w:val="-5"/>
                <w:sz w:val="24"/>
                <w:szCs w:val="24"/>
                <w:highlight w:val="none"/>
              </w:rPr>
              <w:t>先用编织土袋装收集表土在堆放地四周用编织袋做围挡。</w:t>
            </w:r>
            <w:r>
              <w:rPr>
                <w:rFonts w:hint="default" w:ascii="Times New Roman" w:hAnsi="Times New Roman" w:eastAsia="宋体" w:cs="Times New Roman"/>
                <w:spacing w:val="-2"/>
                <w:sz w:val="24"/>
                <w:szCs w:val="24"/>
                <w:highlight w:val="none"/>
              </w:rPr>
              <w:t>向表土临时堆放场内堆放收集表土，平均高度</w:t>
            </w:r>
            <w:r>
              <w:rPr>
                <w:rFonts w:hint="eastAsia" w:eastAsia="宋体" w:cs="Times New Roman"/>
                <w:spacing w:val="-2"/>
                <w:sz w:val="24"/>
                <w:szCs w:val="24"/>
                <w:highlight w:val="none"/>
                <w:lang w:val="en-US" w:eastAsia="zh-CN"/>
              </w:rPr>
              <w:t>不高于</w:t>
            </w:r>
            <w:r>
              <w:rPr>
                <w:rFonts w:hint="default" w:ascii="Times New Roman" w:hAnsi="Times New Roman" w:eastAsia="宋体" w:cs="Times New Roman"/>
                <w:spacing w:val="-2"/>
                <w:sz w:val="24"/>
                <w:szCs w:val="24"/>
                <w:highlight w:val="none"/>
              </w:rPr>
              <w:t>3m，堆放过程中应采用逐层</w:t>
            </w:r>
            <w:r>
              <w:rPr>
                <w:rFonts w:hint="default" w:ascii="Times New Roman" w:hAnsi="Times New Roman" w:eastAsia="宋体" w:cs="Times New Roman"/>
                <w:spacing w:val="-1"/>
                <w:sz w:val="24"/>
                <w:szCs w:val="24"/>
                <w:highlight w:val="none"/>
              </w:rPr>
              <w:t>堆放的方式进行，减少堆放物的松散性，有效控制水土流失。在堆场周</w:t>
            </w:r>
            <w:r>
              <w:rPr>
                <w:rFonts w:hint="default" w:ascii="Times New Roman" w:hAnsi="Times New Roman" w:eastAsia="宋体" w:cs="Times New Roman"/>
                <w:spacing w:val="-2"/>
                <w:sz w:val="24"/>
                <w:szCs w:val="24"/>
                <w:highlight w:val="none"/>
              </w:rPr>
              <w:t>围设置</w:t>
            </w:r>
            <w:r>
              <w:rPr>
                <w:rFonts w:hint="default" w:ascii="Times New Roman" w:hAnsi="Times New Roman" w:eastAsia="宋体" w:cs="Times New Roman"/>
                <w:spacing w:val="-3"/>
                <w:sz w:val="24"/>
                <w:szCs w:val="24"/>
                <w:highlight w:val="none"/>
              </w:rPr>
              <w:t>临时排水沟。</w:t>
            </w:r>
          </w:p>
          <w:p w14:paraId="398EA566">
            <w:pPr>
              <w:spacing w:line="360" w:lineRule="auto"/>
              <w:ind w:firstLine="476"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另外，在表土剥离和堆放过程中还应注意以下几点要求：</w:t>
            </w:r>
          </w:p>
          <w:p w14:paraId="0C0243AB">
            <w:pPr>
              <w:spacing w:line="360" w:lineRule="auto"/>
              <w:ind w:firstLine="456"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6"/>
                <w:sz w:val="24"/>
                <w:szCs w:val="24"/>
                <w:highlight w:val="none"/>
              </w:rPr>
              <w:t>①表土剥离收集过程中应注意对树根、灌木、草皮的清理，避免与表土</w:t>
            </w:r>
            <w:r>
              <w:rPr>
                <w:rFonts w:hint="default" w:ascii="Times New Roman" w:hAnsi="Times New Roman" w:eastAsia="宋体" w:cs="Times New Roman"/>
                <w:spacing w:val="-7"/>
                <w:sz w:val="24"/>
                <w:szCs w:val="24"/>
                <w:highlight w:val="none"/>
              </w:rPr>
              <w:t>混合，</w:t>
            </w:r>
            <w:r>
              <w:rPr>
                <w:rFonts w:hint="default" w:ascii="Times New Roman" w:hAnsi="Times New Roman" w:eastAsia="宋体" w:cs="Times New Roman"/>
                <w:spacing w:val="-2"/>
                <w:sz w:val="24"/>
                <w:szCs w:val="24"/>
                <w:highlight w:val="none"/>
              </w:rPr>
              <w:t>影响表土堆放的稳定性；</w:t>
            </w:r>
          </w:p>
          <w:p w14:paraId="28075371">
            <w:pPr>
              <w:spacing w:line="360" w:lineRule="auto"/>
              <w:ind w:firstLine="472"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highlight w:val="none"/>
              </w:rPr>
              <w:t>②遵循“先拦后堆”的原则，先做好拦挡工作后，再集中堆放</w:t>
            </w:r>
            <w:r>
              <w:rPr>
                <w:rFonts w:hint="default" w:ascii="Times New Roman" w:hAnsi="Times New Roman" w:eastAsia="宋体" w:cs="Times New Roman"/>
                <w:spacing w:val="-3"/>
                <w:sz w:val="24"/>
                <w:szCs w:val="24"/>
                <w:highlight w:val="none"/>
              </w:rPr>
              <w:t>表土，且在堆</w:t>
            </w:r>
            <w:r>
              <w:rPr>
                <w:rFonts w:hint="default" w:ascii="Times New Roman" w:hAnsi="Times New Roman" w:eastAsia="宋体" w:cs="Times New Roman"/>
                <w:spacing w:val="-2"/>
                <w:sz w:val="24"/>
                <w:szCs w:val="24"/>
                <w:highlight w:val="none"/>
              </w:rPr>
              <w:t>放时尽可能将表土压实；</w:t>
            </w:r>
          </w:p>
          <w:p w14:paraId="01C5057F">
            <w:pPr>
              <w:spacing w:line="360" w:lineRule="auto"/>
              <w:ind w:firstLine="476"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必须按上述要求做好上述临时防护措施；</w:t>
            </w:r>
          </w:p>
          <w:p w14:paraId="4864E572">
            <w:pPr>
              <w:spacing w:line="360" w:lineRule="auto"/>
              <w:ind w:firstLine="476"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③施工完成后应尽快完成覆土及植被恢复工作，尽可能减少其堆放时间。</w:t>
            </w:r>
          </w:p>
          <w:p w14:paraId="0AFBF03E">
            <w:pPr>
              <w:spacing w:line="360" w:lineRule="auto"/>
              <w:ind w:firstLine="476"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（3）</w:t>
            </w:r>
            <w:r>
              <w:rPr>
                <w:rFonts w:hint="default" w:ascii="Times New Roman" w:hAnsi="Times New Roman" w:eastAsia="宋体" w:cs="Times New Roman"/>
                <w:spacing w:val="-2"/>
                <w:sz w:val="24"/>
                <w:szCs w:val="24"/>
                <w:highlight w:val="none"/>
              </w:rPr>
              <w:t>表土回填、翻耕</w:t>
            </w:r>
          </w:p>
          <w:p w14:paraId="5A9BE208">
            <w:pPr>
              <w:spacing w:line="360" w:lineRule="auto"/>
              <w:ind w:firstLine="488"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highlight w:val="none"/>
              </w:rPr>
              <w:t>对平整后的场地原剥离区进行表土回填，恢复耕作层，回填表土来源是剥离表土，表土回覆完成后进行翻耕，减少因机械施工对表土层造成的影响。对于复垦的</w:t>
            </w:r>
            <w:r>
              <w:rPr>
                <w:rFonts w:hint="default" w:ascii="Times New Roman" w:hAnsi="Times New Roman" w:eastAsia="宋体" w:cs="Times New Roman"/>
                <w:spacing w:val="-2"/>
                <w:sz w:val="24"/>
                <w:szCs w:val="24"/>
                <w:highlight w:val="none"/>
              </w:rPr>
              <w:t>耕地，进行土地平整和土地翻耕。</w:t>
            </w:r>
          </w:p>
          <w:p w14:paraId="5CA58EB4">
            <w:pPr>
              <w:spacing w:line="360" w:lineRule="auto"/>
              <w:ind w:firstLine="476"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（4）配套灌排基础设施</w:t>
            </w:r>
          </w:p>
          <w:p w14:paraId="1CF24D8C">
            <w:pPr>
              <w:spacing w:line="360" w:lineRule="auto"/>
              <w:ind w:firstLine="488"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highlight w:val="none"/>
              </w:rPr>
              <w:t>该临时用地不占用已周边原有水系，复垦后可达到灌溉条件，满足农田生产需</w:t>
            </w:r>
            <w:r>
              <w:rPr>
                <w:rFonts w:hint="default" w:ascii="Times New Roman" w:hAnsi="Times New Roman" w:eastAsia="宋体" w:cs="Times New Roman"/>
                <w:spacing w:val="-12"/>
                <w:sz w:val="24"/>
                <w:szCs w:val="24"/>
                <w:highlight w:val="none"/>
              </w:rPr>
              <w:t>求。</w:t>
            </w:r>
          </w:p>
          <w:p w14:paraId="30A10D9F">
            <w:pPr>
              <w:spacing w:line="360" w:lineRule="auto"/>
              <w:ind w:firstLine="468"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3"/>
                <w:sz w:val="24"/>
                <w:szCs w:val="24"/>
                <w:highlight w:val="none"/>
              </w:rPr>
              <w:t>（5）绿化工程</w:t>
            </w:r>
          </w:p>
          <w:p w14:paraId="35EDCE92">
            <w:pPr>
              <w:spacing w:line="360" w:lineRule="auto"/>
              <w:ind w:firstLine="476" w:firstLineChars="200"/>
              <w:rPr>
                <w:rFonts w:hint="default" w:ascii="Times New Roman" w:hAnsi="Times New Roman" w:eastAsia="宋体" w:cs="Times New Roman"/>
                <w:spacing w:val="-1"/>
                <w:sz w:val="24"/>
                <w:szCs w:val="24"/>
                <w:highlight w:val="none"/>
              </w:rPr>
            </w:pPr>
            <w:r>
              <w:rPr>
                <w:rFonts w:hint="default" w:ascii="Times New Roman" w:hAnsi="Times New Roman" w:eastAsia="宋体" w:cs="Times New Roman"/>
                <w:spacing w:val="-1"/>
                <w:sz w:val="24"/>
                <w:szCs w:val="24"/>
                <w:highlight w:val="none"/>
              </w:rPr>
              <w:t>本复垦项目不涉及林地，不涉及绿化工程。</w:t>
            </w:r>
          </w:p>
          <w:p w14:paraId="55A35E04">
            <w:pPr>
              <w:spacing w:line="360" w:lineRule="auto"/>
              <w:ind w:firstLine="490" w:firstLineChars="200"/>
              <w:rPr>
                <w:rFonts w:hint="default" w:ascii="Times New Roman" w:hAnsi="Times New Roman" w:eastAsia="宋体" w:cs="Times New Roman"/>
                <w:b/>
                <w:spacing w:val="2"/>
                <w:sz w:val="24"/>
                <w:szCs w:val="24"/>
                <w:highlight w:val="none"/>
              </w:rPr>
            </w:pPr>
            <w:r>
              <w:rPr>
                <w:rFonts w:hint="eastAsia" w:eastAsia="宋体" w:cs="Times New Roman"/>
                <w:b/>
                <w:spacing w:val="2"/>
                <w:sz w:val="24"/>
                <w:szCs w:val="24"/>
                <w:highlight w:val="none"/>
                <w:lang w:val="en-US" w:eastAsia="zh-CN"/>
              </w:rPr>
              <w:t>3</w:t>
            </w:r>
            <w:r>
              <w:rPr>
                <w:rFonts w:hint="default" w:ascii="Times New Roman" w:hAnsi="Times New Roman" w:eastAsia="宋体" w:cs="Times New Roman"/>
                <w:b/>
                <w:spacing w:val="2"/>
                <w:sz w:val="24"/>
                <w:szCs w:val="24"/>
                <w:highlight w:val="none"/>
              </w:rPr>
              <w:t>、土壤改良措施</w:t>
            </w:r>
          </w:p>
          <w:p w14:paraId="09CC4B29">
            <w:pPr>
              <w:spacing w:line="360" w:lineRule="auto"/>
              <w:ind w:firstLine="472"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highlight w:val="none"/>
              </w:rPr>
              <w:t>生物复垦的基本原则是通过生物改良措施，改善土壤环境，培肥地力。利用生</w:t>
            </w:r>
            <w:r>
              <w:rPr>
                <w:rFonts w:hint="default" w:ascii="Times New Roman" w:hAnsi="Times New Roman" w:eastAsia="宋体" w:cs="Times New Roman"/>
                <w:spacing w:val="2"/>
                <w:sz w:val="24"/>
                <w:szCs w:val="24"/>
                <w:highlight w:val="none"/>
              </w:rPr>
              <w:t>物措施恢复土壤有机肥力及生物生产能力的技术措施，包括利用微生物活化剂或微生物与有机物的混合剂，对复垦后的贫瘠土地进行熟化，以恢复和增加土地的肥力</w:t>
            </w:r>
            <w:r>
              <w:rPr>
                <w:rFonts w:hint="default" w:ascii="Times New Roman" w:hAnsi="Times New Roman" w:eastAsia="宋体" w:cs="Times New Roman"/>
                <w:spacing w:val="-2"/>
                <w:sz w:val="24"/>
                <w:szCs w:val="24"/>
                <w:highlight w:val="none"/>
              </w:rPr>
              <w:t>和活性，以便用于农业生产。</w:t>
            </w:r>
          </w:p>
          <w:p w14:paraId="1C651845">
            <w:pPr>
              <w:spacing w:line="360" w:lineRule="auto"/>
              <w:ind w:firstLine="488"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highlight w:val="none"/>
              </w:rPr>
              <w:t>项目区覆盖土壤耕作层后的土地肥力低下，且伴有土壤酸化的危害，存在一些</w:t>
            </w:r>
            <w:r>
              <w:rPr>
                <w:rFonts w:hint="default" w:ascii="Times New Roman" w:hAnsi="Times New Roman" w:eastAsia="宋体" w:cs="Times New Roman"/>
                <w:spacing w:val="1"/>
                <w:sz w:val="24"/>
                <w:szCs w:val="24"/>
                <w:highlight w:val="none"/>
              </w:rPr>
              <w:t>植物生长的限制因子。因此土壤改良与培肥应着重从消除“危害物质”以及围绕其</w:t>
            </w:r>
            <w:r>
              <w:rPr>
                <w:rFonts w:hint="default" w:ascii="Times New Roman" w:hAnsi="Times New Roman" w:eastAsia="宋体" w:cs="Times New Roman"/>
                <w:spacing w:val="2"/>
                <w:sz w:val="24"/>
                <w:szCs w:val="24"/>
                <w:highlight w:val="none"/>
              </w:rPr>
              <w:t>水、肥、气、热四大肥力要素的改良，采取相应的措施。提高耕地质量还有一下几</w:t>
            </w:r>
            <w:r>
              <w:rPr>
                <w:rFonts w:hint="default" w:ascii="Times New Roman" w:hAnsi="Times New Roman" w:eastAsia="宋体" w:cs="Times New Roman"/>
                <w:spacing w:val="-4"/>
                <w:sz w:val="24"/>
                <w:szCs w:val="24"/>
                <w:highlight w:val="none"/>
              </w:rPr>
              <w:t>方面措施：</w:t>
            </w:r>
          </w:p>
          <w:p w14:paraId="75FBE3A9">
            <w:pPr>
              <w:spacing w:line="360" w:lineRule="auto"/>
              <w:ind w:firstLine="472"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highlight w:val="none"/>
              </w:rPr>
              <w:t>（1）作物轮作、秸秆还田；</w:t>
            </w:r>
          </w:p>
          <w:p w14:paraId="35E745D4">
            <w:pPr>
              <w:spacing w:line="360" w:lineRule="auto"/>
              <w:ind w:firstLine="468"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3"/>
                <w:sz w:val="24"/>
                <w:szCs w:val="24"/>
                <w:highlight w:val="none"/>
              </w:rPr>
              <w:t>（2）增施有机肥；</w:t>
            </w:r>
          </w:p>
          <w:p w14:paraId="4F555A8A">
            <w:pPr>
              <w:spacing w:line="360" w:lineRule="auto"/>
              <w:ind w:firstLine="472"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highlight w:val="none"/>
              </w:rPr>
              <w:t>（3）有利于培肥地力的其他措施。</w:t>
            </w:r>
          </w:p>
          <w:p w14:paraId="31D36000">
            <w:pPr>
              <w:spacing w:line="360" w:lineRule="auto"/>
              <w:ind w:firstLine="488"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highlight w:val="none"/>
              </w:rPr>
              <w:t>各复垦单元生物化学措施主要采取土壤改良措施，主要是增施有机肥，改善土</w:t>
            </w:r>
            <w:r>
              <w:rPr>
                <w:rFonts w:hint="default" w:ascii="Times New Roman" w:hAnsi="Times New Roman" w:eastAsia="宋体" w:cs="Times New Roman"/>
                <w:spacing w:val="-2"/>
                <w:sz w:val="24"/>
                <w:szCs w:val="24"/>
                <w:highlight w:val="none"/>
              </w:rPr>
              <w:t>壤质量，植被恢复措施。</w:t>
            </w:r>
          </w:p>
          <w:p w14:paraId="2811A4E2">
            <w:pPr>
              <w:pStyle w:val="16"/>
              <w:tabs>
                <w:tab w:val="left" w:pos="0"/>
              </w:tabs>
              <w:spacing w:line="360" w:lineRule="auto"/>
              <w:ind w:firstLine="488" w:firstLineChars="200"/>
              <w:contextualSpacing/>
              <w:rPr>
                <w:rFonts w:hint="default" w:ascii="Times New Roman" w:hAnsi="Times New Roman" w:cs="Times New Roman"/>
                <w:color w:val="auto"/>
                <w:sz w:val="24"/>
                <w:highlight w:val="none"/>
              </w:rPr>
            </w:pPr>
            <w:r>
              <w:rPr>
                <w:rFonts w:hint="default" w:ascii="Times New Roman" w:hAnsi="Times New Roman" w:eastAsia="宋体" w:cs="Times New Roman"/>
                <w:spacing w:val="2"/>
                <w:sz w:val="24"/>
                <w:szCs w:val="24"/>
                <w:highlight w:val="none"/>
              </w:rPr>
              <w:t>本项目在土壤改良措施主要有增施有机肥、复合肥、土壤翻耕等几种措施。在增施有机肥的同时，也考虑增施复合肥，调整耕作土壤的微量营养元素，提高养分含量。翻耕也是有效的土壤改良措施，翻耕具有翻土、松土、混土、碎土的作用，可以疏松土壤，加厚耕层，改善土壤的水，气热状况，还可以熟化土壤，改善土壤</w:t>
            </w:r>
            <w:r>
              <w:rPr>
                <w:rFonts w:hint="default" w:ascii="Times New Roman" w:hAnsi="Times New Roman" w:eastAsia="宋体" w:cs="Times New Roman"/>
                <w:spacing w:val="-1"/>
                <w:sz w:val="24"/>
                <w:szCs w:val="24"/>
                <w:highlight w:val="none"/>
              </w:rPr>
              <w:t>营养条件</w:t>
            </w:r>
            <w:r>
              <w:rPr>
                <w:rFonts w:hint="default" w:ascii="Times New Roman" w:hAnsi="Times New Roman" w:cs="Times New Roman"/>
                <w:spacing w:val="-1"/>
                <w:sz w:val="24"/>
                <w:szCs w:val="24"/>
                <w:highlight w:val="none"/>
              </w:rPr>
              <w:t>，提高土壤的有效肥力，可以配合绿肥措施进行翻耕。</w:t>
            </w:r>
            <w:bookmarkStart w:id="10" w:name="_Toc446518159"/>
          </w:p>
          <w:p w14:paraId="79FFB20F">
            <w:pPr>
              <w:pStyle w:val="52"/>
              <w:adjustRightInd/>
              <w:spacing w:line="360" w:lineRule="auto"/>
              <w:ind w:firstLine="482" w:firstLineChars="200"/>
              <w:rPr>
                <w:rFonts w:hint="default" w:ascii="Times New Roman" w:hAnsi="Times New Roman" w:cs="Times New Roman"/>
                <w:b/>
                <w:color w:val="auto"/>
                <w:highlight w:val="none"/>
              </w:rPr>
            </w:pPr>
            <w:r>
              <w:rPr>
                <w:rFonts w:hint="eastAsia" w:ascii="Times New Roman" w:hAnsi="Times New Roman" w:cs="Times New Roman"/>
                <w:b/>
                <w:color w:val="auto"/>
                <w:highlight w:val="none"/>
                <w:lang w:val="en-US" w:eastAsia="zh-CN"/>
              </w:rPr>
              <w:t>4、</w:t>
            </w:r>
            <w:r>
              <w:rPr>
                <w:rFonts w:hint="default" w:ascii="Times New Roman" w:hAnsi="Times New Roman" w:cs="Times New Roman"/>
                <w:b/>
                <w:color w:val="auto"/>
                <w:highlight w:val="none"/>
              </w:rPr>
              <w:t>施工时序及建设周期</w:t>
            </w:r>
          </w:p>
          <w:p w14:paraId="085C1BC9">
            <w:pPr>
              <w:pStyle w:val="52"/>
              <w:adjustRightInd/>
              <w:spacing w:line="360" w:lineRule="auto"/>
              <w:ind w:firstLine="480" w:firstLineChars="200"/>
              <w:rPr>
                <w:rFonts w:hint="default" w:ascii="Times New Roman" w:hAnsi="Times New Roman" w:cs="Times New Roman"/>
                <w:color w:val="auto"/>
                <w:kern w:val="0"/>
                <w:highlight w:val="none"/>
              </w:rPr>
            </w:pPr>
            <w:r>
              <w:rPr>
                <w:rFonts w:hint="default" w:ascii="Times New Roman" w:hAnsi="Times New Roman" w:cs="Times New Roman"/>
                <w:bCs/>
                <w:color w:val="auto"/>
                <w:highlight w:val="none"/>
              </w:rPr>
              <w:t>本项目</w:t>
            </w:r>
            <w:r>
              <w:rPr>
                <w:rFonts w:hint="eastAsia" w:ascii="Times New Roman" w:hAnsi="Times New Roman" w:cs="Times New Roman"/>
                <w:bCs/>
                <w:color w:val="auto"/>
                <w:highlight w:val="none"/>
                <w:lang w:val="en-US" w:eastAsia="zh-CN"/>
              </w:rPr>
              <w:t>11</w:t>
            </w:r>
            <w:r>
              <w:rPr>
                <w:rFonts w:hint="default" w:ascii="Times New Roman" w:hAnsi="Times New Roman" w:cs="Times New Roman"/>
                <w:bCs/>
                <w:color w:val="auto"/>
                <w:highlight w:val="none"/>
              </w:rPr>
              <w:t>个钻孔。本项目</w:t>
            </w:r>
            <w:r>
              <w:rPr>
                <w:rFonts w:hint="default" w:ascii="Times New Roman" w:hAnsi="Times New Roman" w:eastAsia="宋体" w:cs="Times New Roman"/>
                <w:bCs/>
                <w:color w:val="auto"/>
                <w:highlight w:val="none"/>
              </w:rPr>
              <w:t>拟投入3台</w:t>
            </w:r>
            <w:r>
              <w:rPr>
                <w:rFonts w:hint="eastAsia" w:ascii="Times New Roman" w:hAnsi="Times New Roman" w:eastAsia="宋体" w:cs="Times New Roman"/>
                <w:bCs/>
                <w:color w:val="auto"/>
                <w:highlight w:val="none"/>
                <w:lang w:val="en-US" w:eastAsia="zh-CN"/>
              </w:rPr>
              <w:t>TSJ-2000</w:t>
            </w:r>
            <w:r>
              <w:rPr>
                <w:rFonts w:hint="default" w:ascii="Times New Roman" w:hAnsi="Times New Roman" w:eastAsia="宋体" w:cs="Times New Roman"/>
                <w:bCs/>
                <w:color w:val="auto"/>
                <w:highlight w:val="none"/>
              </w:rPr>
              <w:t>型钻机进行施工，先施工靠近切眼一侧的钻孔，后根据开采进度逐步向停采线方向施工，2个监测孔与注浆孔同步施工，回采前完成施工及测试准备。</w:t>
            </w:r>
            <w:r>
              <w:rPr>
                <w:rFonts w:hint="eastAsia" w:ascii="Times New Roman" w:hAnsi="Times New Roman" w:cs="Times New Roman"/>
                <w:bCs/>
                <w:color w:val="auto"/>
                <w:highlight w:val="none"/>
                <w:lang w:val="en-US" w:eastAsia="zh-CN"/>
              </w:rPr>
              <w:t>项目</w:t>
            </w:r>
            <w:r>
              <w:rPr>
                <w:rFonts w:hint="default" w:ascii="Times New Roman" w:hAnsi="Times New Roman" w:eastAsia="宋体" w:cs="Times New Roman"/>
                <w:bCs/>
                <w:color w:val="auto"/>
                <w:highlight w:val="none"/>
              </w:rPr>
              <w:t>总工期为</w:t>
            </w:r>
            <w:r>
              <w:rPr>
                <w:rFonts w:hint="eastAsia" w:ascii="Times New Roman" w:hAnsi="Times New Roman" w:eastAsia="宋体" w:cs="Times New Roman"/>
                <w:bCs/>
                <w:color w:val="auto"/>
                <w:highlight w:val="none"/>
                <w:lang w:val="en-US" w:eastAsia="zh-CN"/>
              </w:rPr>
              <w:t>12</w:t>
            </w:r>
            <w:r>
              <w:rPr>
                <w:rFonts w:hint="default" w:ascii="Times New Roman" w:hAnsi="Times New Roman" w:eastAsia="宋体" w:cs="Times New Roman"/>
                <w:bCs/>
                <w:color w:val="auto"/>
                <w:highlight w:val="none"/>
              </w:rPr>
              <w:t>个月（</w:t>
            </w:r>
            <w:r>
              <w:rPr>
                <w:rFonts w:hint="eastAsia" w:ascii="Times New Roman" w:hAnsi="Times New Roman" w:eastAsia="宋体" w:cs="Times New Roman"/>
                <w:bCs/>
                <w:color w:val="auto"/>
                <w:highlight w:val="none"/>
                <w:lang w:val="en-US" w:eastAsia="zh-CN"/>
              </w:rPr>
              <w:t>365</w:t>
            </w:r>
            <w:r>
              <w:rPr>
                <w:rFonts w:hint="default" w:ascii="Times New Roman" w:hAnsi="Times New Roman" w:eastAsia="宋体" w:cs="Times New Roman"/>
                <w:bCs/>
                <w:color w:val="auto"/>
                <w:highlight w:val="none"/>
              </w:rPr>
              <w:t>d）。项目井场施工时序如下：①实</w:t>
            </w:r>
            <w:r>
              <w:rPr>
                <w:rFonts w:hint="default" w:ascii="Times New Roman" w:hAnsi="Times New Roman" w:cs="Times New Roman"/>
                <w:bCs/>
                <w:color w:val="auto"/>
                <w:highlight w:val="none"/>
              </w:rPr>
              <w:t>施</w:t>
            </w:r>
            <w:r>
              <w:rPr>
                <w:rFonts w:hint="default" w:ascii="Times New Roman" w:hAnsi="Times New Roman" w:cs="Times New Roman"/>
                <w:color w:val="auto"/>
                <w:highlight w:val="none"/>
              </w:rPr>
              <w:t>钻前工程；</w:t>
            </w:r>
            <w:r>
              <w:rPr>
                <w:rFonts w:hint="default" w:ascii="Times New Roman" w:hAnsi="Times New Roman" w:cs="Times New Roman"/>
                <w:bCs/>
                <w:color w:val="auto"/>
                <w:highlight w:val="none"/>
              </w:rPr>
              <w:t>②实施钻井工程</w:t>
            </w:r>
            <w:r>
              <w:rPr>
                <w:rFonts w:hint="default" w:ascii="Times New Roman" w:hAnsi="Times New Roman" w:cs="Times New Roman"/>
                <w:color w:val="auto"/>
                <w:highlight w:val="none"/>
              </w:rPr>
              <w:t>；③注浆工程；④实施完井工程。</w:t>
            </w:r>
            <w:bookmarkEnd w:id="10"/>
          </w:p>
          <w:p w14:paraId="65390F29">
            <w:pPr>
              <w:pStyle w:val="101"/>
              <w:spacing w:line="360" w:lineRule="auto"/>
              <w:ind w:firstLineChars="200"/>
              <w:jc w:val="both"/>
              <w:rPr>
                <w:rFonts w:hint="default" w:ascii="Times New Roman" w:hAnsi="Times New Roman" w:cs="Times New Roman"/>
                <w:color w:val="auto"/>
                <w:szCs w:val="24"/>
                <w:highlight w:val="none"/>
              </w:rPr>
            </w:pPr>
            <w:r>
              <w:rPr>
                <w:rFonts w:hint="default" w:ascii="Times New Roman" w:hAnsi="Times New Roman" w:cs="Times New Roman"/>
                <w:b/>
                <w:color w:val="auto"/>
                <w:szCs w:val="24"/>
                <w:highlight w:val="none"/>
              </w:rPr>
              <w:t>产污环节：</w:t>
            </w:r>
            <w:r>
              <w:rPr>
                <w:rFonts w:hint="default" w:ascii="Times New Roman" w:hAnsi="Times New Roman" w:cs="Times New Roman"/>
                <w:color w:val="auto"/>
                <w:szCs w:val="24"/>
                <w:highlight w:val="none"/>
              </w:rPr>
              <w:t>设备运行时产生的噪声、钻井过程中产生的废泥浆、钻井岩屑，设备维护产生的废润滑油。</w:t>
            </w:r>
          </w:p>
          <w:p w14:paraId="42F8977C">
            <w:pPr>
              <w:pStyle w:val="52"/>
              <w:adjustRightInd/>
              <w:spacing w:line="360" w:lineRule="auto"/>
              <w:ind w:firstLine="482" w:firstLineChars="200"/>
              <w:rPr>
                <w:rFonts w:hint="default" w:ascii="Times New Roman" w:hAnsi="Times New Roman" w:cs="Times New Roman"/>
                <w:b/>
                <w:color w:val="auto"/>
                <w:highlight w:val="none"/>
              </w:rPr>
            </w:pPr>
            <w:r>
              <w:rPr>
                <w:rFonts w:hint="default" w:ascii="Times New Roman" w:hAnsi="Times New Roman" w:cs="Times New Roman"/>
                <w:b/>
                <w:color w:val="auto"/>
                <w:highlight w:val="none"/>
              </w:rPr>
              <w:t>3 项目劳动定员及工作制度</w:t>
            </w:r>
          </w:p>
          <w:p w14:paraId="7792F3D3">
            <w:pPr>
              <w:pStyle w:val="52"/>
              <w:adjustRightInd/>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项目总定员为</w:t>
            </w:r>
            <w:r>
              <w:rPr>
                <w:rFonts w:hint="eastAsia" w:ascii="Times New Roman" w:hAnsi="Times New Roman" w:cs="Times New Roman"/>
                <w:color w:val="auto"/>
                <w:highlight w:val="none"/>
                <w:lang w:val="en-US" w:eastAsia="zh-CN"/>
              </w:rPr>
              <w:t>20</w:t>
            </w:r>
            <w:r>
              <w:rPr>
                <w:rFonts w:hint="default" w:ascii="Times New Roman" w:hAnsi="Times New Roman" w:cs="Times New Roman"/>
                <w:color w:val="auto"/>
                <w:highlight w:val="none"/>
              </w:rPr>
              <w:t>人，总工期</w:t>
            </w:r>
            <w:r>
              <w:rPr>
                <w:rFonts w:hint="eastAsia" w:ascii="Times New Roman" w:hAnsi="Times New Roman" w:cs="Times New Roman"/>
                <w:color w:val="auto"/>
                <w:highlight w:val="none"/>
                <w:lang w:val="en-US" w:eastAsia="zh-CN"/>
              </w:rPr>
              <w:t>365</w:t>
            </w:r>
            <w:r>
              <w:rPr>
                <w:rFonts w:hint="default" w:ascii="Times New Roman" w:hAnsi="Times New Roman" w:cs="Times New Roman"/>
                <w:color w:val="auto"/>
                <w:highlight w:val="none"/>
              </w:rPr>
              <w:t>天，实行三班制，每班工作8小时。</w:t>
            </w:r>
          </w:p>
        </w:tc>
      </w:tr>
      <w:tr w14:paraId="755903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9" w:type="pct"/>
            <w:noWrap w:val="0"/>
            <w:vAlign w:val="center"/>
          </w:tcPr>
          <w:p w14:paraId="31097CCD">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其他</w:t>
            </w:r>
          </w:p>
        </w:tc>
        <w:tc>
          <w:tcPr>
            <w:tcW w:w="4751" w:type="pct"/>
            <w:noWrap w:val="0"/>
            <w:vAlign w:val="center"/>
          </w:tcPr>
          <w:p w14:paraId="798AE1AE">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无法避免占用永久基本农田分析</w:t>
            </w:r>
          </w:p>
          <w:p w14:paraId="48481F05">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auto"/>
                <w:sz w:val="24"/>
                <w:szCs w:val="24"/>
                <w:highlight w:val="none"/>
              </w:rPr>
              <w:t>临时用地的选址无法避免占用永久基本农田，其原因如下：</w:t>
            </w:r>
          </w:p>
          <w:p w14:paraId="6931423D">
            <w:pPr>
              <w:pStyle w:val="52"/>
              <w:adjustRightInd/>
              <w:spacing w:line="360" w:lineRule="auto"/>
              <w:ind w:firstLine="480" w:firstLineChars="200"/>
              <w:rPr>
                <w:rFonts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①</w:t>
            </w:r>
            <w:r>
              <w:rPr>
                <w:rFonts w:ascii="Times New Roman" w:hAnsi="Times New Roman" w:eastAsia="宋体" w:cs="Times New Roman"/>
                <w:color w:val="000000" w:themeColor="text1"/>
                <w:highlight w:val="none"/>
                <w:lang w:val="en-US" w:eastAsia="zh-CN"/>
                <w14:textFill>
                  <w14:solidFill>
                    <w14:schemeClr w14:val="tx1"/>
                  </w14:solidFill>
                </w14:textFill>
              </w:rPr>
              <w:t>注浆钻孔设计为定向钻孔。若变更用地位置，钻孔靶区偏移，无法探查上覆推覆</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体片麻岩及煤系地层离层发育情况；存在重大水害施工风险常区空间位置，点位横向、纵向偏移后，钻孔无法穿透治理靶区，不能实现注浆减沉控沉治理目标，无法另行选位。</w:t>
            </w:r>
          </w:p>
          <w:p w14:paraId="2EC41AA2">
            <w:pPr>
              <w:pStyle w:val="52"/>
              <w:adjustRightInd/>
              <w:spacing w:line="360" w:lineRule="auto"/>
              <w:ind w:firstLine="480" w:firstLineChars="200"/>
              <w:rPr>
                <w:rFonts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②本区块煤层、灰岩含水层全域埋深固定，受地层赋存条件限制，全治理范围地表受控于地下构造，可合规布孔点位极少，使得该项目区域无法完全避让永久基本农田。</w:t>
            </w:r>
          </w:p>
          <w:p w14:paraId="17A4BF0A">
            <w:pPr>
              <w:pStyle w:val="52"/>
              <w:adjustRightInd/>
              <w:spacing w:line="360" w:lineRule="auto"/>
              <w:ind w:firstLine="480" w:firstLineChars="20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③如下图，钻孔上方蓝色矿权范围内为连片采煤沉陷湖区，地表大面积常年积水、淤泥深厚，地基承载力极差，无法平整场地、搭建钻探施工平台，机械设备进场、泥浆处置、临时临建设施均无落地条件，治理靶区正上方矿权内地表现状不满足地面钻探施工建设要求。</w:t>
            </w:r>
          </w:p>
          <w:p w14:paraId="35AE0F6D">
            <w:pPr>
              <w:pStyle w:val="52"/>
              <w:adjustRightInd/>
              <w:spacing w:line="360" w:lineRule="auto"/>
              <w:ind w:firstLine="480" w:firstLineChars="200"/>
              <w:rPr>
                <w:rFonts w:hint="eastAsia" w:ascii="Times New Roman" w:hAnsi="Times New Roman" w:eastAsia="宋体" w:cs="Times New Roman"/>
                <w:color w:val="000000" w:themeColor="text1"/>
                <w:highlight w:val="none"/>
                <w:lang w:val="en-US" w:eastAsia="zh-CN"/>
                <w14:textFill>
                  <w14:solidFill>
                    <w14:schemeClr w14:val="tx1"/>
                  </w14:solidFill>
                </w14:textFill>
              </w:rPr>
            </w:pPr>
          </w:p>
          <w:p w14:paraId="418F4235">
            <w:pPr>
              <w:pStyle w:val="52"/>
              <w:adjustRightInd/>
              <w:spacing w:line="360" w:lineRule="auto"/>
              <w:ind w:firstLine="480" w:firstLineChars="200"/>
              <w:rPr>
                <w:rFonts w:hint="eastAsia" w:ascii="Times New Roman" w:hAnsi="Times New Roman" w:eastAsia="宋体" w:cs="Times New Roman"/>
                <w:color w:val="000000" w:themeColor="text1"/>
                <w:highlight w:val="none"/>
                <w:lang w:val="en-US" w:eastAsia="zh-CN"/>
                <w14:textFill>
                  <w14:solidFill>
                    <w14:schemeClr w14:val="tx1"/>
                  </w14:solidFill>
                </w14:textFill>
              </w:rPr>
            </w:pPr>
          </w:p>
          <w:p w14:paraId="4A021118">
            <w:pPr>
              <w:pStyle w:val="52"/>
              <w:adjustRightInd/>
              <w:spacing w:line="360" w:lineRule="auto"/>
              <w:ind w:firstLine="480" w:firstLineChars="200"/>
              <w:rPr>
                <w:rFonts w:hint="eastAsia" w:ascii="Times New Roman" w:hAnsi="Times New Roman" w:eastAsia="宋体" w:cs="Times New Roman"/>
                <w:color w:val="000000" w:themeColor="text1"/>
                <w:highlight w:val="none"/>
                <w:lang w:val="en-US" w:eastAsia="zh-CN"/>
                <w14:textFill>
                  <w14:solidFill>
                    <w14:schemeClr w14:val="tx1"/>
                  </w14:solidFill>
                </w14:textFill>
              </w:rPr>
            </w:pPr>
          </w:p>
          <w:p w14:paraId="06C9C32A">
            <w:pPr>
              <w:pStyle w:val="52"/>
              <w:adjustRightInd/>
              <w:spacing w:line="360" w:lineRule="auto"/>
              <w:ind w:firstLine="480" w:firstLineChars="200"/>
              <w:rPr>
                <w:rFonts w:hint="eastAsia" w:ascii="Times New Roman" w:hAnsi="Times New Roman" w:eastAsia="宋体" w:cs="Times New Roman"/>
                <w:color w:val="000000" w:themeColor="text1"/>
                <w:highlight w:val="none"/>
                <w:lang w:val="en-US" w:eastAsia="zh-CN"/>
                <w14:textFill>
                  <w14:solidFill>
                    <w14:schemeClr w14:val="tx1"/>
                  </w14:solidFill>
                </w14:textFill>
              </w:rPr>
            </w:pPr>
          </w:p>
          <w:p w14:paraId="03603A5B">
            <w:pPr>
              <w:pStyle w:val="52"/>
              <w:adjustRightInd/>
              <w:spacing w:line="360" w:lineRule="auto"/>
              <w:ind w:firstLine="480" w:firstLineChars="200"/>
              <w:rPr>
                <w:rFonts w:hint="eastAsia" w:ascii="Times New Roman" w:hAnsi="Times New Roman" w:eastAsia="宋体" w:cs="Times New Roman"/>
                <w:color w:val="000000" w:themeColor="text1"/>
                <w:highlight w:val="none"/>
                <w:lang w:val="en-US" w:eastAsia="zh-CN"/>
                <w14:textFill>
                  <w14:solidFill>
                    <w14:schemeClr w14:val="tx1"/>
                  </w14:solidFill>
                </w14:textFill>
              </w:rPr>
            </w:pPr>
          </w:p>
          <w:p w14:paraId="7A0784DA">
            <w:pPr>
              <w:pStyle w:val="52"/>
              <w:adjustRightInd/>
              <w:spacing w:line="360" w:lineRule="auto"/>
              <w:ind w:firstLine="480" w:firstLineChars="200"/>
              <w:rPr>
                <w:rFonts w:hint="eastAsia" w:ascii="Times New Roman" w:hAnsi="Times New Roman" w:eastAsia="宋体" w:cs="Times New Roman"/>
                <w:color w:val="000000" w:themeColor="text1"/>
                <w:highlight w:val="none"/>
                <w:lang w:val="en-US" w:eastAsia="zh-CN"/>
                <w14:textFill>
                  <w14:solidFill>
                    <w14:schemeClr w14:val="tx1"/>
                  </w14:solidFill>
                </w14:textFill>
              </w:rPr>
            </w:pPr>
          </w:p>
          <w:p w14:paraId="0132D5B0">
            <w:pPr>
              <w:pStyle w:val="52"/>
              <w:adjustRightInd/>
              <w:spacing w:line="360" w:lineRule="auto"/>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ascii="Times New Roman" w:hAnsi="Times New Roman" w:eastAsia="宋体" w:cs="Times New Roman"/>
                <w:color w:val="000000" w:themeColor="text1"/>
                <w:highlight w:val="none"/>
                <w:lang w:val="en-US" w:eastAsia="zh-CN"/>
                <w14:textFill>
                  <w14:solidFill>
                    <w14:schemeClr w14:val="tx1"/>
                  </w14:solidFill>
                </w14:textFill>
              </w:rPr>
              <w:drawing>
                <wp:inline distT="0" distB="0" distL="114300" distR="114300">
                  <wp:extent cx="4850130" cy="2505710"/>
                  <wp:effectExtent l="0" t="0" r="7620" b="8890"/>
                  <wp:docPr id="5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
                          <pic:cNvPicPr>
                            <a:picLocks noChangeAspect="1"/>
                          </pic:cNvPicPr>
                        </pic:nvPicPr>
                        <pic:blipFill>
                          <a:blip r:embed="rId8"/>
                          <a:stretch>
                            <a:fillRect/>
                          </a:stretch>
                        </pic:blipFill>
                        <pic:spPr>
                          <a:xfrm>
                            <a:off x="0" y="0"/>
                            <a:ext cx="4850130" cy="2505710"/>
                          </a:xfrm>
                          <a:prstGeom prst="rect">
                            <a:avLst/>
                          </a:prstGeom>
                          <a:noFill/>
                          <a:ln>
                            <a:noFill/>
                          </a:ln>
                        </pic:spPr>
                      </pic:pic>
                    </a:graphicData>
                  </a:graphic>
                </wp:inline>
              </w:drawing>
            </w:r>
          </w:p>
          <w:p w14:paraId="11EAC590">
            <w:pPr>
              <w:pStyle w:val="52"/>
              <w:adjustRightInd/>
              <w:spacing w:line="360" w:lineRule="auto"/>
              <w:ind w:firstLine="480" w:firstLineChars="200"/>
              <w:rPr>
                <w:rFonts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④</w:t>
            </w:r>
            <w:r>
              <w:rPr>
                <w:rFonts w:ascii="Times New Roman" w:hAnsi="Times New Roman" w:eastAsia="宋体" w:cs="Times New Roman"/>
                <w:color w:val="000000" w:themeColor="text1"/>
                <w:highlight w:val="none"/>
                <w:lang w:val="en-US" w:eastAsia="zh-CN"/>
                <w14:textFill>
                  <w14:solidFill>
                    <w14:schemeClr w14:val="tx1"/>
                  </w14:solidFill>
                </w14:textFill>
              </w:rPr>
              <w:t>为确保钻孔能有效覆盖整个治理区域，地面场地需距离治理范围500m 以外。该</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距离要求导致可选布孔区域进一步受限，而矿权范围内多为永久基本农田。受地形地貌</w:t>
            </w:r>
            <w:r>
              <w:rPr>
                <w:rFonts w:ascii="Times New Roman" w:hAnsi="Times New Roman" w:eastAsia="宋体" w:cs="Times New Roman"/>
                <w:color w:val="000000" w:themeColor="text1"/>
                <w:highlight w:val="none"/>
                <w:lang w:val="en-US" w:eastAsia="zh-CN"/>
                <w14:textFill>
                  <w14:solidFill>
                    <w14:schemeClr w14:val="tx1"/>
                  </w14:solidFill>
                </w14:textFill>
              </w:rPr>
              <w:t>及既有地物限制，无法通过调整钻孔角度或增加钻孔数量完全规避对基本农田的占用。</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同时，项目采用的定向钻探工艺对地面作业平台稳定性、安全距离及设备布置空间有严格技术规范，需在特定位置密集布置钻孔，这使得可供选择的场地范围进一步缩小，难以找到完全避开永久基本农田的合适区域。</w:t>
            </w:r>
          </w:p>
          <w:p w14:paraId="23E20486">
            <w:pPr>
              <w:pStyle w:val="52"/>
              <w:adjustRightInd/>
              <w:spacing w:line="360" w:lineRule="auto"/>
              <w:ind w:firstLine="480" w:firstLineChars="20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⑤临时用地工作范围所在地是传统的农业乡镇，根据凤台县“三区三线”成果基本农田所占比例较高。临时用地占用的永久基本农田，复垦后全部予以恢复。本项目临时用地范围占用已划定的永久基本农田，按国家永久基本农田保护条例，贯彻实施基本农田保护制度，将本项目涉及永久基本农田部分的复垦费用翻倍计算，中煤科工生态环境科技有限公司承诺会严格按照通过审查的复垦方案组织实施，确保复垦后耕地数量不减少，占用的永久基本农田质量不低于占用前。</w:t>
            </w:r>
          </w:p>
          <w:p w14:paraId="4D00618B">
            <w:pPr>
              <w:pStyle w:val="52"/>
              <w:adjustRightInd/>
              <w:spacing w:line="360" w:lineRule="auto"/>
              <w:ind w:firstLine="480" w:firstLineChars="20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综上所述，该项目井场选择根据井下规划选取，钻孔位置具有唯一性，不可避免占用永久基本农田，临时用地在选址过程中已尽量避免、减少占用永久基本农田，但仍难以避免临时占用永久基本农田。</w:t>
            </w:r>
          </w:p>
          <w:p w14:paraId="674D5EEF">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both"/>
              <w:textAlignment w:val="baseline"/>
              <w:rPr>
                <w:rFonts w:hint="eastAsia"/>
                <w:color w:val="auto"/>
                <w:sz w:val="24"/>
                <w:szCs w:val="24"/>
                <w:highlight w:val="none"/>
              </w:rPr>
            </w:pPr>
          </w:p>
          <w:p w14:paraId="6D438CF1">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default"/>
                <w:color w:val="auto"/>
                <w:sz w:val="24"/>
                <w:szCs w:val="24"/>
                <w:highlight w:val="none"/>
              </w:rPr>
            </w:pPr>
          </w:p>
          <w:p w14:paraId="36643E97">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default"/>
                <w:color w:val="auto"/>
                <w:sz w:val="24"/>
                <w:szCs w:val="24"/>
                <w:highlight w:val="none"/>
              </w:rPr>
            </w:pPr>
          </w:p>
          <w:p w14:paraId="743A29FE">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default"/>
                <w:color w:val="auto"/>
                <w:sz w:val="24"/>
                <w:szCs w:val="24"/>
                <w:highlight w:val="none"/>
              </w:rPr>
            </w:pPr>
          </w:p>
        </w:tc>
      </w:tr>
    </w:tbl>
    <w:p w14:paraId="78C9C657">
      <w:pPr>
        <w:widowControl/>
        <w:spacing w:before="100" w:beforeAutospacing="1" w:after="100" w:afterAutospacing="1"/>
        <w:jc w:val="center"/>
        <w:outlineLvl w:val="0"/>
        <w:rPr>
          <w:rFonts w:hint="default" w:ascii="Times New Roman" w:hAnsi="Times New Roman" w:eastAsia="黑体" w:cs="Times New Roman"/>
          <w:snapToGrid w:val="0"/>
          <w:kern w:val="0"/>
          <w:sz w:val="30"/>
          <w:szCs w:val="30"/>
          <w:highlight w:val="none"/>
        </w:rPr>
      </w:pPr>
      <w:r>
        <w:rPr>
          <w:rFonts w:ascii="Times New Roman" w:hAnsi="Times New Roman" w:eastAsia="仿宋_GB2312"/>
          <w:b/>
          <w:bCs/>
          <w:color w:val="auto"/>
          <w:highlight w:val="none"/>
        </w:rPr>
        <w:br w:type="page"/>
      </w:r>
      <w:r>
        <w:rPr>
          <w:rFonts w:hint="default" w:ascii="Times New Roman" w:hAnsi="Times New Roman" w:eastAsia="黑体" w:cs="Times New Roman"/>
          <w:snapToGrid w:val="0"/>
          <w:kern w:val="0"/>
          <w:sz w:val="30"/>
          <w:szCs w:val="30"/>
          <w:highlight w:val="none"/>
        </w:rPr>
        <w:t>三、生态环境现状、保护目标及评价标准</w:t>
      </w:r>
    </w:p>
    <w:tbl>
      <w:tblPr>
        <w:tblStyle w:val="29"/>
        <w:tblW w:w="915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11"/>
        <w:gridCol w:w="8646"/>
      </w:tblGrid>
      <w:tr w14:paraId="1E5025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12" w:hRule="atLeast"/>
          <w:jc w:val="center"/>
        </w:trPr>
        <w:tc>
          <w:tcPr>
            <w:tcW w:w="511" w:type="dxa"/>
            <w:vAlign w:val="center"/>
          </w:tcPr>
          <w:p w14:paraId="3498AC43">
            <w:pPr>
              <w:adjustRightInd w:val="0"/>
              <w:snapToGrid w:val="0"/>
              <w:jc w:val="center"/>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生态环境现状</w:t>
            </w:r>
          </w:p>
        </w:tc>
        <w:tc>
          <w:tcPr>
            <w:tcW w:w="8646" w:type="dxa"/>
            <w:vAlign w:val="center"/>
          </w:tcPr>
          <w:p w14:paraId="375262E1">
            <w:pPr>
              <w:pStyle w:val="16"/>
              <w:tabs>
                <w:tab w:val="left" w:pos="0"/>
              </w:tabs>
              <w:snapToGrid/>
              <w:spacing w:line="360" w:lineRule="auto"/>
              <w:rPr>
                <w:rFonts w:ascii="Times New Roman" w:hAnsi="Times New Roman"/>
                <w:b/>
                <w:bCs/>
                <w:color w:val="auto"/>
                <w:sz w:val="24"/>
                <w:highlight w:val="none"/>
              </w:rPr>
            </w:pPr>
            <w:r>
              <w:rPr>
                <w:rFonts w:ascii="Times New Roman" w:hAnsi="Times New Roman"/>
                <w:b/>
                <w:bCs/>
                <w:color w:val="auto"/>
                <w:sz w:val="24"/>
                <w:highlight w:val="none"/>
              </w:rPr>
              <w:t>一、自然环境简介</w:t>
            </w:r>
          </w:p>
          <w:p w14:paraId="162D0FD8">
            <w:pPr>
              <w:pStyle w:val="16"/>
              <w:tabs>
                <w:tab w:val="left" w:pos="0"/>
              </w:tabs>
              <w:snapToGrid/>
              <w:spacing w:line="360" w:lineRule="auto"/>
              <w:ind w:firstLine="482" w:firstLineChars="200"/>
              <w:rPr>
                <w:rFonts w:ascii="Times New Roman" w:hAnsi="Times New Roman"/>
                <w:b/>
                <w:bCs/>
                <w:color w:val="auto"/>
                <w:sz w:val="24"/>
                <w:highlight w:val="none"/>
              </w:rPr>
            </w:pPr>
            <w:r>
              <w:rPr>
                <w:rFonts w:ascii="Times New Roman" w:hAnsi="Times New Roman"/>
                <w:b/>
                <w:bCs/>
                <w:color w:val="auto"/>
                <w:sz w:val="24"/>
                <w:highlight w:val="none"/>
              </w:rPr>
              <w:t>1、生态现状调查</w:t>
            </w:r>
          </w:p>
          <w:p w14:paraId="20A0800C">
            <w:pPr>
              <w:keepNext/>
              <w:keepLines/>
              <w:spacing w:line="360" w:lineRule="auto"/>
              <w:ind w:firstLine="480" w:firstLineChars="200"/>
              <w:outlineLvl w:val="2"/>
              <w:rPr>
                <w:color w:val="auto"/>
                <w:sz w:val="24"/>
                <w:highlight w:val="none"/>
              </w:rPr>
            </w:pPr>
            <w:r>
              <w:rPr>
                <w:color w:val="auto"/>
                <w:sz w:val="24"/>
                <w:highlight w:val="none"/>
              </w:rPr>
              <w:t>项目地位于安徽省淮南</w:t>
            </w:r>
            <w:r>
              <w:rPr>
                <w:rFonts w:hint="eastAsia"/>
                <w:color w:val="auto"/>
                <w:sz w:val="24"/>
                <w:highlight w:val="none"/>
                <w:lang w:val="en-US" w:eastAsia="zh-CN"/>
              </w:rPr>
              <w:t>市凤台县新集镇王集村，安徽省淮南市新集一矿3608(6)采区东翼</w:t>
            </w:r>
            <w:r>
              <w:rPr>
                <w:color w:val="auto"/>
                <w:sz w:val="24"/>
                <w:highlight w:val="none"/>
              </w:rPr>
              <w:t>，不在安徽省生态功能重要性评估区域和安徽省生态环境敏感性评估区域范围内，经现场勘察，项目地为农用地。</w:t>
            </w:r>
            <w:r>
              <w:rPr>
                <w:bCs/>
                <w:color w:val="auto"/>
                <w:sz w:val="24"/>
                <w:highlight w:val="none"/>
              </w:rPr>
              <w:t>根据现场调查，用地现状为</w:t>
            </w:r>
            <w:r>
              <w:rPr>
                <w:rFonts w:hint="eastAsia"/>
                <w:bCs/>
                <w:color w:val="auto"/>
                <w:sz w:val="24"/>
                <w:highlight w:val="none"/>
                <w:lang w:val="en-US" w:eastAsia="zh-CN"/>
              </w:rPr>
              <w:t>建设用地和</w:t>
            </w:r>
            <w:r>
              <w:rPr>
                <w:bCs/>
                <w:color w:val="auto"/>
                <w:sz w:val="24"/>
                <w:highlight w:val="none"/>
              </w:rPr>
              <w:t>农田。</w:t>
            </w:r>
            <w:r>
              <w:rPr>
                <w:color w:val="auto"/>
                <w:sz w:val="24"/>
                <w:highlight w:val="none"/>
              </w:rPr>
              <w:t>项目区范围内无原始森林和次生林及各级人民政府批准建立的自然保护区。</w:t>
            </w:r>
          </w:p>
          <w:p w14:paraId="617504F2">
            <w:pPr>
              <w:spacing w:line="360" w:lineRule="auto"/>
              <w:ind w:firstLine="480"/>
              <w:rPr>
                <w:color w:val="auto"/>
                <w:sz w:val="24"/>
                <w:highlight w:val="none"/>
              </w:rPr>
            </w:pPr>
            <w:r>
              <w:rPr>
                <w:color w:val="auto"/>
                <w:sz w:val="24"/>
                <w:highlight w:val="none"/>
              </w:rPr>
              <w:t>（1）主体功能区规划</w:t>
            </w:r>
          </w:p>
          <w:p w14:paraId="1C829ADD">
            <w:pPr>
              <w:keepNext/>
              <w:keepLines/>
              <w:spacing w:line="360" w:lineRule="auto"/>
              <w:ind w:firstLine="480" w:firstLineChars="200"/>
              <w:outlineLvl w:val="2"/>
              <w:rPr>
                <w:rFonts w:eastAsia="宋体"/>
                <w:color w:val="auto"/>
                <w:sz w:val="24"/>
                <w:highlight w:val="none"/>
              </w:rPr>
            </w:pPr>
            <w:r>
              <w:rPr>
                <w:sz w:val="24"/>
                <w:szCs w:val="24"/>
                <w:highlight w:val="none"/>
              </w:rPr>
              <w:t>根据《淮南市国土空间总体规划（2021-2035年）》，项目所处区域整体属于淮北平</w:t>
            </w:r>
            <w:r>
              <w:rPr>
                <w:rFonts w:eastAsia="宋体"/>
                <w:color w:val="auto"/>
                <w:sz w:val="24"/>
                <w:highlight w:val="none"/>
              </w:rPr>
              <w:t>原现代农业生产区。</w:t>
            </w:r>
            <w:r>
              <w:rPr>
                <w:rFonts w:hint="eastAsia" w:eastAsia="宋体"/>
                <w:color w:val="auto"/>
                <w:sz w:val="24"/>
                <w:highlight w:val="none"/>
              </w:rPr>
              <w:t>根据规划，</w:t>
            </w:r>
            <w:r>
              <w:rPr>
                <w:rFonts w:eastAsia="宋体"/>
                <w:color w:val="auto"/>
                <w:sz w:val="24"/>
                <w:highlight w:val="none"/>
              </w:rPr>
              <w:t>优化农业空间布局。严格保护农业生产空间，淮北平原现代农业生产区完善农田水利等农业基础设施，提升耕地综合生产能力；中部绿色都市农业生产区重点发展都市农业，保障中心城区各类生鲜农产品的供应，规范设施农用地使用，保障合理需求；南部丘陵现代农业生产区严格保护优质耕地，严防土壤污染，严格管控非农建设占用耕地，充分利用引江济淮等水利工程，提高水土资源适配程度，完善节水配套设施，发展节水农业。</w:t>
            </w:r>
          </w:p>
          <w:p w14:paraId="23882CD5">
            <w:pPr>
              <w:keepNext/>
              <w:keepLines/>
              <w:spacing w:line="360" w:lineRule="auto"/>
              <w:ind w:firstLine="480" w:firstLineChars="200"/>
              <w:outlineLvl w:val="2"/>
              <w:rPr>
                <w:rFonts w:eastAsia="宋体"/>
                <w:color w:val="auto"/>
                <w:sz w:val="24"/>
                <w:highlight w:val="none"/>
              </w:rPr>
            </w:pPr>
            <w:r>
              <w:rPr>
                <w:rFonts w:eastAsia="宋体"/>
                <w:color w:val="auto"/>
                <w:sz w:val="24"/>
                <w:highlight w:val="none"/>
              </w:rPr>
              <w:t>本项目属于属“M747</w:t>
            </w:r>
            <w:r>
              <w:rPr>
                <w:rFonts w:hint="eastAsia" w:eastAsia="宋体"/>
                <w:color w:val="auto"/>
                <w:sz w:val="24"/>
                <w:highlight w:val="none"/>
                <w:lang w:val="en-US" w:eastAsia="zh-CN"/>
              </w:rPr>
              <w:t>2</w:t>
            </w:r>
            <w:r>
              <w:rPr>
                <w:rFonts w:hint="eastAsia" w:eastAsia="宋体"/>
                <w:color w:val="auto"/>
                <w:sz w:val="24"/>
                <w:highlight w:val="none"/>
                <w:lang w:eastAsia="zh-CN"/>
              </w:rPr>
              <w:t>能源矿产地质勘查</w:t>
            </w:r>
            <w:r>
              <w:rPr>
                <w:rFonts w:eastAsia="宋体"/>
                <w:color w:val="auto"/>
                <w:sz w:val="24"/>
                <w:highlight w:val="none"/>
              </w:rPr>
              <w:t>”，不涉及煤炭开采工作。待勘察、治理结束后进行现场清理和生态修复工作。项目实施</w:t>
            </w:r>
            <w:r>
              <w:rPr>
                <w:rFonts w:hint="eastAsia" w:eastAsia="宋体"/>
                <w:color w:val="auto"/>
                <w:sz w:val="24"/>
                <w:highlight w:val="none"/>
              </w:rPr>
              <w:t>是为了</w:t>
            </w:r>
            <w:r>
              <w:rPr>
                <w:rFonts w:eastAsia="宋体"/>
                <w:color w:val="auto"/>
                <w:sz w:val="24"/>
                <w:highlight w:val="none"/>
              </w:rPr>
              <w:t>结合360610工作面实际地质条件，探查上覆推覆体片麻岩及煤系地层离层发育情况，并进行注浆减沉控沉治理，在铁路维护带以北50m维护带轮廓线位置附近区域设置预警线和控制线，预警线和控制线分别设置预警、控制下沉、位移、倾斜值，数值需满足《铁路沉降变形观测及评估技术规程》（2025版）等要求并编制专项监测方案，确保预警线和控制线及以南区域地表变形数据可控，最大限度减少地表变形，保障充填减沉效果，实现地表设施安全稳定</w:t>
            </w:r>
            <w:r>
              <w:rPr>
                <w:rFonts w:hint="eastAsia" w:eastAsia="宋体"/>
                <w:color w:val="auto"/>
                <w:sz w:val="24"/>
                <w:highlight w:val="none"/>
              </w:rPr>
              <w:t>。</w:t>
            </w:r>
            <w:r>
              <w:rPr>
                <w:rFonts w:eastAsia="宋体"/>
                <w:color w:val="auto"/>
                <w:sz w:val="24"/>
                <w:highlight w:val="none"/>
              </w:rPr>
              <w:t>施工及配套设施，待勘察结束后进行现场清理和生态修复工作。</w:t>
            </w:r>
            <w:r>
              <w:rPr>
                <w:rFonts w:hint="eastAsia" w:eastAsia="宋体"/>
                <w:color w:val="auto"/>
                <w:sz w:val="24"/>
                <w:highlight w:val="none"/>
              </w:rPr>
              <w:t>项目的建设</w:t>
            </w:r>
            <w:r>
              <w:rPr>
                <w:rFonts w:eastAsia="宋体"/>
                <w:color w:val="auto"/>
                <w:sz w:val="24"/>
                <w:highlight w:val="none"/>
              </w:rPr>
              <w:t>符合淮南市功能区划中相关要求。</w:t>
            </w:r>
          </w:p>
          <w:p w14:paraId="6E16B053">
            <w:pPr>
              <w:keepNext/>
              <w:keepLines/>
              <w:spacing w:line="360" w:lineRule="auto"/>
              <w:ind w:firstLine="480" w:firstLineChars="200"/>
              <w:outlineLvl w:val="2"/>
              <w:rPr>
                <w:rFonts w:eastAsia="宋体"/>
                <w:color w:val="auto"/>
                <w:sz w:val="24"/>
                <w:highlight w:val="none"/>
              </w:rPr>
            </w:pPr>
            <w:r>
              <w:rPr>
                <w:rFonts w:eastAsia="宋体"/>
                <w:color w:val="auto"/>
                <w:sz w:val="24"/>
                <w:highlight w:val="none"/>
              </w:rPr>
              <w:t>（2）生态功能区概述</w:t>
            </w:r>
          </w:p>
          <w:p w14:paraId="11DB381B">
            <w:pPr>
              <w:keepNext/>
              <w:keepLines/>
              <w:spacing w:line="360" w:lineRule="auto"/>
              <w:ind w:firstLine="480" w:firstLineChars="200"/>
              <w:outlineLvl w:val="2"/>
              <w:rPr>
                <w:rFonts w:eastAsia="宋体"/>
                <w:color w:val="auto"/>
                <w:sz w:val="24"/>
                <w:highlight w:val="none"/>
              </w:rPr>
            </w:pPr>
            <w:r>
              <w:rPr>
                <w:rFonts w:eastAsia="宋体"/>
                <w:color w:val="auto"/>
                <w:sz w:val="24"/>
                <w:highlight w:val="none"/>
              </w:rPr>
              <w:t>根据原环保部、中国科学院制定的《全国生态功能区规划（修编版）》，</w:t>
            </w:r>
            <w:r>
              <w:rPr>
                <w:rFonts w:hint="eastAsia" w:eastAsia="宋体"/>
                <w:color w:val="auto"/>
                <w:sz w:val="24"/>
                <w:highlight w:val="none"/>
                <w:lang w:val="en-US" w:eastAsia="zh-CN"/>
              </w:rPr>
              <w:t>新集一矿</w:t>
            </w:r>
            <w:r>
              <w:rPr>
                <w:rFonts w:eastAsia="宋体"/>
                <w:color w:val="auto"/>
                <w:sz w:val="24"/>
                <w:highlight w:val="none"/>
              </w:rPr>
              <w:t>位于黄淮平原农产品提供三级功能区（II-01-15）。根据《安徽省生态环境保护规划》，</w:t>
            </w:r>
            <w:r>
              <w:rPr>
                <w:rFonts w:hint="eastAsia" w:eastAsia="宋体"/>
                <w:color w:val="auto"/>
                <w:sz w:val="24"/>
                <w:highlight w:val="none"/>
                <w:lang w:val="en-US" w:eastAsia="zh-CN"/>
              </w:rPr>
              <w:t>新集一矿</w:t>
            </w:r>
            <w:r>
              <w:rPr>
                <w:rFonts w:eastAsia="宋体"/>
                <w:color w:val="auto"/>
                <w:sz w:val="24"/>
                <w:highlight w:val="none"/>
              </w:rPr>
              <w:t>位于沿淮淮北平原生态区的淮南农业与城镇生态功能区（I3-3）。根据《淮南市生态生态功能分区》，</w:t>
            </w:r>
            <w:r>
              <w:rPr>
                <w:rFonts w:hint="eastAsia" w:eastAsia="宋体"/>
                <w:color w:val="auto"/>
                <w:sz w:val="24"/>
                <w:highlight w:val="none"/>
                <w:lang w:val="en-US" w:eastAsia="zh-CN"/>
              </w:rPr>
              <w:t>新集一矿</w:t>
            </w:r>
            <w:r>
              <w:rPr>
                <w:rFonts w:eastAsia="宋体"/>
                <w:color w:val="auto"/>
                <w:sz w:val="24"/>
                <w:highlight w:val="none"/>
              </w:rPr>
              <w:t>井田属于北部平原旱作农业与矿业发展区。</w:t>
            </w:r>
          </w:p>
          <w:p w14:paraId="72539E0F">
            <w:pPr>
              <w:keepNext/>
              <w:keepLines/>
              <w:spacing w:line="360" w:lineRule="auto"/>
              <w:jc w:val="center"/>
              <w:outlineLvl w:val="2"/>
              <w:rPr>
                <w:rFonts w:hint="default" w:ascii="Times New Roman" w:hAnsi="Times New Roman" w:eastAsia="黑体" w:cs="Times New Roman"/>
                <w:szCs w:val="24"/>
                <w:highlight w:val="none"/>
              </w:rPr>
            </w:pPr>
            <w:r>
              <w:drawing>
                <wp:inline distT="0" distB="0" distL="114300" distR="114300">
                  <wp:extent cx="5197475" cy="7279005"/>
                  <wp:effectExtent l="0" t="0" r="3175" b="17145"/>
                  <wp:docPr id="15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4"/>
                          <pic:cNvPicPr>
                            <a:picLocks noChangeAspect="1"/>
                          </pic:cNvPicPr>
                        </pic:nvPicPr>
                        <pic:blipFill>
                          <a:blip r:embed="rId18"/>
                          <a:stretch>
                            <a:fillRect/>
                          </a:stretch>
                        </pic:blipFill>
                        <pic:spPr>
                          <a:xfrm>
                            <a:off x="0" y="0"/>
                            <a:ext cx="5197475" cy="7279005"/>
                          </a:xfrm>
                          <a:prstGeom prst="rect">
                            <a:avLst/>
                          </a:prstGeom>
                          <a:noFill/>
                          <a:ln>
                            <a:noFill/>
                          </a:ln>
                        </pic:spPr>
                      </pic:pic>
                    </a:graphicData>
                  </a:graphic>
                </wp:inline>
              </w:drawing>
            </w:r>
          </w:p>
          <w:p w14:paraId="0B20839F">
            <w:pPr>
              <w:pStyle w:val="88"/>
              <w:pageBreakBefore w:val="0"/>
              <w:widowControl w:val="0"/>
              <w:kinsoku/>
              <w:wordWrap/>
              <w:overflowPunct/>
              <w:autoSpaceDE/>
              <w:autoSpaceDN/>
              <w:bidi w:val="0"/>
              <w:adjustRightInd/>
              <w:snapToGrid/>
              <w:ind w:firstLine="480" w:firstLineChars="200"/>
              <w:jc w:val="center"/>
              <w:textAlignment w:val="auto"/>
              <w:rPr>
                <w:rFonts w:ascii="Times New Roman" w:hAnsi="Times New Roman" w:eastAsia="宋体" w:cs="Times New Roman"/>
                <w:color w:val="auto"/>
                <w:sz w:val="24"/>
                <w:highlight w:val="none"/>
              </w:rPr>
            </w:pPr>
            <w:r>
              <w:rPr>
                <w:rFonts w:hint="eastAsia" w:eastAsia="黑体" w:cs="Times New Roman"/>
                <w:color w:val="000000" w:themeColor="text1"/>
                <w:szCs w:val="20"/>
                <w:highlight w:val="none"/>
                <w:lang w:val="en-US" w:eastAsia="zh-CN"/>
                <w14:textFill>
                  <w14:solidFill>
                    <w14:schemeClr w14:val="tx1"/>
                  </w14:solidFill>
                </w14:textFill>
              </w:rPr>
              <w:t xml:space="preserve">图3-1  </w:t>
            </w:r>
            <w:r>
              <w:rPr>
                <w:rFonts w:hint="eastAsia" w:ascii="Times New Roman" w:hAnsi="Times New Roman" w:eastAsia="黑体" w:cs="Times New Roman"/>
                <w:color w:val="000000" w:themeColor="text1"/>
                <w:szCs w:val="20"/>
                <w:highlight w:val="none"/>
                <w:lang w:val="en-US" w:eastAsia="zh-CN"/>
                <w14:textFill>
                  <w14:solidFill>
                    <w14:schemeClr w14:val="tx1"/>
                  </w14:solidFill>
                </w14:textFill>
              </w:rPr>
              <w:t>安徽省生态功能区划图</w:t>
            </w:r>
          </w:p>
          <w:p w14:paraId="7DDD1AD0">
            <w:pPr>
              <w:keepNext/>
              <w:keepLines/>
              <w:pageBreakBefore w:val="0"/>
              <w:widowControl w:val="0"/>
              <w:kinsoku/>
              <w:wordWrap/>
              <w:overflowPunct/>
              <w:autoSpaceDE/>
              <w:autoSpaceDN/>
              <w:bidi w:val="0"/>
              <w:adjustRightInd/>
              <w:snapToGrid/>
              <w:spacing w:line="360" w:lineRule="auto"/>
              <w:ind w:firstLine="480" w:firstLineChars="200"/>
              <w:textAlignment w:val="auto"/>
              <w:outlineLvl w:val="2"/>
              <w:rPr>
                <w:rFonts w:eastAsia="宋体"/>
                <w:sz w:val="24"/>
                <w:szCs w:val="24"/>
                <w:highlight w:val="none"/>
                <w:lang w:val="en-US"/>
              </w:rPr>
            </w:pPr>
            <w:r>
              <w:rPr>
                <w:rFonts w:eastAsia="宋体"/>
                <w:sz w:val="24"/>
                <w:szCs w:val="24"/>
                <w:highlight w:val="none"/>
                <w:lang w:val="en-US"/>
              </w:rPr>
              <w:t>本区</w:t>
            </w:r>
            <w:r>
              <w:rPr>
                <w:rFonts w:eastAsia="宋体"/>
                <w:sz w:val="24"/>
                <w:szCs w:val="24"/>
                <w:highlight w:val="none"/>
              </w:rPr>
              <w:t>位于淮河中游，涵盖淮南市全部及凤台县中南部等区域，总面积约2098 km²。本区气候属亚热带湿润气候与暖温带半湿润气候过渡地带，日照充足，雨量适中，四季分明，年均无霜期220天，年均温度15.3℃，年平均降水量965 mm</w:t>
            </w:r>
            <w:r>
              <w:rPr>
                <w:rFonts w:hint="default" w:eastAsia="宋体"/>
                <w:sz w:val="24"/>
                <w:szCs w:val="24"/>
                <w:highlight w:val="none"/>
              </w:rPr>
              <w:fldChar w:fldCharType="begin"/>
            </w:r>
            <w:r>
              <w:rPr>
                <w:rFonts w:hint="default" w:eastAsia="宋体"/>
                <w:sz w:val="24"/>
                <w:szCs w:val="24"/>
                <w:highlight w:val="none"/>
              </w:rPr>
              <w:instrText xml:space="preserve"> HYPERLINK "https://sthjj.bengbu.gov.cn/group4/M00/0B/36/wKgQGWUHr3SAJ7FeAIVOCyojmes582.pdf" \l "35#20" \t "https://chat.deepseek.com/a/chat/s/_blank" </w:instrText>
            </w:r>
            <w:r>
              <w:rPr>
                <w:rFonts w:hint="default" w:eastAsia="宋体"/>
                <w:sz w:val="24"/>
                <w:szCs w:val="24"/>
                <w:highlight w:val="none"/>
              </w:rPr>
              <w:fldChar w:fldCharType="separate"/>
            </w:r>
            <w:r>
              <w:rPr>
                <w:rFonts w:hint="default" w:eastAsia="宋体"/>
                <w:sz w:val="24"/>
                <w:szCs w:val="24"/>
                <w:highlight w:val="none"/>
              </w:rPr>
              <w:fldChar w:fldCharType="end"/>
            </w:r>
            <w:r>
              <w:rPr>
                <w:rFonts w:hint="default" w:eastAsia="宋体"/>
                <w:sz w:val="24"/>
                <w:szCs w:val="24"/>
                <w:highlight w:val="none"/>
              </w:rPr>
              <w:t>。</w:t>
            </w:r>
            <w:r>
              <w:rPr>
                <w:rFonts w:eastAsia="宋体"/>
                <w:sz w:val="24"/>
                <w:szCs w:val="24"/>
                <w:highlight w:val="none"/>
                <w:lang w:val="en-US"/>
              </w:rPr>
              <w:t>地貌有以平原为主，丘岗嵌于其中，海拔最高处为241m。</w:t>
            </w:r>
            <w:r>
              <w:rPr>
                <w:rFonts w:hint="eastAsia" w:eastAsia="宋体"/>
                <w:sz w:val="24"/>
                <w:szCs w:val="24"/>
                <w:highlight w:val="none"/>
                <w:lang w:val="en-US" w:eastAsia="zh-CN"/>
              </w:rPr>
              <w:t>本区</w:t>
            </w:r>
            <w:r>
              <w:rPr>
                <w:rFonts w:eastAsia="宋体"/>
                <w:sz w:val="24"/>
                <w:szCs w:val="24"/>
                <w:highlight w:val="none"/>
                <w:lang w:val="en-US"/>
              </w:rPr>
              <w:t>内工矿与城镇密集，主要安徽省重要工业城市淮南市，本区煤炭远景储量444×108t，探明储量145×</w:t>
            </w:r>
            <m:oMath>
              <m:sSup>
                <m:sSupPr>
                  <m:ctrlPr>
                    <w:rPr>
                      <w:rFonts w:ascii="Cambria Math" w:hAnsi="Cambria Math" w:eastAsia="宋体"/>
                      <w:sz w:val="24"/>
                      <w:szCs w:val="24"/>
                      <w:highlight w:val="none"/>
                      <w:lang w:val="en-US"/>
                    </w:rPr>
                  </m:ctrlPr>
                </m:sSupPr>
                <m:e>
                  <m:r>
                    <m:rPr>
                      <m:sty m:val="p"/>
                    </m:rPr>
                    <w:rPr>
                      <w:rFonts w:hint="eastAsia" w:ascii="Times New Roman" w:hAnsi="Times New Roman" w:eastAsia="宋体"/>
                      <w:sz w:val="24"/>
                      <w:szCs w:val="24"/>
                      <w:highlight w:val="none"/>
                      <w:lang w:val="en-US" w:eastAsia="zh-CN"/>
                    </w:rPr>
                    <m:t>10</m:t>
                  </m:r>
                  <m:ctrlPr>
                    <w:rPr>
                      <w:rFonts w:ascii="Cambria Math" w:hAnsi="Cambria Math" w:eastAsia="宋体"/>
                      <w:sz w:val="24"/>
                      <w:szCs w:val="24"/>
                      <w:highlight w:val="none"/>
                      <w:lang w:val="en-US"/>
                    </w:rPr>
                  </m:ctrlPr>
                </m:e>
                <m:sup>
                  <m:r>
                    <m:rPr>
                      <m:sty m:val="p"/>
                    </m:rPr>
                    <w:rPr>
                      <w:rFonts w:hint="eastAsia" w:ascii="Times New Roman" w:hAnsi="Times New Roman" w:eastAsia="宋体"/>
                      <w:sz w:val="24"/>
                      <w:szCs w:val="24"/>
                      <w:highlight w:val="none"/>
                      <w:lang w:val="en-US" w:eastAsia="zh-CN"/>
                    </w:rPr>
                    <m:t>8</m:t>
                  </m:r>
                  <m:ctrlPr>
                    <w:rPr>
                      <w:rFonts w:ascii="Cambria Math" w:hAnsi="Cambria Math" w:eastAsia="宋体"/>
                      <w:sz w:val="24"/>
                      <w:szCs w:val="24"/>
                      <w:highlight w:val="none"/>
                      <w:lang w:val="en-US"/>
                    </w:rPr>
                  </m:ctrlPr>
                </m:sup>
              </m:sSup>
            </m:oMath>
            <w:r>
              <w:rPr>
                <w:rFonts w:eastAsia="宋体"/>
                <w:sz w:val="24"/>
                <w:szCs w:val="24"/>
                <w:highlight w:val="none"/>
                <w:lang w:val="en-US"/>
              </w:rPr>
              <w:t>t，是全国十大煤田之一，占安徽省储量的63％，且煤质好，煤种多。</w:t>
            </w:r>
          </w:p>
          <w:p w14:paraId="2A383407">
            <w:pPr>
              <w:keepNext/>
              <w:keepLines/>
              <w:pageBreakBefore w:val="0"/>
              <w:widowControl w:val="0"/>
              <w:kinsoku/>
              <w:wordWrap/>
              <w:overflowPunct/>
              <w:autoSpaceDE/>
              <w:autoSpaceDN/>
              <w:bidi w:val="0"/>
              <w:adjustRightInd/>
              <w:snapToGrid/>
              <w:spacing w:line="360" w:lineRule="auto"/>
              <w:ind w:firstLine="480" w:firstLineChars="200"/>
              <w:textAlignment w:val="auto"/>
              <w:outlineLvl w:val="2"/>
              <w:rPr>
                <w:rFonts w:eastAsia="宋体"/>
                <w:sz w:val="24"/>
                <w:szCs w:val="24"/>
                <w:highlight w:val="none"/>
                <w:lang w:val="en-US"/>
              </w:rPr>
            </w:pPr>
            <w:r>
              <w:rPr>
                <w:rFonts w:eastAsia="宋体"/>
                <w:sz w:val="24"/>
                <w:szCs w:val="24"/>
                <w:highlight w:val="none"/>
                <w:lang w:val="en-US"/>
              </w:rPr>
              <w:t>（3）土地利用情况</w:t>
            </w:r>
          </w:p>
          <w:p w14:paraId="21DD9D75">
            <w:pPr>
              <w:keepNext/>
              <w:keepLines/>
              <w:pageBreakBefore w:val="0"/>
              <w:widowControl w:val="0"/>
              <w:kinsoku/>
              <w:wordWrap/>
              <w:overflowPunct/>
              <w:autoSpaceDE/>
              <w:autoSpaceDN/>
              <w:bidi w:val="0"/>
              <w:adjustRightInd/>
              <w:snapToGrid/>
              <w:spacing w:line="360" w:lineRule="auto"/>
              <w:ind w:firstLine="480" w:firstLineChars="200"/>
              <w:textAlignment w:val="auto"/>
              <w:outlineLvl w:val="2"/>
              <w:rPr>
                <w:color w:val="000000" w:themeColor="text1"/>
                <w:kern w:val="2"/>
                <w:highlight w:val="none"/>
                <w:shd w:val="clear" w:color="auto" w:fill="auto"/>
                <w:lang w:val="en-US"/>
                <w14:textFill>
                  <w14:solidFill>
                    <w14:schemeClr w14:val="tx1"/>
                  </w14:solidFill>
                </w14:textFill>
              </w:rPr>
            </w:pPr>
            <w:r>
              <w:rPr>
                <w:rFonts w:eastAsia="宋体"/>
                <w:sz w:val="24"/>
                <w:szCs w:val="24"/>
                <w:highlight w:val="none"/>
                <w:lang w:val="en-US"/>
              </w:rPr>
              <w:t>本项目选址地位于</w:t>
            </w:r>
            <w:r>
              <w:rPr>
                <w:rFonts w:eastAsia="宋体"/>
                <w:sz w:val="24"/>
                <w:szCs w:val="24"/>
                <w:highlight w:val="none"/>
              </w:rPr>
              <w:t>安徽省淮南</w:t>
            </w:r>
            <w:r>
              <w:rPr>
                <w:rFonts w:hint="eastAsia" w:eastAsia="宋体"/>
                <w:sz w:val="24"/>
                <w:szCs w:val="24"/>
                <w:highlight w:val="none"/>
                <w:lang w:val="en-US" w:eastAsia="zh-CN"/>
              </w:rPr>
              <w:t>市凤台县新集镇王集村，安徽省淮南市新集一矿3608(6)采区东翼</w:t>
            </w:r>
            <w:r>
              <w:rPr>
                <w:rFonts w:eastAsia="宋体"/>
                <w:sz w:val="24"/>
                <w:szCs w:val="24"/>
                <w:highlight w:val="none"/>
                <w:lang w:val="en-US"/>
              </w:rPr>
              <w:t>，项目属于</w:t>
            </w:r>
            <w:r>
              <w:rPr>
                <w:rFonts w:hint="eastAsia" w:eastAsia="宋体"/>
                <w:sz w:val="24"/>
                <w:szCs w:val="24"/>
                <w:highlight w:val="none"/>
                <w:lang w:val="en-US" w:eastAsia="zh-CN"/>
              </w:rPr>
              <w:t>陆地</w:t>
            </w:r>
            <w:r>
              <w:rPr>
                <w:rFonts w:eastAsia="宋体"/>
                <w:sz w:val="24"/>
                <w:szCs w:val="24"/>
                <w:highlight w:val="none"/>
                <w:lang w:val="en-US"/>
              </w:rPr>
              <w:t>矿产</w:t>
            </w:r>
            <w:r>
              <w:rPr>
                <w:rFonts w:hint="eastAsia" w:eastAsia="宋体"/>
                <w:sz w:val="24"/>
                <w:szCs w:val="24"/>
                <w:highlight w:val="none"/>
                <w:lang w:val="en-US" w:eastAsia="zh-CN"/>
              </w:rPr>
              <w:t>资源</w:t>
            </w:r>
            <w:r>
              <w:rPr>
                <w:rFonts w:eastAsia="宋体"/>
                <w:sz w:val="24"/>
                <w:szCs w:val="24"/>
                <w:highlight w:val="none"/>
                <w:lang w:val="en-US"/>
              </w:rPr>
              <w:t>地质勘查项目，用地面积为</w:t>
            </w:r>
            <w:r>
              <w:rPr>
                <w:rFonts w:hint="eastAsia" w:eastAsia="宋体"/>
                <w:sz w:val="24"/>
                <w:szCs w:val="24"/>
                <w:highlight w:val="none"/>
                <w:lang w:val="en-US" w:eastAsia="zh-CN"/>
              </w:rPr>
              <w:t>9379</w:t>
            </w:r>
            <m:oMath>
              <m:sSup>
                <m:sSupPr>
                  <m:ctrlPr>
                    <w:rPr>
                      <w:rFonts w:ascii="Cambria Math" w:hAnsi="Cambria Math" w:eastAsia="宋体"/>
                      <w:sz w:val="24"/>
                      <w:szCs w:val="24"/>
                      <w:highlight w:val="none"/>
                      <w:lang w:val="en-US"/>
                    </w:rPr>
                  </m:ctrlPr>
                </m:sSupPr>
                <m:e>
                  <m:r>
                    <m:rPr>
                      <m:sty m:val="p"/>
                    </m:rPr>
                    <w:rPr>
                      <w:rFonts w:hint="default" w:ascii="Times New Roman" w:hAnsi="Times New Roman" w:eastAsia="宋体"/>
                      <w:sz w:val="24"/>
                      <w:szCs w:val="24"/>
                      <w:highlight w:val="none"/>
                      <w:lang w:val="en-US" w:eastAsia="zh-CN"/>
                    </w:rPr>
                    <m:t>m</m:t>
                  </m:r>
                  <m:ctrlPr>
                    <w:rPr>
                      <w:rFonts w:ascii="Cambria Math" w:hAnsi="Cambria Math" w:eastAsia="宋体"/>
                      <w:sz w:val="24"/>
                      <w:szCs w:val="24"/>
                      <w:highlight w:val="none"/>
                      <w:lang w:val="en-US"/>
                    </w:rPr>
                  </m:ctrlPr>
                </m:e>
                <m:sup>
                  <m:r>
                    <m:rPr>
                      <m:sty m:val="p"/>
                    </m:rPr>
                    <w:rPr>
                      <w:rFonts w:hint="default" w:ascii="Times New Roman" w:hAnsi="Times New Roman" w:eastAsia="宋体"/>
                      <w:sz w:val="24"/>
                      <w:szCs w:val="24"/>
                      <w:highlight w:val="none"/>
                      <w:lang w:val="en-US" w:eastAsia="zh-CN"/>
                    </w:rPr>
                    <m:t>2</m:t>
                  </m:r>
                  <m:ctrlPr>
                    <w:rPr>
                      <w:rFonts w:ascii="Cambria Math" w:hAnsi="Cambria Math" w:eastAsia="宋体"/>
                      <w:sz w:val="24"/>
                      <w:szCs w:val="24"/>
                      <w:highlight w:val="none"/>
                      <w:lang w:val="en-US"/>
                    </w:rPr>
                  </m:ctrlPr>
                </m:sup>
              </m:sSup>
            </m:oMath>
            <w:r>
              <w:rPr>
                <w:rFonts w:hint="default" w:eastAsia="宋体"/>
                <w:sz w:val="24"/>
                <w:szCs w:val="24"/>
                <w:highlight w:val="none"/>
                <w:lang w:val="en-US" w:eastAsia="zh-CN"/>
              </w:rPr>
              <w:t>，</w:t>
            </w:r>
            <w:r>
              <w:rPr>
                <w:rFonts w:hint="default" w:eastAsia="宋体"/>
                <w:sz w:val="24"/>
                <w:szCs w:val="24"/>
                <w:highlight w:val="none"/>
                <w:lang w:val="en-US"/>
              </w:rPr>
              <w:t>土地利用类型</w:t>
            </w:r>
            <w:r>
              <w:rPr>
                <w:rFonts w:hint="eastAsia" w:eastAsia="宋体"/>
                <w:sz w:val="24"/>
                <w:szCs w:val="24"/>
                <w:highlight w:val="none"/>
                <w:lang w:val="en-US" w:eastAsia="zh-CN"/>
              </w:rPr>
              <w:t>主要为建设用地和农田</w:t>
            </w:r>
            <w:r>
              <w:rPr>
                <w:rFonts w:hint="default" w:eastAsia="宋体"/>
                <w:sz w:val="24"/>
                <w:szCs w:val="24"/>
                <w:highlight w:val="none"/>
                <w:lang w:val="en-US"/>
              </w:rPr>
              <w:t>。</w:t>
            </w:r>
            <w:r>
              <w:rPr>
                <w:rFonts w:eastAsia="宋体"/>
                <w:sz w:val="24"/>
                <w:szCs w:val="24"/>
                <w:highlight w:val="none"/>
                <w:lang w:val="en-US"/>
              </w:rPr>
              <w:t>本项目临时用地性质为耕地</w:t>
            </w:r>
            <w:r>
              <w:rPr>
                <w:rFonts w:hint="eastAsia" w:eastAsia="宋体"/>
                <w:sz w:val="24"/>
                <w:szCs w:val="24"/>
                <w:highlight w:val="none"/>
                <w:lang w:val="en-US" w:eastAsia="zh-CN"/>
              </w:rPr>
              <w:t>，</w:t>
            </w:r>
            <w:r>
              <w:rPr>
                <w:rFonts w:eastAsia="宋体"/>
                <w:sz w:val="24"/>
                <w:szCs w:val="24"/>
                <w:highlight w:val="none"/>
                <w:lang w:val="en-US"/>
              </w:rPr>
              <w:t>项目施工结束后，根据土地复垦方案进行复垦，恢复场区原状。</w:t>
            </w:r>
          </w:p>
          <w:p w14:paraId="1CB982D7">
            <w:pPr>
              <w:pStyle w:val="88"/>
              <w:adjustRightInd/>
              <w:snapToGrid/>
              <w:rPr>
                <w:color w:val="000000" w:themeColor="text1"/>
                <w:kern w:val="2"/>
                <w:highlight w:val="none"/>
                <w:shd w:val="clear" w:color="auto" w:fill="auto"/>
                <w:lang w:val="en-US"/>
                <w14:textFill>
                  <w14:solidFill>
                    <w14:schemeClr w14:val="tx1"/>
                  </w14:solidFill>
                </w14:textFill>
              </w:rPr>
            </w:pPr>
            <w:r>
              <w:rPr>
                <w:color w:val="000000" w:themeColor="text1"/>
                <w:kern w:val="2"/>
                <w:highlight w:val="none"/>
                <w:shd w:val="clear" w:color="auto" w:fill="auto"/>
                <w:lang w:val="en-US"/>
                <w14:textFill>
                  <w14:solidFill>
                    <w14:schemeClr w14:val="tx1"/>
                  </w14:solidFill>
                </w14:textFill>
              </w:rPr>
              <w:t>根据现场调查和遥感解译，项目各占地类型及面积情况见下表。</w:t>
            </w:r>
          </w:p>
          <w:p w14:paraId="789F5AF2">
            <w:pPr>
              <w:spacing w:line="240" w:lineRule="atLeast"/>
              <w:jc w:val="center"/>
              <w:rPr>
                <w:rFonts w:hint="default" w:ascii="Times New Roman" w:hAnsi="Times New Roman" w:eastAsia="黑体" w:cs="Times New Roman"/>
                <w:color w:val="000000" w:themeColor="text1"/>
                <w:szCs w:val="20"/>
                <w:highlight w:val="none"/>
                <w14:textFill>
                  <w14:solidFill>
                    <w14:schemeClr w14:val="tx1"/>
                  </w14:solidFill>
                </w14:textFill>
              </w:rPr>
            </w:pPr>
            <w:r>
              <w:rPr>
                <w:rFonts w:hint="default" w:ascii="Times New Roman" w:hAnsi="Times New Roman" w:eastAsia="黑体" w:cs="Times New Roman"/>
                <w:color w:val="000000" w:themeColor="text1"/>
                <w:szCs w:val="20"/>
                <w:highlight w:val="none"/>
                <w14:textFill>
                  <w14:solidFill>
                    <w14:schemeClr w14:val="tx1"/>
                  </w14:solidFill>
                </w14:textFill>
              </w:rPr>
              <w:t>表</w:t>
            </w:r>
            <w:r>
              <w:rPr>
                <w:rFonts w:hint="eastAsia" w:ascii="Times New Roman" w:hAnsi="Times New Roman" w:eastAsia="黑体" w:cs="Times New Roman"/>
                <w:color w:val="000000" w:themeColor="text1"/>
                <w:szCs w:val="20"/>
                <w:highlight w:val="none"/>
                <w:lang w:val="en-US" w:eastAsia="zh-CN"/>
                <w14:textFill>
                  <w14:solidFill>
                    <w14:schemeClr w14:val="tx1"/>
                  </w14:solidFill>
                </w14:textFill>
              </w:rPr>
              <w:t>3-1</w:t>
            </w:r>
            <w:r>
              <w:rPr>
                <w:rFonts w:hint="default" w:ascii="Times New Roman" w:hAnsi="Times New Roman" w:eastAsia="黑体" w:cs="Times New Roman"/>
                <w:color w:val="000000" w:themeColor="text1"/>
                <w:szCs w:val="20"/>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Cs w:val="20"/>
                <w:highlight w:val="none"/>
                <w14:textFill>
                  <w14:solidFill>
                    <w14:schemeClr w14:val="tx1"/>
                  </w14:solidFill>
                </w14:textFill>
              </w:rPr>
              <w:t>土地利用现状统计表(总表)</w:t>
            </w:r>
            <w:r>
              <w:rPr>
                <w:rFonts w:hint="default" w:ascii="Times New Roman" w:hAnsi="Times New Roman" w:eastAsia="黑体" w:cs="Times New Roman"/>
                <w:color w:val="000000" w:themeColor="text1"/>
                <w:szCs w:val="20"/>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Cs w:val="20"/>
                <w:highlight w:val="none"/>
                <w14:textFill>
                  <w14:solidFill>
                    <w14:schemeClr w14:val="tx1"/>
                  </w14:solidFill>
                </w14:textFill>
              </w:rPr>
              <w:t>单位：hm²</w:t>
            </w:r>
          </w:p>
          <w:tbl>
            <w:tblPr>
              <w:tblStyle w:val="111"/>
              <w:tblpPr w:leftFromText="180" w:rightFromText="180" w:vertAnchor="text" w:horzAnchor="page" w:tblpXSpec="center" w:tblpY="270"/>
              <w:tblOverlap w:val="never"/>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217"/>
              <w:gridCol w:w="897"/>
              <w:gridCol w:w="1218"/>
              <w:gridCol w:w="950"/>
              <w:gridCol w:w="857"/>
              <w:gridCol w:w="951"/>
              <w:gridCol w:w="749"/>
              <w:gridCol w:w="1581"/>
            </w:tblGrid>
            <w:tr w14:paraId="4082D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37" w:type="dxa"/>
                  <w:tcBorders>
                    <w:tl2br w:val="nil"/>
                    <w:tr2bl w:val="nil"/>
                  </w:tcBorders>
                  <w:noWrap w:val="0"/>
                  <w:vAlign w:val="center"/>
                </w:tcPr>
                <w:p w14:paraId="4981F17E">
                  <w:pPr>
                    <w:pStyle w:val="118"/>
                    <w:keepNext w:val="0"/>
                    <w:keepLines w:val="0"/>
                    <w:pageBreakBefore w:val="0"/>
                    <w:widowControl/>
                    <w:kinsoku w:val="0"/>
                    <w:wordWrap/>
                    <w:overflowPunct/>
                    <w:topLinePunct w:val="0"/>
                    <w:autoSpaceDE w:val="0"/>
                    <w:autoSpaceDN w:val="0"/>
                    <w:bidi w:val="0"/>
                    <w:adjustRightInd w:val="0"/>
                    <w:snapToGrid w:val="0"/>
                    <w:spacing w:line="224" w:lineRule="auto"/>
                    <w:ind w:left="0"/>
                    <w:jc w:val="center"/>
                    <w:textAlignment w:val="baseline"/>
                    <w:rPr>
                      <w:rFonts w:hint="default" w:ascii="Times New Roman" w:hAnsi="Times New Roman" w:cs="Times New Roman"/>
                      <w:color w:val="auto"/>
                      <w:sz w:val="21"/>
                      <w:szCs w:val="21"/>
                      <w:highlight w:val="none"/>
                    </w:rPr>
                  </w:pPr>
                  <w:r>
                    <w:rPr>
                      <w:rFonts w:hint="eastAsia" w:ascii="Times New Roman" w:hAnsi="Times New Roman" w:cs="Times New Roman"/>
                      <w:color w:val="auto"/>
                      <w:spacing w:val="-4"/>
                      <w:sz w:val="21"/>
                      <w:szCs w:val="21"/>
                      <w:highlight w:val="none"/>
                      <w:lang w:val="en-US" w:eastAsia="zh-CN"/>
                    </w:rPr>
                    <w:t>二</w:t>
                  </w:r>
                  <w:r>
                    <w:rPr>
                      <w:rFonts w:hint="default" w:ascii="Times New Roman" w:hAnsi="Times New Roman" w:cs="Times New Roman"/>
                      <w:color w:val="auto"/>
                      <w:spacing w:val="-4"/>
                      <w:sz w:val="21"/>
                      <w:szCs w:val="21"/>
                      <w:highlight w:val="none"/>
                    </w:rPr>
                    <w:t>级类</w:t>
                  </w:r>
                </w:p>
              </w:tc>
              <w:tc>
                <w:tcPr>
                  <w:tcW w:w="1976" w:type="dxa"/>
                  <w:gridSpan w:val="2"/>
                  <w:tcBorders>
                    <w:tl2br w:val="nil"/>
                    <w:tr2bl w:val="nil"/>
                  </w:tcBorders>
                  <w:noWrap w:val="0"/>
                  <w:vAlign w:val="center"/>
                </w:tcPr>
                <w:p w14:paraId="60F1A22E">
                  <w:pPr>
                    <w:pStyle w:val="118"/>
                    <w:keepNext w:val="0"/>
                    <w:keepLines w:val="0"/>
                    <w:pageBreakBefore w:val="0"/>
                    <w:widowControl/>
                    <w:kinsoku w:val="0"/>
                    <w:wordWrap/>
                    <w:overflowPunct/>
                    <w:topLinePunct w:val="0"/>
                    <w:autoSpaceDE w:val="0"/>
                    <w:autoSpaceDN w:val="0"/>
                    <w:bidi w:val="0"/>
                    <w:adjustRightInd w:val="0"/>
                    <w:snapToGrid w:val="0"/>
                    <w:spacing w:line="224" w:lineRule="auto"/>
                    <w:ind w:left="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pacing w:val="-5"/>
                      <w:sz w:val="21"/>
                      <w:szCs w:val="21"/>
                      <w:highlight w:val="none"/>
                    </w:rPr>
                    <w:t>二级地类</w:t>
                  </w:r>
                </w:p>
              </w:tc>
              <w:tc>
                <w:tcPr>
                  <w:tcW w:w="1687" w:type="dxa"/>
                  <w:gridSpan w:val="2"/>
                  <w:tcBorders>
                    <w:tl2br w:val="nil"/>
                    <w:tr2bl w:val="nil"/>
                  </w:tcBorders>
                  <w:noWrap w:val="0"/>
                  <w:vAlign w:val="center"/>
                </w:tcPr>
                <w:p w14:paraId="77622048">
                  <w:pPr>
                    <w:pStyle w:val="118"/>
                    <w:keepNext w:val="0"/>
                    <w:keepLines w:val="0"/>
                    <w:pageBreakBefore w:val="0"/>
                    <w:widowControl/>
                    <w:kinsoku w:val="0"/>
                    <w:wordWrap/>
                    <w:overflowPunct/>
                    <w:topLinePunct w:val="0"/>
                    <w:autoSpaceDE w:val="0"/>
                    <w:autoSpaceDN w:val="0"/>
                    <w:bidi w:val="0"/>
                    <w:adjustRightInd w:val="0"/>
                    <w:snapToGrid w:val="0"/>
                    <w:spacing w:line="222" w:lineRule="auto"/>
                    <w:ind w:left="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pacing w:val="-7"/>
                      <w:sz w:val="21"/>
                      <w:szCs w:val="21"/>
                      <w:highlight w:val="none"/>
                    </w:rPr>
                    <w:t>复垦前</w:t>
                  </w:r>
                </w:p>
              </w:tc>
              <w:tc>
                <w:tcPr>
                  <w:tcW w:w="3064" w:type="dxa"/>
                  <w:gridSpan w:val="3"/>
                  <w:tcBorders>
                    <w:tl2br w:val="nil"/>
                    <w:tr2bl w:val="nil"/>
                  </w:tcBorders>
                  <w:noWrap w:val="0"/>
                  <w:vAlign w:val="center"/>
                </w:tcPr>
                <w:p w14:paraId="37D5EB2D">
                  <w:pPr>
                    <w:pStyle w:val="118"/>
                    <w:keepNext w:val="0"/>
                    <w:keepLines w:val="0"/>
                    <w:pageBreakBefore w:val="0"/>
                    <w:widowControl/>
                    <w:kinsoku w:val="0"/>
                    <w:wordWrap/>
                    <w:overflowPunct/>
                    <w:topLinePunct w:val="0"/>
                    <w:autoSpaceDE w:val="0"/>
                    <w:autoSpaceDN w:val="0"/>
                    <w:bidi w:val="0"/>
                    <w:adjustRightInd w:val="0"/>
                    <w:snapToGrid w:val="0"/>
                    <w:spacing w:line="222" w:lineRule="auto"/>
                    <w:ind w:left="0"/>
                    <w:jc w:val="center"/>
                    <w:textAlignment w:val="baseline"/>
                    <w:rPr>
                      <w:rFonts w:hint="eastAsia" w:ascii="Times New Roman" w:hAnsi="Times New Roman" w:eastAsia="宋体" w:cs="Times New Roman"/>
                      <w:color w:val="auto"/>
                      <w:spacing w:val="-7"/>
                      <w:sz w:val="21"/>
                      <w:szCs w:val="21"/>
                      <w:highlight w:val="none"/>
                      <w:lang w:val="en-US" w:eastAsia="zh-CN"/>
                    </w:rPr>
                  </w:pPr>
                  <w:r>
                    <w:rPr>
                      <w:rFonts w:hint="eastAsia" w:ascii="Times New Roman" w:hAnsi="Times New Roman" w:cs="Times New Roman"/>
                      <w:color w:val="auto"/>
                      <w:spacing w:val="-7"/>
                      <w:sz w:val="21"/>
                      <w:szCs w:val="21"/>
                      <w:highlight w:val="none"/>
                      <w:lang w:val="en-US" w:eastAsia="zh-CN"/>
                    </w:rPr>
                    <w:t>复耕后</w:t>
                  </w:r>
                </w:p>
              </w:tc>
            </w:tr>
            <w:tr w14:paraId="5927D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37" w:type="dxa"/>
                  <w:tcBorders>
                    <w:tl2br w:val="nil"/>
                    <w:tr2bl w:val="nil"/>
                  </w:tcBorders>
                  <w:noWrap w:val="0"/>
                  <w:vAlign w:val="center"/>
                </w:tcPr>
                <w:p w14:paraId="7B6F0C1F">
                  <w:pPr>
                    <w:pStyle w:val="118"/>
                    <w:keepNext w:val="0"/>
                    <w:keepLines w:val="0"/>
                    <w:pageBreakBefore w:val="0"/>
                    <w:widowControl/>
                    <w:kinsoku w:val="0"/>
                    <w:wordWrap/>
                    <w:overflowPunct/>
                    <w:topLinePunct w:val="0"/>
                    <w:autoSpaceDE w:val="0"/>
                    <w:autoSpaceDN w:val="0"/>
                    <w:bidi w:val="0"/>
                    <w:adjustRightInd w:val="0"/>
                    <w:snapToGrid w:val="0"/>
                    <w:spacing w:line="224" w:lineRule="auto"/>
                    <w:ind w:left="0"/>
                    <w:jc w:val="center"/>
                    <w:textAlignment w:val="baseline"/>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名称</w:t>
                  </w:r>
                </w:p>
              </w:tc>
              <w:tc>
                <w:tcPr>
                  <w:tcW w:w="838" w:type="dxa"/>
                  <w:tcBorders>
                    <w:tl2br w:val="nil"/>
                    <w:tr2bl w:val="nil"/>
                  </w:tcBorders>
                  <w:noWrap w:val="0"/>
                  <w:vAlign w:val="center"/>
                </w:tcPr>
                <w:p w14:paraId="63930230">
                  <w:pPr>
                    <w:pStyle w:val="118"/>
                    <w:keepNext w:val="0"/>
                    <w:keepLines w:val="0"/>
                    <w:pageBreakBefore w:val="0"/>
                    <w:widowControl/>
                    <w:kinsoku w:val="0"/>
                    <w:wordWrap/>
                    <w:overflowPunct/>
                    <w:topLinePunct w:val="0"/>
                    <w:autoSpaceDE w:val="0"/>
                    <w:autoSpaceDN w:val="0"/>
                    <w:bidi w:val="0"/>
                    <w:adjustRightInd w:val="0"/>
                    <w:snapToGrid w:val="0"/>
                    <w:spacing w:line="224" w:lineRule="auto"/>
                    <w:ind w:left="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pacing w:val="-7"/>
                      <w:sz w:val="21"/>
                      <w:szCs w:val="21"/>
                      <w:highlight w:val="none"/>
                    </w:rPr>
                    <w:t>编号</w:t>
                  </w:r>
                </w:p>
              </w:tc>
              <w:tc>
                <w:tcPr>
                  <w:tcW w:w="1138" w:type="dxa"/>
                  <w:tcBorders>
                    <w:tl2br w:val="nil"/>
                    <w:tr2bl w:val="nil"/>
                  </w:tcBorders>
                  <w:noWrap w:val="0"/>
                  <w:vAlign w:val="center"/>
                </w:tcPr>
                <w:p w14:paraId="68312ACA">
                  <w:pPr>
                    <w:pStyle w:val="118"/>
                    <w:keepNext w:val="0"/>
                    <w:keepLines w:val="0"/>
                    <w:pageBreakBefore w:val="0"/>
                    <w:widowControl/>
                    <w:kinsoku w:val="0"/>
                    <w:wordWrap/>
                    <w:overflowPunct/>
                    <w:topLinePunct w:val="0"/>
                    <w:autoSpaceDE w:val="0"/>
                    <w:autoSpaceDN w:val="0"/>
                    <w:bidi w:val="0"/>
                    <w:adjustRightInd w:val="0"/>
                    <w:snapToGrid w:val="0"/>
                    <w:spacing w:line="221" w:lineRule="auto"/>
                    <w:ind w:left="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pacing w:val="-7"/>
                      <w:sz w:val="21"/>
                      <w:szCs w:val="21"/>
                      <w:highlight w:val="none"/>
                    </w:rPr>
                    <w:t>名称</w:t>
                  </w:r>
                </w:p>
              </w:tc>
              <w:tc>
                <w:tcPr>
                  <w:tcW w:w="887" w:type="dxa"/>
                  <w:tcBorders>
                    <w:tl2br w:val="nil"/>
                    <w:tr2bl w:val="nil"/>
                  </w:tcBorders>
                  <w:noWrap w:val="0"/>
                  <w:vAlign w:val="center"/>
                </w:tcPr>
                <w:p w14:paraId="6D816D22">
                  <w:pPr>
                    <w:pStyle w:val="118"/>
                    <w:keepNext w:val="0"/>
                    <w:keepLines w:val="0"/>
                    <w:pageBreakBefore w:val="0"/>
                    <w:widowControl/>
                    <w:kinsoku w:val="0"/>
                    <w:wordWrap/>
                    <w:overflowPunct/>
                    <w:topLinePunct w:val="0"/>
                    <w:autoSpaceDE w:val="0"/>
                    <w:autoSpaceDN w:val="0"/>
                    <w:bidi w:val="0"/>
                    <w:adjustRightInd w:val="0"/>
                    <w:snapToGrid w:val="0"/>
                    <w:spacing w:line="223" w:lineRule="auto"/>
                    <w:ind w:left="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pacing w:val="-8"/>
                      <w:sz w:val="21"/>
                      <w:szCs w:val="21"/>
                      <w:highlight w:val="none"/>
                    </w:rPr>
                    <w:t>面积</w:t>
                  </w:r>
                </w:p>
              </w:tc>
              <w:tc>
                <w:tcPr>
                  <w:tcW w:w="800" w:type="dxa"/>
                  <w:tcBorders>
                    <w:tl2br w:val="nil"/>
                    <w:tr2bl w:val="nil"/>
                  </w:tcBorders>
                  <w:noWrap w:val="0"/>
                  <w:vAlign w:val="center"/>
                </w:tcPr>
                <w:p w14:paraId="6A6C7CA2">
                  <w:pPr>
                    <w:pStyle w:val="118"/>
                    <w:keepNext w:val="0"/>
                    <w:keepLines w:val="0"/>
                    <w:pageBreakBefore w:val="0"/>
                    <w:widowControl/>
                    <w:kinsoku w:val="0"/>
                    <w:wordWrap/>
                    <w:overflowPunct/>
                    <w:topLinePunct w:val="0"/>
                    <w:autoSpaceDE w:val="0"/>
                    <w:autoSpaceDN w:val="0"/>
                    <w:bidi w:val="0"/>
                    <w:adjustRightInd w:val="0"/>
                    <w:snapToGrid w:val="0"/>
                    <w:spacing w:line="223" w:lineRule="auto"/>
                    <w:ind w:left="0"/>
                    <w:jc w:val="center"/>
                    <w:textAlignment w:val="baseline"/>
                    <w:rPr>
                      <w:rFonts w:hint="eastAsia" w:ascii="Times New Roman" w:hAnsi="Times New Roman" w:eastAsia="宋体" w:cs="Times New Roman"/>
                      <w:color w:val="auto"/>
                      <w:spacing w:val="-8"/>
                      <w:sz w:val="21"/>
                      <w:szCs w:val="21"/>
                      <w:highlight w:val="none"/>
                      <w:lang w:val="en-US" w:eastAsia="zh-CN"/>
                    </w:rPr>
                  </w:pPr>
                  <w:r>
                    <w:rPr>
                      <w:rFonts w:hint="eastAsia" w:ascii="Times New Roman" w:hAnsi="Times New Roman" w:cs="Times New Roman"/>
                      <w:color w:val="auto"/>
                      <w:spacing w:val="-8"/>
                      <w:sz w:val="21"/>
                      <w:szCs w:val="21"/>
                      <w:highlight w:val="none"/>
                      <w:lang w:val="en-US" w:eastAsia="zh-CN"/>
                    </w:rPr>
                    <w:t>比例</w:t>
                  </w:r>
                </w:p>
              </w:tc>
              <w:tc>
                <w:tcPr>
                  <w:tcW w:w="888" w:type="dxa"/>
                  <w:tcBorders>
                    <w:tl2br w:val="nil"/>
                    <w:tr2bl w:val="nil"/>
                  </w:tcBorders>
                  <w:noWrap w:val="0"/>
                  <w:vAlign w:val="center"/>
                </w:tcPr>
                <w:p w14:paraId="27D6ADB4">
                  <w:pPr>
                    <w:pStyle w:val="118"/>
                    <w:keepNext w:val="0"/>
                    <w:keepLines w:val="0"/>
                    <w:pageBreakBefore w:val="0"/>
                    <w:widowControl/>
                    <w:kinsoku w:val="0"/>
                    <w:wordWrap/>
                    <w:overflowPunct/>
                    <w:topLinePunct w:val="0"/>
                    <w:autoSpaceDE w:val="0"/>
                    <w:autoSpaceDN w:val="0"/>
                    <w:bidi w:val="0"/>
                    <w:adjustRightInd w:val="0"/>
                    <w:snapToGrid w:val="0"/>
                    <w:spacing w:line="223" w:lineRule="auto"/>
                    <w:ind w:left="0"/>
                    <w:jc w:val="center"/>
                    <w:textAlignment w:val="baseline"/>
                    <w:rPr>
                      <w:rFonts w:hint="eastAsia" w:ascii="Times New Roman" w:hAnsi="Times New Roman" w:eastAsia="宋体" w:cs="Times New Roman"/>
                      <w:color w:val="auto"/>
                      <w:spacing w:val="-8"/>
                      <w:sz w:val="21"/>
                      <w:szCs w:val="21"/>
                      <w:highlight w:val="none"/>
                      <w:lang w:val="en-US" w:eastAsia="zh-CN"/>
                    </w:rPr>
                  </w:pPr>
                  <w:r>
                    <w:rPr>
                      <w:rFonts w:hint="eastAsia" w:ascii="Times New Roman" w:hAnsi="Times New Roman" w:cs="Times New Roman"/>
                      <w:color w:val="auto"/>
                      <w:spacing w:val="-8"/>
                      <w:sz w:val="21"/>
                      <w:szCs w:val="21"/>
                      <w:highlight w:val="none"/>
                      <w:lang w:val="en-US" w:eastAsia="zh-CN"/>
                    </w:rPr>
                    <w:t>面积</w:t>
                  </w:r>
                </w:p>
              </w:tc>
              <w:tc>
                <w:tcPr>
                  <w:tcW w:w="700" w:type="dxa"/>
                  <w:tcBorders>
                    <w:tl2br w:val="nil"/>
                    <w:tr2bl w:val="nil"/>
                  </w:tcBorders>
                  <w:noWrap w:val="0"/>
                  <w:vAlign w:val="center"/>
                </w:tcPr>
                <w:p w14:paraId="242DD09D">
                  <w:pPr>
                    <w:pStyle w:val="118"/>
                    <w:keepNext w:val="0"/>
                    <w:keepLines w:val="0"/>
                    <w:pageBreakBefore w:val="0"/>
                    <w:widowControl/>
                    <w:kinsoku w:val="0"/>
                    <w:wordWrap/>
                    <w:overflowPunct/>
                    <w:topLinePunct w:val="0"/>
                    <w:autoSpaceDE w:val="0"/>
                    <w:autoSpaceDN w:val="0"/>
                    <w:bidi w:val="0"/>
                    <w:adjustRightInd w:val="0"/>
                    <w:snapToGrid w:val="0"/>
                    <w:spacing w:line="223" w:lineRule="auto"/>
                    <w:ind w:left="0"/>
                    <w:jc w:val="center"/>
                    <w:textAlignment w:val="baseline"/>
                    <w:rPr>
                      <w:rFonts w:hint="eastAsia" w:ascii="Times New Roman" w:hAnsi="Times New Roman" w:eastAsia="宋体" w:cs="Times New Roman"/>
                      <w:color w:val="auto"/>
                      <w:spacing w:val="-8"/>
                      <w:sz w:val="21"/>
                      <w:szCs w:val="21"/>
                      <w:highlight w:val="none"/>
                      <w:lang w:val="en-US" w:eastAsia="zh-CN"/>
                    </w:rPr>
                  </w:pPr>
                  <w:r>
                    <w:rPr>
                      <w:rFonts w:hint="eastAsia" w:ascii="Times New Roman" w:hAnsi="Times New Roman" w:cs="Times New Roman"/>
                      <w:color w:val="auto"/>
                      <w:spacing w:val="-8"/>
                      <w:sz w:val="21"/>
                      <w:szCs w:val="21"/>
                      <w:highlight w:val="none"/>
                      <w:lang w:val="en-US" w:eastAsia="zh-CN"/>
                    </w:rPr>
                    <w:t>比例</w:t>
                  </w:r>
                </w:p>
              </w:tc>
              <w:tc>
                <w:tcPr>
                  <w:tcW w:w="1476" w:type="dxa"/>
                  <w:tcBorders>
                    <w:tl2br w:val="nil"/>
                    <w:tr2bl w:val="nil"/>
                  </w:tcBorders>
                  <w:noWrap w:val="0"/>
                  <w:vAlign w:val="center"/>
                </w:tcPr>
                <w:p w14:paraId="23C989A7">
                  <w:pPr>
                    <w:pStyle w:val="118"/>
                    <w:keepNext w:val="0"/>
                    <w:keepLines w:val="0"/>
                    <w:pageBreakBefore w:val="0"/>
                    <w:widowControl/>
                    <w:kinsoku w:val="0"/>
                    <w:wordWrap/>
                    <w:overflowPunct/>
                    <w:topLinePunct w:val="0"/>
                    <w:autoSpaceDE w:val="0"/>
                    <w:autoSpaceDN w:val="0"/>
                    <w:bidi w:val="0"/>
                    <w:adjustRightInd w:val="0"/>
                    <w:snapToGrid w:val="0"/>
                    <w:spacing w:line="223" w:lineRule="auto"/>
                    <w:ind w:left="0"/>
                    <w:jc w:val="center"/>
                    <w:textAlignment w:val="baseline"/>
                    <w:rPr>
                      <w:rFonts w:hint="default" w:ascii="Times New Roman" w:hAnsi="Times New Roman" w:eastAsia="宋体" w:cs="Times New Roman"/>
                      <w:color w:val="auto"/>
                      <w:spacing w:val="-8"/>
                      <w:sz w:val="21"/>
                      <w:szCs w:val="21"/>
                      <w:highlight w:val="none"/>
                      <w:lang w:val="en-US" w:eastAsia="zh-CN"/>
                    </w:rPr>
                  </w:pPr>
                  <w:r>
                    <w:rPr>
                      <w:rFonts w:hint="eastAsia" w:ascii="Times New Roman" w:hAnsi="Times New Roman" w:cs="Times New Roman"/>
                      <w:color w:val="auto"/>
                      <w:spacing w:val="-8"/>
                      <w:sz w:val="21"/>
                      <w:szCs w:val="21"/>
                      <w:highlight w:val="none"/>
                      <w:lang w:val="en-US" w:eastAsia="zh-CN"/>
                    </w:rPr>
                    <w:t>拟增减（+、—）</w:t>
                  </w:r>
                </w:p>
              </w:tc>
            </w:tr>
            <w:tr w14:paraId="3BAFD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37" w:type="dxa"/>
                  <w:vMerge w:val="restart"/>
                  <w:tcBorders>
                    <w:tl2br w:val="nil"/>
                    <w:tr2bl w:val="nil"/>
                  </w:tcBorders>
                  <w:noWrap w:val="0"/>
                  <w:vAlign w:val="center"/>
                </w:tcPr>
                <w:p w14:paraId="0777BCFE">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耕地</w:t>
                  </w:r>
                </w:p>
              </w:tc>
              <w:tc>
                <w:tcPr>
                  <w:tcW w:w="838" w:type="dxa"/>
                  <w:tcBorders>
                    <w:tl2br w:val="nil"/>
                    <w:tr2bl w:val="nil"/>
                  </w:tcBorders>
                  <w:noWrap w:val="0"/>
                  <w:vAlign w:val="center"/>
                </w:tcPr>
                <w:p w14:paraId="4DCDB98A">
                  <w:pPr>
                    <w:pStyle w:val="118"/>
                    <w:keepNext w:val="0"/>
                    <w:keepLines w:val="0"/>
                    <w:pageBreakBefore w:val="0"/>
                    <w:widowControl/>
                    <w:kinsoku w:val="0"/>
                    <w:wordWrap/>
                    <w:overflowPunct/>
                    <w:topLinePunct w:val="0"/>
                    <w:autoSpaceDE w:val="0"/>
                    <w:autoSpaceDN w:val="0"/>
                    <w:bidi w:val="0"/>
                    <w:adjustRightInd w:val="0"/>
                    <w:snapToGrid w:val="0"/>
                    <w:spacing w:line="258" w:lineRule="exact"/>
                    <w:ind w:left="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pacing w:val="2"/>
                      <w:position w:val="1"/>
                      <w:sz w:val="21"/>
                      <w:szCs w:val="21"/>
                      <w:highlight w:val="none"/>
                    </w:rPr>
                    <w:t>0103</w:t>
                  </w:r>
                </w:p>
              </w:tc>
              <w:tc>
                <w:tcPr>
                  <w:tcW w:w="1138" w:type="dxa"/>
                  <w:tcBorders>
                    <w:tl2br w:val="nil"/>
                    <w:tr2bl w:val="nil"/>
                  </w:tcBorders>
                  <w:noWrap w:val="0"/>
                  <w:vAlign w:val="center"/>
                </w:tcPr>
                <w:p w14:paraId="46B6F7DA">
                  <w:pPr>
                    <w:pStyle w:val="118"/>
                    <w:keepNext w:val="0"/>
                    <w:keepLines w:val="0"/>
                    <w:pageBreakBefore w:val="0"/>
                    <w:widowControl/>
                    <w:kinsoku w:val="0"/>
                    <w:wordWrap/>
                    <w:overflowPunct/>
                    <w:topLinePunct w:val="0"/>
                    <w:autoSpaceDE w:val="0"/>
                    <w:autoSpaceDN w:val="0"/>
                    <w:bidi w:val="0"/>
                    <w:adjustRightInd w:val="0"/>
                    <w:snapToGrid w:val="0"/>
                    <w:spacing w:line="231" w:lineRule="auto"/>
                    <w:ind w:left="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旱地</w:t>
                  </w:r>
                </w:p>
              </w:tc>
              <w:tc>
                <w:tcPr>
                  <w:tcW w:w="887" w:type="dxa"/>
                  <w:tcBorders>
                    <w:tl2br w:val="nil"/>
                    <w:tr2bl w:val="nil"/>
                  </w:tcBorders>
                  <w:noWrap w:val="0"/>
                  <w:vAlign w:val="center"/>
                </w:tcPr>
                <w:p w14:paraId="0025C112">
                  <w:pPr>
                    <w:pStyle w:val="118"/>
                    <w:keepNext w:val="0"/>
                    <w:keepLines w:val="0"/>
                    <w:pageBreakBefore w:val="0"/>
                    <w:widowControl/>
                    <w:kinsoku w:val="0"/>
                    <w:wordWrap/>
                    <w:overflowPunct/>
                    <w:topLinePunct w:val="0"/>
                    <w:autoSpaceDE w:val="0"/>
                    <w:autoSpaceDN w:val="0"/>
                    <w:bidi w:val="0"/>
                    <w:adjustRightInd w:val="0"/>
                    <w:snapToGrid w:val="0"/>
                    <w:spacing w:line="257" w:lineRule="exact"/>
                    <w:ind w:left="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pacing w:val="3"/>
                      <w:position w:val="1"/>
                      <w:sz w:val="21"/>
                      <w:szCs w:val="21"/>
                      <w:highlight w:val="none"/>
                    </w:rPr>
                    <w:t>0.</w:t>
                  </w:r>
                  <w:r>
                    <w:rPr>
                      <w:rFonts w:hint="eastAsia" w:ascii="Times New Roman" w:hAnsi="Times New Roman" w:cs="Times New Roman"/>
                      <w:color w:val="auto"/>
                      <w:spacing w:val="3"/>
                      <w:position w:val="1"/>
                      <w:sz w:val="21"/>
                      <w:szCs w:val="21"/>
                      <w:highlight w:val="none"/>
                      <w:lang w:val="en-US" w:eastAsia="zh-CN"/>
                    </w:rPr>
                    <w:t>1304</w:t>
                  </w:r>
                </w:p>
              </w:tc>
              <w:tc>
                <w:tcPr>
                  <w:tcW w:w="800" w:type="dxa"/>
                  <w:tcBorders>
                    <w:tl2br w:val="nil"/>
                    <w:tr2bl w:val="nil"/>
                  </w:tcBorders>
                  <w:noWrap w:val="0"/>
                  <w:vAlign w:val="center"/>
                </w:tcPr>
                <w:p w14:paraId="78C74FC8">
                  <w:pPr>
                    <w:pStyle w:val="118"/>
                    <w:keepNext w:val="0"/>
                    <w:keepLines w:val="0"/>
                    <w:pageBreakBefore w:val="0"/>
                    <w:widowControl/>
                    <w:kinsoku w:val="0"/>
                    <w:wordWrap/>
                    <w:overflowPunct/>
                    <w:topLinePunct w:val="0"/>
                    <w:autoSpaceDE w:val="0"/>
                    <w:autoSpaceDN w:val="0"/>
                    <w:bidi w:val="0"/>
                    <w:adjustRightInd w:val="0"/>
                    <w:snapToGrid w:val="0"/>
                    <w:spacing w:line="257"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13.90</w:t>
                  </w:r>
                </w:p>
              </w:tc>
              <w:tc>
                <w:tcPr>
                  <w:tcW w:w="888" w:type="dxa"/>
                  <w:tcBorders>
                    <w:tl2br w:val="nil"/>
                    <w:tr2bl w:val="nil"/>
                  </w:tcBorders>
                  <w:noWrap w:val="0"/>
                  <w:vAlign w:val="center"/>
                </w:tcPr>
                <w:p w14:paraId="5F755FB1">
                  <w:pPr>
                    <w:pStyle w:val="118"/>
                    <w:keepNext w:val="0"/>
                    <w:keepLines w:val="0"/>
                    <w:pageBreakBefore w:val="0"/>
                    <w:widowControl/>
                    <w:kinsoku w:val="0"/>
                    <w:wordWrap/>
                    <w:overflowPunct/>
                    <w:topLinePunct w:val="0"/>
                    <w:autoSpaceDE w:val="0"/>
                    <w:autoSpaceDN w:val="0"/>
                    <w:bidi w:val="0"/>
                    <w:adjustRightInd w:val="0"/>
                    <w:snapToGrid w:val="0"/>
                    <w:spacing w:line="257"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0.1386</w:t>
                  </w:r>
                </w:p>
              </w:tc>
              <w:tc>
                <w:tcPr>
                  <w:tcW w:w="700" w:type="dxa"/>
                  <w:tcBorders>
                    <w:tl2br w:val="nil"/>
                    <w:tr2bl w:val="nil"/>
                  </w:tcBorders>
                  <w:noWrap w:val="0"/>
                  <w:vAlign w:val="center"/>
                </w:tcPr>
                <w:p w14:paraId="75C964F5">
                  <w:pPr>
                    <w:pStyle w:val="118"/>
                    <w:keepNext w:val="0"/>
                    <w:keepLines w:val="0"/>
                    <w:pageBreakBefore w:val="0"/>
                    <w:widowControl/>
                    <w:kinsoku w:val="0"/>
                    <w:wordWrap/>
                    <w:overflowPunct/>
                    <w:topLinePunct w:val="0"/>
                    <w:autoSpaceDE w:val="0"/>
                    <w:autoSpaceDN w:val="0"/>
                    <w:bidi w:val="0"/>
                    <w:adjustRightInd w:val="0"/>
                    <w:snapToGrid w:val="0"/>
                    <w:spacing w:line="257"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14.78</w:t>
                  </w:r>
                </w:p>
              </w:tc>
              <w:tc>
                <w:tcPr>
                  <w:tcW w:w="1476" w:type="dxa"/>
                  <w:tcBorders>
                    <w:tl2br w:val="nil"/>
                    <w:tr2bl w:val="nil"/>
                  </w:tcBorders>
                  <w:noWrap w:val="0"/>
                  <w:vAlign w:val="center"/>
                </w:tcPr>
                <w:p w14:paraId="1984AB29">
                  <w:pPr>
                    <w:pStyle w:val="118"/>
                    <w:keepNext w:val="0"/>
                    <w:keepLines w:val="0"/>
                    <w:pageBreakBefore w:val="0"/>
                    <w:widowControl/>
                    <w:kinsoku w:val="0"/>
                    <w:wordWrap/>
                    <w:overflowPunct/>
                    <w:topLinePunct w:val="0"/>
                    <w:autoSpaceDE w:val="0"/>
                    <w:autoSpaceDN w:val="0"/>
                    <w:bidi w:val="0"/>
                    <w:adjustRightInd w:val="0"/>
                    <w:snapToGrid w:val="0"/>
                    <w:spacing w:line="257"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0.0082</w:t>
                  </w:r>
                </w:p>
              </w:tc>
            </w:tr>
            <w:tr w14:paraId="7B7D6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37" w:type="dxa"/>
                  <w:vMerge w:val="continue"/>
                  <w:tcBorders>
                    <w:tl2br w:val="nil"/>
                    <w:tr2bl w:val="nil"/>
                  </w:tcBorders>
                  <w:noWrap w:val="0"/>
                  <w:vAlign w:val="center"/>
                </w:tcPr>
                <w:p w14:paraId="1F096241">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default" w:ascii="Times New Roman" w:hAnsi="Times New Roman" w:cs="Times New Roman"/>
                      <w:color w:val="auto"/>
                      <w:sz w:val="21"/>
                      <w:szCs w:val="21"/>
                      <w:highlight w:val="none"/>
                    </w:rPr>
                  </w:pPr>
                </w:p>
              </w:tc>
              <w:tc>
                <w:tcPr>
                  <w:tcW w:w="1976" w:type="dxa"/>
                  <w:gridSpan w:val="2"/>
                  <w:tcBorders>
                    <w:tl2br w:val="nil"/>
                    <w:tr2bl w:val="nil"/>
                  </w:tcBorders>
                  <w:noWrap w:val="0"/>
                  <w:vAlign w:val="center"/>
                </w:tcPr>
                <w:p w14:paraId="43576ADD">
                  <w:pPr>
                    <w:pStyle w:val="118"/>
                    <w:keepNext w:val="0"/>
                    <w:keepLines w:val="0"/>
                    <w:pageBreakBefore w:val="0"/>
                    <w:widowControl/>
                    <w:kinsoku w:val="0"/>
                    <w:wordWrap/>
                    <w:overflowPunct/>
                    <w:topLinePunct w:val="0"/>
                    <w:autoSpaceDE w:val="0"/>
                    <w:autoSpaceDN w:val="0"/>
                    <w:bidi w:val="0"/>
                    <w:adjustRightInd w:val="0"/>
                    <w:snapToGrid w:val="0"/>
                    <w:spacing w:line="231" w:lineRule="auto"/>
                    <w:ind w:left="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pacing w:val="2"/>
                      <w:sz w:val="21"/>
                      <w:szCs w:val="21"/>
                      <w:highlight w:val="none"/>
                    </w:rPr>
                    <w:t>小计</w:t>
                  </w:r>
                </w:p>
              </w:tc>
              <w:tc>
                <w:tcPr>
                  <w:tcW w:w="887" w:type="dxa"/>
                  <w:tcBorders>
                    <w:tl2br w:val="nil"/>
                    <w:tr2bl w:val="nil"/>
                  </w:tcBorders>
                  <w:noWrap w:val="0"/>
                  <w:vAlign w:val="center"/>
                </w:tcPr>
                <w:p w14:paraId="56FDD736">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0.1304</w:t>
                  </w:r>
                </w:p>
              </w:tc>
              <w:tc>
                <w:tcPr>
                  <w:tcW w:w="800" w:type="dxa"/>
                  <w:tcBorders>
                    <w:tl2br w:val="nil"/>
                    <w:tr2bl w:val="nil"/>
                  </w:tcBorders>
                  <w:noWrap w:val="0"/>
                  <w:vAlign w:val="center"/>
                </w:tcPr>
                <w:p w14:paraId="22D8BAB1">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1"/>
                      <w:position w:val="1"/>
                      <w:sz w:val="21"/>
                      <w:szCs w:val="21"/>
                      <w:highlight w:val="none"/>
                      <w:lang w:val="en-US" w:eastAsia="zh-CN"/>
                    </w:rPr>
                  </w:pPr>
                  <w:r>
                    <w:rPr>
                      <w:rFonts w:hint="eastAsia" w:ascii="Times New Roman" w:hAnsi="Times New Roman" w:cs="Times New Roman"/>
                      <w:color w:val="auto"/>
                      <w:spacing w:val="1"/>
                      <w:position w:val="1"/>
                      <w:sz w:val="21"/>
                      <w:szCs w:val="21"/>
                      <w:highlight w:val="none"/>
                      <w:lang w:val="en-US" w:eastAsia="zh-CN"/>
                    </w:rPr>
                    <w:t>13.90</w:t>
                  </w:r>
                </w:p>
              </w:tc>
              <w:tc>
                <w:tcPr>
                  <w:tcW w:w="888" w:type="dxa"/>
                  <w:tcBorders>
                    <w:tl2br w:val="nil"/>
                    <w:tr2bl w:val="nil"/>
                  </w:tcBorders>
                  <w:noWrap w:val="0"/>
                  <w:vAlign w:val="center"/>
                </w:tcPr>
                <w:p w14:paraId="1D1D2C8C">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1"/>
                      <w:position w:val="1"/>
                      <w:sz w:val="21"/>
                      <w:szCs w:val="21"/>
                      <w:highlight w:val="none"/>
                      <w:lang w:val="en-US" w:eastAsia="zh-CN"/>
                    </w:rPr>
                  </w:pPr>
                  <w:r>
                    <w:rPr>
                      <w:rFonts w:hint="eastAsia" w:ascii="Times New Roman" w:hAnsi="Times New Roman" w:cs="Times New Roman"/>
                      <w:color w:val="auto"/>
                      <w:spacing w:val="1"/>
                      <w:position w:val="1"/>
                      <w:sz w:val="21"/>
                      <w:szCs w:val="21"/>
                      <w:highlight w:val="none"/>
                      <w:lang w:val="en-US" w:eastAsia="zh-CN"/>
                    </w:rPr>
                    <w:t>0.1386</w:t>
                  </w:r>
                </w:p>
              </w:tc>
              <w:tc>
                <w:tcPr>
                  <w:tcW w:w="700" w:type="dxa"/>
                  <w:tcBorders>
                    <w:tl2br w:val="nil"/>
                    <w:tr2bl w:val="nil"/>
                  </w:tcBorders>
                  <w:noWrap w:val="0"/>
                  <w:vAlign w:val="center"/>
                </w:tcPr>
                <w:p w14:paraId="3B8F04A2">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1"/>
                      <w:position w:val="1"/>
                      <w:sz w:val="21"/>
                      <w:szCs w:val="21"/>
                      <w:highlight w:val="none"/>
                      <w:lang w:val="en-US" w:eastAsia="zh-CN"/>
                    </w:rPr>
                  </w:pPr>
                  <w:r>
                    <w:rPr>
                      <w:rFonts w:hint="eastAsia" w:ascii="Times New Roman" w:hAnsi="Times New Roman" w:cs="Times New Roman"/>
                      <w:color w:val="auto"/>
                      <w:spacing w:val="1"/>
                      <w:position w:val="1"/>
                      <w:sz w:val="21"/>
                      <w:szCs w:val="21"/>
                      <w:highlight w:val="none"/>
                      <w:lang w:val="en-US" w:eastAsia="zh-CN"/>
                    </w:rPr>
                    <w:t>14.78</w:t>
                  </w:r>
                </w:p>
              </w:tc>
              <w:tc>
                <w:tcPr>
                  <w:tcW w:w="1476" w:type="dxa"/>
                  <w:tcBorders>
                    <w:tl2br w:val="nil"/>
                    <w:tr2bl w:val="nil"/>
                  </w:tcBorders>
                  <w:noWrap w:val="0"/>
                  <w:vAlign w:val="center"/>
                </w:tcPr>
                <w:p w14:paraId="0B14988B">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1"/>
                      <w:position w:val="1"/>
                      <w:sz w:val="21"/>
                      <w:szCs w:val="21"/>
                      <w:highlight w:val="none"/>
                      <w:lang w:val="en-US" w:eastAsia="zh-CN"/>
                    </w:rPr>
                  </w:pPr>
                  <w:r>
                    <w:rPr>
                      <w:rFonts w:hint="eastAsia" w:ascii="Times New Roman" w:hAnsi="Times New Roman" w:cs="Times New Roman"/>
                      <w:color w:val="auto"/>
                      <w:spacing w:val="1"/>
                      <w:position w:val="1"/>
                      <w:sz w:val="21"/>
                      <w:szCs w:val="21"/>
                      <w:highlight w:val="none"/>
                      <w:lang w:val="en-US" w:eastAsia="zh-CN"/>
                    </w:rPr>
                    <w:t>0.0082</w:t>
                  </w:r>
                </w:p>
              </w:tc>
            </w:tr>
            <w:tr w14:paraId="3407D6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37" w:type="dxa"/>
                  <w:vMerge w:val="restart"/>
                  <w:tcBorders>
                    <w:tl2br w:val="nil"/>
                    <w:tr2bl w:val="nil"/>
                  </w:tcBorders>
                  <w:noWrap w:val="0"/>
                  <w:vAlign w:val="center"/>
                </w:tcPr>
                <w:p w14:paraId="3BF19558">
                  <w:pPr>
                    <w:pStyle w:val="118"/>
                    <w:keepNext w:val="0"/>
                    <w:keepLines w:val="0"/>
                    <w:pageBreakBefore w:val="0"/>
                    <w:widowControl/>
                    <w:kinsoku w:val="0"/>
                    <w:wordWrap/>
                    <w:overflowPunct/>
                    <w:topLinePunct w:val="0"/>
                    <w:autoSpaceDE w:val="0"/>
                    <w:autoSpaceDN w:val="0"/>
                    <w:bidi w:val="0"/>
                    <w:adjustRightInd w:val="0"/>
                    <w:snapToGrid w:val="0"/>
                    <w:spacing w:line="241" w:lineRule="auto"/>
                    <w:ind w:left="0"/>
                    <w:jc w:val="center"/>
                    <w:textAlignment w:val="baseline"/>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种植园地</w:t>
                  </w:r>
                </w:p>
              </w:tc>
              <w:tc>
                <w:tcPr>
                  <w:tcW w:w="838" w:type="dxa"/>
                  <w:tcBorders>
                    <w:tl2br w:val="nil"/>
                    <w:tr2bl w:val="nil"/>
                  </w:tcBorders>
                  <w:noWrap w:val="0"/>
                  <w:vAlign w:val="center"/>
                </w:tcPr>
                <w:p w14:paraId="35561144">
                  <w:pPr>
                    <w:pStyle w:val="118"/>
                    <w:keepNext w:val="0"/>
                    <w:keepLines w:val="0"/>
                    <w:pageBreakBefore w:val="0"/>
                    <w:widowControl/>
                    <w:kinsoku w:val="0"/>
                    <w:wordWrap/>
                    <w:overflowPunct/>
                    <w:topLinePunct w:val="0"/>
                    <w:autoSpaceDE w:val="0"/>
                    <w:autoSpaceDN w:val="0"/>
                    <w:bidi w:val="0"/>
                    <w:adjustRightInd w:val="0"/>
                    <w:snapToGrid w:val="0"/>
                    <w:spacing w:line="257" w:lineRule="exact"/>
                    <w:ind w:left="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0201</w:t>
                  </w:r>
                </w:p>
              </w:tc>
              <w:tc>
                <w:tcPr>
                  <w:tcW w:w="1138" w:type="dxa"/>
                  <w:tcBorders>
                    <w:tl2br w:val="nil"/>
                    <w:tr2bl w:val="nil"/>
                  </w:tcBorders>
                  <w:noWrap w:val="0"/>
                  <w:vAlign w:val="center"/>
                </w:tcPr>
                <w:p w14:paraId="66683F3D">
                  <w:pPr>
                    <w:pStyle w:val="118"/>
                    <w:keepNext w:val="0"/>
                    <w:keepLines w:val="0"/>
                    <w:pageBreakBefore w:val="0"/>
                    <w:widowControl/>
                    <w:kinsoku w:val="0"/>
                    <w:wordWrap/>
                    <w:overflowPunct/>
                    <w:topLinePunct w:val="0"/>
                    <w:autoSpaceDE w:val="0"/>
                    <w:autoSpaceDN w:val="0"/>
                    <w:bidi w:val="0"/>
                    <w:adjustRightInd w:val="0"/>
                    <w:snapToGrid w:val="0"/>
                    <w:spacing w:line="232" w:lineRule="auto"/>
                    <w:ind w:left="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园地</w:t>
                  </w:r>
                </w:p>
              </w:tc>
              <w:tc>
                <w:tcPr>
                  <w:tcW w:w="887" w:type="dxa"/>
                  <w:tcBorders>
                    <w:tl2br w:val="nil"/>
                    <w:tr2bl w:val="nil"/>
                  </w:tcBorders>
                  <w:noWrap w:val="0"/>
                  <w:vAlign w:val="center"/>
                </w:tcPr>
                <w:p w14:paraId="43C14658">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pacing w:val="3"/>
                      <w:position w:val="1"/>
                      <w:sz w:val="21"/>
                      <w:szCs w:val="21"/>
                      <w:highlight w:val="none"/>
                    </w:rPr>
                    <w:t>0.</w:t>
                  </w:r>
                  <w:r>
                    <w:rPr>
                      <w:rFonts w:hint="eastAsia" w:ascii="Times New Roman" w:hAnsi="Times New Roman" w:cs="Times New Roman"/>
                      <w:color w:val="auto"/>
                      <w:spacing w:val="3"/>
                      <w:position w:val="1"/>
                      <w:sz w:val="21"/>
                      <w:szCs w:val="21"/>
                      <w:highlight w:val="none"/>
                      <w:lang w:val="en-US" w:eastAsia="zh-CN"/>
                    </w:rPr>
                    <w:t>0145</w:t>
                  </w:r>
                </w:p>
              </w:tc>
              <w:tc>
                <w:tcPr>
                  <w:tcW w:w="800" w:type="dxa"/>
                  <w:tcBorders>
                    <w:tl2br w:val="nil"/>
                    <w:tr2bl w:val="nil"/>
                  </w:tcBorders>
                  <w:noWrap w:val="0"/>
                  <w:vAlign w:val="center"/>
                </w:tcPr>
                <w:p w14:paraId="2F3ED573">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1.55</w:t>
                  </w:r>
                </w:p>
              </w:tc>
              <w:tc>
                <w:tcPr>
                  <w:tcW w:w="888" w:type="dxa"/>
                  <w:tcBorders>
                    <w:tl2br w:val="nil"/>
                    <w:tr2bl w:val="nil"/>
                  </w:tcBorders>
                  <w:noWrap w:val="0"/>
                  <w:vAlign w:val="center"/>
                </w:tcPr>
                <w:p w14:paraId="418CF894">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0.0145</w:t>
                  </w:r>
                </w:p>
              </w:tc>
              <w:tc>
                <w:tcPr>
                  <w:tcW w:w="700" w:type="dxa"/>
                  <w:tcBorders>
                    <w:tl2br w:val="nil"/>
                    <w:tr2bl w:val="nil"/>
                  </w:tcBorders>
                  <w:noWrap w:val="0"/>
                  <w:vAlign w:val="center"/>
                </w:tcPr>
                <w:p w14:paraId="37889CAD">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1.55</w:t>
                  </w:r>
                </w:p>
              </w:tc>
              <w:tc>
                <w:tcPr>
                  <w:tcW w:w="1476" w:type="dxa"/>
                  <w:tcBorders>
                    <w:tl2br w:val="nil"/>
                    <w:tr2bl w:val="nil"/>
                  </w:tcBorders>
                  <w:noWrap w:val="0"/>
                  <w:vAlign w:val="center"/>
                </w:tcPr>
                <w:p w14:paraId="364A9D08">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0.0000</w:t>
                  </w:r>
                </w:p>
              </w:tc>
            </w:tr>
            <w:tr w14:paraId="193861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137" w:type="dxa"/>
                  <w:vMerge w:val="continue"/>
                  <w:tcBorders>
                    <w:tl2br w:val="nil"/>
                    <w:tr2bl w:val="nil"/>
                  </w:tcBorders>
                  <w:noWrap w:val="0"/>
                  <w:vAlign w:val="center"/>
                </w:tcPr>
                <w:p w14:paraId="1A59EB33">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default" w:ascii="Times New Roman" w:hAnsi="Times New Roman" w:cs="Times New Roman"/>
                      <w:color w:val="auto"/>
                      <w:sz w:val="21"/>
                      <w:szCs w:val="21"/>
                      <w:highlight w:val="none"/>
                    </w:rPr>
                  </w:pPr>
                </w:p>
              </w:tc>
              <w:tc>
                <w:tcPr>
                  <w:tcW w:w="1976" w:type="dxa"/>
                  <w:gridSpan w:val="2"/>
                  <w:tcBorders>
                    <w:tl2br w:val="nil"/>
                    <w:tr2bl w:val="nil"/>
                  </w:tcBorders>
                  <w:noWrap w:val="0"/>
                  <w:vAlign w:val="center"/>
                </w:tcPr>
                <w:p w14:paraId="4531B7A3">
                  <w:pPr>
                    <w:pStyle w:val="118"/>
                    <w:keepNext w:val="0"/>
                    <w:keepLines w:val="0"/>
                    <w:pageBreakBefore w:val="0"/>
                    <w:widowControl/>
                    <w:kinsoku w:val="0"/>
                    <w:wordWrap/>
                    <w:overflowPunct/>
                    <w:topLinePunct w:val="0"/>
                    <w:autoSpaceDE w:val="0"/>
                    <w:autoSpaceDN w:val="0"/>
                    <w:bidi w:val="0"/>
                    <w:adjustRightInd w:val="0"/>
                    <w:snapToGrid w:val="0"/>
                    <w:spacing w:line="231" w:lineRule="auto"/>
                    <w:ind w:left="0"/>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pacing w:val="2"/>
                      <w:sz w:val="21"/>
                      <w:szCs w:val="21"/>
                      <w:highlight w:val="none"/>
                    </w:rPr>
                    <w:t>小计</w:t>
                  </w:r>
                </w:p>
              </w:tc>
              <w:tc>
                <w:tcPr>
                  <w:tcW w:w="887" w:type="dxa"/>
                  <w:tcBorders>
                    <w:tl2br w:val="nil"/>
                    <w:tr2bl w:val="nil"/>
                  </w:tcBorders>
                  <w:noWrap w:val="0"/>
                  <w:vAlign w:val="center"/>
                </w:tcPr>
                <w:p w14:paraId="6CA3EB05">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pacing w:val="3"/>
                      <w:position w:val="1"/>
                      <w:sz w:val="21"/>
                      <w:szCs w:val="21"/>
                      <w:highlight w:val="none"/>
                    </w:rPr>
                    <w:t>0.0</w:t>
                  </w:r>
                  <w:r>
                    <w:rPr>
                      <w:rFonts w:hint="eastAsia" w:ascii="Times New Roman" w:hAnsi="Times New Roman" w:cs="Times New Roman"/>
                      <w:color w:val="auto"/>
                      <w:spacing w:val="3"/>
                      <w:position w:val="1"/>
                      <w:sz w:val="21"/>
                      <w:szCs w:val="21"/>
                      <w:highlight w:val="none"/>
                      <w:lang w:val="en-US" w:eastAsia="zh-CN"/>
                    </w:rPr>
                    <w:t>145</w:t>
                  </w:r>
                </w:p>
              </w:tc>
              <w:tc>
                <w:tcPr>
                  <w:tcW w:w="800" w:type="dxa"/>
                  <w:tcBorders>
                    <w:tl2br w:val="nil"/>
                    <w:tr2bl w:val="nil"/>
                  </w:tcBorders>
                  <w:noWrap w:val="0"/>
                  <w:vAlign w:val="center"/>
                </w:tcPr>
                <w:p w14:paraId="65435E40">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1.55</w:t>
                  </w:r>
                </w:p>
              </w:tc>
              <w:tc>
                <w:tcPr>
                  <w:tcW w:w="888" w:type="dxa"/>
                  <w:tcBorders>
                    <w:tl2br w:val="nil"/>
                    <w:tr2bl w:val="nil"/>
                  </w:tcBorders>
                  <w:noWrap w:val="0"/>
                  <w:vAlign w:val="center"/>
                </w:tcPr>
                <w:p w14:paraId="1B7E0B9E">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0.0145</w:t>
                  </w:r>
                </w:p>
              </w:tc>
              <w:tc>
                <w:tcPr>
                  <w:tcW w:w="700" w:type="dxa"/>
                  <w:tcBorders>
                    <w:tl2br w:val="nil"/>
                    <w:tr2bl w:val="nil"/>
                  </w:tcBorders>
                  <w:noWrap w:val="0"/>
                  <w:vAlign w:val="center"/>
                </w:tcPr>
                <w:p w14:paraId="0D15A804">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1.55</w:t>
                  </w:r>
                </w:p>
              </w:tc>
              <w:tc>
                <w:tcPr>
                  <w:tcW w:w="1476" w:type="dxa"/>
                  <w:tcBorders>
                    <w:tl2br w:val="nil"/>
                    <w:tr2bl w:val="nil"/>
                  </w:tcBorders>
                  <w:noWrap w:val="0"/>
                  <w:vAlign w:val="center"/>
                </w:tcPr>
                <w:p w14:paraId="51E6E556">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0.0000</w:t>
                  </w:r>
                </w:p>
              </w:tc>
            </w:tr>
            <w:tr w14:paraId="6E322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1137" w:type="dxa"/>
                  <w:vMerge w:val="restart"/>
                  <w:tcBorders>
                    <w:tl2br w:val="nil"/>
                    <w:tr2bl w:val="nil"/>
                  </w:tcBorders>
                  <w:noWrap w:val="0"/>
                  <w:vAlign w:val="center"/>
                </w:tcPr>
                <w:p w14:paraId="73B684D8">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水域及水利设施用地</w:t>
                  </w:r>
                </w:p>
              </w:tc>
              <w:tc>
                <w:tcPr>
                  <w:tcW w:w="838" w:type="dxa"/>
                  <w:tcBorders>
                    <w:tl2br w:val="nil"/>
                    <w:tr2bl w:val="nil"/>
                  </w:tcBorders>
                  <w:noWrap w:val="0"/>
                  <w:vAlign w:val="center"/>
                </w:tcPr>
                <w:p w14:paraId="001A9C5F">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1104</w:t>
                  </w:r>
                </w:p>
              </w:tc>
              <w:tc>
                <w:tcPr>
                  <w:tcW w:w="1138" w:type="dxa"/>
                  <w:tcBorders>
                    <w:tl2br w:val="nil"/>
                    <w:tr2bl w:val="nil"/>
                  </w:tcBorders>
                  <w:noWrap w:val="0"/>
                  <w:vAlign w:val="center"/>
                </w:tcPr>
                <w:p w14:paraId="4CAD439E">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eastAsia"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坑塘水面</w:t>
                  </w:r>
                </w:p>
              </w:tc>
              <w:tc>
                <w:tcPr>
                  <w:tcW w:w="887" w:type="dxa"/>
                  <w:tcBorders>
                    <w:tl2br w:val="nil"/>
                    <w:tr2bl w:val="nil"/>
                  </w:tcBorders>
                  <w:noWrap w:val="0"/>
                  <w:vAlign w:val="center"/>
                </w:tcPr>
                <w:p w14:paraId="56FBB237">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0.0069</w:t>
                  </w:r>
                </w:p>
              </w:tc>
              <w:tc>
                <w:tcPr>
                  <w:tcW w:w="800" w:type="dxa"/>
                  <w:tcBorders>
                    <w:tl2br w:val="nil"/>
                    <w:tr2bl w:val="nil"/>
                  </w:tcBorders>
                  <w:noWrap w:val="0"/>
                  <w:vAlign w:val="center"/>
                </w:tcPr>
                <w:p w14:paraId="2FBF71D2">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0.74</w:t>
                  </w:r>
                </w:p>
              </w:tc>
              <w:tc>
                <w:tcPr>
                  <w:tcW w:w="888" w:type="dxa"/>
                  <w:tcBorders>
                    <w:tl2br w:val="nil"/>
                    <w:tr2bl w:val="nil"/>
                  </w:tcBorders>
                  <w:noWrap w:val="0"/>
                  <w:vAlign w:val="center"/>
                </w:tcPr>
                <w:p w14:paraId="68D05EBB">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0.0000</w:t>
                  </w:r>
                </w:p>
              </w:tc>
              <w:tc>
                <w:tcPr>
                  <w:tcW w:w="700" w:type="dxa"/>
                  <w:tcBorders>
                    <w:tl2br w:val="nil"/>
                    <w:tr2bl w:val="nil"/>
                  </w:tcBorders>
                  <w:noWrap w:val="0"/>
                  <w:vAlign w:val="center"/>
                </w:tcPr>
                <w:p w14:paraId="5D7B4EC1">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0.00</w:t>
                  </w:r>
                </w:p>
              </w:tc>
              <w:tc>
                <w:tcPr>
                  <w:tcW w:w="1476" w:type="dxa"/>
                  <w:tcBorders>
                    <w:tl2br w:val="nil"/>
                    <w:tr2bl w:val="nil"/>
                  </w:tcBorders>
                  <w:noWrap w:val="0"/>
                  <w:vAlign w:val="center"/>
                </w:tcPr>
                <w:p w14:paraId="0182E17E">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-0.0069</w:t>
                  </w:r>
                </w:p>
              </w:tc>
            </w:tr>
            <w:tr w14:paraId="5C73C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1137" w:type="dxa"/>
                  <w:vMerge w:val="continue"/>
                  <w:tcBorders>
                    <w:tl2br w:val="nil"/>
                    <w:tr2bl w:val="nil"/>
                  </w:tcBorders>
                  <w:noWrap w:val="0"/>
                  <w:vAlign w:val="center"/>
                </w:tcPr>
                <w:p w14:paraId="7925A998">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pPr>
                </w:p>
              </w:tc>
              <w:tc>
                <w:tcPr>
                  <w:tcW w:w="838" w:type="dxa"/>
                  <w:tcBorders>
                    <w:tl2br w:val="nil"/>
                    <w:tr2bl w:val="nil"/>
                  </w:tcBorders>
                  <w:noWrap w:val="0"/>
                  <w:vAlign w:val="center"/>
                </w:tcPr>
                <w:p w14:paraId="3D08C597">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1107</w:t>
                  </w:r>
                </w:p>
              </w:tc>
              <w:tc>
                <w:tcPr>
                  <w:tcW w:w="1138" w:type="dxa"/>
                  <w:tcBorders>
                    <w:tl2br w:val="nil"/>
                    <w:tr2bl w:val="nil"/>
                  </w:tcBorders>
                  <w:noWrap w:val="0"/>
                  <w:vAlign w:val="center"/>
                </w:tcPr>
                <w:p w14:paraId="2C810541">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eastAsia"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沟渠</w:t>
                  </w:r>
                </w:p>
              </w:tc>
              <w:tc>
                <w:tcPr>
                  <w:tcW w:w="887" w:type="dxa"/>
                  <w:tcBorders>
                    <w:tl2br w:val="nil"/>
                    <w:tr2bl w:val="nil"/>
                  </w:tcBorders>
                  <w:noWrap w:val="0"/>
                  <w:vAlign w:val="center"/>
                </w:tcPr>
                <w:p w14:paraId="00ED687B">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0.0013</w:t>
                  </w:r>
                </w:p>
              </w:tc>
              <w:tc>
                <w:tcPr>
                  <w:tcW w:w="800" w:type="dxa"/>
                  <w:tcBorders>
                    <w:tl2br w:val="nil"/>
                    <w:tr2bl w:val="nil"/>
                  </w:tcBorders>
                  <w:noWrap w:val="0"/>
                  <w:vAlign w:val="center"/>
                </w:tcPr>
                <w:p w14:paraId="13B42FF7">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0.14</w:t>
                  </w:r>
                </w:p>
              </w:tc>
              <w:tc>
                <w:tcPr>
                  <w:tcW w:w="888" w:type="dxa"/>
                  <w:tcBorders>
                    <w:tl2br w:val="nil"/>
                    <w:tr2bl w:val="nil"/>
                  </w:tcBorders>
                  <w:noWrap w:val="0"/>
                  <w:vAlign w:val="center"/>
                </w:tcPr>
                <w:p w14:paraId="3E79B56D">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0.0000</w:t>
                  </w:r>
                </w:p>
              </w:tc>
              <w:tc>
                <w:tcPr>
                  <w:tcW w:w="700" w:type="dxa"/>
                  <w:tcBorders>
                    <w:tl2br w:val="nil"/>
                    <w:tr2bl w:val="nil"/>
                  </w:tcBorders>
                  <w:noWrap w:val="0"/>
                  <w:vAlign w:val="center"/>
                </w:tcPr>
                <w:p w14:paraId="62699E43">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0.00</w:t>
                  </w:r>
                </w:p>
              </w:tc>
              <w:tc>
                <w:tcPr>
                  <w:tcW w:w="1476" w:type="dxa"/>
                  <w:tcBorders>
                    <w:tl2br w:val="nil"/>
                    <w:tr2bl w:val="nil"/>
                  </w:tcBorders>
                  <w:noWrap w:val="0"/>
                  <w:vAlign w:val="center"/>
                </w:tcPr>
                <w:p w14:paraId="0393E97D">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-0.0013</w:t>
                  </w:r>
                </w:p>
              </w:tc>
            </w:tr>
            <w:tr w14:paraId="364D72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1137" w:type="dxa"/>
                  <w:vMerge w:val="continue"/>
                  <w:tcBorders>
                    <w:tl2br w:val="nil"/>
                    <w:tr2bl w:val="nil"/>
                  </w:tcBorders>
                  <w:noWrap w:val="0"/>
                  <w:vAlign w:val="center"/>
                </w:tcPr>
                <w:p w14:paraId="636AE6E0">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cs="Times New Roman"/>
                      <w:color w:val="auto"/>
                      <w:spacing w:val="2"/>
                      <w:sz w:val="21"/>
                      <w:szCs w:val="21"/>
                      <w:highlight w:val="none"/>
                    </w:rPr>
                  </w:pPr>
                </w:p>
              </w:tc>
              <w:tc>
                <w:tcPr>
                  <w:tcW w:w="1976" w:type="dxa"/>
                  <w:gridSpan w:val="2"/>
                  <w:tcBorders>
                    <w:tl2br w:val="nil"/>
                    <w:tr2bl w:val="nil"/>
                  </w:tcBorders>
                  <w:noWrap w:val="0"/>
                  <w:vAlign w:val="center"/>
                </w:tcPr>
                <w:p w14:paraId="740EBBED">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eastAsia"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小计</w:t>
                  </w:r>
                </w:p>
              </w:tc>
              <w:tc>
                <w:tcPr>
                  <w:tcW w:w="887" w:type="dxa"/>
                  <w:tcBorders>
                    <w:tl2br w:val="nil"/>
                    <w:tr2bl w:val="nil"/>
                  </w:tcBorders>
                  <w:noWrap w:val="0"/>
                  <w:vAlign w:val="center"/>
                </w:tcPr>
                <w:p w14:paraId="42048F3A">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0.0082</w:t>
                  </w:r>
                </w:p>
              </w:tc>
              <w:tc>
                <w:tcPr>
                  <w:tcW w:w="800" w:type="dxa"/>
                  <w:tcBorders>
                    <w:tl2br w:val="nil"/>
                    <w:tr2bl w:val="nil"/>
                  </w:tcBorders>
                  <w:noWrap w:val="0"/>
                  <w:vAlign w:val="center"/>
                </w:tcPr>
                <w:p w14:paraId="5AA3B8CA">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0.87</w:t>
                  </w:r>
                </w:p>
              </w:tc>
              <w:tc>
                <w:tcPr>
                  <w:tcW w:w="888" w:type="dxa"/>
                  <w:tcBorders>
                    <w:tl2br w:val="nil"/>
                    <w:tr2bl w:val="nil"/>
                  </w:tcBorders>
                  <w:noWrap w:val="0"/>
                  <w:vAlign w:val="center"/>
                </w:tcPr>
                <w:p w14:paraId="260B563E">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0.0000</w:t>
                  </w:r>
                </w:p>
              </w:tc>
              <w:tc>
                <w:tcPr>
                  <w:tcW w:w="700" w:type="dxa"/>
                  <w:tcBorders>
                    <w:tl2br w:val="nil"/>
                    <w:tr2bl w:val="nil"/>
                  </w:tcBorders>
                  <w:noWrap w:val="0"/>
                  <w:vAlign w:val="center"/>
                </w:tcPr>
                <w:p w14:paraId="02495D9C">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0.00</w:t>
                  </w:r>
                </w:p>
              </w:tc>
              <w:tc>
                <w:tcPr>
                  <w:tcW w:w="1476" w:type="dxa"/>
                  <w:tcBorders>
                    <w:tl2br w:val="nil"/>
                    <w:tr2bl w:val="nil"/>
                  </w:tcBorders>
                  <w:noWrap w:val="0"/>
                  <w:vAlign w:val="center"/>
                </w:tcPr>
                <w:p w14:paraId="6F7E6E23">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-0.0082</w:t>
                  </w:r>
                </w:p>
              </w:tc>
            </w:tr>
            <w:tr w14:paraId="66845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7" w:hRule="atLeast"/>
                <w:jc w:val="center"/>
              </w:trPr>
              <w:tc>
                <w:tcPr>
                  <w:tcW w:w="1137" w:type="dxa"/>
                  <w:vMerge w:val="restart"/>
                  <w:tcBorders>
                    <w:tl2br w:val="nil"/>
                    <w:tr2bl w:val="nil"/>
                  </w:tcBorders>
                  <w:noWrap w:val="0"/>
                  <w:vAlign w:val="center"/>
                </w:tcPr>
                <w:p w14:paraId="6C08C63B">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水域及水利设施用地</w:t>
                  </w:r>
                </w:p>
              </w:tc>
              <w:tc>
                <w:tcPr>
                  <w:tcW w:w="838" w:type="dxa"/>
                  <w:tcBorders>
                    <w:tl2br w:val="nil"/>
                    <w:tr2bl w:val="nil"/>
                  </w:tcBorders>
                  <w:noWrap w:val="0"/>
                  <w:vAlign w:val="center"/>
                </w:tcPr>
                <w:p w14:paraId="620F426B">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1109</w:t>
                  </w:r>
                </w:p>
              </w:tc>
              <w:tc>
                <w:tcPr>
                  <w:tcW w:w="1138" w:type="dxa"/>
                  <w:tcBorders>
                    <w:tl2br w:val="nil"/>
                    <w:tr2bl w:val="nil"/>
                  </w:tcBorders>
                  <w:noWrap w:val="0"/>
                  <w:vAlign w:val="center"/>
                </w:tcPr>
                <w:p w14:paraId="49841318">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水工建筑用地</w:t>
                  </w:r>
                </w:p>
              </w:tc>
              <w:tc>
                <w:tcPr>
                  <w:tcW w:w="887" w:type="dxa"/>
                  <w:tcBorders>
                    <w:tl2br w:val="nil"/>
                    <w:tr2bl w:val="nil"/>
                  </w:tcBorders>
                  <w:noWrap w:val="0"/>
                  <w:vAlign w:val="center"/>
                </w:tcPr>
                <w:p w14:paraId="4B03F2CE">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0.2314</w:t>
                  </w:r>
                </w:p>
              </w:tc>
              <w:tc>
                <w:tcPr>
                  <w:tcW w:w="800" w:type="dxa"/>
                  <w:tcBorders>
                    <w:tl2br w:val="nil"/>
                    <w:tr2bl w:val="nil"/>
                  </w:tcBorders>
                  <w:noWrap w:val="0"/>
                  <w:vAlign w:val="center"/>
                </w:tcPr>
                <w:p w14:paraId="097FFF97">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24.67</w:t>
                  </w:r>
                </w:p>
              </w:tc>
              <w:tc>
                <w:tcPr>
                  <w:tcW w:w="888" w:type="dxa"/>
                  <w:tcBorders>
                    <w:tl2br w:val="nil"/>
                    <w:tr2bl w:val="nil"/>
                  </w:tcBorders>
                  <w:noWrap w:val="0"/>
                  <w:vAlign w:val="center"/>
                </w:tcPr>
                <w:p w14:paraId="295EF63B">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0.2314</w:t>
                  </w:r>
                </w:p>
              </w:tc>
              <w:tc>
                <w:tcPr>
                  <w:tcW w:w="700" w:type="dxa"/>
                  <w:tcBorders>
                    <w:tl2br w:val="nil"/>
                    <w:tr2bl w:val="nil"/>
                  </w:tcBorders>
                  <w:noWrap w:val="0"/>
                  <w:vAlign w:val="center"/>
                </w:tcPr>
                <w:p w14:paraId="59D42455">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24.67</w:t>
                  </w:r>
                </w:p>
              </w:tc>
              <w:tc>
                <w:tcPr>
                  <w:tcW w:w="1476" w:type="dxa"/>
                  <w:tcBorders>
                    <w:tl2br w:val="nil"/>
                    <w:tr2bl w:val="nil"/>
                  </w:tcBorders>
                  <w:noWrap w:val="0"/>
                  <w:vAlign w:val="center"/>
                </w:tcPr>
                <w:p w14:paraId="37BC1858">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0.0000</w:t>
                  </w:r>
                </w:p>
              </w:tc>
            </w:tr>
            <w:tr w14:paraId="5389D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7" w:hRule="atLeast"/>
                <w:jc w:val="center"/>
              </w:trPr>
              <w:tc>
                <w:tcPr>
                  <w:tcW w:w="1137" w:type="dxa"/>
                  <w:vMerge w:val="continue"/>
                  <w:tcBorders>
                    <w:tl2br w:val="nil"/>
                    <w:tr2bl w:val="nil"/>
                  </w:tcBorders>
                  <w:noWrap w:val="0"/>
                  <w:vAlign w:val="center"/>
                </w:tcPr>
                <w:p w14:paraId="7F6CA2E0">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pPr>
                </w:p>
              </w:tc>
              <w:tc>
                <w:tcPr>
                  <w:tcW w:w="1976" w:type="dxa"/>
                  <w:gridSpan w:val="2"/>
                  <w:tcBorders>
                    <w:tl2br w:val="nil"/>
                    <w:tr2bl w:val="nil"/>
                  </w:tcBorders>
                  <w:noWrap w:val="0"/>
                  <w:vAlign w:val="center"/>
                </w:tcPr>
                <w:p w14:paraId="51719AC9">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eastAsia"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小计</w:t>
                  </w:r>
                </w:p>
              </w:tc>
              <w:tc>
                <w:tcPr>
                  <w:tcW w:w="887" w:type="dxa"/>
                  <w:tcBorders>
                    <w:tl2br w:val="nil"/>
                    <w:tr2bl w:val="nil"/>
                  </w:tcBorders>
                  <w:noWrap w:val="0"/>
                  <w:vAlign w:val="center"/>
                </w:tcPr>
                <w:p w14:paraId="02D2AD19">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0.2314</w:t>
                  </w:r>
                </w:p>
              </w:tc>
              <w:tc>
                <w:tcPr>
                  <w:tcW w:w="800" w:type="dxa"/>
                  <w:tcBorders>
                    <w:tl2br w:val="nil"/>
                    <w:tr2bl w:val="nil"/>
                  </w:tcBorders>
                  <w:noWrap w:val="0"/>
                  <w:vAlign w:val="center"/>
                </w:tcPr>
                <w:p w14:paraId="5D1DB146">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24.67</w:t>
                  </w:r>
                </w:p>
              </w:tc>
              <w:tc>
                <w:tcPr>
                  <w:tcW w:w="888" w:type="dxa"/>
                  <w:tcBorders>
                    <w:tl2br w:val="nil"/>
                    <w:tr2bl w:val="nil"/>
                  </w:tcBorders>
                  <w:noWrap w:val="0"/>
                  <w:vAlign w:val="center"/>
                </w:tcPr>
                <w:p w14:paraId="49BB1810">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0.2314</w:t>
                  </w:r>
                </w:p>
              </w:tc>
              <w:tc>
                <w:tcPr>
                  <w:tcW w:w="700" w:type="dxa"/>
                  <w:tcBorders>
                    <w:tl2br w:val="nil"/>
                    <w:tr2bl w:val="nil"/>
                  </w:tcBorders>
                  <w:noWrap w:val="0"/>
                  <w:vAlign w:val="center"/>
                </w:tcPr>
                <w:p w14:paraId="5DA4E636">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24.67</w:t>
                  </w:r>
                </w:p>
              </w:tc>
              <w:tc>
                <w:tcPr>
                  <w:tcW w:w="1476" w:type="dxa"/>
                  <w:tcBorders>
                    <w:tl2br w:val="nil"/>
                    <w:tr2bl w:val="nil"/>
                  </w:tcBorders>
                  <w:noWrap w:val="0"/>
                  <w:vAlign w:val="center"/>
                </w:tcPr>
                <w:p w14:paraId="1000E329">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0.0000</w:t>
                  </w:r>
                </w:p>
              </w:tc>
            </w:tr>
            <w:tr w14:paraId="3062C0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 w:hRule="atLeast"/>
                <w:jc w:val="center"/>
              </w:trPr>
              <w:tc>
                <w:tcPr>
                  <w:tcW w:w="1137" w:type="dxa"/>
                  <w:vMerge w:val="restart"/>
                  <w:tcBorders>
                    <w:tl2br w:val="nil"/>
                    <w:tr2bl w:val="nil"/>
                  </w:tcBorders>
                  <w:noWrap w:val="0"/>
                  <w:vAlign w:val="center"/>
                </w:tcPr>
                <w:p w14:paraId="36C91AD6">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工矿用地</w:t>
                  </w:r>
                </w:p>
              </w:tc>
              <w:tc>
                <w:tcPr>
                  <w:tcW w:w="838" w:type="dxa"/>
                  <w:tcBorders>
                    <w:tl2br w:val="nil"/>
                    <w:tr2bl w:val="nil"/>
                  </w:tcBorders>
                  <w:noWrap w:val="0"/>
                  <w:vAlign w:val="center"/>
                </w:tcPr>
                <w:p w14:paraId="7948C18D">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0602</w:t>
                  </w:r>
                </w:p>
              </w:tc>
              <w:tc>
                <w:tcPr>
                  <w:tcW w:w="1138" w:type="dxa"/>
                  <w:tcBorders>
                    <w:tl2br w:val="nil"/>
                    <w:tr2bl w:val="nil"/>
                  </w:tcBorders>
                  <w:noWrap w:val="0"/>
                  <w:vAlign w:val="center"/>
                </w:tcPr>
                <w:p w14:paraId="3A571065">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eastAsia"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采矿用地</w:t>
                  </w:r>
                </w:p>
              </w:tc>
              <w:tc>
                <w:tcPr>
                  <w:tcW w:w="887" w:type="dxa"/>
                  <w:tcBorders>
                    <w:tl2br w:val="nil"/>
                    <w:tr2bl w:val="nil"/>
                  </w:tcBorders>
                  <w:noWrap w:val="0"/>
                  <w:vAlign w:val="center"/>
                </w:tcPr>
                <w:p w14:paraId="478EC33A">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0.5279</w:t>
                  </w:r>
                </w:p>
              </w:tc>
              <w:tc>
                <w:tcPr>
                  <w:tcW w:w="800" w:type="dxa"/>
                  <w:tcBorders>
                    <w:tl2br w:val="nil"/>
                    <w:tr2bl w:val="nil"/>
                  </w:tcBorders>
                  <w:noWrap w:val="0"/>
                  <w:vAlign w:val="center"/>
                </w:tcPr>
                <w:p w14:paraId="2DA9C210">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56.29</w:t>
                  </w:r>
                </w:p>
              </w:tc>
              <w:tc>
                <w:tcPr>
                  <w:tcW w:w="888" w:type="dxa"/>
                  <w:tcBorders>
                    <w:tl2br w:val="nil"/>
                    <w:tr2bl w:val="nil"/>
                  </w:tcBorders>
                  <w:noWrap w:val="0"/>
                  <w:vAlign w:val="center"/>
                </w:tcPr>
                <w:p w14:paraId="67F0AAFE">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0.5279</w:t>
                  </w:r>
                </w:p>
              </w:tc>
              <w:tc>
                <w:tcPr>
                  <w:tcW w:w="700" w:type="dxa"/>
                  <w:tcBorders>
                    <w:tl2br w:val="nil"/>
                    <w:tr2bl w:val="nil"/>
                  </w:tcBorders>
                  <w:noWrap w:val="0"/>
                  <w:vAlign w:val="center"/>
                </w:tcPr>
                <w:p w14:paraId="149D05A3">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56.29</w:t>
                  </w:r>
                </w:p>
              </w:tc>
              <w:tc>
                <w:tcPr>
                  <w:tcW w:w="1476" w:type="dxa"/>
                  <w:tcBorders>
                    <w:tl2br w:val="nil"/>
                    <w:tr2bl w:val="nil"/>
                  </w:tcBorders>
                  <w:noWrap w:val="0"/>
                  <w:vAlign w:val="center"/>
                </w:tcPr>
                <w:p w14:paraId="1C3560FD">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0.0000</w:t>
                  </w:r>
                </w:p>
              </w:tc>
            </w:tr>
            <w:tr w14:paraId="61A9FD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 w:hRule="atLeast"/>
                <w:jc w:val="center"/>
              </w:trPr>
              <w:tc>
                <w:tcPr>
                  <w:tcW w:w="1137" w:type="dxa"/>
                  <w:vMerge w:val="continue"/>
                  <w:tcBorders>
                    <w:tl2br w:val="nil"/>
                    <w:tr2bl w:val="nil"/>
                  </w:tcBorders>
                  <w:noWrap w:val="0"/>
                  <w:vAlign w:val="center"/>
                </w:tcPr>
                <w:p w14:paraId="70D45FBD">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pPr>
                </w:p>
              </w:tc>
              <w:tc>
                <w:tcPr>
                  <w:tcW w:w="1976" w:type="dxa"/>
                  <w:gridSpan w:val="2"/>
                  <w:tcBorders>
                    <w:tl2br w:val="nil"/>
                    <w:tr2bl w:val="nil"/>
                  </w:tcBorders>
                  <w:noWrap w:val="0"/>
                  <w:vAlign w:val="center"/>
                </w:tcPr>
                <w:p w14:paraId="682457F2">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eastAsia"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小计</w:t>
                  </w:r>
                </w:p>
              </w:tc>
              <w:tc>
                <w:tcPr>
                  <w:tcW w:w="887" w:type="dxa"/>
                  <w:tcBorders>
                    <w:tl2br w:val="nil"/>
                    <w:tr2bl w:val="nil"/>
                  </w:tcBorders>
                  <w:noWrap w:val="0"/>
                  <w:vAlign w:val="center"/>
                </w:tcPr>
                <w:p w14:paraId="57BE466D">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0.5279</w:t>
                  </w:r>
                </w:p>
              </w:tc>
              <w:tc>
                <w:tcPr>
                  <w:tcW w:w="800" w:type="dxa"/>
                  <w:tcBorders>
                    <w:tl2br w:val="nil"/>
                    <w:tr2bl w:val="nil"/>
                  </w:tcBorders>
                  <w:noWrap w:val="0"/>
                  <w:vAlign w:val="center"/>
                </w:tcPr>
                <w:p w14:paraId="65E1854A">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56.29</w:t>
                  </w:r>
                </w:p>
              </w:tc>
              <w:tc>
                <w:tcPr>
                  <w:tcW w:w="888" w:type="dxa"/>
                  <w:tcBorders>
                    <w:tl2br w:val="nil"/>
                    <w:tr2bl w:val="nil"/>
                  </w:tcBorders>
                  <w:noWrap w:val="0"/>
                  <w:vAlign w:val="center"/>
                </w:tcPr>
                <w:p w14:paraId="1950EA58">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0.5279</w:t>
                  </w:r>
                </w:p>
              </w:tc>
              <w:tc>
                <w:tcPr>
                  <w:tcW w:w="700" w:type="dxa"/>
                  <w:tcBorders>
                    <w:tl2br w:val="nil"/>
                    <w:tr2bl w:val="nil"/>
                  </w:tcBorders>
                  <w:noWrap w:val="0"/>
                  <w:vAlign w:val="center"/>
                </w:tcPr>
                <w:p w14:paraId="6207885D">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56.29</w:t>
                  </w:r>
                </w:p>
              </w:tc>
              <w:tc>
                <w:tcPr>
                  <w:tcW w:w="1476" w:type="dxa"/>
                  <w:tcBorders>
                    <w:tl2br w:val="nil"/>
                    <w:tr2bl w:val="nil"/>
                  </w:tcBorders>
                  <w:noWrap w:val="0"/>
                  <w:vAlign w:val="center"/>
                </w:tcPr>
                <w:p w14:paraId="161A6889">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0.0000</w:t>
                  </w:r>
                </w:p>
              </w:tc>
            </w:tr>
            <w:tr w14:paraId="57A9B5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jc w:val="center"/>
              </w:trPr>
              <w:tc>
                <w:tcPr>
                  <w:tcW w:w="1137" w:type="dxa"/>
                  <w:vMerge w:val="restart"/>
                  <w:tcBorders>
                    <w:tl2br w:val="nil"/>
                    <w:tr2bl w:val="nil"/>
                  </w:tcBorders>
                  <w:noWrap w:val="0"/>
                  <w:vAlign w:val="center"/>
                </w:tcPr>
                <w:p w14:paraId="0FEA8EE2">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公共管理与公共服务用地</w:t>
                  </w:r>
                </w:p>
              </w:tc>
              <w:tc>
                <w:tcPr>
                  <w:tcW w:w="838" w:type="dxa"/>
                  <w:tcBorders>
                    <w:tl2br w:val="nil"/>
                    <w:tr2bl w:val="nil"/>
                  </w:tcBorders>
                  <w:noWrap w:val="0"/>
                  <w:vAlign w:val="center"/>
                </w:tcPr>
                <w:p w14:paraId="7C7F69C0">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0809</w:t>
                  </w:r>
                </w:p>
              </w:tc>
              <w:tc>
                <w:tcPr>
                  <w:tcW w:w="1138" w:type="dxa"/>
                  <w:tcBorders>
                    <w:tl2br w:val="nil"/>
                    <w:tr2bl w:val="nil"/>
                  </w:tcBorders>
                  <w:noWrap w:val="0"/>
                  <w:vAlign w:val="center"/>
                </w:tcPr>
                <w:p w14:paraId="2BCD70A7">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eastAsia"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公共设施用地</w:t>
                  </w:r>
                </w:p>
              </w:tc>
              <w:tc>
                <w:tcPr>
                  <w:tcW w:w="887" w:type="dxa"/>
                  <w:tcBorders>
                    <w:tl2br w:val="nil"/>
                    <w:tr2bl w:val="nil"/>
                  </w:tcBorders>
                  <w:noWrap w:val="0"/>
                  <w:vAlign w:val="center"/>
                </w:tcPr>
                <w:p w14:paraId="560EA160">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0.0255</w:t>
                  </w:r>
                </w:p>
              </w:tc>
              <w:tc>
                <w:tcPr>
                  <w:tcW w:w="800" w:type="dxa"/>
                  <w:tcBorders>
                    <w:tl2br w:val="nil"/>
                    <w:tr2bl w:val="nil"/>
                  </w:tcBorders>
                  <w:noWrap w:val="0"/>
                  <w:vAlign w:val="center"/>
                </w:tcPr>
                <w:p w14:paraId="6A623C55">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2.72</w:t>
                  </w:r>
                </w:p>
              </w:tc>
              <w:tc>
                <w:tcPr>
                  <w:tcW w:w="888" w:type="dxa"/>
                  <w:tcBorders>
                    <w:tl2br w:val="nil"/>
                    <w:tr2bl w:val="nil"/>
                  </w:tcBorders>
                  <w:noWrap w:val="0"/>
                  <w:vAlign w:val="center"/>
                </w:tcPr>
                <w:p w14:paraId="08FCB02D">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0.0255</w:t>
                  </w:r>
                </w:p>
              </w:tc>
              <w:tc>
                <w:tcPr>
                  <w:tcW w:w="700" w:type="dxa"/>
                  <w:tcBorders>
                    <w:tl2br w:val="nil"/>
                    <w:tr2bl w:val="nil"/>
                  </w:tcBorders>
                  <w:noWrap w:val="0"/>
                  <w:vAlign w:val="center"/>
                </w:tcPr>
                <w:p w14:paraId="597074D1">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2.72</w:t>
                  </w:r>
                </w:p>
              </w:tc>
              <w:tc>
                <w:tcPr>
                  <w:tcW w:w="1476" w:type="dxa"/>
                  <w:tcBorders>
                    <w:tl2br w:val="nil"/>
                    <w:tr2bl w:val="nil"/>
                  </w:tcBorders>
                  <w:noWrap w:val="0"/>
                  <w:vAlign w:val="center"/>
                </w:tcPr>
                <w:p w14:paraId="6CF4211A">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3"/>
                      <w:position w:val="1"/>
                      <w:sz w:val="21"/>
                      <w:szCs w:val="21"/>
                      <w:highlight w:val="none"/>
                      <w:lang w:val="en-US" w:eastAsia="zh-CN"/>
                    </w:rPr>
                  </w:pPr>
                  <w:r>
                    <w:rPr>
                      <w:rFonts w:hint="eastAsia" w:ascii="Times New Roman" w:hAnsi="Times New Roman" w:cs="Times New Roman"/>
                      <w:color w:val="auto"/>
                      <w:spacing w:val="3"/>
                      <w:position w:val="1"/>
                      <w:sz w:val="21"/>
                      <w:szCs w:val="21"/>
                      <w:highlight w:val="none"/>
                      <w:lang w:val="en-US" w:eastAsia="zh-CN"/>
                    </w:rPr>
                    <w:t>0.0000</w:t>
                  </w:r>
                </w:p>
              </w:tc>
            </w:tr>
            <w:tr w14:paraId="7F67F2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jc w:val="center"/>
              </w:trPr>
              <w:tc>
                <w:tcPr>
                  <w:tcW w:w="1137" w:type="dxa"/>
                  <w:vMerge w:val="continue"/>
                  <w:tcBorders>
                    <w:tl2br w:val="nil"/>
                    <w:tr2bl w:val="nil"/>
                  </w:tcBorders>
                  <w:noWrap w:val="0"/>
                  <w:vAlign w:val="center"/>
                </w:tcPr>
                <w:p w14:paraId="399B9FE1">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pPr>
                </w:p>
              </w:tc>
              <w:tc>
                <w:tcPr>
                  <w:tcW w:w="1976" w:type="dxa"/>
                  <w:gridSpan w:val="2"/>
                  <w:tcBorders>
                    <w:tl2br w:val="nil"/>
                    <w:tr2bl w:val="nil"/>
                  </w:tcBorders>
                  <w:noWrap w:val="0"/>
                  <w:vAlign w:val="center"/>
                </w:tcPr>
                <w:p w14:paraId="09677C45">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eastAsia"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小计</w:t>
                  </w:r>
                </w:p>
              </w:tc>
              <w:tc>
                <w:tcPr>
                  <w:tcW w:w="887" w:type="dxa"/>
                  <w:tcBorders>
                    <w:tl2br w:val="nil"/>
                    <w:tr2bl w:val="nil"/>
                  </w:tcBorders>
                  <w:noWrap w:val="0"/>
                  <w:vAlign w:val="center"/>
                </w:tcPr>
                <w:p w14:paraId="6EBBBBBD">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0.0255</w:t>
                  </w:r>
                </w:p>
              </w:tc>
              <w:tc>
                <w:tcPr>
                  <w:tcW w:w="800" w:type="dxa"/>
                  <w:tcBorders>
                    <w:tl2br w:val="nil"/>
                    <w:tr2bl w:val="nil"/>
                  </w:tcBorders>
                  <w:noWrap w:val="0"/>
                  <w:vAlign w:val="center"/>
                </w:tcPr>
                <w:p w14:paraId="4907857F">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2.72</w:t>
                  </w:r>
                </w:p>
              </w:tc>
              <w:tc>
                <w:tcPr>
                  <w:tcW w:w="888" w:type="dxa"/>
                  <w:tcBorders>
                    <w:tl2br w:val="nil"/>
                    <w:tr2bl w:val="nil"/>
                  </w:tcBorders>
                  <w:noWrap w:val="0"/>
                  <w:vAlign w:val="center"/>
                </w:tcPr>
                <w:p w14:paraId="2634CC8E">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0.0255</w:t>
                  </w:r>
                </w:p>
              </w:tc>
              <w:tc>
                <w:tcPr>
                  <w:tcW w:w="700" w:type="dxa"/>
                  <w:tcBorders>
                    <w:tl2br w:val="nil"/>
                    <w:tr2bl w:val="nil"/>
                  </w:tcBorders>
                  <w:noWrap w:val="0"/>
                  <w:vAlign w:val="center"/>
                </w:tcPr>
                <w:p w14:paraId="3F53B70E">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2.72</w:t>
                  </w:r>
                </w:p>
              </w:tc>
              <w:tc>
                <w:tcPr>
                  <w:tcW w:w="1476" w:type="dxa"/>
                  <w:tcBorders>
                    <w:tl2br w:val="nil"/>
                    <w:tr2bl w:val="nil"/>
                  </w:tcBorders>
                  <w:noWrap w:val="0"/>
                  <w:vAlign w:val="center"/>
                </w:tcPr>
                <w:p w14:paraId="1BFB014A">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0.0000</w:t>
                  </w:r>
                </w:p>
              </w:tc>
            </w:tr>
            <w:tr w14:paraId="3DC5B7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jc w:val="center"/>
              </w:trPr>
              <w:tc>
                <w:tcPr>
                  <w:tcW w:w="3113" w:type="dxa"/>
                  <w:gridSpan w:val="3"/>
                  <w:tcBorders>
                    <w:tl2br w:val="nil"/>
                    <w:tr2bl w:val="nil"/>
                  </w:tcBorders>
                  <w:noWrap w:val="0"/>
                  <w:vAlign w:val="center"/>
                </w:tcPr>
                <w:p w14:paraId="524A1045">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合计</w:t>
                  </w:r>
                </w:p>
              </w:tc>
              <w:tc>
                <w:tcPr>
                  <w:tcW w:w="887" w:type="dxa"/>
                  <w:tcBorders>
                    <w:tl2br w:val="nil"/>
                    <w:tr2bl w:val="nil"/>
                  </w:tcBorders>
                  <w:noWrap w:val="0"/>
                  <w:vAlign w:val="center"/>
                </w:tcPr>
                <w:p w14:paraId="703E5B58">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0.9379</w:t>
                  </w:r>
                </w:p>
              </w:tc>
              <w:tc>
                <w:tcPr>
                  <w:tcW w:w="800" w:type="dxa"/>
                  <w:tcBorders>
                    <w:tl2br w:val="nil"/>
                    <w:tr2bl w:val="nil"/>
                  </w:tcBorders>
                  <w:noWrap w:val="0"/>
                  <w:vAlign w:val="center"/>
                </w:tcPr>
                <w:p w14:paraId="46BE6E1D">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100.00</w:t>
                  </w:r>
                </w:p>
              </w:tc>
              <w:tc>
                <w:tcPr>
                  <w:tcW w:w="888" w:type="dxa"/>
                  <w:tcBorders>
                    <w:tl2br w:val="nil"/>
                    <w:tr2bl w:val="nil"/>
                  </w:tcBorders>
                  <w:noWrap w:val="0"/>
                  <w:vAlign w:val="center"/>
                </w:tcPr>
                <w:p w14:paraId="43B5DE10">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0.9379</w:t>
                  </w:r>
                </w:p>
              </w:tc>
              <w:tc>
                <w:tcPr>
                  <w:tcW w:w="700" w:type="dxa"/>
                  <w:tcBorders>
                    <w:tl2br w:val="nil"/>
                    <w:tr2bl w:val="nil"/>
                  </w:tcBorders>
                  <w:noWrap w:val="0"/>
                  <w:vAlign w:val="center"/>
                </w:tcPr>
                <w:p w14:paraId="3F763F22">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100.00</w:t>
                  </w:r>
                </w:p>
              </w:tc>
              <w:tc>
                <w:tcPr>
                  <w:tcW w:w="1476" w:type="dxa"/>
                  <w:tcBorders>
                    <w:tl2br w:val="nil"/>
                    <w:tr2bl w:val="nil"/>
                  </w:tcBorders>
                  <w:noWrap w:val="0"/>
                  <w:vAlign w:val="center"/>
                </w:tcPr>
                <w:p w14:paraId="756B9A4D">
                  <w:pPr>
                    <w:pStyle w:val="118"/>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default" w:ascii="Times New Roman" w:hAnsi="Times New Roman"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00.0000</w:t>
                  </w:r>
                </w:p>
              </w:tc>
            </w:tr>
          </w:tbl>
          <w:p w14:paraId="5E65E02E">
            <w:pPr>
              <w:pStyle w:val="16"/>
              <w:snapToGrid/>
              <w:spacing w:line="360" w:lineRule="auto"/>
              <w:rPr>
                <w:rFonts w:ascii="Times New Roman" w:hAnsi="Times New Roman"/>
                <w:bCs/>
                <w:color w:val="000000" w:themeColor="text1"/>
                <w:sz w:val="24"/>
                <w:highlight w:val="none"/>
                <w14:textFill>
                  <w14:solidFill>
                    <w14:schemeClr w14:val="tx1"/>
                  </w14:solidFill>
                </w14:textFill>
              </w:rPr>
            </w:pPr>
          </w:p>
          <w:p w14:paraId="13C1252B">
            <w:pPr>
              <w:pStyle w:val="16"/>
              <w:snapToGrid/>
              <w:spacing w:line="360" w:lineRule="auto"/>
              <w:ind w:firstLine="480" w:firstLineChars="20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t>（4）土壤、植被类型及野生动植物</w:t>
            </w:r>
          </w:p>
          <w:p w14:paraId="52D208A8">
            <w:pPr>
              <w:pStyle w:val="16"/>
              <w:snapToGrid/>
              <w:spacing w:line="360" w:lineRule="auto"/>
              <w:ind w:firstLine="480" w:firstLineChars="200"/>
              <w:rPr>
                <w:rFonts w:hint="default" w:ascii="Times New Roman" w:hAnsi="Times New Roman" w:eastAsia="宋体" w:cs="Times New Roman"/>
                <w:b w:val="0"/>
                <w:bCs w:val="0"/>
                <w:color w:val="000000" w:themeColor="text1"/>
                <w:sz w:val="24"/>
                <w:highlight w:val="none"/>
                <w:lang w:eastAsia="zh-CN"/>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t>项目区地处淮河中游，地势平坦。由滩地、岗地伸向平原中心，一般分布着黄棕壤和水稻土。土层厚度约为30cm。根据现场调查并结合现有的资料，运用景观法（即以植被作为主导因素），并结合土壤、地貌等因子进行综合分析后对土地进行分类，将土地利用格局的拼块类型分为林地、灌草地、耕地、水域和建设用地五种类型。</w:t>
            </w:r>
            <w:r>
              <w:rPr>
                <w:rFonts w:hint="default" w:ascii="Times New Roman" w:hAnsi="Times New Roman" w:eastAsia="宋体" w:cs="Times New Roman"/>
                <w:b w:val="0"/>
                <w:bCs w:val="0"/>
                <w:i w:val="0"/>
                <w:iCs w:val="0"/>
                <w:caps w:val="0"/>
                <w:color w:val="000000" w:themeColor="text1"/>
                <w:spacing w:val="0"/>
                <w:sz w:val="24"/>
                <w:szCs w:val="24"/>
                <w:shd w:val="clear" w:fill="FFFFFF"/>
                <w14:textFill>
                  <w14:solidFill>
                    <w14:schemeClr w14:val="tx1"/>
                  </w14:solidFill>
                </w14:textFill>
              </w:rPr>
              <w:t>项目周边500m范围内现存植被主要为次生植被，以人工植被为主</w:t>
            </w:r>
            <w:r>
              <w:rPr>
                <w:rFonts w:hint="default" w:ascii="Times New Roman" w:hAnsi="Times New Roman" w:eastAsia="宋体" w:cs="Times New Roman"/>
                <w:b w:val="0"/>
                <w:bCs w:val="0"/>
                <w:i w:val="0"/>
                <w:iCs w:val="0"/>
                <w:caps w:val="0"/>
                <w:color w:val="000000" w:themeColor="text1"/>
                <w:spacing w:val="0"/>
                <w:sz w:val="24"/>
                <w:szCs w:val="24"/>
                <w:shd w:val="clear" w:fill="FFFFFF"/>
                <w:lang w:eastAsia="zh-CN"/>
                <w14:textFill>
                  <w14:solidFill>
                    <w14:schemeClr w14:val="tx1"/>
                  </w14:solidFill>
                </w14:textFill>
              </w:rPr>
              <w:t>，</w:t>
            </w:r>
            <w:r>
              <w:rPr>
                <w:rFonts w:hint="default" w:ascii="Times New Roman" w:hAnsi="Times New Roman" w:eastAsia="宋体" w:cs="Times New Roman"/>
                <w:b w:val="0"/>
                <w:bCs w:val="0"/>
                <w:i w:val="0"/>
                <w:iCs w:val="0"/>
                <w:caps w:val="0"/>
                <w:color w:val="000000" w:themeColor="text1"/>
                <w:spacing w:val="0"/>
                <w:sz w:val="24"/>
                <w:szCs w:val="24"/>
                <w:shd w:val="clear" w:fill="FFFFFF"/>
                <w14:textFill>
                  <w14:solidFill>
                    <w14:schemeClr w14:val="tx1"/>
                  </w14:solidFill>
                </w14:textFill>
              </w:rPr>
              <w:t>分布于田埂、沟渠边缘、道路两侧等未耕作区域</w:t>
            </w:r>
            <w:r>
              <w:rPr>
                <w:rFonts w:hint="default" w:ascii="Times New Roman" w:hAnsi="Times New Roman" w:eastAsia="宋体" w:cs="Times New Roman"/>
                <w:b w:val="0"/>
                <w:bCs w:val="0"/>
                <w:i w:val="0"/>
                <w:iCs w:val="0"/>
                <w:caps w:val="0"/>
                <w:color w:val="000000" w:themeColor="text1"/>
                <w:spacing w:val="0"/>
                <w:sz w:val="24"/>
                <w:szCs w:val="24"/>
                <w:shd w:val="clear" w:fill="FFFFFF"/>
                <w:lang w:eastAsia="zh-CN"/>
                <w14:textFill>
                  <w14:solidFill>
                    <w14:schemeClr w14:val="tx1"/>
                  </w14:solidFill>
                </w14:textFill>
              </w:rPr>
              <w:t>。</w:t>
            </w:r>
            <w:r>
              <w:rPr>
                <w:rFonts w:hint="default" w:ascii="Times New Roman" w:hAnsi="Times New Roman" w:eastAsia="宋体" w:cs="Times New Roman"/>
                <w:b w:val="0"/>
                <w:bCs w:val="0"/>
                <w:i w:val="0"/>
                <w:iCs w:val="0"/>
                <w:caps w:val="0"/>
                <w:color w:val="000000" w:themeColor="text1"/>
                <w:spacing w:val="0"/>
                <w:sz w:val="24"/>
                <w:szCs w:val="24"/>
                <w:shd w:val="clear" w:fill="FFFFFF"/>
                <w14:textFill>
                  <w14:solidFill>
                    <w14:schemeClr w14:val="tx1"/>
                  </w14:solidFill>
                </w14:textFill>
              </w:rPr>
              <w:t>项目周边500m范围内无天然林分布，人工林植被呈零星分布，主要分布于道路两侧及村庄周围</w:t>
            </w:r>
            <w:r>
              <w:rPr>
                <w:rFonts w:hint="default" w:ascii="Times New Roman" w:hAnsi="Times New Roman" w:eastAsia="宋体" w:cs="Times New Roman"/>
                <w:b w:val="0"/>
                <w:bCs w:val="0"/>
                <w:i w:val="0"/>
                <w:iCs w:val="0"/>
                <w:caps w:val="0"/>
                <w:color w:val="000000" w:themeColor="text1"/>
                <w:spacing w:val="0"/>
                <w:sz w:val="24"/>
                <w:szCs w:val="24"/>
                <w:shd w:val="clear" w:fill="FFFFFF"/>
                <w:lang w:eastAsia="zh-CN"/>
                <w14:textFill>
                  <w14:solidFill>
                    <w14:schemeClr w14:val="tx1"/>
                  </w14:solidFill>
                </w14:textFill>
              </w:rPr>
              <w:t>。</w:t>
            </w:r>
          </w:p>
          <w:p w14:paraId="3CB691E5">
            <w:pPr>
              <w:pStyle w:val="16"/>
              <w:snapToGrid/>
              <w:spacing w:line="360" w:lineRule="auto"/>
              <w:ind w:firstLine="480" w:firstLineChars="200"/>
              <w:rPr>
                <w:rFonts w:ascii="Times New Roman" w:hAnsi="Times New Roman"/>
                <w:bCs/>
                <w:color w:val="000000" w:themeColor="text1"/>
                <w:sz w:val="24"/>
                <w:highlight w:val="none"/>
                <w14:textFill>
                  <w14:solidFill>
                    <w14:schemeClr w14:val="tx1"/>
                  </w14:solidFill>
                </w14:textFill>
              </w:rPr>
            </w:pPr>
            <w:r>
              <w:rPr>
                <w:rFonts w:ascii="Times New Roman" w:hAnsi="Times New Roman"/>
                <w:color w:val="000000" w:themeColor="text1"/>
                <w:sz w:val="24"/>
                <w:highlight w:val="none"/>
                <w14:textFill>
                  <w14:solidFill>
                    <w14:schemeClr w14:val="tx1"/>
                  </w14:solidFill>
                </w14:textFill>
              </w:rPr>
              <w:t>评价区地势平坦，由河谷平原与丘岗组成。主要成土母质由第四纪物质构成，分布最广的是黄土型古河道沉积物质，近代黄泛沉积物次之，土壤可分为5个土类、7个亚类。主要土壤类型为：棕壤、粘盘黄棕壤亚类中的粘盘黄棕壤、马肝土、黄白土，水稻土中的马肝田土、黄白田土。局部低洼地为黄土性古河流沉积物质发育的黑</w:t>
            </w:r>
            <w:r>
              <w:rPr>
                <w:rFonts w:hint="eastAsia" w:ascii="Times New Roman" w:hAnsi="Times New Roman"/>
                <w:color w:val="000000" w:themeColor="text1"/>
                <w:sz w:val="24"/>
                <w:highlight w:val="none"/>
                <w:lang w:eastAsia="zh-CN"/>
                <w14:textFill>
                  <w14:solidFill>
                    <w14:schemeClr w14:val="tx1"/>
                  </w14:solidFill>
                </w14:textFill>
              </w:rPr>
              <w:t>黏土</w:t>
            </w:r>
            <w:r>
              <w:rPr>
                <w:rFonts w:ascii="Times New Roman" w:hAnsi="Times New Roman"/>
                <w:color w:val="000000" w:themeColor="text1"/>
                <w:sz w:val="24"/>
                <w:highlight w:val="none"/>
                <w14:textFill>
                  <w14:solidFill>
                    <w14:schemeClr w14:val="tx1"/>
                  </w14:solidFill>
                </w14:textFill>
              </w:rPr>
              <w:t>，毗邻河流湖泊的地势较低地段为湖泊沉积物发育的湖泥土</w:t>
            </w:r>
            <w:r>
              <w:rPr>
                <w:rFonts w:ascii="Times New Roman" w:hAnsi="Times New Roman"/>
                <w:bCs/>
                <w:color w:val="000000" w:themeColor="text1"/>
                <w:sz w:val="24"/>
                <w:highlight w:val="none"/>
                <w14:textFill>
                  <w14:solidFill>
                    <w14:schemeClr w14:val="tx1"/>
                  </w14:solidFill>
                </w14:textFill>
              </w:rPr>
              <w:t>。</w:t>
            </w:r>
          </w:p>
          <w:p w14:paraId="6A85E5EF">
            <w:pPr>
              <w:pStyle w:val="16"/>
              <w:snapToGrid/>
              <w:spacing w:line="360" w:lineRule="auto"/>
              <w:ind w:firstLine="480" w:firstLineChars="200"/>
              <w:rPr>
                <w:rFonts w:ascii="Times New Roman" w:hAnsi="Times New Roman"/>
                <w:bCs/>
                <w:color w:val="000000" w:themeColor="text1"/>
                <w:sz w:val="24"/>
                <w:highlight w:val="none"/>
                <w14:textFill>
                  <w14:solidFill>
                    <w14:schemeClr w14:val="tx1"/>
                  </w14:solidFill>
                </w14:textFill>
              </w:rPr>
            </w:pPr>
            <w:r>
              <w:rPr>
                <w:rFonts w:hint="default" w:ascii="Times New Roman" w:hAnsi="Times New Roman" w:eastAsia="宋体" w:cs="Times New Roman"/>
                <w:bCs/>
                <w:color w:val="000000" w:themeColor="text1"/>
                <w:sz w:val="24"/>
                <w:highlight w:val="none"/>
                <w14:textFill>
                  <w14:solidFill>
                    <w14:schemeClr w14:val="tx1"/>
                  </w14:solidFill>
                </w14:textFill>
              </w:rPr>
              <w:t>根</w:t>
            </w:r>
            <w:r>
              <w:rPr>
                <w:rFonts w:hint="default" w:ascii="Times New Roman" w:hAnsi="Times New Roman" w:eastAsia="宋体" w:cs="Times New Roman"/>
                <w:b w:val="0"/>
                <w:bCs w:val="0"/>
                <w:i w:val="0"/>
                <w:iCs w:val="0"/>
                <w:caps w:val="0"/>
                <w:color w:val="000000" w:themeColor="text1"/>
                <w:spacing w:val="0"/>
                <w:kern w:val="2"/>
                <w:sz w:val="24"/>
                <w:szCs w:val="24"/>
                <w:shd w:val="clear" w:fill="FFFFFF"/>
                <w:lang w:val="en-US" w:eastAsia="zh-CN" w:bidi="ar-SA"/>
                <w14:textFill>
                  <w14:solidFill>
                    <w14:schemeClr w14:val="tx1"/>
                  </w14:solidFill>
                </w14:textFill>
              </w:rPr>
              <w:t>据现场调查，本工程涉及为</w:t>
            </w:r>
            <w:r>
              <w:rPr>
                <w:rFonts w:hint="eastAsia" w:ascii="Times New Roman" w:hAnsi="Times New Roman" w:cs="Times New Roman"/>
                <w:b w:val="0"/>
                <w:bCs w:val="0"/>
                <w:i w:val="0"/>
                <w:iCs w:val="0"/>
                <w:caps w:val="0"/>
                <w:color w:val="000000" w:themeColor="text1"/>
                <w:spacing w:val="0"/>
                <w:kern w:val="2"/>
                <w:sz w:val="24"/>
                <w:szCs w:val="24"/>
                <w:shd w:val="clear" w:fill="FFFFFF"/>
                <w:lang w:val="en-US" w:eastAsia="zh-CN" w:bidi="ar-SA"/>
                <w14:textFill>
                  <w14:solidFill>
                    <w14:schemeClr w14:val="tx1"/>
                  </w14:solidFill>
                </w14:textFill>
              </w:rPr>
              <w:t>建设用地和</w:t>
            </w:r>
            <w:r>
              <w:rPr>
                <w:rFonts w:hint="default" w:ascii="Times New Roman" w:hAnsi="Times New Roman" w:eastAsia="宋体" w:cs="Times New Roman"/>
                <w:b w:val="0"/>
                <w:bCs w:val="0"/>
                <w:i w:val="0"/>
                <w:iCs w:val="0"/>
                <w:caps w:val="0"/>
                <w:color w:val="000000" w:themeColor="text1"/>
                <w:spacing w:val="0"/>
                <w:kern w:val="2"/>
                <w:sz w:val="24"/>
                <w:szCs w:val="24"/>
                <w:shd w:val="clear" w:fill="FFFFFF"/>
                <w:lang w:val="en-US" w:eastAsia="zh-CN" w:bidi="ar-SA"/>
                <w14:textFill>
                  <w14:solidFill>
                    <w14:schemeClr w14:val="tx1"/>
                  </w14:solidFill>
                </w14:textFill>
              </w:rPr>
              <w:t>农田。</w:t>
            </w:r>
          </w:p>
          <w:p w14:paraId="4DDFCC8B">
            <w:pPr>
              <w:pStyle w:val="11"/>
              <w:jc w:val="center"/>
              <w:rPr>
                <w:rFonts w:hint="eastAsia" w:eastAsia="宋体"/>
                <w:color w:val="FF0000"/>
                <w:highlight w:val="none"/>
                <w:lang w:eastAsia="zh-CN"/>
              </w:rPr>
            </w:pPr>
            <w:r>
              <w:drawing>
                <wp:inline distT="0" distB="0" distL="114300" distR="114300">
                  <wp:extent cx="5064760" cy="3568700"/>
                  <wp:effectExtent l="0" t="0" r="2540" b="12700"/>
                  <wp:docPr id="6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3"/>
                          <pic:cNvPicPr>
                            <a:picLocks noChangeAspect="1"/>
                          </pic:cNvPicPr>
                        </pic:nvPicPr>
                        <pic:blipFill>
                          <a:blip r:embed="rId19"/>
                          <a:stretch>
                            <a:fillRect/>
                          </a:stretch>
                        </pic:blipFill>
                        <pic:spPr>
                          <a:xfrm>
                            <a:off x="0" y="0"/>
                            <a:ext cx="5064760" cy="3568700"/>
                          </a:xfrm>
                          <a:prstGeom prst="rect">
                            <a:avLst/>
                          </a:prstGeom>
                          <a:noFill/>
                          <a:ln>
                            <a:noFill/>
                          </a:ln>
                        </pic:spPr>
                      </pic:pic>
                    </a:graphicData>
                  </a:graphic>
                </wp:inline>
              </w:drawing>
            </w:r>
          </w:p>
          <w:p w14:paraId="2C9B32C9">
            <w:pPr>
              <w:spacing w:line="240" w:lineRule="atLeast"/>
              <w:jc w:val="center"/>
              <w:rPr>
                <w:rFonts w:eastAsia="黑体"/>
                <w:color w:val="000000" w:themeColor="text1"/>
                <w:szCs w:val="20"/>
                <w:highlight w:val="none"/>
                <w14:textFill>
                  <w14:solidFill>
                    <w14:schemeClr w14:val="tx1"/>
                  </w14:solidFill>
                </w14:textFill>
              </w:rPr>
            </w:pPr>
            <w:r>
              <w:rPr>
                <w:rFonts w:eastAsia="黑体"/>
                <w:color w:val="000000" w:themeColor="text1"/>
                <w:szCs w:val="20"/>
                <w:highlight w:val="none"/>
                <w14:textFill>
                  <w14:solidFill>
                    <w14:schemeClr w14:val="tx1"/>
                  </w14:solidFill>
                </w14:textFill>
              </w:rPr>
              <w:t>图3-</w:t>
            </w:r>
            <w:r>
              <w:rPr>
                <w:rFonts w:hint="eastAsia" w:eastAsia="黑体"/>
                <w:color w:val="000000" w:themeColor="text1"/>
                <w:szCs w:val="20"/>
                <w:highlight w:val="none"/>
                <w:lang w:val="en-US" w:eastAsia="zh-CN"/>
                <w14:textFill>
                  <w14:solidFill>
                    <w14:schemeClr w14:val="tx1"/>
                  </w14:solidFill>
                </w14:textFill>
              </w:rPr>
              <w:t>2</w:t>
            </w:r>
            <w:r>
              <w:rPr>
                <w:rFonts w:eastAsia="黑体"/>
                <w:color w:val="000000" w:themeColor="text1"/>
                <w:szCs w:val="20"/>
                <w:highlight w:val="none"/>
                <w14:textFill>
                  <w14:solidFill>
                    <w14:schemeClr w14:val="tx1"/>
                  </w14:solidFill>
                </w14:textFill>
              </w:rPr>
              <w:t xml:space="preserve">  项目用地现状图</w:t>
            </w:r>
          </w:p>
          <w:p w14:paraId="0958EC6E">
            <w:pPr>
              <w:pStyle w:val="16"/>
              <w:tabs>
                <w:tab w:val="left" w:pos="0"/>
              </w:tabs>
              <w:snapToGrid/>
              <w:spacing w:line="360" w:lineRule="auto"/>
              <w:ind w:firstLine="480" w:firstLineChars="200"/>
              <w:rPr>
                <w:rFonts w:ascii="Times New Roman" w:hAnsi="Times New Roman"/>
                <w:color w:val="000000" w:themeColor="text1"/>
                <w:sz w:val="24"/>
                <w:highlight w:val="none"/>
                <w14:textFill>
                  <w14:solidFill>
                    <w14:schemeClr w14:val="tx1"/>
                  </w14:solidFill>
                </w14:textFill>
              </w:rPr>
            </w:pPr>
            <w:r>
              <w:rPr>
                <w:rFonts w:ascii="Times New Roman" w:hAnsi="Times New Roman"/>
                <w:color w:val="auto"/>
                <w:sz w:val="24"/>
                <w:highlight w:val="none"/>
              </w:rPr>
              <w:t>项目所在地区由于人类活动和生态环境的改变，树木草丛之间早已没有大型野生动物，仅有鸟类、鼠类、蛙</w:t>
            </w:r>
            <w:r>
              <w:rPr>
                <w:rFonts w:hint="eastAsia" w:ascii="Times New Roman" w:hAnsi="Times New Roman"/>
                <w:color w:val="auto"/>
                <w:sz w:val="24"/>
                <w:highlight w:val="none"/>
                <w:lang w:eastAsia="zh-CN"/>
              </w:rPr>
              <w:t>类等</w:t>
            </w:r>
            <w:r>
              <w:rPr>
                <w:rFonts w:ascii="Times New Roman" w:hAnsi="Times New Roman"/>
                <w:color w:val="auto"/>
                <w:sz w:val="24"/>
                <w:highlight w:val="none"/>
              </w:rPr>
              <w:t>小型动物以及各种昆虫等。随着人类的农</w:t>
            </w:r>
            <w:r>
              <w:rPr>
                <w:rFonts w:ascii="Times New Roman" w:hAnsi="Times New Roman"/>
                <w:color w:val="000000" w:themeColor="text1"/>
                <w:sz w:val="24"/>
                <w:highlight w:val="none"/>
                <w14:textFill>
                  <w14:solidFill>
                    <w14:schemeClr w14:val="tx1"/>
                  </w14:solidFill>
                </w14:textFill>
              </w:rPr>
              <w:t>业开发，项目所在区域的自然生态系统早已被人工农业生态环境所替代。</w:t>
            </w:r>
          </w:p>
          <w:p w14:paraId="30D7B993">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综上所述，</w:t>
            </w:r>
            <w:r>
              <w:rPr>
                <w:rFonts w:hint="default" w:ascii="Times New Roman" w:hAnsi="Times New Roman" w:eastAsia="宋体" w:cs="Times New Roman"/>
                <w:b w:val="0"/>
                <w:bCs w:val="0"/>
                <w:i w:val="0"/>
                <w:iCs w:val="0"/>
                <w:caps w:val="0"/>
                <w:color w:val="000000" w:themeColor="text1"/>
                <w:spacing w:val="0"/>
                <w:kern w:val="2"/>
                <w:sz w:val="24"/>
                <w:szCs w:val="24"/>
                <w:shd w:val="clear" w:fill="FFFFFF"/>
                <w:lang w:val="en-US" w:eastAsia="zh-CN" w:bidi="ar-SA"/>
                <w14:textFill>
                  <w14:solidFill>
                    <w14:schemeClr w14:val="tx1"/>
                  </w14:solidFill>
                </w14:textFill>
              </w:rPr>
              <w:t>项目周边500m范围内现存植被以农业栽培植被为主，主要作物为水稻和小麦，无原始森林和次生林分布。</w:t>
            </w:r>
            <w:r>
              <w:rPr>
                <w:color w:val="000000" w:themeColor="text1"/>
                <w:sz w:val="24"/>
                <w:highlight w:val="none"/>
                <w14:textFill>
                  <w14:solidFill>
                    <w14:schemeClr w14:val="tx1"/>
                  </w14:solidFill>
                </w14:textFill>
              </w:rPr>
              <w:t>项目评价区域内人口分散，部分密集，沿线未发现珍稀、濒危植物，未见挂牌名木古树，因此项目选址合理。</w:t>
            </w:r>
          </w:p>
          <w:p w14:paraId="5FDBCE4D">
            <w:pPr>
              <w:spacing w:line="360" w:lineRule="auto"/>
              <w:ind w:firstLine="482" w:firstLineChars="200"/>
              <w:rPr>
                <w:b/>
                <w:bCs/>
                <w:color w:val="000000" w:themeColor="text1"/>
                <w:sz w:val="24"/>
                <w:highlight w:val="none"/>
                <w14:textFill>
                  <w14:solidFill>
                    <w14:schemeClr w14:val="tx1"/>
                  </w14:solidFill>
                </w14:textFill>
              </w:rPr>
            </w:pPr>
          </w:p>
          <w:p w14:paraId="196F0641">
            <w:pPr>
              <w:spacing w:line="360" w:lineRule="auto"/>
              <w:ind w:firstLine="482" w:firstLineChars="200"/>
              <w:rPr>
                <w:b/>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2、</w:t>
            </w:r>
            <w:r>
              <w:rPr>
                <w:b/>
                <w:color w:val="000000" w:themeColor="text1"/>
                <w:sz w:val="24"/>
                <w:highlight w:val="none"/>
                <w14:textFill>
                  <w14:solidFill>
                    <w14:schemeClr w14:val="tx1"/>
                  </w14:solidFill>
                </w14:textFill>
              </w:rPr>
              <w:t>地形地貌</w:t>
            </w:r>
          </w:p>
          <w:p w14:paraId="3A447F6A">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区域在构造单元上属于中朝准地台淮河台坳淮南陷褶断带（即华北地台豫淮褶皱带）东部的淮南复向斜。东界为郯庐断裂，西临周口坳陷，北接蚌埠隆起，南邻合肥坳陷，南北为洞山断裂和刘府断裂夹持。区内构造以北西西向构造占主导地位，受后期强烈改造，但总体形态变化不大，复式向斜内次一级褶皱及断裂发育。地质演化历史可分为前震旦纪、震旦纪—三叠纪、侏罗纪—第四纪3个阶段，前震旦纪，淮南地壳处于活动阶段；震旦纪—三叠纪属于剧烈运动时期，先后经历了蚌埠、凤阳、皖南、加里东、华西力、印支等运动。其间地壳几度隆起沉降，形成了海陆交互相地层。特别是晚石炭纪和二叠纪时期海陆交互相的沉积环境，为煤炭资源的生成提供了良好条件，从而形成了境内大量的煤炭资源。侏罗纪—第四纪，经过燕山运动和喜马拉雅运动，逐渐塑造出了今天的地貌特征。</w:t>
            </w:r>
          </w:p>
          <w:p w14:paraId="6EA31FA0">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市境以淮河为界形成两种不同的地貌类型，淮河以南为丘陵，属于江淮丘陵的一部分；淮河以北为地势平坦的淮北平原，淮河南岸由东至西隆起不连续的低山丘陵，环山为一斜坡地带，宽约500米～1500米，坡度10°左右，海拔40米～75米；斜坡地带以下交错衔接洪冲积二级阶地，宽500米～2500米，海拔30米～40米，坡度2°左右；舜耕山以北二级阶地以下是淮河冲积一级阶地，宽2500米～3000米，海拔25米以下，坡度平缓；一级阶地以下是淮河高位漫滩，宽2000米～3000米，海拔17米～20米，漫滩以下是淮河滨河浅滩。舜耕山以南斜坡以下，东为高塘湖一、二级洪冲积阶地，西为瓦埠湖一、二级洪冲积阶地；中为丘陵岗地。</w:t>
            </w:r>
          </w:p>
          <w:p w14:paraId="0091D374">
            <w:pPr>
              <w:spacing w:line="360" w:lineRule="auto"/>
              <w:ind w:firstLine="482" w:firstLineChars="200"/>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3、气候、气象</w:t>
            </w:r>
          </w:p>
          <w:p w14:paraId="358B9E74">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区域是属于暖温带和亚热带的过渡地带，年平均气温偏高，平均气温16.6℃，较常年偏高1.0℃；全年只有2月、12月较常年分别偏低0.7℃、1.5℃，其余月份均较常年偏高，其中4月较常年偏高2.8℃。冬季平均气温3.5℃，较常年偏低0.1℃，为正常年份。年高温日数28天，较常年偏多11天。年极端最高气温38.9℃，出现在7月30日；年极端最低气温-5.5℃，出现在1月23日。初霜出现在11月6日，终霜出现在3月13日，全年无霜期238天。</w:t>
            </w:r>
          </w:p>
          <w:p w14:paraId="77A8A54C">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降水全年降水量893.4毫米，与常年相比正常略偏少，季节性降水分布不均。6月22日入梅，7月21日出梅，均较常年偏晚，梅雨量166.3毫米。12月22日，迎来第一场降雪。全年降水日数107天，暴雨日数5天。</w:t>
            </w:r>
          </w:p>
          <w:p w14:paraId="14689305">
            <w:pPr>
              <w:spacing w:line="360" w:lineRule="auto"/>
              <w:ind w:firstLine="482" w:firstLineChars="200"/>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4、水文状况</w:t>
            </w:r>
          </w:p>
          <w:p w14:paraId="431967C5">
            <w:pPr>
              <w:spacing w:line="360" w:lineRule="auto"/>
              <w:ind w:firstLine="480" w:firstLineChars="200"/>
              <w:rPr>
                <w:snapToGrid w:val="0"/>
                <w:color w:val="000000" w:themeColor="text1"/>
                <w:sz w:val="24"/>
                <w:highlight w:val="none"/>
                <w14:textFill>
                  <w14:solidFill>
                    <w14:schemeClr w14:val="tx1"/>
                  </w14:solidFill>
                </w14:textFill>
              </w:rPr>
            </w:pPr>
            <w:r>
              <w:rPr>
                <w:snapToGrid w:val="0"/>
                <w:color w:val="000000" w:themeColor="text1"/>
                <w:sz w:val="24"/>
                <w:highlight w:val="none"/>
                <w14:textFill>
                  <w14:solidFill>
                    <w14:schemeClr w14:val="tx1"/>
                  </w14:solidFill>
                </w14:textFill>
              </w:rPr>
              <w:t>淮河流域西起桐柏山和伏牛山，南以大别山和江淮丘陵与长江流域分界，北以黄河南堤和沂蒙山与黄河流域分界。淮河流域由淮河与泗、沂、沭河两大水系组成，流域面积29万km</w:t>
            </w:r>
            <w:r>
              <w:rPr>
                <w:snapToGrid w:val="0"/>
                <w:color w:val="000000" w:themeColor="text1"/>
                <w:sz w:val="24"/>
                <w:highlight w:val="none"/>
                <w:vertAlign w:val="superscript"/>
                <w14:textFill>
                  <w14:solidFill>
                    <w14:schemeClr w14:val="tx1"/>
                  </w14:solidFill>
                </w14:textFill>
              </w:rPr>
              <w:t>2</w:t>
            </w:r>
            <w:r>
              <w:rPr>
                <w:snapToGrid w:val="0"/>
                <w:color w:val="000000" w:themeColor="text1"/>
                <w:sz w:val="24"/>
                <w:highlight w:val="none"/>
                <w14:textFill>
                  <w14:solidFill>
                    <w14:schemeClr w14:val="tx1"/>
                  </w14:solidFill>
                </w14:textFill>
              </w:rPr>
              <w:t>，其中淮河水系为21万km</w:t>
            </w:r>
            <w:r>
              <w:rPr>
                <w:snapToGrid w:val="0"/>
                <w:color w:val="000000" w:themeColor="text1"/>
                <w:sz w:val="24"/>
                <w:highlight w:val="none"/>
                <w:vertAlign w:val="superscript"/>
                <w14:textFill>
                  <w14:solidFill>
                    <w14:schemeClr w14:val="tx1"/>
                  </w14:solidFill>
                </w14:textFill>
              </w:rPr>
              <w:t>2</w:t>
            </w:r>
            <w:r>
              <w:rPr>
                <w:snapToGrid w:val="0"/>
                <w:color w:val="000000" w:themeColor="text1"/>
                <w:sz w:val="24"/>
                <w:highlight w:val="none"/>
                <w14:textFill>
                  <w14:solidFill>
                    <w14:schemeClr w14:val="tx1"/>
                  </w14:solidFill>
                </w14:textFill>
              </w:rPr>
              <w:t>，泗、沂、沭河水系为8万km</w:t>
            </w:r>
            <w:r>
              <w:rPr>
                <w:snapToGrid w:val="0"/>
                <w:color w:val="000000" w:themeColor="text1"/>
                <w:sz w:val="24"/>
                <w:highlight w:val="none"/>
                <w:vertAlign w:val="superscript"/>
                <w14:textFill>
                  <w14:solidFill>
                    <w14:schemeClr w14:val="tx1"/>
                  </w14:solidFill>
                </w14:textFill>
              </w:rPr>
              <w:t>2</w:t>
            </w:r>
            <w:r>
              <w:rPr>
                <w:snapToGrid w:val="0"/>
                <w:color w:val="000000" w:themeColor="text1"/>
                <w:sz w:val="24"/>
                <w:highlight w:val="none"/>
                <w14:textFill>
                  <w14:solidFill>
                    <w14:schemeClr w14:val="tx1"/>
                  </w14:solidFill>
                </w14:textFill>
              </w:rPr>
              <w:t>。</w:t>
            </w:r>
          </w:p>
          <w:p w14:paraId="3BA67405">
            <w:pPr>
              <w:spacing w:line="360" w:lineRule="auto"/>
              <w:ind w:firstLine="480" w:firstLineChars="200"/>
              <w:rPr>
                <w:snapToGrid w:val="0"/>
                <w:color w:val="000000" w:themeColor="text1"/>
                <w:sz w:val="24"/>
                <w:highlight w:val="none"/>
                <w14:textFill>
                  <w14:solidFill>
                    <w14:schemeClr w14:val="tx1"/>
                  </w14:solidFill>
                </w14:textFill>
              </w:rPr>
            </w:pPr>
            <w:r>
              <w:rPr>
                <w:snapToGrid w:val="0"/>
                <w:color w:val="000000" w:themeColor="text1"/>
                <w:sz w:val="24"/>
                <w:highlight w:val="none"/>
                <w14:textFill>
                  <w14:solidFill>
                    <w14:schemeClr w14:val="tx1"/>
                  </w14:solidFill>
                </w14:textFill>
              </w:rPr>
              <w:t>淮河是我国五大水系之一，发源于河南省桐柏山北麓，流经河南、安徽</w:t>
            </w:r>
          </w:p>
          <w:p w14:paraId="38DB9A10">
            <w:pPr>
              <w:spacing w:line="360" w:lineRule="auto"/>
              <w:rPr>
                <w:snapToGrid w:val="0"/>
                <w:color w:val="000000" w:themeColor="text1"/>
                <w:sz w:val="24"/>
                <w:highlight w:val="none"/>
                <w14:textFill>
                  <w14:solidFill>
                    <w14:schemeClr w14:val="tx1"/>
                  </w14:solidFill>
                </w14:textFill>
              </w:rPr>
            </w:pPr>
            <w:r>
              <w:rPr>
                <w:snapToGrid w:val="0"/>
                <w:color w:val="000000" w:themeColor="text1"/>
                <w:sz w:val="24"/>
                <w:highlight w:val="none"/>
                <w14:textFill>
                  <w14:solidFill>
                    <w14:schemeClr w14:val="tx1"/>
                  </w14:solidFill>
                </w14:textFill>
              </w:rPr>
              <w:t>至江苏扬州三江营入长江。历史上淮河是一条独流入海的河流，公元1194年黄河第四次决堤南泛夺淮，至1855年黄河改道北经山东利津入海的661年间，黄河挟带的大量泥沙淤塞了淮河入海尾闾，逐使淮河改道经三河、高宝湖穿运河至三江营流入长江。</w:t>
            </w:r>
          </w:p>
          <w:p w14:paraId="7186DFA0">
            <w:pPr>
              <w:spacing w:line="360" w:lineRule="auto"/>
              <w:ind w:firstLine="480" w:firstLineChars="200"/>
              <w:rPr>
                <w:snapToGrid w:val="0"/>
                <w:color w:val="000000" w:themeColor="text1"/>
                <w:sz w:val="24"/>
                <w:highlight w:val="none"/>
                <w14:textFill>
                  <w14:solidFill>
                    <w14:schemeClr w14:val="tx1"/>
                  </w14:solidFill>
                </w14:textFill>
              </w:rPr>
            </w:pPr>
            <w:r>
              <w:rPr>
                <w:snapToGrid w:val="0"/>
                <w:color w:val="000000" w:themeColor="text1"/>
                <w:sz w:val="24"/>
                <w:highlight w:val="none"/>
                <w14:textFill>
                  <w14:solidFill>
                    <w14:schemeClr w14:val="tx1"/>
                  </w14:solidFill>
                </w14:textFill>
              </w:rPr>
              <w:t>淮河干流全长1000km，总落差200m，平均比降0.2‰。豫皖两省交界的洪河口以上为上游，长360km，落差177m，比降0.5‰，流域面积3万km2；洪河口至洪泽湖三河闸为中游，长490km，原有落差16m，自三河闸控制后，平均比降0.027‰，流域面积16万km</w:t>
            </w:r>
            <w:r>
              <w:rPr>
                <w:snapToGrid w:val="0"/>
                <w:color w:val="000000" w:themeColor="text1"/>
                <w:sz w:val="24"/>
                <w:highlight w:val="none"/>
                <w:vertAlign w:val="superscript"/>
                <w14:textFill>
                  <w14:solidFill>
                    <w14:schemeClr w14:val="tx1"/>
                  </w14:solidFill>
                </w14:textFill>
              </w:rPr>
              <w:t>2</w:t>
            </w:r>
            <w:r>
              <w:rPr>
                <w:snapToGrid w:val="0"/>
                <w:color w:val="000000" w:themeColor="text1"/>
                <w:sz w:val="24"/>
                <w:highlight w:val="none"/>
                <w14:textFill>
                  <w14:solidFill>
                    <w14:schemeClr w14:val="tx1"/>
                  </w14:solidFill>
                </w14:textFill>
              </w:rPr>
              <w:t>；洪泽湖以下为下游，流域面积3万km</w:t>
            </w:r>
            <w:r>
              <w:rPr>
                <w:snapToGrid w:val="0"/>
                <w:color w:val="000000" w:themeColor="text1"/>
                <w:sz w:val="24"/>
                <w:highlight w:val="none"/>
                <w:vertAlign w:val="superscript"/>
                <w14:textFill>
                  <w14:solidFill>
                    <w14:schemeClr w14:val="tx1"/>
                  </w14:solidFill>
                </w14:textFill>
              </w:rPr>
              <w:t>2</w:t>
            </w:r>
            <w:r>
              <w:rPr>
                <w:snapToGrid w:val="0"/>
                <w:color w:val="000000" w:themeColor="text1"/>
                <w:sz w:val="24"/>
                <w:highlight w:val="none"/>
                <w14:textFill>
                  <w14:solidFill>
                    <w14:schemeClr w14:val="tx1"/>
                  </w14:solidFill>
                </w14:textFill>
              </w:rPr>
              <w:t>，入江水道长150km，平均比降0.036‰。淮河干流安徽段上自阜南县洪河口，下至明光市洪山头，全长430km，上承河南大量迅猛来水，下受洪泽湖顶托，中间有天然三峡(峡山口、荆山峡、浮山峡)阻水。平水河槽宽一般为260～320m，平均深3～6m；洪水河槽宽度，蚌埠上下一般约1000～1250m，峡山口仅400m，平均深度6.5～7.5m。淮河干流安徽段地势平缓，蓄水能力差，汛期河水暴涨，易泛滥成灾，干旱时期则河流断流。1949年～2005年，安徽省淮河流域水灾面积在1000万亩以上的有10多年，灾旱面积在1000万亩以上的也有10多年。</w:t>
            </w:r>
          </w:p>
          <w:p w14:paraId="7BC5718B">
            <w:pPr>
              <w:spacing w:line="360" w:lineRule="auto"/>
              <w:ind w:firstLine="480" w:firstLineChars="200"/>
              <w:rPr>
                <w:rFonts w:hint="default" w:eastAsia="宋体"/>
                <w:snapToGrid w:val="0"/>
                <w:color w:val="000000" w:themeColor="text1"/>
                <w:sz w:val="24"/>
                <w:highlight w:val="none"/>
                <w:lang w:val="en-US" w:eastAsia="zh-CN"/>
                <w14:textFill>
                  <w14:solidFill>
                    <w14:schemeClr w14:val="tx1"/>
                  </w14:solidFill>
                </w14:textFill>
              </w:rPr>
            </w:pPr>
            <w:r>
              <w:rPr>
                <w:snapToGrid w:val="0"/>
                <w:color w:val="000000" w:themeColor="text1"/>
                <w:sz w:val="24"/>
                <w:highlight w:val="none"/>
                <w14:textFill>
                  <w14:solidFill>
                    <w14:schemeClr w14:val="tx1"/>
                  </w14:solidFill>
                </w14:textFill>
              </w:rPr>
              <w:t>淮河中上游支流多，流域面积大于1000km</w:t>
            </w:r>
            <w:r>
              <w:rPr>
                <w:snapToGrid w:val="0"/>
                <w:color w:val="000000" w:themeColor="text1"/>
                <w:sz w:val="24"/>
                <w:highlight w:val="none"/>
                <w:vertAlign w:val="superscript"/>
                <w14:textFill>
                  <w14:solidFill>
                    <w14:schemeClr w14:val="tx1"/>
                  </w14:solidFill>
                </w14:textFill>
              </w:rPr>
              <w:t>2</w:t>
            </w:r>
            <w:r>
              <w:rPr>
                <w:snapToGrid w:val="0"/>
                <w:color w:val="000000" w:themeColor="text1"/>
                <w:sz w:val="24"/>
                <w:highlight w:val="none"/>
                <w14:textFill>
                  <w14:solidFill>
                    <w14:schemeClr w14:val="tx1"/>
                  </w14:solidFill>
                </w14:textFill>
              </w:rPr>
              <w:t>的一级支流21条，其中大于2000km</w:t>
            </w:r>
            <w:r>
              <w:rPr>
                <w:snapToGrid w:val="0"/>
                <w:color w:val="000000" w:themeColor="text1"/>
                <w:sz w:val="24"/>
                <w:highlight w:val="none"/>
                <w:vertAlign w:val="superscript"/>
                <w14:textFill>
                  <w14:solidFill>
                    <w14:schemeClr w14:val="tx1"/>
                  </w14:solidFill>
                </w14:textFill>
              </w:rPr>
              <w:t>2</w:t>
            </w:r>
            <w:r>
              <w:rPr>
                <w:snapToGrid w:val="0"/>
                <w:color w:val="000000" w:themeColor="text1"/>
                <w:sz w:val="24"/>
                <w:highlight w:val="none"/>
                <w14:textFill>
                  <w14:solidFill>
                    <w14:schemeClr w14:val="tx1"/>
                  </w14:solidFill>
                </w14:textFill>
              </w:rPr>
              <w:t>的有16条，其它小支流达180条以上。淮河主要支流北岸有洪河、颍河、黑茨河、汾泉河、包浍河、沱河、涡河、奎濉河等跨省河流，安徽省境内淮河北岸支流有谷河、润河、八里河、泥黑河、茨河、北淝河等，淮河南岸主要支流有史河、淠河、沣河、汲河、东淝河、窑河、天河、池河、白塔河等，均发源于安徽省境内，并在安徽境内入淮河。</w:t>
            </w:r>
            <w:r>
              <w:rPr>
                <w:rFonts w:hint="eastAsia"/>
                <w:snapToGrid w:val="0"/>
                <w:color w:val="000000" w:themeColor="text1"/>
                <w:sz w:val="24"/>
                <w:highlight w:val="none"/>
                <w:lang w:val="en-US" w:eastAsia="zh-CN"/>
                <w14:textFill>
                  <w14:solidFill>
                    <w14:schemeClr w14:val="tx1"/>
                  </w14:solidFill>
                </w14:textFill>
              </w:rPr>
              <w:t>本项目周边的地表水体为八丈沟，</w:t>
            </w:r>
            <w:r>
              <w:rPr>
                <w:rFonts w:ascii="Segoe UI" w:hAnsi="Segoe UI" w:eastAsia="Segoe UI" w:cs="Segoe UI"/>
                <w:i w:val="0"/>
                <w:iCs w:val="0"/>
                <w:caps w:val="0"/>
                <w:color w:val="0F1115"/>
                <w:spacing w:val="0"/>
                <w:sz w:val="24"/>
                <w:szCs w:val="24"/>
                <w:shd w:val="clear" w:fill="FFFFFF"/>
              </w:rPr>
              <w:t>八丈沟作为淮河流域的重要人工河沟</w:t>
            </w:r>
            <w:r>
              <w:rPr>
                <w:rFonts w:hint="eastAsia" w:ascii="Segoe UI" w:hAnsi="Segoe UI" w:eastAsia="宋体" w:cs="Segoe UI"/>
                <w:i w:val="0"/>
                <w:iCs w:val="0"/>
                <w:caps w:val="0"/>
                <w:color w:val="0F1115"/>
                <w:spacing w:val="0"/>
                <w:sz w:val="24"/>
                <w:szCs w:val="24"/>
                <w:shd w:val="clear" w:fill="FFFFFF"/>
                <w:lang w:eastAsia="zh-CN"/>
              </w:rPr>
              <w:t>，</w:t>
            </w:r>
            <w:r>
              <w:rPr>
                <w:rFonts w:hint="eastAsia" w:ascii="Segoe UI" w:hAnsi="Segoe UI" w:eastAsia="宋体" w:cs="Segoe UI"/>
                <w:i w:val="0"/>
                <w:iCs w:val="0"/>
                <w:caps w:val="0"/>
                <w:color w:val="0F1115"/>
                <w:spacing w:val="0"/>
                <w:sz w:val="24"/>
                <w:szCs w:val="24"/>
                <w:shd w:val="clear" w:fill="FFFFFF"/>
                <w:lang w:val="en-US" w:eastAsia="zh-CN"/>
              </w:rPr>
              <w:t>最终汇入西淝河。</w:t>
            </w:r>
          </w:p>
          <w:p w14:paraId="38800F31">
            <w:pPr>
              <w:spacing w:line="360" w:lineRule="auto"/>
              <w:ind w:firstLine="482" w:firstLineChars="200"/>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5、土壤植被</w:t>
            </w:r>
          </w:p>
          <w:p w14:paraId="02E00AEB">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价区地势平坦，由河谷平原与丘岗组成。主要成土母质由第四纪物质构成，分布最广的是黄土型古河道沉积物质，近代黄泛沉积物次之，土壤可分为5个土类、7个亚类。主要土壤类型为：棕壤、粘盘黄棕壤亚类中的粘盘黄棕壤、马肝土、黄白土，水稻土中的马肝田土、黄白田土。局部低洼地为黄土性古河流沉积物质发育的黑</w:t>
            </w:r>
            <w:r>
              <w:rPr>
                <w:rFonts w:hint="eastAsia"/>
                <w:color w:val="000000" w:themeColor="text1"/>
                <w:sz w:val="24"/>
                <w:highlight w:val="none"/>
                <w:lang w:eastAsia="zh-CN"/>
                <w14:textFill>
                  <w14:solidFill>
                    <w14:schemeClr w14:val="tx1"/>
                  </w14:solidFill>
                </w14:textFill>
              </w:rPr>
              <w:t>黏土</w:t>
            </w:r>
            <w:r>
              <w:rPr>
                <w:color w:val="000000" w:themeColor="text1"/>
                <w:sz w:val="24"/>
                <w:highlight w:val="none"/>
                <w14:textFill>
                  <w14:solidFill>
                    <w14:schemeClr w14:val="tx1"/>
                  </w14:solidFill>
                </w14:textFill>
              </w:rPr>
              <w:t>，毗邻河流湖泊的地势较低地段为湖泊沉积物发育的湖泥土。</w:t>
            </w:r>
          </w:p>
          <w:p w14:paraId="2861092C">
            <w:pPr>
              <w:pStyle w:val="16"/>
              <w:tabs>
                <w:tab w:val="left" w:pos="0"/>
              </w:tabs>
              <w:snapToGrid/>
              <w:spacing w:line="360" w:lineRule="auto"/>
              <w:rPr>
                <w:rFonts w:ascii="Times New Roman" w:hAnsi="Times New Roman"/>
                <w:b/>
                <w:bCs/>
                <w:color w:val="000000" w:themeColor="text1"/>
                <w:sz w:val="24"/>
                <w:highlight w:val="none"/>
                <w14:textFill>
                  <w14:solidFill>
                    <w14:schemeClr w14:val="tx1"/>
                  </w14:solidFill>
                </w14:textFill>
              </w:rPr>
            </w:pPr>
            <w:r>
              <w:rPr>
                <w:rFonts w:ascii="Times New Roman" w:hAnsi="Times New Roman"/>
                <w:b/>
                <w:bCs/>
                <w:color w:val="000000" w:themeColor="text1"/>
                <w:sz w:val="24"/>
                <w:highlight w:val="none"/>
                <w14:textFill>
                  <w14:solidFill>
                    <w14:schemeClr w14:val="tx1"/>
                  </w14:solidFill>
                </w14:textFill>
              </w:rPr>
              <w:t>二、环境质量现状</w:t>
            </w:r>
          </w:p>
          <w:p w14:paraId="59EFC2CF">
            <w:pPr>
              <w:spacing w:line="360" w:lineRule="auto"/>
              <w:ind w:firstLine="482" w:firstLineChars="200"/>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1、大气环境质量现状</w:t>
            </w:r>
          </w:p>
          <w:p w14:paraId="00B4EB77">
            <w:pPr>
              <w:spacing w:line="360" w:lineRule="auto"/>
              <w:ind w:firstLine="472" w:firstLineChars="200"/>
              <w:rPr>
                <w:snapToGrid w:val="0"/>
                <w:color w:val="000000" w:themeColor="text1"/>
                <w:spacing w:val="-2"/>
                <w:sz w:val="24"/>
                <w:highlight w:val="none"/>
                <w14:textFill>
                  <w14:solidFill>
                    <w14:schemeClr w14:val="tx1"/>
                  </w14:solidFill>
                </w14:textFill>
              </w:rPr>
            </w:pPr>
            <w:r>
              <w:rPr>
                <w:snapToGrid w:val="0"/>
                <w:color w:val="000000" w:themeColor="text1"/>
                <w:spacing w:val="-2"/>
                <w:sz w:val="24"/>
                <w:highlight w:val="none"/>
                <w14:textFill>
                  <w14:solidFill>
                    <w14:schemeClr w14:val="tx1"/>
                  </w14:solidFill>
                </w14:textFill>
              </w:rPr>
              <w:t>项目空气质量标准引用淮南市生态环境局发布的《</w:t>
            </w:r>
            <w:r>
              <w:rPr>
                <w:rFonts w:hint="eastAsia"/>
                <w:snapToGrid w:val="0"/>
                <w:color w:val="000000" w:themeColor="text1"/>
                <w:spacing w:val="-2"/>
                <w:sz w:val="24"/>
                <w:highlight w:val="none"/>
                <w:lang w:eastAsia="zh-CN"/>
                <w14:textFill>
                  <w14:solidFill>
                    <w14:schemeClr w14:val="tx1"/>
                  </w14:solidFill>
                </w14:textFill>
              </w:rPr>
              <w:t>2025年淮南市生态环境质量状况公报</w:t>
            </w:r>
            <w:r>
              <w:rPr>
                <w:snapToGrid w:val="0"/>
                <w:color w:val="000000" w:themeColor="text1"/>
                <w:spacing w:val="-2"/>
                <w:sz w:val="24"/>
                <w:highlight w:val="none"/>
                <w14:textFill>
                  <w14:solidFill>
                    <w14:schemeClr w14:val="tx1"/>
                  </w14:solidFill>
                </w14:textFill>
              </w:rPr>
              <w:t>》</w:t>
            </w:r>
            <w:r>
              <w:rPr>
                <w:color w:val="000000" w:themeColor="text1"/>
                <w:sz w:val="24"/>
                <w:highlight w:val="none"/>
                <w14:textFill>
                  <w14:solidFill>
                    <w14:schemeClr w14:val="tx1"/>
                  </w14:solidFill>
                </w14:textFill>
              </w:rPr>
              <w:t>中的结论，</w:t>
            </w:r>
            <w:r>
              <w:rPr>
                <w:snapToGrid w:val="0"/>
                <w:color w:val="000000" w:themeColor="text1"/>
                <w:spacing w:val="-2"/>
                <w:sz w:val="24"/>
                <w:highlight w:val="none"/>
                <w14:textFill>
                  <w14:solidFill>
                    <w14:schemeClr w14:val="tx1"/>
                  </w14:solidFill>
                </w14:textFill>
              </w:rPr>
              <w:t>环境空气质量状况如下：</w:t>
            </w:r>
          </w:p>
          <w:p w14:paraId="12027DF7">
            <w:pPr>
              <w:autoSpaceDE w:val="0"/>
              <w:autoSpaceDN w:val="0"/>
              <w:spacing w:line="360" w:lineRule="auto"/>
              <w:ind w:firstLine="480" w:firstLineChars="20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①基本污染物环境质量现状</w:t>
            </w:r>
          </w:p>
          <w:p w14:paraId="41649777">
            <w:pPr>
              <w:pStyle w:val="26"/>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0" w:right="0" w:firstLine="420"/>
              <w:jc w:val="both"/>
              <w:rPr>
                <w:rFonts w:hint="default" w:ascii="Times New Roman" w:hAnsi="Times New Roman" w:cs="Times New Roman" w:eastAsiaTheme="minorEastAsia"/>
                <w:snapToGrid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snapToGrid w:val="0"/>
                <w:color w:val="000000" w:themeColor="text1"/>
                <w:kern w:val="2"/>
                <w:sz w:val="24"/>
                <w:szCs w:val="24"/>
                <w:highlight w:val="none"/>
                <w:lang w:val="en-US" w:eastAsia="zh-CN" w:bidi="ar-SA"/>
                <w14:textFill>
                  <w14:solidFill>
                    <w14:schemeClr w14:val="tx1"/>
                  </w14:solidFill>
                </w14:textFill>
              </w:rPr>
              <w:t>2025年，全市环境空气质量一级（优）97天，二级（良）203天，三级（轻度污染）56天，四级（中度污染）6天，五级(重度污染)2天，六级（严重污染）1天（由沙尘引起的重度污染1天，严重污染1天）；全市年度环境空气达标天数比例为82.2%，与上年相比增加了4.9个百分点；全市环境空气综合指数为3.62，首要污染物为细颗粒物。</w:t>
            </w:r>
          </w:p>
          <w:p w14:paraId="315E057D">
            <w:pPr>
              <w:pStyle w:val="26"/>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0" w:right="0" w:firstLine="420"/>
              <w:jc w:val="both"/>
              <w:rPr>
                <w:rFonts w:hint="default" w:ascii="Times New Roman" w:hAnsi="Times New Roman" w:cs="Times New Roman" w:eastAsiaTheme="minorEastAsia"/>
                <w:snapToGrid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eastAsiaTheme="minorEastAsia"/>
                <w:snapToGrid w:val="0"/>
                <w:color w:val="000000" w:themeColor="text1"/>
                <w:kern w:val="2"/>
                <w:sz w:val="24"/>
                <w:szCs w:val="24"/>
                <w:highlight w:val="none"/>
                <w:lang w:val="en-US" w:eastAsia="zh-CN" w:bidi="ar-SA"/>
                <w14:textFill>
                  <w14:solidFill>
                    <w14:schemeClr w14:val="tx1"/>
                  </w14:solidFill>
                </w14:textFill>
              </w:rPr>
              <w:t>细颗粒物（</w:t>
            </w:r>
            <w:r>
              <w:rPr>
                <w:rFonts w:hint="default" w:ascii="Times New Roman" w:hAnsi="Times New Roman" w:cs="Times New Roman"/>
                <w:color w:val="000000" w:themeColor="text1"/>
                <w:kern w:val="0"/>
                <w:szCs w:val="21"/>
                <w:highlight w:val="none"/>
                <w14:textFill>
                  <w14:solidFill>
                    <w14:schemeClr w14:val="tx1"/>
                  </w14:solidFill>
                </w14:textFill>
              </w:rPr>
              <w:t>PM</w:t>
            </w:r>
            <w:r>
              <w:rPr>
                <w:rFonts w:hint="default" w:ascii="Times New Roman" w:hAnsi="Times New Roman" w:cs="Times New Roman"/>
                <w:color w:val="000000" w:themeColor="text1"/>
                <w:kern w:val="0"/>
                <w:szCs w:val="21"/>
                <w:highlight w:val="none"/>
                <w:vertAlign w:val="subscript"/>
                <w14:textFill>
                  <w14:solidFill>
                    <w14:schemeClr w14:val="tx1"/>
                  </w14:solidFill>
                </w14:textFill>
              </w:rPr>
              <w:t>2.5</w:t>
            </w:r>
            <w:r>
              <w:rPr>
                <w:rFonts w:hint="default" w:ascii="Times New Roman" w:hAnsi="Times New Roman" w:cs="Times New Roman" w:eastAsiaTheme="minorEastAsia"/>
                <w:snapToGrid w:val="0"/>
                <w:color w:val="000000" w:themeColor="text1"/>
                <w:kern w:val="2"/>
                <w:sz w:val="24"/>
                <w:szCs w:val="24"/>
                <w:highlight w:val="none"/>
                <w:lang w:val="en-US" w:eastAsia="zh-CN" w:bidi="ar-SA"/>
                <w14:textFill>
                  <w14:solidFill>
                    <w14:schemeClr w14:val="tx1"/>
                  </w14:solidFill>
                </w14:textFill>
              </w:rPr>
              <w:t>）日均浓度范围为5～172微克/立方米，日均值达标率为89.5%。年均值为37.1微克/立方米，与上年相比下降了7.25个百分点。</w:t>
            </w:r>
          </w:p>
          <w:p w14:paraId="59F28880">
            <w:pPr>
              <w:pStyle w:val="26"/>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0" w:right="0" w:firstLine="420"/>
              <w:jc w:val="both"/>
              <w:rPr>
                <w:rFonts w:hint="default" w:ascii="Times New Roman" w:hAnsi="Times New Roman" w:cs="Times New Roman" w:eastAsiaTheme="minorEastAsia"/>
                <w:snapToGrid w:val="0"/>
                <w:kern w:val="2"/>
                <w:sz w:val="24"/>
                <w:szCs w:val="24"/>
                <w:highlight w:val="none"/>
                <w:lang w:val="en-US" w:eastAsia="zh-CN" w:bidi="ar-SA"/>
              </w:rPr>
            </w:pPr>
            <w:r>
              <w:rPr>
                <w:rFonts w:hint="default" w:ascii="Times New Roman" w:hAnsi="Times New Roman" w:cs="Times New Roman" w:eastAsiaTheme="minorEastAsia"/>
                <w:snapToGrid w:val="0"/>
                <w:color w:val="000000" w:themeColor="text1"/>
                <w:kern w:val="2"/>
                <w:sz w:val="24"/>
                <w:szCs w:val="24"/>
                <w:highlight w:val="none"/>
                <w:lang w:val="en-US" w:eastAsia="zh-CN" w:bidi="ar-SA"/>
                <w14:textFill>
                  <w14:solidFill>
                    <w14:schemeClr w14:val="tx1"/>
                  </w14:solidFill>
                </w14:textFill>
              </w:rPr>
              <w:t>可吸入颗粒物（</w:t>
            </w:r>
            <w:r>
              <w:rPr>
                <w:rFonts w:hint="default" w:ascii="Times New Roman" w:hAnsi="Times New Roman" w:cs="Times New Roman"/>
                <w:color w:val="000000" w:themeColor="text1"/>
                <w:kern w:val="0"/>
                <w:szCs w:val="21"/>
                <w:highlight w:val="none"/>
                <w14:textFill>
                  <w14:solidFill>
                    <w14:schemeClr w14:val="tx1"/>
                  </w14:solidFill>
                </w14:textFill>
              </w:rPr>
              <w:t>PM</w:t>
            </w:r>
            <w:r>
              <w:rPr>
                <w:rFonts w:hint="default" w:ascii="Times New Roman" w:hAnsi="Times New Roman" w:cs="Times New Roman"/>
                <w:color w:val="000000" w:themeColor="text1"/>
                <w:kern w:val="0"/>
                <w:szCs w:val="21"/>
                <w:highlight w:val="none"/>
                <w:vertAlign w:val="subscript"/>
                <w14:textFill>
                  <w14:solidFill>
                    <w14:schemeClr w14:val="tx1"/>
                  </w14:solidFill>
                </w14:textFill>
              </w:rPr>
              <w:t>10</w:t>
            </w:r>
            <w:r>
              <w:rPr>
                <w:rFonts w:hint="default" w:ascii="Times New Roman" w:hAnsi="Times New Roman" w:cs="Times New Roman" w:eastAsiaTheme="minorEastAsia"/>
                <w:snapToGrid w:val="0"/>
                <w:color w:val="000000" w:themeColor="text1"/>
                <w:kern w:val="2"/>
                <w:sz w:val="24"/>
                <w:szCs w:val="24"/>
                <w:highlight w:val="none"/>
                <w:lang w:val="en-US" w:eastAsia="zh-CN" w:bidi="ar-SA"/>
                <w14:textFill>
                  <w14:solidFill>
                    <w14:schemeClr w14:val="tx1"/>
                  </w14:solidFill>
                </w14:textFill>
              </w:rPr>
              <w:t>）日均浓度范围为7～218微克/立方米，日均值达标率为96.4%。年均值为61</w:t>
            </w:r>
            <w:r>
              <w:rPr>
                <w:rFonts w:hint="default" w:ascii="Times New Roman" w:hAnsi="Times New Roman" w:cs="Times New Roman" w:eastAsiaTheme="minorEastAsia"/>
                <w:snapToGrid w:val="0"/>
                <w:kern w:val="2"/>
                <w:sz w:val="24"/>
                <w:szCs w:val="24"/>
                <w:highlight w:val="none"/>
                <w:lang w:val="en-US" w:eastAsia="zh-CN" w:bidi="ar-SA"/>
              </w:rPr>
              <w:t>微克/立方米，与上年相比下降了6.2个百分点。</w:t>
            </w:r>
          </w:p>
          <w:p w14:paraId="7F46EEF7">
            <w:pPr>
              <w:pStyle w:val="26"/>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0" w:right="0" w:firstLine="420"/>
              <w:jc w:val="both"/>
              <w:rPr>
                <w:rFonts w:hint="default" w:ascii="Times New Roman" w:hAnsi="Times New Roman" w:cs="Times New Roman" w:eastAsiaTheme="minorEastAsia"/>
                <w:snapToGrid w:val="0"/>
                <w:kern w:val="2"/>
                <w:sz w:val="24"/>
                <w:szCs w:val="24"/>
                <w:highlight w:val="none"/>
                <w:lang w:val="en-US" w:eastAsia="zh-CN" w:bidi="ar-SA"/>
              </w:rPr>
            </w:pPr>
            <w:r>
              <w:rPr>
                <w:rFonts w:hint="default" w:ascii="Times New Roman" w:hAnsi="Times New Roman" w:cs="Times New Roman" w:eastAsiaTheme="minorEastAsia"/>
                <w:snapToGrid w:val="0"/>
                <w:kern w:val="2"/>
                <w:sz w:val="24"/>
                <w:szCs w:val="24"/>
                <w:highlight w:val="none"/>
                <w:lang w:val="en-US" w:eastAsia="zh-CN" w:bidi="ar-SA"/>
              </w:rPr>
              <w:t>二氧化氮（</w:t>
            </w:r>
            <w:r>
              <w:rPr>
                <w:rFonts w:hint="default" w:ascii="Times New Roman" w:hAnsi="Times New Roman" w:cs="Times New Roman"/>
                <w:color w:val="auto"/>
                <w:kern w:val="0"/>
                <w:szCs w:val="21"/>
                <w:highlight w:val="none"/>
              </w:rPr>
              <w:t>NO</w:t>
            </w:r>
            <w:r>
              <w:rPr>
                <w:rFonts w:hint="default" w:ascii="Times New Roman" w:hAnsi="Times New Roman" w:cs="Times New Roman"/>
                <w:color w:val="auto"/>
                <w:kern w:val="0"/>
                <w:szCs w:val="21"/>
                <w:highlight w:val="none"/>
                <w:vertAlign w:val="subscript"/>
              </w:rPr>
              <w:t>2</w:t>
            </w:r>
            <w:r>
              <w:rPr>
                <w:rFonts w:hint="default" w:ascii="Times New Roman" w:hAnsi="Times New Roman" w:cs="Times New Roman" w:eastAsiaTheme="minorEastAsia"/>
                <w:snapToGrid w:val="0"/>
                <w:kern w:val="2"/>
                <w:sz w:val="24"/>
                <w:szCs w:val="24"/>
                <w:highlight w:val="none"/>
                <w:lang w:val="en-US" w:eastAsia="zh-CN" w:bidi="ar-SA"/>
              </w:rPr>
              <w:t>）日均浓度范围为5～56微克/立方米，日均值达标率为100%。年均浓度为18微克/立方米，与上年相比下降了5.3个百分点。</w:t>
            </w:r>
          </w:p>
          <w:p w14:paraId="6F864708">
            <w:pPr>
              <w:pStyle w:val="26"/>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0" w:right="0" w:firstLine="420"/>
              <w:jc w:val="both"/>
              <w:rPr>
                <w:rFonts w:hint="default" w:ascii="Times New Roman" w:hAnsi="Times New Roman" w:cs="Times New Roman" w:eastAsiaTheme="minorEastAsia"/>
                <w:snapToGrid w:val="0"/>
                <w:kern w:val="2"/>
                <w:sz w:val="24"/>
                <w:szCs w:val="24"/>
                <w:highlight w:val="none"/>
                <w:lang w:val="en-US" w:eastAsia="zh-CN" w:bidi="ar-SA"/>
              </w:rPr>
            </w:pPr>
            <w:r>
              <w:rPr>
                <w:rFonts w:hint="default" w:ascii="Times New Roman" w:hAnsi="Times New Roman" w:cs="Times New Roman" w:eastAsiaTheme="minorEastAsia"/>
                <w:snapToGrid w:val="0"/>
                <w:kern w:val="2"/>
                <w:sz w:val="24"/>
                <w:szCs w:val="24"/>
                <w:highlight w:val="none"/>
                <w:lang w:val="en-US" w:eastAsia="zh-CN" w:bidi="ar-SA"/>
              </w:rPr>
              <w:t>二氧化硫（</w:t>
            </w:r>
            <w:r>
              <w:rPr>
                <w:rFonts w:hint="default" w:ascii="Times New Roman" w:hAnsi="Times New Roman" w:cs="Times New Roman"/>
                <w:color w:val="auto"/>
                <w:kern w:val="0"/>
                <w:szCs w:val="21"/>
                <w:highlight w:val="none"/>
              </w:rPr>
              <w:t>SO</w:t>
            </w:r>
            <w:r>
              <w:rPr>
                <w:rFonts w:hint="default" w:ascii="Times New Roman" w:hAnsi="Times New Roman" w:cs="Times New Roman"/>
                <w:color w:val="auto"/>
                <w:kern w:val="0"/>
                <w:szCs w:val="21"/>
                <w:highlight w:val="none"/>
                <w:vertAlign w:val="subscript"/>
              </w:rPr>
              <w:t>2</w:t>
            </w:r>
            <w:r>
              <w:rPr>
                <w:rFonts w:hint="default" w:ascii="Times New Roman" w:hAnsi="Times New Roman" w:cs="Times New Roman" w:eastAsiaTheme="minorEastAsia"/>
                <w:snapToGrid w:val="0"/>
                <w:kern w:val="2"/>
                <w:sz w:val="24"/>
                <w:szCs w:val="24"/>
                <w:highlight w:val="none"/>
                <w:lang w:val="en-US" w:eastAsia="zh-CN" w:bidi="ar-SA"/>
              </w:rPr>
              <w:t>）日均浓度范围为4～17微克/立方米，日均值达标率为100%。年均浓度为7微克/立方米，与上年持平。</w:t>
            </w:r>
          </w:p>
          <w:p w14:paraId="66E1A041">
            <w:pPr>
              <w:pStyle w:val="26"/>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0" w:right="0" w:firstLine="420"/>
              <w:jc w:val="both"/>
              <w:rPr>
                <w:rFonts w:hint="default" w:ascii="Times New Roman" w:hAnsi="Times New Roman" w:cs="Times New Roman" w:eastAsiaTheme="minorEastAsia"/>
                <w:snapToGrid w:val="0"/>
                <w:kern w:val="2"/>
                <w:sz w:val="24"/>
                <w:szCs w:val="24"/>
                <w:highlight w:val="none"/>
                <w:lang w:val="en-US" w:eastAsia="zh-CN" w:bidi="ar-SA"/>
              </w:rPr>
            </w:pPr>
            <w:r>
              <w:rPr>
                <w:rFonts w:hint="default" w:ascii="Times New Roman" w:hAnsi="Times New Roman" w:cs="Times New Roman" w:eastAsiaTheme="minorEastAsia"/>
                <w:snapToGrid w:val="0"/>
                <w:kern w:val="2"/>
                <w:sz w:val="24"/>
                <w:szCs w:val="24"/>
                <w:highlight w:val="none"/>
                <w:lang w:val="en-US" w:eastAsia="zh-CN" w:bidi="ar-SA"/>
              </w:rPr>
              <w:t>一氧化碳（</w:t>
            </w:r>
            <w:r>
              <w:rPr>
                <w:rFonts w:hint="default" w:ascii="Times New Roman" w:hAnsi="Times New Roman" w:cs="Times New Roman"/>
                <w:color w:val="auto"/>
                <w:szCs w:val="21"/>
                <w:highlight w:val="none"/>
              </w:rPr>
              <w:t>CO</w:t>
            </w:r>
            <w:r>
              <w:rPr>
                <w:rFonts w:hint="default" w:ascii="Times New Roman" w:hAnsi="Times New Roman" w:cs="Times New Roman" w:eastAsiaTheme="minorEastAsia"/>
                <w:snapToGrid w:val="0"/>
                <w:kern w:val="2"/>
                <w:sz w:val="24"/>
                <w:szCs w:val="24"/>
                <w:highlight w:val="none"/>
                <w:lang w:val="en-US" w:eastAsia="zh-CN" w:bidi="ar-SA"/>
              </w:rPr>
              <w:t>）日均浓度范围为0.2～1.1毫克/立方米，日均值达标率为100%。日均值第95百分位数为0.8毫克/立方米，与上年持平。</w:t>
            </w:r>
          </w:p>
          <w:p w14:paraId="4B7FD75B">
            <w:pPr>
              <w:pStyle w:val="26"/>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0" w:right="0" w:firstLine="420"/>
              <w:jc w:val="both"/>
              <w:rPr>
                <w:rFonts w:hint="default" w:ascii="Times New Roman" w:hAnsi="Times New Roman" w:eastAsia="宋体" w:cs="Times New Roman"/>
                <w:snapToGrid w:val="0"/>
                <w:kern w:val="2"/>
                <w:sz w:val="24"/>
                <w:szCs w:val="24"/>
                <w:highlight w:val="none"/>
                <w:lang w:val="en-US" w:eastAsia="zh-CN" w:bidi="ar-SA"/>
              </w:rPr>
            </w:pPr>
            <w:r>
              <w:rPr>
                <w:rFonts w:hint="default" w:ascii="Times New Roman" w:hAnsi="Times New Roman" w:cs="Times New Roman" w:eastAsiaTheme="minorEastAsia"/>
                <w:snapToGrid w:val="0"/>
                <w:kern w:val="2"/>
                <w:sz w:val="24"/>
                <w:szCs w:val="24"/>
                <w:highlight w:val="none"/>
                <w:lang w:val="en-US" w:eastAsia="zh-CN" w:bidi="ar-SA"/>
              </w:rPr>
              <w:t>臭氧日最大8小时（</w:t>
            </w:r>
            <w:r>
              <w:rPr>
                <w:rFonts w:hint="default" w:ascii="Times New Roman" w:hAnsi="Times New Roman" w:cs="Times New Roman"/>
                <w:color w:val="auto"/>
                <w:szCs w:val="21"/>
                <w:highlight w:val="none"/>
              </w:rPr>
              <w:t>O</w:t>
            </w:r>
            <w:r>
              <w:rPr>
                <w:rFonts w:hint="default" w:ascii="Times New Roman" w:hAnsi="Times New Roman" w:cs="Times New Roman"/>
                <w:color w:val="auto"/>
                <w:szCs w:val="21"/>
                <w:highlight w:val="none"/>
                <w:vertAlign w:val="subscript"/>
              </w:rPr>
              <w:t>3</w:t>
            </w:r>
            <w:r>
              <w:rPr>
                <w:rFonts w:hint="default" w:ascii="Times New Roman" w:hAnsi="Times New Roman" w:cs="Times New Roman" w:eastAsiaTheme="minorEastAsia"/>
                <w:snapToGrid w:val="0"/>
                <w:kern w:val="2"/>
                <w:sz w:val="24"/>
                <w:szCs w:val="24"/>
                <w:highlight w:val="none"/>
                <w:lang w:val="en-US" w:eastAsia="zh-CN" w:bidi="ar-SA"/>
              </w:rPr>
              <w:t>-8h）滑动平均值范围为16～197微克/立方米，达标率为94.8%。日最大8小时滑动平均值第90百分位数为149微克/立方米，与上年相比下降了6.9个百分点。</w:t>
            </w:r>
          </w:p>
          <w:p w14:paraId="5F2A20A5">
            <w:pPr>
              <w:jc w:val="center"/>
              <w:rPr>
                <w:rFonts w:eastAsia="黑体"/>
                <w:color w:val="auto"/>
                <w:highlight w:val="none"/>
              </w:rPr>
            </w:pPr>
          </w:p>
          <w:p w14:paraId="1FF9B5F3">
            <w:pPr>
              <w:jc w:val="center"/>
              <w:rPr>
                <w:rFonts w:eastAsia="黑体"/>
                <w:color w:val="auto"/>
                <w:highlight w:val="none"/>
              </w:rPr>
            </w:pPr>
            <w:r>
              <w:rPr>
                <w:rFonts w:eastAsia="黑体"/>
                <w:color w:val="auto"/>
                <w:highlight w:val="none"/>
              </w:rPr>
              <w:t>表3-2  基本污染物环境质量现状</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3"/>
              <w:gridCol w:w="2988"/>
              <w:gridCol w:w="1287"/>
              <w:gridCol w:w="1174"/>
              <w:gridCol w:w="1007"/>
              <w:gridCol w:w="1221"/>
            </w:tblGrid>
            <w:tr w14:paraId="06D32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 w:type="pct"/>
                  <w:noWrap w:val="0"/>
                  <w:vAlign w:val="center"/>
                </w:tcPr>
                <w:p w14:paraId="68C42098">
                  <w:pPr>
                    <w:widowControl/>
                    <w:spacing w:line="276" w:lineRule="auto"/>
                    <w:jc w:val="center"/>
                    <w:rPr>
                      <w:b/>
                      <w:bCs/>
                      <w:color w:val="auto"/>
                      <w:kern w:val="0"/>
                      <w:szCs w:val="21"/>
                      <w:highlight w:val="none"/>
                    </w:rPr>
                  </w:pPr>
                  <w:r>
                    <w:rPr>
                      <w:b/>
                      <w:bCs/>
                      <w:color w:val="auto"/>
                      <w:kern w:val="0"/>
                      <w:szCs w:val="21"/>
                      <w:highlight w:val="none"/>
                    </w:rPr>
                    <w:t>污染物</w:t>
                  </w:r>
                </w:p>
              </w:tc>
              <w:tc>
                <w:tcPr>
                  <w:tcW w:w="1774" w:type="pct"/>
                  <w:noWrap w:val="0"/>
                  <w:vAlign w:val="center"/>
                </w:tcPr>
                <w:p w14:paraId="6B0C2355">
                  <w:pPr>
                    <w:widowControl/>
                    <w:spacing w:line="276" w:lineRule="auto"/>
                    <w:jc w:val="center"/>
                    <w:rPr>
                      <w:b/>
                      <w:bCs/>
                      <w:color w:val="auto"/>
                      <w:kern w:val="0"/>
                      <w:szCs w:val="21"/>
                      <w:highlight w:val="none"/>
                    </w:rPr>
                  </w:pPr>
                  <w:r>
                    <w:rPr>
                      <w:b/>
                      <w:bCs/>
                      <w:color w:val="auto"/>
                      <w:kern w:val="0"/>
                      <w:szCs w:val="21"/>
                      <w:highlight w:val="none"/>
                    </w:rPr>
                    <w:t>年评价指标</w:t>
                  </w:r>
                </w:p>
              </w:tc>
              <w:tc>
                <w:tcPr>
                  <w:tcW w:w="764" w:type="pct"/>
                  <w:noWrap w:val="0"/>
                  <w:vAlign w:val="center"/>
                </w:tcPr>
                <w:p w14:paraId="2575505F">
                  <w:pPr>
                    <w:widowControl/>
                    <w:spacing w:line="276" w:lineRule="auto"/>
                    <w:jc w:val="center"/>
                    <w:rPr>
                      <w:b/>
                      <w:bCs/>
                      <w:color w:val="auto"/>
                      <w:kern w:val="0"/>
                      <w:szCs w:val="21"/>
                      <w:highlight w:val="none"/>
                    </w:rPr>
                  </w:pPr>
                  <w:r>
                    <w:rPr>
                      <w:b/>
                      <w:bCs/>
                      <w:color w:val="auto"/>
                      <w:kern w:val="0"/>
                      <w:szCs w:val="21"/>
                      <w:highlight w:val="none"/>
                    </w:rPr>
                    <w:t>现状浓度（µg/m</w:t>
                  </w:r>
                  <w:r>
                    <w:rPr>
                      <w:b/>
                      <w:bCs/>
                      <w:color w:val="auto"/>
                      <w:kern w:val="0"/>
                      <w:szCs w:val="21"/>
                      <w:highlight w:val="none"/>
                      <w:vertAlign w:val="superscript"/>
                    </w:rPr>
                    <w:t>3</w:t>
                  </w:r>
                  <w:r>
                    <w:rPr>
                      <w:b/>
                      <w:bCs/>
                      <w:color w:val="auto"/>
                      <w:kern w:val="0"/>
                      <w:szCs w:val="21"/>
                      <w:highlight w:val="none"/>
                    </w:rPr>
                    <w:t>）</w:t>
                  </w:r>
                </w:p>
              </w:tc>
              <w:tc>
                <w:tcPr>
                  <w:tcW w:w="697" w:type="pct"/>
                  <w:noWrap w:val="0"/>
                  <w:vAlign w:val="center"/>
                </w:tcPr>
                <w:p w14:paraId="1BA3C074">
                  <w:pPr>
                    <w:widowControl/>
                    <w:spacing w:line="276" w:lineRule="auto"/>
                    <w:jc w:val="center"/>
                    <w:rPr>
                      <w:b/>
                      <w:bCs/>
                      <w:color w:val="auto"/>
                      <w:kern w:val="0"/>
                      <w:szCs w:val="21"/>
                      <w:highlight w:val="none"/>
                    </w:rPr>
                  </w:pPr>
                  <w:r>
                    <w:rPr>
                      <w:b/>
                      <w:bCs/>
                      <w:color w:val="auto"/>
                      <w:kern w:val="0"/>
                      <w:szCs w:val="21"/>
                      <w:highlight w:val="none"/>
                    </w:rPr>
                    <w:t>标准值（µg/m</w:t>
                  </w:r>
                  <w:r>
                    <w:rPr>
                      <w:b/>
                      <w:bCs/>
                      <w:color w:val="auto"/>
                      <w:kern w:val="0"/>
                      <w:szCs w:val="21"/>
                      <w:highlight w:val="none"/>
                      <w:vertAlign w:val="superscript"/>
                    </w:rPr>
                    <w:t>3</w:t>
                  </w:r>
                  <w:r>
                    <w:rPr>
                      <w:b/>
                      <w:bCs/>
                      <w:color w:val="auto"/>
                      <w:kern w:val="0"/>
                      <w:szCs w:val="21"/>
                      <w:highlight w:val="none"/>
                    </w:rPr>
                    <w:t>）</w:t>
                  </w:r>
                </w:p>
              </w:tc>
              <w:tc>
                <w:tcPr>
                  <w:tcW w:w="598" w:type="pct"/>
                  <w:noWrap w:val="0"/>
                  <w:vAlign w:val="center"/>
                </w:tcPr>
                <w:p w14:paraId="661D90DC">
                  <w:pPr>
                    <w:widowControl/>
                    <w:spacing w:line="276" w:lineRule="auto"/>
                    <w:jc w:val="center"/>
                    <w:rPr>
                      <w:b/>
                      <w:bCs/>
                      <w:color w:val="auto"/>
                      <w:kern w:val="0"/>
                      <w:szCs w:val="21"/>
                      <w:highlight w:val="none"/>
                    </w:rPr>
                  </w:pPr>
                  <w:r>
                    <w:rPr>
                      <w:b/>
                      <w:bCs/>
                      <w:color w:val="auto"/>
                      <w:kern w:val="0"/>
                      <w:szCs w:val="21"/>
                      <w:highlight w:val="none"/>
                    </w:rPr>
                    <w:t>占标率（%）</w:t>
                  </w:r>
                </w:p>
              </w:tc>
              <w:tc>
                <w:tcPr>
                  <w:tcW w:w="725" w:type="pct"/>
                  <w:noWrap w:val="0"/>
                  <w:vAlign w:val="center"/>
                </w:tcPr>
                <w:p w14:paraId="7AA0FA9B">
                  <w:pPr>
                    <w:widowControl/>
                    <w:spacing w:line="276" w:lineRule="auto"/>
                    <w:jc w:val="center"/>
                    <w:rPr>
                      <w:b/>
                      <w:bCs/>
                      <w:color w:val="auto"/>
                      <w:kern w:val="0"/>
                      <w:szCs w:val="21"/>
                      <w:highlight w:val="none"/>
                    </w:rPr>
                  </w:pPr>
                  <w:r>
                    <w:rPr>
                      <w:b/>
                      <w:bCs/>
                      <w:color w:val="auto"/>
                      <w:kern w:val="0"/>
                      <w:szCs w:val="21"/>
                      <w:highlight w:val="none"/>
                    </w:rPr>
                    <w:t>达标情况</w:t>
                  </w:r>
                </w:p>
              </w:tc>
            </w:tr>
            <w:tr w14:paraId="45B3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441" w:type="pct"/>
                  <w:noWrap w:val="0"/>
                  <w:vAlign w:val="center"/>
                </w:tcPr>
                <w:p w14:paraId="50EC5463">
                  <w:pPr>
                    <w:widowControl/>
                    <w:spacing w:line="276" w:lineRule="auto"/>
                    <w:jc w:val="center"/>
                    <w:rPr>
                      <w:color w:val="auto"/>
                      <w:kern w:val="0"/>
                      <w:szCs w:val="21"/>
                      <w:highlight w:val="none"/>
                    </w:rPr>
                  </w:pPr>
                  <w:r>
                    <w:rPr>
                      <w:color w:val="auto"/>
                      <w:kern w:val="0"/>
                      <w:szCs w:val="21"/>
                      <w:highlight w:val="none"/>
                    </w:rPr>
                    <w:t>SO</w:t>
                  </w:r>
                  <w:r>
                    <w:rPr>
                      <w:color w:val="auto"/>
                      <w:kern w:val="0"/>
                      <w:szCs w:val="21"/>
                      <w:highlight w:val="none"/>
                      <w:vertAlign w:val="subscript"/>
                    </w:rPr>
                    <w:t>2</w:t>
                  </w:r>
                </w:p>
              </w:tc>
              <w:tc>
                <w:tcPr>
                  <w:tcW w:w="1774" w:type="pct"/>
                  <w:noWrap w:val="0"/>
                  <w:vAlign w:val="center"/>
                </w:tcPr>
                <w:p w14:paraId="6E98F8FB">
                  <w:pPr>
                    <w:widowControl/>
                    <w:spacing w:line="276" w:lineRule="auto"/>
                    <w:jc w:val="center"/>
                    <w:rPr>
                      <w:color w:val="auto"/>
                      <w:kern w:val="0"/>
                      <w:szCs w:val="21"/>
                      <w:highlight w:val="none"/>
                    </w:rPr>
                  </w:pPr>
                  <w:r>
                    <w:rPr>
                      <w:color w:val="auto"/>
                      <w:kern w:val="0"/>
                      <w:szCs w:val="21"/>
                      <w:highlight w:val="none"/>
                    </w:rPr>
                    <w:t>年平均质量浓度</w:t>
                  </w:r>
                </w:p>
              </w:tc>
              <w:tc>
                <w:tcPr>
                  <w:tcW w:w="764" w:type="pct"/>
                  <w:noWrap w:val="0"/>
                  <w:vAlign w:val="center"/>
                </w:tcPr>
                <w:p w14:paraId="0DD743DB">
                  <w:pPr>
                    <w:widowControl/>
                    <w:spacing w:line="276" w:lineRule="auto"/>
                    <w:jc w:val="center"/>
                    <w:rPr>
                      <w:color w:val="auto"/>
                      <w:kern w:val="0"/>
                      <w:szCs w:val="21"/>
                      <w:highlight w:val="none"/>
                    </w:rPr>
                  </w:pPr>
                  <w:r>
                    <w:rPr>
                      <w:color w:val="auto"/>
                      <w:kern w:val="0"/>
                      <w:szCs w:val="21"/>
                      <w:highlight w:val="none"/>
                    </w:rPr>
                    <w:t>7</w:t>
                  </w:r>
                </w:p>
              </w:tc>
              <w:tc>
                <w:tcPr>
                  <w:tcW w:w="697" w:type="pct"/>
                  <w:noWrap w:val="0"/>
                  <w:vAlign w:val="center"/>
                </w:tcPr>
                <w:p w14:paraId="592F3697">
                  <w:pPr>
                    <w:widowControl/>
                    <w:spacing w:line="276" w:lineRule="auto"/>
                    <w:jc w:val="center"/>
                    <w:rPr>
                      <w:color w:val="auto"/>
                      <w:kern w:val="0"/>
                      <w:szCs w:val="21"/>
                      <w:highlight w:val="none"/>
                    </w:rPr>
                  </w:pPr>
                  <w:r>
                    <w:rPr>
                      <w:color w:val="auto"/>
                      <w:kern w:val="0"/>
                      <w:szCs w:val="21"/>
                      <w:highlight w:val="none"/>
                    </w:rPr>
                    <w:t>60</w:t>
                  </w:r>
                </w:p>
              </w:tc>
              <w:tc>
                <w:tcPr>
                  <w:tcW w:w="598" w:type="pct"/>
                  <w:noWrap w:val="0"/>
                  <w:vAlign w:val="center"/>
                </w:tcPr>
                <w:p w14:paraId="2043F11A">
                  <w:pPr>
                    <w:widowControl/>
                    <w:spacing w:line="276" w:lineRule="auto"/>
                    <w:jc w:val="center"/>
                    <w:rPr>
                      <w:rFonts w:hint="eastAsia" w:eastAsia="宋体"/>
                      <w:color w:val="auto"/>
                      <w:kern w:val="0"/>
                      <w:szCs w:val="21"/>
                      <w:highlight w:val="none"/>
                      <w:lang w:val="en-US" w:eastAsia="zh-CN"/>
                    </w:rPr>
                  </w:pPr>
                  <w:r>
                    <w:rPr>
                      <w:color w:val="auto"/>
                      <w:kern w:val="0"/>
                      <w:szCs w:val="21"/>
                      <w:highlight w:val="none"/>
                    </w:rPr>
                    <w:t>11.</w:t>
                  </w:r>
                  <w:r>
                    <w:rPr>
                      <w:rFonts w:hint="eastAsia"/>
                      <w:color w:val="auto"/>
                      <w:kern w:val="0"/>
                      <w:szCs w:val="21"/>
                      <w:highlight w:val="none"/>
                      <w:lang w:val="en-US" w:eastAsia="zh-CN"/>
                    </w:rPr>
                    <w:t>7</w:t>
                  </w:r>
                </w:p>
              </w:tc>
              <w:tc>
                <w:tcPr>
                  <w:tcW w:w="725" w:type="pct"/>
                  <w:noWrap w:val="0"/>
                  <w:vAlign w:val="center"/>
                </w:tcPr>
                <w:p w14:paraId="41B95404">
                  <w:pPr>
                    <w:spacing w:line="276" w:lineRule="auto"/>
                    <w:jc w:val="center"/>
                    <w:rPr>
                      <w:color w:val="auto"/>
                      <w:szCs w:val="21"/>
                      <w:highlight w:val="none"/>
                    </w:rPr>
                  </w:pPr>
                  <w:r>
                    <w:rPr>
                      <w:color w:val="auto"/>
                      <w:szCs w:val="21"/>
                      <w:highlight w:val="none"/>
                    </w:rPr>
                    <w:t>达标</w:t>
                  </w:r>
                </w:p>
              </w:tc>
            </w:tr>
            <w:tr w14:paraId="2F2B6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 w:type="pct"/>
                  <w:noWrap w:val="0"/>
                  <w:vAlign w:val="center"/>
                </w:tcPr>
                <w:p w14:paraId="657D3553">
                  <w:pPr>
                    <w:widowControl/>
                    <w:spacing w:line="276" w:lineRule="auto"/>
                    <w:jc w:val="center"/>
                    <w:rPr>
                      <w:color w:val="auto"/>
                      <w:kern w:val="0"/>
                      <w:szCs w:val="21"/>
                      <w:highlight w:val="none"/>
                    </w:rPr>
                  </w:pPr>
                  <w:r>
                    <w:rPr>
                      <w:color w:val="auto"/>
                      <w:kern w:val="0"/>
                      <w:szCs w:val="21"/>
                      <w:highlight w:val="none"/>
                    </w:rPr>
                    <w:t>NO</w:t>
                  </w:r>
                  <w:r>
                    <w:rPr>
                      <w:color w:val="auto"/>
                      <w:kern w:val="0"/>
                      <w:szCs w:val="21"/>
                      <w:highlight w:val="none"/>
                      <w:vertAlign w:val="subscript"/>
                    </w:rPr>
                    <w:t>2</w:t>
                  </w:r>
                </w:p>
              </w:tc>
              <w:tc>
                <w:tcPr>
                  <w:tcW w:w="1774" w:type="pct"/>
                  <w:noWrap w:val="0"/>
                  <w:vAlign w:val="center"/>
                </w:tcPr>
                <w:p w14:paraId="398881CE">
                  <w:pPr>
                    <w:widowControl/>
                    <w:spacing w:line="276" w:lineRule="auto"/>
                    <w:jc w:val="center"/>
                    <w:rPr>
                      <w:color w:val="auto"/>
                      <w:kern w:val="0"/>
                      <w:szCs w:val="21"/>
                      <w:highlight w:val="none"/>
                    </w:rPr>
                  </w:pPr>
                  <w:r>
                    <w:rPr>
                      <w:color w:val="auto"/>
                      <w:kern w:val="0"/>
                      <w:szCs w:val="21"/>
                      <w:highlight w:val="none"/>
                    </w:rPr>
                    <w:t>年平均质量浓度</w:t>
                  </w:r>
                </w:p>
              </w:tc>
              <w:tc>
                <w:tcPr>
                  <w:tcW w:w="764" w:type="pct"/>
                  <w:noWrap w:val="0"/>
                  <w:vAlign w:val="center"/>
                </w:tcPr>
                <w:p w14:paraId="3A3AFA56">
                  <w:pPr>
                    <w:widowControl/>
                    <w:spacing w:line="276" w:lineRule="auto"/>
                    <w:jc w:val="center"/>
                    <w:rPr>
                      <w:rFonts w:hint="eastAsia" w:eastAsia="宋体"/>
                      <w:color w:val="auto"/>
                      <w:kern w:val="0"/>
                      <w:szCs w:val="21"/>
                      <w:highlight w:val="none"/>
                      <w:lang w:val="en-US" w:eastAsia="zh-CN"/>
                    </w:rPr>
                  </w:pPr>
                  <w:r>
                    <w:rPr>
                      <w:color w:val="auto"/>
                      <w:kern w:val="0"/>
                      <w:szCs w:val="21"/>
                      <w:highlight w:val="none"/>
                    </w:rPr>
                    <w:t>1</w:t>
                  </w:r>
                  <w:r>
                    <w:rPr>
                      <w:rFonts w:hint="eastAsia"/>
                      <w:color w:val="auto"/>
                      <w:kern w:val="0"/>
                      <w:szCs w:val="21"/>
                      <w:highlight w:val="none"/>
                      <w:lang w:val="en-US" w:eastAsia="zh-CN"/>
                    </w:rPr>
                    <w:t>8</w:t>
                  </w:r>
                </w:p>
              </w:tc>
              <w:tc>
                <w:tcPr>
                  <w:tcW w:w="697" w:type="pct"/>
                  <w:noWrap w:val="0"/>
                  <w:vAlign w:val="center"/>
                </w:tcPr>
                <w:p w14:paraId="50D7D5AD">
                  <w:pPr>
                    <w:widowControl/>
                    <w:spacing w:line="276" w:lineRule="auto"/>
                    <w:jc w:val="center"/>
                    <w:rPr>
                      <w:color w:val="auto"/>
                      <w:kern w:val="0"/>
                      <w:szCs w:val="21"/>
                      <w:highlight w:val="none"/>
                    </w:rPr>
                  </w:pPr>
                  <w:r>
                    <w:rPr>
                      <w:color w:val="auto"/>
                      <w:kern w:val="0"/>
                      <w:szCs w:val="21"/>
                      <w:highlight w:val="none"/>
                    </w:rPr>
                    <w:t>40</w:t>
                  </w:r>
                </w:p>
              </w:tc>
              <w:tc>
                <w:tcPr>
                  <w:tcW w:w="598" w:type="pct"/>
                  <w:noWrap w:val="0"/>
                  <w:vAlign w:val="center"/>
                </w:tcPr>
                <w:p w14:paraId="27075D23">
                  <w:pPr>
                    <w:widowControl/>
                    <w:spacing w:line="276" w:lineRule="auto"/>
                    <w:jc w:val="center"/>
                    <w:rPr>
                      <w:rFonts w:hint="default" w:eastAsia="宋体"/>
                      <w:color w:val="auto"/>
                      <w:kern w:val="0"/>
                      <w:szCs w:val="21"/>
                      <w:highlight w:val="none"/>
                      <w:lang w:val="en-US" w:eastAsia="zh-CN"/>
                    </w:rPr>
                  </w:pPr>
                  <w:r>
                    <w:rPr>
                      <w:color w:val="auto"/>
                      <w:kern w:val="0"/>
                      <w:szCs w:val="21"/>
                      <w:highlight w:val="none"/>
                    </w:rPr>
                    <w:t>4</w:t>
                  </w:r>
                  <w:r>
                    <w:rPr>
                      <w:rFonts w:hint="eastAsia"/>
                      <w:color w:val="auto"/>
                      <w:kern w:val="0"/>
                      <w:szCs w:val="21"/>
                      <w:highlight w:val="none"/>
                      <w:lang w:val="en-US" w:eastAsia="zh-CN"/>
                    </w:rPr>
                    <w:t>5.0</w:t>
                  </w:r>
                </w:p>
              </w:tc>
              <w:tc>
                <w:tcPr>
                  <w:tcW w:w="725" w:type="pct"/>
                  <w:noWrap w:val="0"/>
                  <w:vAlign w:val="center"/>
                </w:tcPr>
                <w:p w14:paraId="273EC888">
                  <w:pPr>
                    <w:spacing w:line="276" w:lineRule="auto"/>
                    <w:jc w:val="center"/>
                    <w:rPr>
                      <w:color w:val="auto"/>
                      <w:szCs w:val="21"/>
                      <w:highlight w:val="none"/>
                    </w:rPr>
                  </w:pPr>
                  <w:r>
                    <w:rPr>
                      <w:color w:val="auto"/>
                      <w:szCs w:val="21"/>
                      <w:highlight w:val="none"/>
                    </w:rPr>
                    <w:t>达标</w:t>
                  </w:r>
                </w:p>
              </w:tc>
            </w:tr>
            <w:tr w14:paraId="49E88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 w:type="pct"/>
                  <w:noWrap w:val="0"/>
                  <w:vAlign w:val="center"/>
                </w:tcPr>
                <w:p w14:paraId="6E12BEE2">
                  <w:pPr>
                    <w:widowControl/>
                    <w:spacing w:line="276" w:lineRule="auto"/>
                    <w:jc w:val="center"/>
                    <w:rPr>
                      <w:color w:val="auto"/>
                      <w:kern w:val="0"/>
                      <w:szCs w:val="21"/>
                      <w:highlight w:val="none"/>
                    </w:rPr>
                  </w:pPr>
                  <w:r>
                    <w:rPr>
                      <w:color w:val="auto"/>
                      <w:kern w:val="0"/>
                      <w:szCs w:val="21"/>
                      <w:highlight w:val="none"/>
                    </w:rPr>
                    <w:t>PM</w:t>
                  </w:r>
                  <w:r>
                    <w:rPr>
                      <w:color w:val="auto"/>
                      <w:kern w:val="0"/>
                      <w:szCs w:val="21"/>
                      <w:highlight w:val="none"/>
                      <w:vertAlign w:val="subscript"/>
                    </w:rPr>
                    <w:t>10</w:t>
                  </w:r>
                </w:p>
              </w:tc>
              <w:tc>
                <w:tcPr>
                  <w:tcW w:w="1774" w:type="pct"/>
                  <w:noWrap w:val="0"/>
                  <w:vAlign w:val="center"/>
                </w:tcPr>
                <w:p w14:paraId="5ACFF736">
                  <w:pPr>
                    <w:widowControl/>
                    <w:spacing w:line="276" w:lineRule="auto"/>
                    <w:jc w:val="center"/>
                    <w:rPr>
                      <w:color w:val="auto"/>
                      <w:kern w:val="0"/>
                      <w:szCs w:val="21"/>
                      <w:highlight w:val="none"/>
                    </w:rPr>
                  </w:pPr>
                  <w:r>
                    <w:rPr>
                      <w:color w:val="auto"/>
                      <w:kern w:val="0"/>
                      <w:szCs w:val="21"/>
                      <w:highlight w:val="none"/>
                    </w:rPr>
                    <w:t>年平均质量浓度</w:t>
                  </w:r>
                </w:p>
              </w:tc>
              <w:tc>
                <w:tcPr>
                  <w:tcW w:w="764" w:type="pct"/>
                  <w:noWrap w:val="0"/>
                  <w:vAlign w:val="center"/>
                </w:tcPr>
                <w:p w14:paraId="58DE888D">
                  <w:pPr>
                    <w:widowControl/>
                    <w:spacing w:line="276" w:lineRule="auto"/>
                    <w:jc w:val="center"/>
                    <w:rPr>
                      <w:rFonts w:hint="eastAsia" w:eastAsia="宋体"/>
                      <w:color w:val="auto"/>
                      <w:kern w:val="0"/>
                      <w:szCs w:val="21"/>
                      <w:highlight w:val="none"/>
                      <w:lang w:val="en-US" w:eastAsia="zh-CN"/>
                    </w:rPr>
                  </w:pPr>
                  <w:r>
                    <w:rPr>
                      <w:color w:val="auto"/>
                      <w:kern w:val="0"/>
                      <w:szCs w:val="21"/>
                      <w:highlight w:val="none"/>
                    </w:rPr>
                    <w:t>6</w:t>
                  </w:r>
                  <w:r>
                    <w:rPr>
                      <w:rFonts w:hint="eastAsia"/>
                      <w:color w:val="auto"/>
                      <w:kern w:val="0"/>
                      <w:szCs w:val="21"/>
                      <w:highlight w:val="none"/>
                      <w:lang w:val="en-US" w:eastAsia="zh-CN"/>
                    </w:rPr>
                    <w:t>1</w:t>
                  </w:r>
                </w:p>
              </w:tc>
              <w:tc>
                <w:tcPr>
                  <w:tcW w:w="697" w:type="pct"/>
                  <w:noWrap w:val="0"/>
                  <w:vAlign w:val="center"/>
                </w:tcPr>
                <w:p w14:paraId="6EE9E1B5">
                  <w:pPr>
                    <w:widowControl/>
                    <w:spacing w:line="276" w:lineRule="auto"/>
                    <w:jc w:val="center"/>
                    <w:rPr>
                      <w:color w:val="auto"/>
                      <w:kern w:val="0"/>
                      <w:szCs w:val="21"/>
                      <w:highlight w:val="none"/>
                    </w:rPr>
                  </w:pPr>
                  <w:r>
                    <w:rPr>
                      <w:color w:val="auto"/>
                      <w:kern w:val="0"/>
                      <w:szCs w:val="21"/>
                      <w:highlight w:val="none"/>
                    </w:rPr>
                    <w:t>70</w:t>
                  </w:r>
                </w:p>
              </w:tc>
              <w:tc>
                <w:tcPr>
                  <w:tcW w:w="598" w:type="pct"/>
                  <w:noWrap w:val="0"/>
                  <w:vAlign w:val="center"/>
                </w:tcPr>
                <w:p w14:paraId="4C0874E3">
                  <w:pPr>
                    <w:widowControl/>
                    <w:spacing w:line="276" w:lineRule="auto"/>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87.1</w:t>
                  </w:r>
                </w:p>
              </w:tc>
              <w:tc>
                <w:tcPr>
                  <w:tcW w:w="725" w:type="pct"/>
                  <w:noWrap w:val="0"/>
                  <w:vAlign w:val="center"/>
                </w:tcPr>
                <w:p w14:paraId="41027F19">
                  <w:pPr>
                    <w:widowControl/>
                    <w:spacing w:line="276" w:lineRule="auto"/>
                    <w:jc w:val="center"/>
                    <w:rPr>
                      <w:color w:val="auto"/>
                      <w:kern w:val="0"/>
                      <w:szCs w:val="21"/>
                      <w:highlight w:val="none"/>
                    </w:rPr>
                  </w:pPr>
                  <w:r>
                    <w:rPr>
                      <w:color w:val="auto"/>
                      <w:kern w:val="0"/>
                      <w:szCs w:val="21"/>
                      <w:highlight w:val="none"/>
                    </w:rPr>
                    <w:t>达标</w:t>
                  </w:r>
                </w:p>
              </w:tc>
            </w:tr>
            <w:tr w14:paraId="348A8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 w:type="pct"/>
                  <w:noWrap w:val="0"/>
                  <w:vAlign w:val="center"/>
                </w:tcPr>
                <w:p w14:paraId="65BAE3E8">
                  <w:pPr>
                    <w:widowControl/>
                    <w:spacing w:line="276" w:lineRule="auto"/>
                    <w:jc w:val="center"/>
                    <w:rPr>
                      <w:color w:val="auto"/>
                      <w:kern w:val="0"/>
                      <w:szCs w:val="21"/>
                      <w:highlight w:val="none"/>
                    </w:rPr>
                  </w:pPr>
                  <w:r>
                    <w:rPr>
                      <w:color w:val="auto"/>
                      <w:kern w:val="0"/>
                      <w:szCs w:val="21"/>
                      <w:highlight w:val="none"/>
                    </w:rPr>
                    <w:t>PM</w:t>
                  </w:r>
                  <w:r>
                    <w:rPr>
                      <w:color w:val="auto"/>
                      <w:kern w:val="0"/>
                      <w:szCs w:val="21"/>
                      <w:highlight w:val="none"/>
                      <w:vertAlign w:val="subscript"/>
                    </w:rPr>
                    <w:t>2.5</w:t>
                  </w:r>
                </w:p>
              </w:tc>
              <w:tc>
                <w:tcPr>
                  <w:tcW w:w="1774" w:type="pct"/>
                  <w:noWrap w:val="0"/>
                  <w:vAlign w:val="center"/>
                </w:tcPr>
                <w:p w14:paraId="4ADF420C">
                  <w:pPr>
                    <w:widowControl/>
                    <w:spacing w:line="276" w:lineRule="auto"/>
                    <w:jc w:val="center"/>
                    <w:rPr>
                      <w:color w:val="auto"/>
                      <w:kern w:val="0"/>
                      <w:szCs w:val="21"/>
                      <w:highlight w:val="none"/>
                    </w:rPr>
                  </w:pPr>
                  <w:r>
                    <w:rPr>
                      <w:color w:val="auto"/>
                      <w:kern w:val="0"/>
                      <w:szCs w:val="21"/>
                      <w:highlight w:val="none"/>
                    </w:rPr>
                    <w:t>年平均质量浓度</w:t>
                  </w:r>
                </w:p>
              </w:tc>
              <w:tc>
                <w:tcPr>
                  <w:tcW w:w="764" w:type="pct"/>
                  <w:noWrap w:val="0"/>
                  <w:vAlign w:val="center"/>
                </w:tcPr>
                <w:p w14:paraId="5F28F8BD">
                  <w:pPr>
                    <w:widowControl/>
                    <w:spacing w:line="276" w:lineRule="auto"/>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37.1</w:t>
                  </w:r>
                </w:p>
              </w:tc>
              <w:tc>
                <w:tcPr>
                  <w:tcW w:w="697" w:type="pct"/>
                  <w:noWrap w:val="0"/>
                  <w:vAlign w:val="center"/>
                </w:tcPr>
                <w:p w14:paraId="0D5FF1E5">
                  <w:pPr>
                    <w:widowControl/>
                    <w:spacing w:line="276" w:lineRule="auto"/>
                    <w:jc w:val="center"/>
                    <w:rPr>
                      <w:color w:val="auto"/>
                      <w:kern w:val="0"/>
                      <w:szCs w:val="21"/>
                      <w:highlight w:val="none"/>
                    </w:rPr>
                  </w:pPr>
                  <w:r>
                    <w:rPr>
                      <w:color w:val="auto"/>
                      <w:kern w:val="0"/>
                      <w:szCs w:val="21"/>
                      <w:highlight w:val="none"/>
                    </w:rPr>
                    <w:t>35</w:t>
                  </w:r>
                </w:p>
              </w:tc>
              <w:tc>
                <w:tcPr>
                  <w:tcW w:w="598" w:type="pct"/>
                  <w:noWrap w:val="0"/>
                  <w:vAlign w:val="center"/>
                </w:tcPr>
                <w:p w14:paraId="23FF26FF">
                  <w:pPr>
                    <w:widowControl/>
                    <w:spacing w:line="276" w:lineRule="auto"/>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106</w:t>
                  </w:r>
                </w:p>
              </w:tc>
              <w:tc>
                <w:tcPr>
                  <w:tcW w:w="725" w:type="pct"/>
                  <w:noWrap w:val="0"/>
                  <w:vAlign w:val="center"/>
                </w:tcPr>
                <w:p w14:paraId="1C603A20">
                  <w:pPr>
                    <w:widowControl/>
                    <w:spacing w:line="276" w:lineRule="auto"/>
                    <w:jc w:val="center"/>
                    <w:rPr>
                      <w:color w:val="auto"/>
                      <w:kern w:val="0"/>
                      <w:szCs w:val="21"/>
                      <w:highlight w:val="none"/>
                    </w:rPr>
                  </w:pPr>
                  <w:r>
                    <w:rPr>
                      <w:color w:val="auto"/>
                      <w:kern w:val="0"/>
                      <w:szCs w:val="21"/>
                      <w:highlight w:val="none"/>
                    </w:rPr>
                    <w:t>不达标</w:t>
                  </w:r>
                </w:p>
              </w:tc>
            </w:tr>
            <w:tr w14:paraId="1EB90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 w:type="pct"/>
                  <w:noWrap w:val="0"/>
                  <w:vAlign w:val="center"/>
                </w:tcPr>
                <w:p w14:paraId="2CE07BE1">
                  <w:pPr>
                    <w:spacing w:line="276" w:lineRule="auto"/>
                    <w:jc w:val="center"/>
                    <w:rPr>
                      <w:color w:val="auto"/>
                      <w:szCs w:val="21"/>
                      <w:highlight w:val="none"/>
                    </w:rPr>
                  </w:pPr>
                  <w:r>
                    <w:rPr>
                      <w:color w:val="auto"/>
                      <w:szCs w:val="21"/>
                      <w:highlight w:val="none"/>
                    </w:rPr>
                    <w:t>CO</w:t>
                  </w:r>
                </w:p>
              </w:tc>
              <w:tc>
                <w:tcPr>
                  <w:tcW w:w="1774" w:type="pct"/>
                  <w:noWrap w:val="0"/>
                  <w:vAlign w:val="center"/>
                </w:tcPr>
                <w:p w14:paraId="00D9D3E6">
                  <w:pPr>
                    <w:widowControl/>
                    <w:spacing w:line="276" w:lineRule="auto"/>
                    <w:jc w:val="center"/>
                    <w:rPr>
                      <w:color w:val="auto"/>
                      <w:kern w:val="0"/>
                      <w:szCs w:val="21"/>
                      <w:highlight w:val="none"/>
                    </w:rPr>
                  </w:pPr>
                  <w:r>
                    <w:rPr>
                      <w:color w:val="auto"/>
                      <w:kern w:val="0"/>
                      <w:szCs w:val="21"/>
                      <w:highlight w:val="none"/>
                    </w:rPr>
                    <w:t>第95百分位日均值浓度</w:t>
                  </w:r>
                </w:p>
              </w:tc>
              <w:tc>
                <w:tcPr>
                  <w:tcW w:w="764" w:type="pct"/>
                  <w:noWrap w:val="0"/>
                  <w:vAlign w:val="center"/>
                </w:tcPr>
                <w:p w14:paraId="1B521CDE">
                  <w:pPr>
                    <w:widowControl/>
                    <w:spacing w:line="276" w:lineRule="auto"/>
                    <w:jc w:val="center"/>
                    <w:rPr>
                      <w:color w:val="auto"/>
                      <w:kern w:val="0"/>
                      <w:szCs w:val="21"/>
                      <w:highlight w:val="none"/>
                    </w:rPr>
                  </w:pPr>
                  <w:r>
                    <w:rPr>
                      <w:color w:val="auto"/>
                      <w:kern w:val="0"/>
                      <w:szCs w:val="21"/>
                      <w:highlight w:val="none"/>
                    </w:rPr>
                    <w:t>800</w:t>
                  </w:r>
                </w:p>
              </w:tc>
              <w:tc>
                <w:tcPr>
                  <w:tcW w:w="697" w:type="pct"/>
                  <w:noWrap w:val="0"/>
                  <w:vAlign w:val="center"/>
                </w:tcPr>
                <w:p w14:paraId="4E79E05D">
                  <w:pPr>
                    <w:widowControl/>
                    <w:spacing w:line="276" w:lineRule="auto"/>
                    <w:jc w:val="center"/>
                    <w:rPr>
                      <w:color w:val="auto"/>
                      <w:kern w:val="0"/>
                      <w:szCs w:val="21"/>
                      <w:highlight w:val="none"/>
                    </w:rPr>
                  </w:pPr>
                  <w:r>
                    <w:rPr>
                      <w:color w:val="auto"/>
                      <w:kern w:val="0"/>
                      <w:szCs w:val="21"/>
                      <w:highlight w:val="none"/>
                    </w:rPr>
                    <w:t>4000</w:t>
                  </w:r>
                </w:p>
              </w:tc>
              <w:tc>
                <w:tcPr>
                  <w:tcW w:w="598" w:type="pct"/>
                  <w:noWrap w:val="0"/>
                  <w:vAlign w:val="center"/>
                </w:tcPr>
                <w:p w14:paraId="39120018">
                  <w:pPr>
                    <w:widowControl/>
                    <w:spacing w:line="276" w:lineRule="auto"/>
                    <w:jc w:val="center"/>
                    <w:rPr>
                      <w:color w:val="auto"/>
                      <w:kern w:val="0"/>
                      <w:szCs w:val="21"/>
                      <w:highlight w:val="none"/>
                    </w:rPr>
                  </w:pPr>
                  <w:r>
                    <w:rPr>
                      <w:color w:val="auto"/>
                      <w:kern w:val="0"/>
                      <w:szCs w:val="21"/>
                      <w:highlight w:val="none"/>
                    </w:rPr>
                    <w:t>20</w:t>
                  </w:r>
                </w:p>
              </w:tc>
              <w:tc>
                <w:tcPr>
                  <w:tcW w:w="725" w:type="pct"/>
                  <w:noWrap w:val="0"/>
                  <w:vAlign w:val="center"/>
                </w:tcPr>
                <w:p w14:paraId="58BBB843">
                  <w:pPr>
                    <w:widowControl/>
                    <w:spacing w:line="276" w:lineRule="auto"/>
                    <w:jc w:val="center"/>
                    <w:rPr>
                      <w:color w:val="auto"/>
                      <w:kern w:val="0"/>
                      <w:szCs w:val="21"/>
                      <w:highlight w:val="none"/>
                    </w:rPr>
                  </w:pPr>
                  <w:r>
                    <w:rPr>
                      <w:color w:val="auto"/>
                      <w:kern w:val="0"/>
                      <w:szCs w:val="21"/>
                      <w:highlight w:val="none"/>
                    </w:rPr>
                    <w:t>达标</w:t>
                  </w:r>
                </w:p>
              </w:tc>
            </w:tr>
            <w:tr w14:paraId="2FD52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 w:type="pct"/>
                  <w:noWrap w:val="0"/>
                  <w:vAlign w:val="center"/>
                </w:tcPr>
                <w:p w14:paraId="4CD71A10">
                  <w:pPr>
                    <w:spacing w:line="276" w:lineRule="auto"/>
                    <w:jc w:val="center"/>
                    <w:rPr>
                      <w:color w:val="auto"/>
                      <w:szCs w:val="21"/>
                      <w:highlight w:val="none"/>
                    </w:rPr>
                  </w:pPr>
                  <w:r>
                    <w:rPr>
                      <w:color w:val="auto"/>
                      <w:szCs w:val="21"/>
                      <w:highlight w:val="none"/>
                    </w:rPr>
                    <w:t>O</w:t>
                  </w:r>
                  <w:r>
                    <w:rPr>
                      <w:color w:val="auto"/>
                      <w:szCs w:val="21"/>
                      <w:highlight w:val="none"/>
                      <w:vertAlign w:val="subscript"/>
                    </w:rPr>
                    <w:t>3</w:t>
                  </w:r>
                </w:p>
              </w:tc>
              <w:tc>
                <w:tcPr>
                  <w:tcW w:w="1774" w:type="pct"/>
                  <w:noWrap w:val="0"/>
                  <w:vAlign w:val="center"/>
                </w:tcPr>
                <w:p w14:paraId="10A666A1">
                  <w:pPr>
                    <w:widowControl/>
                    <w:spacing w:line="276" w:lineRule="auto"/>
                    <w:jc w:val="center"/>
                    <w:rPr>
                      <w:color w:val="auto"/>
                      <w:kern w:val="0"/>
                      <w:szCs w:val="21"/>
                      <w:highlight w:val="none"/>
                    </w:rPr>
                  </w:pPr>
                  <w:r>
                    <w:rPr>
                      <w:color w:val="auto"/>
                      <w:kern w:val="0"/>
                      <w:szCs w:val="21"/>
                      <w:highlight w:val="none"/>
                    </w:rPr>
                    <w:t>第90百分位日平均质量浓度</w:t>
                  </w:r>
                </w:p>
              </w:tc>
              <w:tc>
                <w:tcPr>
                  <w:tcW w:w="764" w:type="pct"/>
                  <w:noWrap w:val="0"/>
                  <w:vAlign w:val="center"/>
                </w:tcPr>
                <w:p w14:paraId="5D4F6D54">
                  <w:pPr>
                    <w:widowControl/>
                    <w:spacing w:line="276" w:lineRule="auto"/>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149</w:t>
                  </w:r>
                </w:p>
              </w:tc>
              <w:tc>
                <w:tcPr>
                  <w:tcW w:w="697" w:type="pct"/>
                  <w:noWrap w:val="0"/>
                  <w:vAlign w:val="center"/>
                </w:tcPr>
                <w:p w14:paraId="2BE1C86A">
                  <w:pPr>
                    <w:widowControl/>
                    <w:spacing w:line="276" w:lineRule="auto"/>
                    <w:jc w:val="center"/>
                    <w:rPr>
                      <w:color w:val="auto"/>
                      <w:kern w:val="0"/>
                      <w:szCs w:val="21"/>
                      <w:highlight w:val="none"/>
                    </w:rPr>
                  </w:pPr>
                  <w:r>
                    <w:rPr>
                      <w:color w:val="auto"/>
                      <w:kern w:val="0"/>
                      <w:szCs w:val="21"/>
                      <w:highlight w:val="none"/>
                    </w:rPr>
                    <w:t>160</w:t>
                  </w:r>
                </w:p>
              </w:tc>
              <w:tc>
                <w:tcPr>
                  <w:tcW w:w="598" w:type="pct"/>
                  <w:noWrap w:val="0"/>
                  <w:vAlign w:val="center"/>
                </w:tcPr>
                <w:p w14:paraId="6BB1404B">
                  <w:pPr>
                    <w:widowControl/>
                    <w:spacing w:line="276" w:lineRule="auto"/>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93.1</w:t>
                  </w:r>
                </w:p>
              </w:tc>
              <w:tc>
                <w:tcPr>
                  <w:tcW w:w="725" w:type="pct"/>
                  <w:noWrap w:val="0"/>
                  <w:vAlign w:val="center"/>
                </w:tcPr>
                <w:p w14:paraId="0E88027B">
                  <w:pPr>
                    <w:widowControl/>
                    <w:spacing w:line="276" w:lineRule="auto"/>
                    <w:jc w:val="center"/>
                    <w:rPr>
                      <w:color w:val="auto"/>
                      <w:kern w:val="0"/>
                      <w:szCs w:val="21"/>
                      <w:highlight w:val="none"/>
                    </w:rPr>
                  </w:pPr>
                  <w:r>
                    <w:rPr>
                      <w:color w:val="auto"/>
                      <w:kern w:val="0"/>
                      <w:szCs w:val="21"/>
                      <w:highlight w:val="none"/>
                    </w:rPr>
                    <w:t>达标</w:t>
                  </w:r>
                </w:p>
              </w:tc>
            </w:tr>
          </w:tbl>
          <w:p w14:paraId="33C6A01B">
            <w:pPr>
              <w:adjustRightInd w:val="0"/>
              <w:spacing w:line="360" w:lineRule="auto"/>
              <w:ind w:firstLine="480" w:firstLineChars="200"/>
              <w:rPr>
                <w:sz w:val="24"/>
                <w:highlight w:val="none"/>
              </w:rPr>
            </w:pPr>
            <w:r>
              <w:rPr>
                <w:sz w:val="24"/>
                <w:szCs w:val="21"/>
                <w:highlight w:val="none"/>
              </w:rPr>
              <w:t>根据《</w:t>
            </w:r>
            <w:r>
              <w:rPr>
                <w:rFonts w:hint="eastAsia"/>
                <w:snapToGrid w:val="0"/>
                <w:spacing w:val="-2"/>
                <w:sz w:val="24"/>
                <w:highlight w:val="none"/>
                <w:lang w:eastAsia="zh-CN"/>
              </w:rPr>
              <w:t>2025年淮南市生态环境质量状况公报</w:t>
            </w:r>
            <w:r>
              <w:rPr>
                <w:sz w:val="24"/>
                <w:szCs w:val="21"/>
                <w:highlight w:val="none"/>
              </w:rPr>
              <w:t>》并结合《环境空气质量标准》（GB3095-20</w:t>
            </w:r>
            <w:r>
              <w:rPr>
                <w:rFonts w:hint="eastAsia"/>
                <w:sz w:val="24"/>
                <w:szCs w:val="21"/>
                <w:highlight w:val="none"/>
              </w:rPr>
              <w:t>26</w:t>
            </w:r>
            <w:r>
              <w:rPr>
                <w:sz w:val="24"/>
                <w:szCs w:val="21"/>
                <w:highlight w:val="none"/>
              </w:rPr>
              <w:t>）中二级标准可知，</w:t>
            </w:r>
            <w:r>
              <w:rPr>
                <w:sz w:val="24"/>
                <w:highlight w:val="none"/>
              </w:rPr>
              <w:t>二氧化硫（SO</w:t>
            </w:r>
            <w:r>
              <w:rPr>
                <w:sz w:val="24"/>
                <w:highlight w:val="none"/>
                <w:vertAlign w:val="subscript"/>
              </w:rPr>
              <w:t>2</w:t>
            </w:r>
            <w:r>
              <w:rPr>
                <w:sz w:val="24"/>
                <w:highlight w:val="none"/>
              </w:rPr>
              <w:t>）、二氧化氮（NO</w:t>
            </w:r>
            <w:r>
              <w:rPr>
                <w:sz w:val="24"/>
                <w:highlight w:val="none"/>
                <w:vertAlign w:val="subscript"/>
              </w:rPr>
              <w:t>2</w:t>
            </w:r>
            <w:r>
              <w:rPr>
                <w:sz w:val="24"/>
                <w:highlight w:val="none"/>
              </w:rPr>
              <w:t>）、一氧化碳（CO）、可吸入颗粒物（PM</w:t>
            </w:r>
            <w:r>
              <w:rPr>
                <w:sz w:val="24"/>
                <w:highlight w:val="none"/>
                <w:vertAlign w:val="subscript"/>
              </w:rPr>
              <w:t>10</w:t>
            </w:r>
            <w:r>
              <w:rPr>
                <w:sz w:val="24"/>
                <w:highlight w:val="none"/>
              </w:rPr>
              <w:t>）、臭氧（O</w:t>
            </w:r>
            <w:r>
              <w:rPr>
                <w:sz w:val="24"/>
                <w:highlight w:val="none"/>
                <w:vertAlign w:val="subscript"/>
              </w:rPr>
              <w:t>3</w:t>
            </w:r>
            <w:r>
              <w:rPr>
                <w:sz w:val="24"/>
                <w:highlight w:val="none"/>
              </w:rPr>
              <w:t>）均符合《环境空气质量标准》（GB3095-20</w:t>
            </w:r>
            <w:r>
              <w:rPr>
                <w:rFonts w:hint="eastAsia"/>
                <w:sz w:val="24"/>
                <w:highlight w:val="none"/>
                <w:lang w:val="en-US" w:eastAsia="zh-CN"/>
              </w:rPr>
              <w:t>12</w:t>
            </w:r>
            <w:r>
              <w:rPr>
                <w:sz w:val="24"/>
                <w:highlight w:val="none"/>
              </w:rPr>
              <w:t>）</w:t>
            </w:r>
            <w:r>
              <w:rPr>
                <w:sz w:val="24"/>
                <w:szCs w:val="21"/>
                <w:highlight w:val="none"/>
              </w:rPr>
              <w:t>中</w:t>
            </w:r>
            <w:r>
              <w:rPr>
                <w:sz w:val="24"/>
                <w:highlight w:val="none"/>
              </w:rPr>
              <w:t>二级标准，细颗粒物（PM</w:t>
            </w:r>
            <w:r>
              <w:rPr>
                <w:sz w:val="24"/>
                <w:highlight w:val="none"/>
                <w:vertAlign w:val="subscript"/>
              </w:rPr>
              <w:t>2.5</w:t>
            </w:r>
            <w:r>
              <w:rPr>
                <w:sz w:val="24"/>
                <w:highlight w:val="none"/>
              </w:rPr>
              <w:t>）年均浓度超过《环境空气质量标准》（GB3095-2</w:t>
            </w:r>
            <w:r>
              <w:rPr>
                <w:rFonts w:hint="eastAsia"/>
                <w:sz w:val="24"/>
                <w:highlight w:val="none"/>
              </w:rPr>
              <w:t>0</w:t>
            </w:r>
            <w:r>
              <w:rPr>
                <w:rFonts w:hint="eastAsia"/>
                <w:sz w:val="24"/>
                <w:highlight w:val="none"/>
                <w:lang w:val="en-US" w:eastAsia="zh-CN"/>
              </w:rPr>
              <w:t>12</w:t>
            </w:r>
            <w:r>
              <w:rPr>
                <w:sz w:val="24"/>
                <w:highlight w:val="none"/>
              </w:rPr>
              <w:t>）</w:t>
            </w:r>
            <w:r>
              <w:rPr>
                <w:sz w:val="24"/>
                <w:szCs w:val="21"/>
                <w:highlight w:val="none"/>
              </w:rPr>
              <w:t>中</w:t>
            </w:r>
            <w:r>
              <w:rPr>
                <w:sz w:val="24"/>
                <w:highlight w:val="none"/>
              </w:rPr>
              <w:t>二级标准限值</w:t>
            </w:r>
            <w:r>
              <w:rPr>
                <w:rFonts w:hint="eastAsia"/>
                <w:sz w:val="24"/>
                <w:highlight w:val="none"/>
                <w:lang w:val="en-US" w:eastAsia="zh-CN"/>
              </w:rPr>
              <w:t>和</w:t>
            </w:r>
            <w:r>
              <w:rPr>
                <w:rFonts w:hint="default" w:ascii="Times New Roman" w:hAnsi="Times New Roman" w:cs="Times New Roman"/>
                <w:color w:val="auto"/>
                <w:sz w:val="24"/>
                <w:highlight w:val="none"/>
              </w:rPr>
              <w:t>《环境空气质量标准》（GB3095-20</w:t>
            </w:r>
            <w:r>
              <w:rPr>
                <w:rFonts w:hint="default" w:ascii="Times New Roman" w:hAnsi="Times New Roman" w:cs="Times New Roman"/>
                <w:color w:val="auto"/>
                <w:sz w:val="24"/>
                <w:highlight w:val="none"/>
                <w:lang w:val="en-US" w:eastAsia="zh-CN"/>
              </w:rPr>
              <w:t>26</w:t>
            </w:r>
            <w:r>
              <w:rPr>
                <w:rFonts w:hint="default" w:ascii="Times New Roman" w:hAnsi="Times New Roman" w:cs="Times New Roman"/>
                <w:color w:val="auto"/>
                <w:sz w:val="24"/>
                <w:highlight w:val="none"/>
              </w:rPr>
              <w:t>）中的</w:t>
            </w:r>
            <w:r>
              <w:rPr>
                <w:rFonts w:hint="eastAsia" w:ascii="Times New Roman" w:hAnsi="Times New Roman" w:cs="Times New Roman"/>
                <w:color w:val="auto"/>
                <w:sz w:val="24"/>
                <w:highlight w:val="none"/>
                <w:lang w:val="en-US" w:eastAsia="zh-CN"/>
              </w:rPr>
              <w:t>过渡期</w:t>
            </w:r>
            <w:r>
              <w:rPr>
                <w:rFonts w:hint="default" w:ascii="Times New Roman" w:hAnsi="Times New Roman" w:cs="Times New Roman"/>
                <w:color w:val="auto"/>
                <w:sz w:val="24"/>
                <w:highlight w:val="none"/>
              </w:rPr>
              <w:t>二级标准</w:t>
            </w:r>
            <w:r>
              <w:rPr>
                <w:sz w:val="24"/>
                <w:highlight w:val="none"/>
              </w:rPr>
              <w:t>限值</w:t>
            </w:r>
            <w:r>
              <w:rPr>
                <w:rFonts w:hint="eastAsia"/>
                <w:sz w:val="24"/>
                <w:highlight w:val="none"/>
                <w:lang w:eastAsia="zh-CN"/>
              </w:rPr>
              <w:t>；</w:t>
            </w:r>
            <w:r>
              <w:rPr>
                <w:sz w:val="24"/>
                <w:highlight w:val="none"/>
              </w:rPr>
              <w:t>PM</w:t>
            </w:r>
            <w:r>
              <w:rPr>
                <w:rFonts w:hint="eastAsia"/>
                <w:sz w:val="24"/>
                <w:highlight w:val="none"/>
                <w:vertAlign w:val="subscript"/>
                <w:lang w:val="en-US" w:eastAsia="zh-CN"/>
              </w:rPr>
              <w:t>10</w:t>
            </w:r>
            <w:r>
              <w:rPr>
                <w:sz w:val="24"/>
                <w:highlight w:val="none"/>
              </w:rPr>
              <w:t>年均浓度超过</w:t>
            </w:r>
            <w:r>
              <w:rPr>
                <w:rFonts w:hint="default" w:ascii="Times New Roman" w:hAnsi="Times New Roman" w:cs="Times New Roman"/>
                <w:color w:val="auto"/>
                <w:sz w:val="24"/>
                <w:highlight w:val="none"/>
              </w:rPr>
              <w:t>《环境空气质量标准》（GB3095-20</w:t>
            </w:r>
            <w:r>
              <w:rPr>
                <w:rFonts w:hint="default" w:ascii="Times New Roman" w:hAnsi="Times New Roman" w:cs="Times New Roman"/>
                <w:color w:val="auto"/>
                <w:sz w:val="24"/>
                <w:highlight w:val="none"/>
                <w:lang w:val="en-US" w:eastAsia="zh-CN"/>
              </w:rPr>
              <w:t>26</w:t>
            </w:r>
            <w:r>
              <w:rPr>
                <w:rFonts w:hint="default" w:ascii="Times New Roman" w:hAnsi="Times New Roman" w:cs="Times New Roman"/>
                <w:color w:val="auto"/>
                <w:sz w:val="24"/>
                <w:highlight w:val="none"/>
              </w:rPr>
              <w:t>）中的</w:t>
            </w:r>
            <w:r>
              <w:rPr>
                <w:rFonts w:hint="eastAsia" w:ascii="Times New Roman" w:hAnsi="Times New Roman" w:cs="Times New Roman"/>
                <w:color w:val="auto"/>
                <w:sz w:val="24"/>
                <w:highlight w:val="none"/>
                <w:lang w:val="en-US" w:eastAsia="zh-CN"/>
              </w:rPr>
              <w:t>过渡期</w:t>
            </w:r>
            <w:r>
              <w:rPr>
                <w:rFonts w:hint="default" w:ascii="Times New Roman" w:hAnsi="Times New Roman" w:cs="Times New Roman"/>
                <w:color w:val="auto"/>
                <w:sz w:val="24"/>
                <w:highlight w:val="none"/>
              </w:rPr>
              <w:t>二级标准</w:t>
            </w:r>
            <w:r>
              <w:rPr>
                <w:sz w:val="24"/>
                <w:highlight w:val="none"/>
              </w:rPr>
              <w:t>限值。因此，项目所在评价区域为不达标区。</w:t>
            </w:r>
          </w:p>
          <w:p w14:paraId="3E995C02">
            <w:pPr>
              <w:spacing w:line="360" w:lineRule="auto"/>
              <w:ind w:firstLine="480" w:firstLineChars="200"/>
              <w:rPr>
                <w:rFonts w:ascii="Times New Roman" w:hAnsi="Times New Roman" w:eastAsia="黑体" w:cs="Times New Roman"/>
                <w:color w:val="auto"/>
                <w:highlight w:val="none"/>
              </w:rPr>
            </w:pPr>
            <w:r>
              <w:rPr>
                <w:kern w:val="0"/>
                <w:sz w:val="24"/>
                <w:highlight w:val="none"/>
              </w:rPr>
              <w:t>淮南市生态环境局就空气质量不达标提出一系列举措，为确保淮南市大气污染防治工作有效推进，</w:t>
            </w:r>
            <w:r>
              <w:rPr>
                <w:sz w:val="24"/>
                <w:szCs w:val="21"/>
                <w:highlight w:val="none"/>
              </w:rPr>
              <w:t>目前，淮南市已制订《淮南市“十四五”大气污染防治规划（2021-2025年）》，围绕工业大气污染治理、扬（烟）尘污染防治等开展专项治理活动，进一步削减大气污染物排放。</w:t>
            </w:r>
          </w:p>
          <w:p w14:paraId="03FD6B79">
            <w:pPr>
              <w:numPr>
                <w:ilvl w:val="0"/>
                <w:numId w:val="4"/>
              </w:numPr>
              <w:spacing w:line="360" w:lineRule="auto"/>
              <w:ind w:firstLine="482"/>
              <w:rPr>
                <w:b/>
                <w:bCs/>
                <w:color w:val="auto"/>
                <w:sz w:val="24"/>
                <w:highlight w:val="none"/>
              </w:rPr>
            </w:pPr>
            <w:r>
              <w:rPr>
                <w:b/>
                <w:bCs/>
                <w:color w:val="auto"/>
                <w:sz w:val="24"/>
                <w:highlight w:val="none"/>
              </w:rPr>
              <w:t>地表水环境现状</w:t>
            </w:r>
          </w:p>
          <w:p w14:paraId="68B4EA25">
            <w:pPr>
              <w:spacing w:line="360" w:lineRule="auto"/>
              <w:ind w:firstLine="480" w:firstLineChars="200"/>
              <w:rPr>
                <w:rFonts w:hint="eastAsia"/>
                <w:kern w:val="0"/>
                <w:sz w:val="24"/>
                <w:highlight w:val="none"/>
              </w:rPr>
            </w:pPr>
            <w:r>
              <w:rPr>
                <w:rFonts w:hint="default" w:ascii="Times New Roman" w:hAnsi="Times New Roman" w:eastAsia="宋体" w:cs="Times New Roman"/>
                <w:color w:val="auto"/>
                <w:sz w:val="24"/>
                <w:highlight w:val="none"/>
              </w:rPr>
              <w:t>本项目地位于安徽省淮南</w:t>
            </w:r>
            <w:r>
              <w:rPr>
                <w:rFonts w:hint="eastAsia" w:ascii="Times New Roman" w:hAnsi="Times New Roman" w:eastAsia="宋体" w:cs="Times New Roman"/>
                <w:color w:val="auto"/>
                <w:sz w:val="24"/>
                <w:highlight w:val="none"/>
                <w:lang w:val="en-US" w:eastAsia="zh-CN"/>
              </w:rPr>
              <w:t>市凤台县新集镇王集村，安徽省淮南市新集一矿3608(6)采区东翼</w:t>
            </w:r>
            <w:r>
              <w:rPr>
                <w:rFonts w:hint="default" w:ascii="Times New Roman" w:hAnsi="Times New Roman" w:eastAsia="宋体" w:cs="Times New Roman"/>
                <w:color w:val="auto"/>
                <w:sz w:val="24"/>
                <w:highlight w:val="none"/>
              </w:rPr>
              <w:t>，</w:t>
            </w:r>
            <w:r>
              <w:rPr>
                <w:kern w:val="0"/>
                <w:sz w:val="24"/>
                <w:highlight w:val="none"/>
              </w:rPr>
              <w:t>项目周边地表水体</w:t>
            </w:r>
            <w:r>
              <w:rPr>
                <w:rFonts w:hint="eastAsia"/>
                <w:kern w:val="0"/>
                <w:sz w:val="24"/>
                <w:highlight w:val="none"/>
              </w:rPr>
              <w:t>为西淝河</w:t>
            </w:r>
            <w:r>
              <w:rPr>
                <w:kern w:val="0"/>
                <w:sz w:val="24"/>
                <w:highlight w:val="none"/>
              </w:rPr>
              <w:t>。</w:t>
            </w:r>
            <w:r>
              <w:rPr>
                <w:rFonts w:hint="eastAsia"/>
                <w:sz w:val="24"/>
                <w:highlight w:val="none"/>
              </w:rPr>
              <w:t>根据淮南市生态环境局发布的《</w:t>
            </w:r>
            <w:r>
              <w:rPr>
                <w:rFonts w:hint="eastAsia"/>
                <w:sz w:val="24"/>
                <w:highlight w:val="none"/>
                <w:lang w:eastAsia="zh-CN"/>
              </w:rPr>
              <w:t>2025年淮南市生态环境质量状况公报</w:t>
            </w:r>
            <w:r>
              <w:rPr>
                <w:rFonts w:hint="eastAsia"/>
                <w:kern w:val="0"/>
                <w:sz w:val="24"/>
                <w:highlight w:val="none"/>
              </w:rPr>
              <w:t>》</w:t>
            </w:r>
            <w:r>
              <w:rPr>
                <w:kern w:val="0"/>
                <w:sz w:val="24"/>
                <w:highlight w:val="none"/>
              </w:rPr>
              <w:t>。</w:t>
            </w:r>
            <w:bookmarkStart w:id="11" w:name="_Hlk147561784"/>
            <w:r>
              <w:rPr>
                <w:rFonts w:hint="eastAsia"/>
                <w:kern w:val="0"/>
                <w:sz w:val="24"/>
                <w:highlight w:val="none"/>
              </w:rPr>
              <w:t>2025年，全市地表水24个监测断面中优良水质比例为95.8%，Ⅳ类水质比例4.2%，总体水质状况优，比上年上升了4.1个百分点。</w:t>
            </w:r>
          </w:p>
          <w:p w14:paraId="19B19B33">
            <w:pPr>
              <w:spacing w:line="360" w:lineRule="auto"/>
              <w:ind w:firstLine="480" w:firstLineChars="200"/>
              <w:rPr>
                <w:rFonts w:hint="eastAsia"/>
                <w:kern w:val="0"/>
                <w:sz w:val="24"/>
                <w:highlight w:val="none"/>
              </w:rPr>
            </w:pPr>
            <w:r>
              <w:rPr>
                <w:rFonts w:hint="eastAsia"/>
                <w:kern w:val="0"/>
                <w:sz w:val="24"/>
                <w:highlight w:val="none"/>
              </w:rPr>
              <w:t>8个国控断面中优良水质比例为87.5%，Ⅳ类水质比例12.5%，总体水质状况良好；考核我市的11个省控断面中优良水质比例为100%，总体水质状况优。</w:t>
            </w:r>
          </w:p>
          <w:p w14:paraId="621BD228">
            <w:pPr>
              <w:spacing w:line="360" w:lineRule="auto"/>
              <w:ind w:firstLine="480" w:firstLineChars="200"/>
              <w:rPr>
                <w:rFonts w:hint="eastAsia"/>
                <w:kern w:val="0"/>
                <w:sz w:val="24"/>
                <w:highlight w:val="none"/>
              </w:rPr>
            </w:pPr>
            <w:r>
              <w:rPr>
                <w:rFonts w:hint="eastAsia"/>
                <w:kern w:val="0"/>
                <w:sz w:val="24"/>
                <w:highlight w:val="none"/>
              </w:rPr>
              <w:t>河流：淮河干流水质状况为优，东淝河、西淝河、永幸河、陡涧河水质状况为优，架河、泥河、万小河、瓦西干渠、丁家沟和便民沟水质状况为良好。20个监测断面中优良水质比例为100%，与去年持平。袁庄水厂、东部城区水源地、西淝河闸下、窑口大桥和白洋淀渡口断面水质均有所好转（Ⅲ类→Ⅱ类），其他断面水质保持稳定。</w:t>
            </w:r>
          </w:p>
          <w:p w14:paraId="51B48191">
            <w:pPr>
              <w:spacing w:line="360" w:lineRule="auto"/>
              <w:ind w:firstLine="480" w:firstLineChars="200"/>
              <w:rPr>
                <w:rFonts w:hint="eastAsia"/>
                <w:sz w:val="24"/>
                <w:highlight w:val="none"/>
              </w:rPr>
            </w:pPr>
            <w:r>
              <w:rPr>
                <w:rFonts w:hint="eastAsia"/>
                <w:kern w:val="0"/>
                <w:sz w:val="24"/>
                <w:highlight w:val="none"/>
              </w:rPr>
              <w:t>湖库：安丰塘、瓦埠湖和焦岗湖点位水质年均值符合Ⅲ类标准，水质状况为良好；高塘湖点位水质年均值符合Ⅳ类标准，水质轻度污染，主要污染指标为总磷。安丰塘营养状态为中营养，焦岗湖、高塘湖和瓦埠湖营养状态均为轻度富营养。与上年相比，安丰塘点位水质类别由Ⅳ类好转为Ⅲ类，瓦埠湖、高塘湖和焦岗湖点位水质类别保持稳定。</w:t>
            </w:r>
            <w:r>
              <w:rPr>
                <w:kern w:val="0"/>
                <w:sz w:val="24"/>
                <w:highlight w:val="none"/>
              </w:rPr>
              <w:t>202</w:t>
            </w:r>
            <w:r>
              <w:rPr>
                <w:rFonts w:hint="eastAsia"/>
                <w:kern w:val="0"/>
                <w:sz w:val="24"/>
                <w:highlight w:val="none"/>
                <w:lang w:val="en-US" w:eastAsia="zh-CN"/>
              </w:rPr>
              <w:t>5</w:t>
            </w:r>
            <w:r>
              <w:rPr>
                <w:kern w:val="0"/>
                <w:sz w:val="24"/>
                <w:highlight w:val="none"/>
              </w:rPr>
              <w:t>年</w:t>
            </w:r>
            <w:r>
              <w:rPr>
                <w:rFonts w:hint="eastAsia"/>
                <w:kern w:val="0"/>
                <w:sz w:val="24"/>
                <w:highlight w:val="none"/>
              </w:rPr>
              <w:t>淮南市西淝河</w:t>
            </w:r>
            <w:r>
              <w:rPr>
                <w:kern w:val="0"/>
                <w:sz w:val="24"/>
                <w:highlight w:val="none"/>
              </w:rPr>
              <w:t>地表水水质满足《地表水</w:t>
            </w:r>
            <w:r>
              <w:rPr>
                <w:sz w:val="24"/>
                <w:highlight w:val="none"/>
              </w:rPr>
              <w:t>环境质量标准》（GB3838-2002）Ⅲ类标准要求</w:t>
            </w:r>
            <w:bookmarkEnd w:id="11"/>
            <w:r>
              <w:rPr>
                <w:rFonts w:hint="eastAsia"/>
                <w:sz w:val="24"/>
                <w:highlight w:val="none"/>
              </w:rPr>
              <w:t>。</w:t>
            </w:r>
          </w:p>
          <w:p w14:paraId="0BEECCF5">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sz w:val="24"/>
                <w:highlight w:val="none"/>
              </w:rPr>
              <w:t>本项目区域地表水体为西淝河；根据《</w:t>
            </w:r>
            <w:r>
              <w:rPr>
                <w:rFonts w:hint="eastAsia"/>
                <w:sz w:val="24"/>
                <w:highlight w:val="none"/>
                <w:lang w:eastAsia="zh-CN"/>
              </w:rPr>
              <w:t>2025年淮南市生态环境质量状况公报</w:t>
            </w:r>
            <w:r>
              <w:rPr>
                <w:rFonts w:hint="eastAsia"/>
                <w:sz w:val="24"/>
                <w:highlight w:val="none"/>
              </w:rPr>
              <w:t>》，项目地表水体</w:t>
            </w:r>
            <w:r>
              <w:rPr>
                <w:sz w:val="24"/>
                <w:highlight w:val="none"/>
              </w:rPr>
              <w:t>西淝河</w:t>
            </w:r>
            <w:r>
              <w:rPr>
                <w:rFonts w:hint="eastAsia"/>
                <w:sz w:val="24"/>
                <w:highlight w:val="none"/>
              </w:rPr>
              <w:t>水质满足</w:t>
            </w:r>
            <w:r>
              <w:rPr>
                <w:sz w:val="24"/>
                <w:highlight w:val="none"/>
              </w:rPr>
              <w:t>《地表水环境质量标准》（GB3838-2002）Ⅲ类标准</w:t>
            </w:r>
            <w:r>
              <w:rPr>
                <w:color w:val="000000" w:themeColor="text1"/>
                <w:sz w:val="24"/>
                <w:highlight w:val="none"/>
                <w14:textFill>
                  <w14:solidFill>
                    <w14:schemeClr w14:val="tx1"/>
                  </w14:solidFill>
                </w14:textFill>
              </w:rPr>
              <w:t>要求</w:t>
            </w:r>
            <w:r>
              <w:rPr>
                <w:rFonts w:hint="eastAsia"/>
                <w:color w:val="000000" w:themeColor="text1"/>
                <w:sz w:val="24"/>
                <w:highlight w:val="none"/>
                <w14:textFill>
                  <w14:solidFill>
                    <w14:schemeClr w14:val="tx1"/>
                  </w14:solidFill>
                </w14:textFill>
              </w:rPr>
              <w:t>。</w:t>
            </w:r>
          </w:p>
          <w:p w14:paraId="2C123409">
            <w:pPr>
              <w:pStyle w:val="7"/>
              <w:spacing w:line="360" w:lineRule="auto"/>
              <w:ind w:firstLine="482"/>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3、声环境质量现状</w:t>
            </w:r>
          </w:p>
          <w:p w14:paraId="700596C8">
            <w:pPr>
              <w:spacing w:line="360" w:lineRule="auto"/>
              <w:ind w:firstLine="480" w:firstLineChars="200"/>
              <w:rPr>
                <w:color w:val="auto"/>
                <w:sz w:val="24"/>
                <w:highlight w:val="none"/>
              </w:rPr>
            </w:pPr>
            <w:r>
              <w:rPr>
                <w:color w:val="auto"/>
                <w:sz w:val="24"/>
                <w:highlight w:val="none"/>
              </w:rPr>
              <w:t>根据现场踏勘，项目场界外50米范围内无敏感点声环境保护目标。故本项目无需进行声环境质量现状监测。</w:t>
            </w:r>
          </w:p>
          <w:p w14:paraId="7AA2ACCD">
            <w:pPr>
              <w:spacing w:line="360" w:lineRule="auto"/>
              <w:ind w:firstLine="482" w:firstLineChars="200"/>
              <w:rPr>
                <w:b/>
                <w:bCs/>
                <w:color w:val="auto"/>
                <w:sz w:val="24"/>
                <w:highlight w:val="none"/>
              </w:rPr>
            </w:pPr>
            <w:r>
              <w:rPr>
                <w:b/>
                <w:bCs/>
                <w:color w:val="auto"/>
                <w:kern w:val="0"/>
                <w:sz w:val="24"/>
                <w:highlight w:val="none"/>
              </w:rPr>
              <w:t>4、</w:t>
            </w:r>
            <w:r>
              <w:rPr>
                <w:b/>
                <w:bCs/>
                <w:color w:val="auto"/>
                <w:sz w:val="24"/>
                <w:highlight w:val="none"/>
              </w:rPr>
              <w:t>土壤环境质量现状和地下水土壤环境质量现状</w:t>
            </w:r>
          </w:p>
          <w:p w14:paraId="15ADF01E">
            <w:pPr>
              <w:spacing w:line="360" w:lineRule="auto"/>
              <w:ind w:firstLine="480" w:firstLineChars="200"/>
              <w:rPr>
                <w:sz w:val="24"/>
                <w:highlight w:val="none"/>
              </w:rPr>
            </w:pPr>
            <w:r>
              <w:rPr>
                <w:rFonts w:hint="eastAsia" w:ascii="Times New Roman" w:hAnsi="Times New Roman"/>
                <w:color w:val="auto"/>
                <w:sz w:val="24"/>
                <w:highlight w:val="none"/>
                <w:lang w:val="en-US" w:eastAsia="zh-CN"/>
              </w:rPr>
              <w:t>根据《建设项目环境影响报告表编制技术指南（生态环境影响类）》（试行）相关规定开展补充监测，水、生态、土壤等其他环境要素参照环境影响评价相关技术导则开展补充监测和调查。</w:t>
            </w:r>
            <w:r>
              <w:rPr>
                <w:sz w:val="24"/>
                <w:highlight w:val="none"/>
              </w:rPr>
              <w:t>根据《环境影响评价技术导则 土壤环境（试行）》（HJ 964-2018）表A.1土壤环境影响评价项目类别，本项目属于“其他行业中全部”，为IV类项目，根据污染影响型评价工作等级划分表，本项目可不开展土壤环境影响评价工作。</w:t>
            </w:r>
          </w:p>
          <w:p w14:paraId="204C9CF6">
            <w:pPr>
              <w:spacing w:line="360" w:lineRule="auto"/>
              <w:ind w:firstLine="480" w:firstLineChars="200"/>
              <w:rPr>
                <w:rFonts w:hint="default"/>
                <w:color w:val="000000" w:themeColor="text1"/>
                <w:sz w:val="24"/>
                <w:highlight w:val="none"/>
                <w14:textFill>
                  <w14:solidFill>
                    <w14:schemeClr w14:val="tx1"/>
                  </w14:solidFill>
                </w14:textFill>
              </w:rPr>
            </w:pPr>
            <w:r>
              <w:rPr>
                <w:sz w:val="24"/>
                <w:highlight w:val="none"/>
              </w:rPr>
              <w:t>对照《环境影响评价技术导则地下水环境》（HJ610-2016）附录 A“地下水环境影响 评价行业分类表”，本项目属于“C地质勘查中24、矿产资源地质勘查（包括勘探活动）”，为IV类项目。根据导则要求，IV 类项目可不开展地下水环境影响评价工作。</w:t>
            </w:r>
          </w:p>
        </w:tc>
      </w:tr>
      <w:tr w14:paraId="61F4D7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11" w:type="dxa"/>
            <w:vAlign w:val="center"/>
          </w:tcPr>
          <w:p w14:paraId="1A9F5022">
            <w:pPr>
              <w:adjustRightInd w:val="0"/>
              <w:snapToGrid w:val="0"/>
              <w:jc w:val="center"/>
              <w:rPr>
                <w:rFonts w:hint="default" w:ascii="Times New Roman" w:hAnsi="Times New Roman" w:eastAsia="宋体" w:cs="Times New Roman"/>
                <w:color w:val="FF0000"/>
                <w:kern w:val="0"/>
                <w:sz w:val="24"/>
                <w:szCs w:val="24"/>
                <w:highlight w:val="none"/>
              </w:rPr>
            </w:pPr>
            <w:r>
              <w:rPr>
                <w:rFonts w:hint="default" w:ascii="Times New Roman" w:hAnsi="Times New Roman" w:eastAsia="宋体" w:cs="Times New Roman"/>
                <w:bCs/>
                <w:sz w:val="24"/>
                <w:szCs w:val="24"/>
                <w:highlight w:val="none"/>
              </w:rPr>
              <w:t>与项目有关的原有环境污染和生态破坏问题</w:t>
            </w:r>
          </w:p>
        </w:tc>
        <w:tc>
          <w:tcPr>
            <w:tcW w:w="8646" w:type="dxa"/>
            <w:vAlign w:val="center"/>
          </w:tcPr>
          <w:p w14:paraId="510B3A12">
            <w:pPr>
              <w:widowControl/>
              <w:kinsoku w:val="0"/>
              <w:autoSpaceDE w:val="0"/>
              <w:autoSpaceDN w:val="0"/>
              <w:adjustRightInd w:val="0"/>
              <w:snapToGrid w:val="0"/>
              <w:spacing w:line="360" w:lineRule="auto"/>
              <w:textAlignment w:val="baseline"/>
              <w:rPr>
                <w:b/>
                <w:bCs/>
                <w:color w:val="auto"/>
                <w:sz w:val="24"/>
                <w:highlight w:val="none"/>
              </w:rPr>
            </w:pPr>
            <w:r>
              <w:rPr>
                <w:b/>
                <w:bCs/>
                <w:color w:val="auto"/>
                <w:sz w:val="24"/>
                <w:highlight w:val="none"/>
              </w:rPr>
              <w:t>既有工程环保手续履行情况和梳理存在的环保问题</w:t>
            </w:r>
          </w:p>
          <w:p w14:paraId="3BF96885">
            <w:pPr>
              <w:spacing w:line="360" w:lineRule="auto"/>
              <w:ind w:firstLine="480" w:firstLineChars="200"/>
              <w:rPr>
                <w:color w:val="auto"/>
                <w:sz w:val="24"/>
                <w:highlight w:val="none"/>
              </w:rPr>
            </w:pPr>
            <w:r>
              <w:rPr>
                <w:color w:val="auto"/>
                <w:sz w:val="24"/>
                <w:highlight w:val="none"/>
              </w:rPr>
              <w:t>本项目为新建项目，项目区域现状为农田，无原有污染情况及环境问题。</w:t>
            </w:r>
          </w:p>
          <w:p w14:paraId="372CAF8D">
            <w:pPr>
              <w:spacing w:line="360" w:lineRule="auto"/>
              <w:ind w:firstLine="480" w:firstLineChars="200"/>
              <w:rPr>
                <w:color w:val="auto"/>
                <w:sz w:val="24"/>
                <w:highlight w:val="none"/>
              </w:rPr>
            </w:pPr>
          </w:p>
          <w:p w14:paraId="2654AA3C">
            <w:pPr>
              <w:widowControl/>
              <w:shd w:val="clear" w:color="auto" w:fill="FFFFFF"/>
              <w:spacing w:line="360" w:lineRule="auto"/>
              <w:ind w:firstLine="480" w:firstLineChars="200"/>
              <w:rPr>
                <w:rFonts w:hint="default" w:ascii="Times New Roman" w:hAnsi="Times New Roman" w:eastAsia="宋体" w:cs="Times New Roman"/>
                <w:kern w:val="0"/>
                <w:sz w:val="24"/>
                <w:szCs w:val="24"/>
                <w:highlight w:val="none"/>
              </w:rPr>
            </w:pPr>
          </w:p>
        </w:tc>
      </w:tr>
      <w:tr w14:paraId="0F8C81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35" w:hRule="atLeast"/>
          <w:jc w:val="center"/>
        </w:trPr>
        <w:tc>
          <w:tcPr>
            <w:tcW w:w="511" w:type="dxa"/>
            <w:vAlign w:val="center"/>
          </w:tcPr>
          <w:p w14:paraId="5E78BAD2">
            <w:pPr>
              <w:adjustRightInd w:val="0"/>
              <w:snapToGrid w:val="0"/>
              <w:jc w:val="center"/>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生态环境保护目标</w:t>
            </w:r>
          </w:p>
        </w:tc>
        <w:tc>
          <w:tcPr>
            <w:tcW w:w="8646" w:type="dxa"/>
            <w:vAlign w:val="center"/>
          </w:tcPr>
          <w:p w14:paraId="15BFDB18">
            <w:pPr>
              <w:pStyle w:val="16"/>
              <w:tabs>
                <w:tab w:val="left" w:pos="0"/>
              </w:tabs>
              <w:spacing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1、生态环境</w:t>
            </w:r>
          </w:p>
          <w:p w14:paraId="1EF97622">
            <w:pPr>
              <w:pStyle w:val="16"/>
              <w:tabs>
                <w:tab w:val="left" w:pos="0"/>
              </w:tabs>
              <w:spacing w:line="360" w:lineRule="auto"/>
              <w:ind w:firstLine="480" w:firstLineChars="200"/>
              <w:rPr>
                <w:rFonts w:ascii="Times New Roman" w:hAnsi="Times New Roman" w:eastAsia="宋体"/>
                <w:color w:val="000000" w:themeColor="text1"/>
                <w:sz w:val="24"/>
                <w:highlight w:val="none"/>
                <w14:textFill>
                  <w14:solidFill>
                    <w14:schemeClr w14:val="tx1"/>
                  </w14:solidFill>
                </w14:textFill>
              </w:rPr>
            </w:pPr>
            <w:r>
              <w:rPr>
                <w:rFonts w:hint="eastAsia" w:ascii="Times New Roman" w:hAnsi="Times New Roman"/>
                <w:color w:val="auto"/>
                <w:sz w:val="24"/>
                <w:highlight w:val="none"/>
                <w:lang w:val="en-US" w:eastAsia="zh-CN"/>
              </w:rPr>
              <w:t>根据《建设项目环境影响报告表编制技术指南（生态环境影响类）》（试行）相关规定开展补充监测，水、生态、土壤等其他环境要素参照环境影响评价相关技术导则开展补充监测和调查。</w:t>
            </w:r>
            <w:r>
              <w:rPr>
                <w:rFonts w:ascii="Times New Roman" w:hAnsi="Times New Roman"/>
                <w:color w:val="auto"/>
                <w:sz w:val="24"/>
                <w:highlight w:val="none"/>
              </w:rPr>
              <w:t>根据《环境影响评价技术导则 生态影响》(HJ19-2022)，本项目不涉及国家公园、自然保护区、自然公园等自然保护地、世界自然遗产、生态保护红线等区域，以及重要物种</w:t>
            </w:r>
            <w:r>
              <w:rPr>
                <w:rFonts w:ascii="Times New Roman" w:hAnsi="Times New Roman"/>
                <w:color w:val="000000" w:themeColor="text1"/>
                <w:sz w:val="24"/>
                <w:highlight w:val="none"/>
                <w14:textFill>
                  <w14:solidFill>
                    <w14:schemeClr w14:val="tx1"/>
                  </w14:solidFill>
                </w14:textFill>
              </w:rPr>
              <w:t>的重要生境等生态敏感区，</w:t>
            </w:r>
            <w:r>
              <w:rPr>
                <w:rFonts w:ascii="Times New Roman" w:hAnsi="Times New Roman" w:eastAsia="宋体"/>
                <w:color w:val="000000" w:themeColor="text1"/>
                <w:sz w:val="24"/>
                <w:highlight w:val="none"/>
                <w14:textFill>
                  <w14:solidFill>
                    <w14:schemeClr w14:val="tx1"/>
                  </w14:solidFill>
                </w14:textFill>
              </w:rPr>
              <w:t>项目总占地规模为</w:t>
            </w:r>
            <w:r>
              <w:rPr>
                <w:rFonts w:hint="eastAsia" w:ascii="Times New Roman" w:hAnsi="Times New Roman" w:eastAsia="宋体"/>
                <w:color w:val="000000" w:themeColor="text1"/>
                <w:sz w:val="24"/>
                <w:highlight w:val="none"/>
                <w:lang w:val="en-US" w:eastAsia="zh-CN"/>
                <w14:textFill>
                  <w14:solidFill>
                    <w14:schemeClr w14:val="tx1"/>
                  </w14:solidFill>
                </w14:textFill>
              </w:rPr>
              <w:t>9379</w:t>
            </w:r>
            <w:r>
              <w:rPr>
                <w:rFonts w:hint="eastAsia" w:ascii="Times New Roman" w:hAnsi="Times New Roman"/>
                <w:color w:val="000000" w:themeColor="text1"/>
                <w:sz w:val="24"/>
                <w:highlight w:val="none"/>
                <w:lang w:val="en-US" w:eastAsia="zh-CN"/>
                <w14:textFill>
                  <w14:solidFill>
                    <w14:schemeClr w14:val="tx1"/>
                  </w14:solidFill>
                </w14:textFill>
              </w:rPr>
              <w:t>m</w:t>
            </w:r>
            <w:r>
              <w:rPr>
                <w:rFonts w:hint="eastAsia" w:ascii="Times New Roman" w:hAnsi="Times New Roman"/>
                <w:color w:val="000000" w:themeColor="text1"/>
                <w:sz w:val="24"/>
                <w:highlight w:val="none"/>
                <w:vertAlign w:val="superscript"/>
                <w:lang w:val="en-US" w:eastAsia="zh-CN"/>
                <w14:textFill>
                  <w14:solidFill>
                    <w14:schemeClr w14:val="tx1"/>
                  </w14:solidFill>
                </w14:textFill>
              </w:rPr>
              <w:t>2</w:t>
            </w:r>
            <w:r>
              <w:rPr>
                <w:rFonts w:ascii="Times New Roman" w:hAnsi="Times New Roman" w:eastAsia="宋体"/>
                <w:color w:val="000000" w:themeColor="text1"/>
                <w:sz w:val="24"/>
                <w:highlight w:val="none"/>
                <w14:textFill>
                  <w14:solidFill>
                    <w14:schemeClr w14:val="tx1"/>
                  </w14:solidFill>
                </w14:textFill>
              </w:rPr>
              <w:t>(全部为临时占地)，远小于20km</w:t>
            </w:r>
            <w:r>
              <w:rPr>
                <w:rFonts w:ascii="Times New Roman" w:hAnsi="Times New Roman" w:eastAsia="宋体"/>
                <w:color w:val="000000" w:themeColor="text1"/>
                <w:sz w:val="24"/>
                <w:highlight w:val="none"/>
                <w:vertAlign w:val="superscript"/>
                <w14:textFill>
                  <w14:solidFill>
                    <w14:schemeClr w14:val="tx1"/>
                  </w14:solidFill>
                </w14:textFill>
              </w:rPr>
              <w:t>2</w:t>
            </w:r>
            <w:r>
              <w:rPr>
                <w:rFonts w:ascii="Times New Roman" w:hAnsi="Times New Roman" w:eastAsia="宋体"/>
                <w:color w:val="000000" w:themeColor="text1"/>
                <w:sz w:val="24"/>
                <w:highlight w:val="none"/>
                <w14:textFill>
                  <w14:solidFill>
                    <w14:schemeClr w14:val="tx1"/>
                  </w14:solidFill>
                </w14:textFill>
              </w:rPr>
              <w:t>。因此评价范围为施工场地周边500m范围内的区域。</w:t>
            </w:r>
          </w:p>
          <w:p w14:paraId="659F244E">
            <w:pPr>
              <w:pStyle w:val="16"/>
              <w:tabs>
                <w:tab w:val="left" w:pos="0"/>
              </w:tabs>
              <w:spacing w:line="360" w:lineRule="auto"/>
              <w:ind w:firstLine="480" w:firstLineChars="200"/>
              <w:rPr>
                <w:rFonts w:ascii="Times New Roman" w:hAnsi="Times New Roman" w:eastAsia="宋体"/>
                <w:color w:val="000000" w:themeColor="text1"/>
                <w:sz w:val="24"/>
                <w:highlight w:val="none"/>
                <w14:textFill>
                  <w14:solidFill>
                    <w14:schemeClr w14:val="tx1"/>
                  </w14:solidFill>
                </w14:textFill>
              </w:rPr>
            </w:pPr>
            <w:r>
              <w:rPr>
                <w:rFonts w:ascii="Times New Roman" w:hAnsi="Times New Roman" w:eastAsia="宋体"/>
                <w:color w:val="000000" w:themeColor="text1"/>
                <w:sz w:val="24"/>
                <w:highlight w:val="none"/>
                <w14:textFill>
                  <w14:solidFill>
                    <w14:schemeClr w14:val="tx1"/>
                  </w14:solidFill>
                </w14:textFill>
              </w:rPr>
              <w:t>根据现状调查，项目周边500m范围内土地利用类型以耕地为主，主要种植水稻、小麦等农作物</w:t>
            </w:r>
            <w:r>
              <w:rPr>
                <w:rFonts w:hint="default" w:ascii="Times New Roman" w:hAnsi="Times New Roman" w:eastAsia="宋体"/>
                <w:color w:val="000000" w:themeColor="text1"/>
                <w:sz w:val="24"/>
                <w:highlight w:val="none"/>
                <w14:textFill>
                  <w14:solidFill>
                    <w14:schemeClr w14:val="tx1"/>
                  </w14:solidFill>
                </w14:textFill>
              </w:rPr>
              <w:t>。植被类型为农田植被，无原始森林和次生林。</w:t>
            </w:r>
            <w:r>
              <w:rPr>
                <w:rFonts w:ascii="Times New Roman" w:hAnsi="Times New Roman" w:eastAsia="宋体"/>
                <w:color w:val="000000" w:themeColor="text1"/>
                <w:sz w:val="24"/>
                <w:highlight w:val="none"/>
                <w14:textFill>
                  <w14:solidFill>
                    <w14:schemeClr w14:val="tx1"/>
                  </w14:solidFill>
                </w14:textFill>
              </w:rPr>
              <w:t>本项目评价区范围内未见依据法律法规、政策等规范性文件划定或确认的国家公园、自然保护区、自然公园等自然保护地、世界自然遗产、生态保护红线等区域，未见重要物种的天然集中分布区、栖息地，重要水生生物的产卵场、索饵场、越冬场和洄游通道，迁徙鸟类的重要繁殖地、停歇地、越冬地以及野生动物迁徙通道等及其他需要保护的物种、种群生物群落及生态空间等生态环境保护目标</w:t>
            </w:r>
          </w:p>
          <w:p w14:paraId="7523C316">
            <w:pPr>
              <w:pStyle w:val="16"/>
              <w:tabs>
                <w:tab w:val="left" w:pos="0"/>
              </w:tabs>
              <w:spacing w:line="360" w:lineRule="auto"/>
              <w:ind w:firstLine="480" w:firstLineChars="200"/>
              <w:rPr>
                <w:rFonts w:ascii="Times New Roman" w:hAnsi="Times New Roman" w:eastAsia="宋体"/>
                <w:color w:val="000000" w:themeColor="text1"/>
                <w:sz w:val="24"/>
                <w:highlight w:val="none"/>
                <w14:textFill>
                  <w14:solidFill>
                    <w14:schemeClr w14:val="tx1"/>
                  </w14:solidFill>
                </w14:textFill>
              </w:rPr>
            </w:pPr>
            <w:r>
              <w:rPr>
                <w:rFonts w:ascii="Times New Roman" w:hAnsi="Times New Roman" w:eastAsia="宋体"/>
                <w:color w:val="000000" w:themeColor="text1"/>
                <w:sz w:val="24"/>
                <w:highlight w:val="none"/>
                <w14:textFill>
                  <w14:solidFill>
                    <w14:schemeClr w14:val="tx1"/>
                  </w14:solidFill>
                </w14:textFill>
              </w:rPr>
              <w:t>本项目施工场地50米范围内均无声环境保护目标</w:t>
            </w:r>
            <w:r>
              <w:rPr>
                <w:rFonts w:hint="eastAsia" w:ascii="Times New Roman" w:hAnsi="Times New Roman" w:eastAsia="宋体"/>
                <w:color w:val="000000" w:themeColor="text1"/>
                <w:sz w:val="24"/>
                <w:highlight w:val="none"/>
                <w14:textFill>
                  <w14:solidFill>
                    <w14:schemeClr w14:val="tx1"/>
                  </w14:solidFill>
                </w14:textFill>
              </w:rPr>
              <w:t>。</w:t>
            </w:r>
            <w:r>
              <w:rPr>
                <w:rFonts w:ascii="Times New Roman" w:hAnsi="Times New Roman" w:eastAsia="宋体"/>
                <w:color w:val="000000" w:themeColor="text1"/>
                <w:sz w:val="24"/>
                <w:highlight w:val="none"/>
                <w14:textFill>
                  <w14:solidFill>
                    <w14:schemeClr w14:val="tx1"/>
                  </w14:solidFill>
                </w14:textFill>
              </w:rPr>
              <w:t>临时施工场地周边500米范围内大气环境保护目标见下表：</w:t>
            </w:r>
          </w:p>
          <w:p w14:paraId="72474941">
            <w:pPr>
              <w:pStyle w:val="11"/>
              <w:rPr>
                <w:rFonts w:ascii="Times New Roman" w:hAnsi="Times New Roman" w:eastAsia="宋体"/>
                <w:color w:val="000000" w:themeColor="text1"/>
                <w:sz w:val="24"/>
                <w:highlight w:val="none"/>
                <w14:textFill>
                  <w14:solidFill>
                    <w14:schemeClr w14:val="tx1"/>
                  </w14:solidFill>
                </w14:textFill>
              </w:rPr>
            </w:pPr>
          </w:p>
          <w:p w14:paraId="50899207">
            <w:pPr>
              <w:rPr>
                <w:rFonts w:ascii="Times New Roman" w:hAnsi="Times New Roman" w:eastAsia="宋体"/>
                <w:color w:val="000000" w:themeColor="text1"/>
                <w:sz w:val="24"/>
                <w:highlight w:val="none"/>
                <w14:textFill>
                  <w14:solidFill>
                    <w14:schemeClr w14:val="tx1"/>
                  </w14:solidFill>
                </w14:textFill>
              </w:rPr>
            </w:pPr>
          </w:p>
          <w:p w14:paraId="07FF3766">
            <w:pPr>
              <w:rPr>
                <w:rFonts w:ascii="Times New Roman" w:hAnsi="Times New Roman" w:eastAsia="宋体"/>
                <w:color w:val="000000" w:themeColor="text1"/>
                <w:sz w:val="24"/>
                <w:highlight w:val="none"/>
                <w14:textFill>
                  <w14:solidFill>
                    <w14:schemeClr w14:val="tx1"/>
                  </w14:solidFill>
                </w14:textFill>
              </w:rPr>
            </w:pPr>
          </w:p>
          <w:p w14:paraId="15E6538C">
            <w:pPr>
              <w:rPr>
                <w:rFonts w:ascii="Times New Roman" w:hAnsi="Times New Roman" w:eastAsia="宋体"/>
                <w:color w:val="000000" w:themeColor="text1"/>
                <w:sz w:val="24"/>
                <w:highlight w:val="none"/>
                <w14:textFill>
                  <w14:solidFill>
                    <w14:schemeClr w14:val="tx1"/>
                  </w14:solidFill>
                </w14:textFill>
              </w:rPr>
            </w:pPr>
          </w:p>
          <w:p w14:paraId="52E9A917">
            <w:pPr>
              <w:rPr>
                <w:rFonts w:hint="default" w:ascii="Times New Roman" w:hAnsi="Times New Roman" w:eastAsia="宋体"/>
                <w:color w:val="000000" w:themeColor="text1"/>
                <w:sz w:val="24"/>
                <w:highlight w:val="none"/>
                <w14:textFill>
                  <w14:solidFill>
                    <w14:schemeClr w14:val="tx1"/>
                  </w14:solidFill>
                </w14:textFill>
              </w:rPr>
            </w:pPr>
          </w:p>
        </w:tc>
      </w:tr>
    </w:tbl>
    <w:p w14:paraId="1409E67D">
      <w:pPr>
        <w:widowControl/>
        <w:jc w:val="center"/>
        <w:rPr>
          <w:rFonts w:hint="default" w:ascii="Times New Roman" w:hAnsi="Times New Roman" w:eastAsia="黑体" w:cs="Times New Roman"/>
          <w:snapToGrid w:val="0"/>
          <w:color w:val="FF0000"/>
          <w:sz w:val="36"/>
          <w:szCs w:val="36"/>
          <w:highlight w:val="none"/>
        </w:rPr>
        <w:sectPr>
          <w:pgSz w:w="11906" w:h="16838"/>
          <w:pgMar w:top="1440" w:right="1797" w:bottom="1440" w:left="1797" w:header="851" w:footer="1077" w:gutter="0"/>
          <w:pgBorders>
            <w:top w:val="none" w:sz="0" w:space="0"/>
            <w:left w:val="none" w:sz="0" w:space="0"/>
            <w:bottom w:val="none" w:sz="0" w:space="0"/>
            <w:right w:val="none" w:sz="0" w:space="0"/>
          </w:pgBorders>
          <w:cols w:space="425" w:num="1"/>
          <w:docGrid w:type="lines" w:linePitch="312" w:charSpace="0"/>
        </w:sectPr>
      </w:pPr>
    </w:p>
    <w:p w14:paraId="1A8A9807">
      <w:pPr>
        <w:spacing w:line="240" w:lineRule="atLeast"/>
        <w:jc w:val="center"/>
        <w:rPr>
          <w:rFonts w:hint="default" w:ascii="Times New Roman" w:hAnsi="Times New Roman" w:eastAsia="黑体" w:cs="Times New Roman"/>
          <w:color w:val="auto"/>
          <w:szCs w:val="24"/>
          <w:highlight w:val="none"/>
        </w:rPr>
      </w:pPr>
    </w:p>
    <w:p w14:paraId="79CA9094">
      <w:pPr>
        <w:spacing w:line="240" w:lineRule="atLeast"/>
        <w:jc w:val="center"/>
        <w:rPr>
          <w:rFonts w:hint="default" w:ascii="Times New Roman" w:hAnsi="Times New Roman" w:eastAsia="黑体" w:cs="Times New Roman"/>
          <w:color w:val="auto"/>
          <w:szCs w:val="24"/>
          <w:highlight w:val="none"/>
        </w:rPr>
      </w:pPr>
      <w:r>
        <w:rPr>
          <w:rFonts w:hint="default" w:ascii="Times New Roman" w:hAnsi="Times New Roman" w:eastAsia="黑体" w:cs="Times New Roman"/>
          <w:color w:val="auto"/>
          <w:szCs w:val="24"/>
          <w:highlight w:val="none"/>
        </w:rPr>
        <w:t>表3-</w:t>
      </w:r>
      <w:r>
        <w:rPr>
          <w:rFonts w:hint="eastAsia" w:eastAsia="黑体" w:cs="Times New Roman"/>
          <w:color w:val="auto"/>
          <w:szCs w:val="24"/>
          <w:highlight w:val="none"/>
          <w:lang w:val="en-US" w:eastAsia="zh-CN"/>
        </w:rPr>
        <w:t>3</w:t>
      </w:r>
      <w:r>
        <w:rPr>
          <w:rFonts w:hint="default" w:ascii="Times New Roman" w:hAnsi="Times New Roman" w:eastAsia="黑体" w:cs="Times New Roman"/>
          <w:color w:val="auto"/>
          <w:szCs w:val="24"/>
          <w:highlight w:val="none"/>
        </w:rPr>
        <w:t xml:space="preserve">  评价区域内主要环境保护目标一览表</w:t>
      </w:r>
    </w:p>
    <w:tbl>
      <w:tblPr>
        <w:tblStyle w:val="30"/>
        <w:tblW w:w="5147" w:type="pct"/>
        <w:jc w:val="center"/>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Layout w:type="fixed"/>
        <w:tblCellMar>
          <w:top w:w="0" w:type="dxa"/>
          <w:left w:w="0" w:type="dxa"/>
          <w:bottom w:w="0" w:type="dxa"/>
          <w:right w:w="0" w:type="dxa"/>
        </w:tblCellMar>
      </w:tblPr>
      <w:tblGrid>
        <w:gridCol w:w="868"/>
        <w:gridCol w:w="527"/>
        <w:gridCol w:w="1108"/>
        <w:gridCol w:w="1076"/>
        <w:gridCol w:w="1583"/>
        <w:gridCol w:w="1453"/>
        <w:gridCol w:w="743"/>
        <w:gridCol w:w="1815"/>
        <w:gridCol w:w="3064"/>
        <w:gridCol w:w="517"/>
        <w:gridCol w:w="1625"/>
      </w:tblGrid>
      <w:tr w14:paraId="30300225">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867" w:type="dxa"/>
            <w:vMerge w:val="restart"/>
            <w:tcBorders>
              <w:tl2br w:val="nil"/>
              <w:tr2bl w:val="nil"/>
            </w:tcBorders>
            <w:vAlign w:val="center"/>
          </w:tcPr>
          <w:p w14:paraId="096BF7C4">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环境要素</w:t>
            </w:r>
          </w:p>
        </w:tc>
        <w:tc>
          <w:tcPr>
            <w:tcW w:w="527" w:type="dxa"/>
            <w:vMerge w:val="restart"/>
            <w:tcBorders>
              <w:tl2br w:val="nil"/>
              <w:tr2bl w:val="nil"/>
            </w:tcBorders>
            <w:vAlign w:val="center"/>
          </w:tcPr>
          <w:p w14:paraId="0A14DEE6">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序号</w:t>
            </w:r>
          </w:p>
        </w:tc>
        <w:tc>
          <w:tcPr>
            <w:tcW w:w="2182" w:type="dxa"/>
            <w:gridSpan w:val="2"/>
            <w:vMerge w:val="restart"/>
            <w:tcBorders>
              <w:tl2br w:val="nil"/>
              <w:tr2bl w:val="nil"/>
            </w:tcBorders>
            <w:vAlign w:val="center"/>
          </w:tcPr>
          <w:p w14:paraId="0E19044C">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名称</w:t>
            </w:r>
          </w:p>
        </w:tc>
        <w:tc>
          <w:tcPr>
            <w:tcW w:w="3034" w:type="dxa"/>
            <w:gridSpan w:val="2"/>
            <w:tcBorders>
              <w:tl2br w:val="nil"/>
              <w:tr2bl w:val="nil"/>
            </w:tcBorders>
            <w:vAlign w:val="center"/>
          </w:tcPr>
          <w:p w14:paraId="21D9682A">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相对坐标</w:t>
            </w:r>
          </w:p>
        </w:tc>
        <w:tc>
          <w:tcPr>
            <w:tcW w:w="743" w:type="dxa"/>
            <w:vMerge w:val="restart"/>
            <w:tcBorders>
              <w:tl2br w:val="nil"/>
              <w:tr2bl w:val="nil"/>
            </w:tcBorders>
            <w:vAlign w:val="center"/>
          </w:tcPr>
          <w:p w14:paraId="10DC19F1">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保护对象</w:t>
            </w:r>
          </w:p>
        </w:tc>
        <w:tc>
          <w:tcPr>
            <w:tcW w:w="1814" w:type="dxa"/>
            <w:vMerge w:val="restart"/>
            <w:tcBorders>
              <w:tl2br w:val="nil"/>
              <w:tr2bl w:val="nil"/>
            </w:tcBorders>
            <w:vAlign w:val="center"/>
          </w:tcPr>
          <w:p w14:paraId="067BDCA3">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保护内容</w:t>
            </w:r>
          </w:p>
        </w:tc>
        <w:tc>
          <w:tcPr>
            <w:tcW w:w="3062" w:type="dxa"/>
            <w:vMerge w:val="restart"/>
            <w:tcBorders>
              <w:tl2br w:val="nil"/>
              <w:tr2bl w:val="nil"/>
            </w:tcBorders>
            <w:vAlign w:val="center"/>
          </w:tcPr>
          <w:p w14:paraId="5ED4077E">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环境功能区</w:t>
            </w:r>
          </w:p>
        </w:tc>
        <w:tc>
          <w:tcPr>
            <w:tcW w:w="517" w:type="dxa"/>
            <w:vMerge w:val="restart"/>
            <w:tcBorders>
              <w:tl2br w:val="nil"/>
              <w:tr2bl w:val="nil"/>
            </w:tcBorders>
            <w:vAlign w:val="center"/>
          </w:tcPr>
          <w:p w14:paraId="7AC079C8">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相对方位</w:t>
            </w:r>
          </w:p>
        </w:tc>
        <w:tc>
          <w:tcPr>
            <w:tcW w:w="1624" w:type="dxa"/>
            <w:vMerge w:val="restart"/>
            <w:tcBorders>
              <w:tl2br w:val="nil"/>
              <w:tr2bl w:val="nil"/>
            </w:tcBorders>
            <w:vAlign w:val="center"/>
          </w:tcPr>
          <w:p w14:paraId="45F2E8ED">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相对井场最近距离/m</w:t>
            </w:r>
          </w:p>
        </w:tc>
      </w:tr>
      <w:tr w14:paraId="6DC76D7A">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867" w:type="dxa"/>
            <w:vMerge w:val="continue"/>
            <w:tcBorders>
              <w:tl2br w:val="nil"/>
              <w:tr2bl w:val="nil"/>
            </w:tcBorders>
            <w:vAlign w:val="center"/>
          </w:tcPr>
          <w:p w14:paraId="61B5ADA8">
            <w:pPr>
              <w:spacing w:line="240" w:lineRule="atLeast"/>
              <w:jc w:val="center"/>
              <w:rPr>
                <w:rFonts w:hint="default" w:ascii="Times New Roman" w:hAnsi="Times New Roman" w:cs="Times New Roman"/>
                <w:snapToGrid w:val="0"/>
                <w:szCs w:val="21"/>
                <w:highlight w:val="none"/>
              </w:rPr>
            </w:pPr>
          </w:p>
        </w:tc>
        <w:tc>
          <w:tcPr>
            <w:tcW w:w="527" w:type="dxa"/>
            <w:vMerge w:val="continue"/>
            <w:tcBorders>
              <w:tl2br w:val="nil"/>
              <w:tr2bl w:val="nil"/>
            </w:tcBorders>
            <w:vAlign w:val="center"/>
          </w:tcPr>
          <w:p w14:paraId="1F94158B">
            <w:pPr>
              <w:spacing w:line="240" w:lineRule="atLeast"/>
              <w:jc w:val="center"/>
              <w:rPr>
                <w:rFonts w:hint="default" w:ascii="Times New Roman" w:hAnsi="Times New Roman" w:cs="Times New Roman"/>
                <w:snapToGrid w:val="0"/>
                <w:szCs w:val="21"/>
                <w:highlight w:val="none"/>
              </w:rPr>
            </w:pPr>
          </w:p>
        </w:tc>
        <w:tc>
          <w:tcPr>
            <w:tcW w:w="2182" w:type="dxa"/>
            <w:gridSpan w:val="2"/>
            <w:vMerge w:val="continue"/>
            <w:tcBorders>
              <w:tl2br w:val="nil"/>
              <w:tr2bl w:val="nil"/>
            </w:tcBorders>
            <w:vAlign w:val="center"/>
          </w:tcPr>
          <w:p w14:paraId="16286580">
            <w:pPr>
              <w:spacing w:line="240" w:lineRule="atLeast"/>
              <w:jc w:val="center"/>
              <w:rPr>
                <w:rFonts w:hint="default" w:ascii="Times New Roman" w:hAnsi="Times New Roman" w:cs="Times New Roman"/>
                <w:snapToGrid w:val="0"/>
                <w:szCs w:val="21"/>
                <w:highlight w:val="none"/>
              </w:rPr>
            </w:pPr>
          </w:p>
        </w:tc>
        <w:tc>
          <w:tcPr>
            <w:tcW w:w="1582" w:type="dxa"/>
            <w:tcBorders>
              <w:tl2br w:val="nil"/>
              <w:tr2bl w:val="nil"/>
            </w:tcBorders>
            <w:vAlign w:val="center"/>
          </w:tcPr>
          <w:p w14:paraId="2EF04326">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经度</w:t>
            </w:r>
          </w:p>
        </w:tc>
        <w:tc>
          <w:tcPr>
            <w:tcW w:w="1452" w:type="dxa"/>
            <w:tcBorders>
              <w:tl2br w:val="nil"/>
              <w:tr2bl w:val="nil"/>
            </w:tcBorders>
            <w:vAlign w:val="center"/>
          </w:tcPr>
          <w:p w14:paraId="3D4D569B">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纬度</w:t>
            </w:r>
          </w:p>
        </w:tc>
        <w:tc>
          <w:tcPr>
            <w:tcW w:w="743" w:type="dxa"/>
            <w:vMerge w:val="continue"/>
            <w:tcBorders>
              <w:tl2br w:val="nil"/>
              <w:tr2bl w:val="nil"/>
            </w:tcBorders>
            <w:vAlign w:val="center"/>
          </w:tcPr>
          <w:p w14:paraId="37658071">
            <w:pPr>
              <w:spacing w:line="240" w:lineRule="atLeast"/>
              <w:jc w:val="center"/>
              <w:rPr>
                <w:rFonts w:hint="default" w:ascii="Times New Roman" w:hAnsi="Times New Roman" w:cs="Times New Roman"/>
                <w:snapToGrid w:val="0"/>
                <w:szCs w:val="21"/>
                <w:highlight w:val="none"/>
              </w:rPr>
            </w:pPr>
          </w:p>
        </w:tc>
        <w:tc>
          <w:tcPr>
            <w:tcW w:w="1814" w:type="dxa"/>
            <w:vMerge w:val="continue"/>
            <w:tcBorders>
              <w:tl2br w:val="nil"/>
              <w:tr2bl w:val="nil"/>
            </w:tcBorders>
            <w:vAlign w:val="center"/>
          </w:tcPr>
          <w:p w14:paraId="63182B4E">
            <w:pPr>
              <w:spacing w:line="240" w:lineRule="atLeast"/>
              <w:jc w:val="center"/>
              <w:rPr>
                <w:rFonts w:hint="default" w:ascii="Times New Roman" w:hAnsi="Times New Roman" w:cs="Times New Roman"/>
                <w:snapToGrid w:val="0"/>
                <w:szCs w:val="21"/>
                <w:highlight w:val="none"/>
              </w:rPr>
            </w:pPr>
          </w:p>
        </w:tc>
        <w:tc>
          <w:tcPr>
            <w:tcW w:w="3062" w:type="dxa"/>
            <w:vMerge w:val="continue"/>
            <w:tcBorders>
              <w:tl2br w:val="nil"/>
              <w:tr2bl w:val="nil"/>
            </w:tcBorders>
            <w:vAlign w:val="center"/>
          </w:tcPr>
          <w:p w14:paraId="10DD2421">
            <w:pPr>
              <w:spacing w:line="240" w:lineRule="atLeast"/>
              <w:jc w:val="center"/>
              <w:rPr>
                <w:rFonts w:hint="default" w:ascii="Times New Roman" w:hAnsi="Times New Roman" w:cs="Times New Roman"/>
                <w:snapToGrid w:val="0"/>
                <w:szCs w:val="21"/>
                <w:highlight w:val="none"/>
              </w:rPr>
            </w:pPr>
          </w:p>
        </w:tc>
        <w:tc>
          <w:tcPr>
            <w:tcW w:w="517" w:type="dxa"/>
            <w:vMerge w:val="continue"/>
            <w:tcBorders>
              <w:tl2br w:val="nil"/>
              <w:tr2bl w:val="nil"/>
            </w:tcBorders>
            <w:vAlign w:val="center"/>
          </w:tcPr>
          <w:p w14:paraId="4E8AFB42">
            <w:pPr>
              <w:spacing w:line="240" w:lineRule="atLeast"/>
              <w:jc w:val="center"/>
              <w:rPr>
                <w:rFonts w:hint="default" w:ascii="Times New Roman" w:hAnsi="Times New Roman" w:cs="Times New Roman"/>
                <w:snapToGrid w:val="0"/>
                <w:szCs w:val="21"/>
                <w:highlight w:val="none"/>
              </w:rPr>
            </w:pPr>
          </w:p>
        </w:tc>
        <w:tc>
          <w:tcPr>
            <w:tcW w:w="1624" w:type="dxa"/>
            <w:vMerge w:val="continue"/>
            <w:tcBorders>
              <w:tl2br w:val="nil"/>
              <w:tr2bl w:val="nil"/>
            </w:tcBorders>
            <w:vAlign w:val="center"/>
          </w:tcPr>
          <w:p w14:paraId="574EB9E1">
            <w:pPr>
              <w:spacing w:line="240" w:lineRule="atLeast"/>
              <w:jc w:val="center"/>
              <w:rPr>
                <w:rFonts w:hint="default" w:ascii="Times New Roman" w:hAnsi="Times New Roman" w:cs="Times New Roman"/>
                <w:snapToGrid w:val="0"/>
                <w:szCs w:val="21"/>
                <w:highlight w:val="none"/>
              </w:rPr>
            </w:pPr>
          </w:p>
        </w:tc>
      </w:tr>
      <w:tr w14:paraId="2430D6CD">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290" w:hRule="atLeast"/>
          <w:jc w:val="center"/>
        </w:trPr>
        <w:tc>
          <w:tcPr>
            <w:tcW w:w="867" w:type="dxa"/>
            <w:vMerge w:val="restart"/>
            <w:tcBorders>
              <w:tl2br w:val="nil"/>
              <w:tr2bl w:val="nil"/>
            </w:tcBorders>
            <w:vAlign w:val="center"/>
          </w:tcPr>
          <w:p w14:paraId="6DF4E996">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bCs/>
                <w:szCs w:val="21"/>
                <w:highlight w:val="none"/>
              </w:rPr>
              <w:t>环境空气</w:t>
            </w:r>
          </w:p>
        </w:tc>
        <w:tc>
          <w:tcPr>
            <w:tcW w:w="527" w:type="dxa"/>
            <w:tcBorders>
              <w:tl2br w:val="nil"/>
              <w:tr2bl w:val="nil"/>
            </w:tcBorders>
            <w:vAlign w:val="center"/>
          </w:tcPr>
          <w:p w14:paraId="359FF35C">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1</w:t>
            </w:r>
          </w:p>
        </w:tc>
        <w:tc>
          <w:tcPr>
            <w:tcW w:w="1107" w:type="dxa"/>
            <w:vMerge w:val="restart"/>
            <w:tcBorders>
              <w:tl2br w:val="nil"/>
              <w:tr2bl w:val="nil"/>
            </w:tcBorders>
            <w:vAlign w:val="center"/>
          </w:tcPr>
          <w:p w14:paraId="1406AED9">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钻孔1</w:t>
            </w:r>
          </w:p>
        </w:tc>
        <w:tc>
          <w:tcPr>
            <w:tcW w:w="1075" w:type="dxa"/>
            <w:tcBorders>
              <w:tl2br w:val="nil"/>
              <w:tr2bl w:val="nil"/>
            </w:tcBorders>
            <w:vAlign w:val="center"/>
          </w:tcPr>
          <w:p w14:paraId="0170B99C">
            <w:pPr>
              <w:spacing w:line="240" w:lineRule="atLeast"/>
              <w:jc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居民点A</w:t>
            </w:r>
          </w:p>
        </w:tc>
        <w:tc>
          <w:tcPr>
            <w:tcW w:w="1582" w:type="dxa"/>
            <w:tcBorders>
              <w:tl2br w:val="nil"/>
              <w:tr2bl w:val="nil"/>
            </w:tcBorders>
            <w:vAlign w:val="center"/>
          </w:tcPr>
          <w:p w14:paraId="4CDEC4B2">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116.521749726°</w:t>
            </w:r>
          </w:p>
        </w:tc>
        <w:tc>
          <w:tcPr>
            <w:tcW w:w="1452" w:type="dxa"/>
            <w:tcBorders>
              <w:tl2br w:val="nil"/>
              <w:tr2bl w:val="nil"/>
            </w:tcBorders>
            <w:vAlign w:val="center"/>
          </w:tcPr>
          <w:p w14:paraId="5398A9F7">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32.704958459°</w:t>
            </w:r>
          </w:p>
        </w:tc>
        <w:tc>
          <w:tcPr>
            <w:tcW w:w="743" w:type="dxa"/>
            <w:tcBorders>
              <w:tl2br w:val="nil"/>
              <w:tr2bl w:val="nil"/>
            </w:tcBorders>
            <w:vAlign w:val="center"/>
          </w:tcPr>
          <w:p w14:paraId="214A3218">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zCs w:val="21"/>
                <w:highlight w:val="none"/>
              </w:rPr>
              <w:t>居民区</w:t>
            </w:r>
          </w:p>
        </w:tc>
        <w:tc>
          <w:tcPr>
            <w:tcW w:w="1814" w:type="dxa"/>
            <w:tcBorders>
              <w:tl2br w:val="nil"/>
              <w:tr2bl w:val="nil"/>
            </w:tcBorders>
            <w:vAlign w:val="center"/>
          </w:tcPr>
          <w:p w14:paraId="332B8B46">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1</w:t>
            </w:r>
            <w:r>
              <w:rPr>
                <w:rFonts w:hint="default" w:ascii="Times New Roman" w:hAnsi="Times New Roman" w:cs="Times New Roman"/>
                <w:bCs/>
                <w:szCs w:val="21"/>
                <w:highlight w:val="none"/>
              </w:rPr>
              <w:t>户，</w:t>
            </w:r>
            <w:r>
              <w:rPr>
                <w:rFonts w:hint="eastAsia" w:cs="Times New Roman"/>
                <w:bCs/>
                <w:szCs w:val="21"/>
                <w:highlight w:val="none"/>
                <w:lang w:val="en-US" w:eastAsia="zh-CN"/>
              </w:rPr>
              <w:t>4</w:t>
            </w:r>
            <w:r>
              <w:rPr>
                <w:rFonts w:hint="default" w:ascii="Times New Roman" w:hAnsi="Times New Roman" w:cs="Times New Roman"/>
                <w:bCs/>
                <w:szCs w:val="21"/>
                <w:highlight w:val="none"/>
              </w:rPr>
              <w:t>人</w:t>
            </w:r>
          </w:p>
        </w:tc>
        <w:tc>
          <w:tcPr>
            <w:tcW w:w="3062" w:type="dxa"/>
            <w:vMerge w:val="restart"/>
            <w:tcBorders>
              <w:tl2br w:val="nil"/>
              <w:tr2bl w:val="nil"/>
            </w:tcBorders>
            <w:vAlign w:val="center"/>
          </w:tcPr>
          <w:p w14:paraId="319390FC">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bCs/>
                <w:szCs w:val="21"/>
                <w:highlight w:val="none"/>
              </w:rPr>
              <w:t>《环境空气质量标准》（GB3095-2</w:t>
            </w:r>
            <w:r>
              <w:rPr>
                <w:rFonts w:hint="eastAsia" w:cs="Times New Roman"/>
                <w:bCs/>
                <w:szCs w:val="21"/>
                <w:highlight w:val="none"/>
                <w:lang w:val="en-US" w:eastAsia="zh-CN"/>
              </w:rPr>
              <w:t>026</w:t>
            </w:r>
            <w:r>
              <w:rPr>
                <w:rFonts w:hint="default" w:ascii="Times New Roman" w:hAnsi="Times New Roman" w:cs="Times New Roman"/>
                <w:bCs/>
                <w:szCs w:val="21"/>
                <w:highlight w:val="none"/>
              </w:rPr>
              <w:t>）二级标准</w:t>
            </w:r>
          </w:p>
        </w:tc>
        <w:tc>
          <w:tcPr>
            <w:tcW w:w="517" w:type="dxa"/>
            <w:tcBorders>
              <w:tl2br w:val="nil"/>
              <w:tr2bl w:val="nil"/>
            </w:tcBorders>
            <w:vAlign w:val="center"/>
          </w:tcPr>
          <w:p w14:paraId="0B3C80DD">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SW</w:t>
            </w:r>
          </w:p>
        </w:tc>
        <w:tc>
          <w:tcPr>
            <w:tcW w:w="1624" w:type="dxa"/>
            <w:tcBorders>
              <w:tl2br w:val="nil"/>
              <w:tr2bl w:val="nil"/>
            </w:tcBorders>
            <w:vAlign w:val="center"/>
          </w:tcPr>
          <w:p w14:paraId="3476C309">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162</w:t>
            </w:r>
          </w:p>
        </w:tc>
      </w:tr>
      <w:tr w14:paraId="5B23519A">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90" w:hRule="atLeast"/>
          <w:jc w:val="center"/>
        </w:trPr>
        <w:tc>
          <w:tcPr>
            <w:tcW w:w="867" w:type="dxa"/>
            <w:vMerge w:val="continue"/>
            <w:tcBorders>
              <w:tl2br w:val="nil"/>
              <w:tr2bl w:val="nil"/>
            </w:tcBorders>
            <w:vAlign w:val="center"/>
          </w:tcPr>
          <w:p w14:paraId="249F5997">
            <w:pPr>
              <w:spacing w:line="240" w:lineRule="atLeast"/>
              <w:jc w:val="center"/>
              <w:rPr>
                <w:rFonts w:hint="default" w:ascii="Times New Roman" w:hAnsi="Times New Roman" w:cs="Times New Roman"/>
                <w:bCs/>
                <w:szCs w:val="21"/>
                <w:highlight w:val="none"/>
              </w:rPr>
            </w:pPr>
          </w:p>
        </w:tc>
        <w:tc>
          <w:tcPr>
            <w:tcW w:w="527" w:type="dxa"/>
            <w:tcBorders>
              <w:tl2br w:val="nil"/>
              <w:tr2bl w:val="nil"/>
            </w:tcBorders>
            <w:vAlign w:val="center"/>
          </w:tcPr>
          <w:p w14:paraId="7026E82E">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2</w:t>
            </w:r>
          </w:p>
        </w:tc>
        <w:tc>
          <w:tcPr>
            <w:tcW w:w="1107" w:type="dxa"/>
            <w:vMerge w:val="continue"/>
            <w:tcBorders>
              <w:tl2br w:val="nil"/>
              <w:tr2bl w:val="nil"/>
            </w:tcBorders>
            <w:vAlign w:val="center"/>
          </w:tcPr>
          <w:p w14:paraId="4FF8F4EC">
            <w:pPr>
              <w:spacing w:line="240" w:lineRule="atLeast"/>
              <w:jc w:val="center"/>
              <w:rPr>
                <w:rFonts w:hint="default" w:ascii="Times New Roman" w:hAnsi="Times New Roman" w:eastAsia="宋体" w:cs="Times New Roman"/>
                <w:snapToGrid w:val="0"/>
                <w:szCs w:val="21"/>
                <w:highlight w:val="none"/>
                <w:lang w:val="en-US" w:eastAsia="zh-CN"/>
              </w:rPr>
            </w:pPr>
          </w:p>
        </w:tc>
        <w:tc>
          <w:tcPr>
            <w:tcW w:w="1075" w:type="dxa"/>
            <w:tcBorders>
              <w:tl2br w:val="nil"/>
              <w:tr2bl w:val="nil"/>
            </w:tcBorders>
            <w:vAlign w:val="center"/>
          </w:tcPr>
          <w:p w14:paraId="09D372D3">
            <w:pPr>
              <w:spacing w:line="240" w:lineRule="atLeast"/>
              <w:jc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居民点B</w:t>
            </w:r>
          </w:p>
        </w:tc>
        <w:tc>
          <w:tcPr>
            <w:tcW w:w="1582" w:type="dxa"/>
            <w:tcBorders>
              <w:tl2br w:val="nil"/>
              <w:tr2bl w:val="nil"/>
            </w:tcBorders>
            <w:vAlign w:val="center"/>
          </w:tcPr>
          <w:p w14:paraId="08574D9D">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116.523686281°</w:t>
            </w:r>
          </w:p>
        </w:tc>
        <w:tc>
          <w:tcPr>
            <w:tcW w:w="1452" w:type="dxa"/>
            <w:tcBorders>
              <w:tl2br w:val="nil"/>
              <w:tr2bl w:val="nil"/>
            </w:tcBorders>
            <w:vAlign w:val="center"/>
          </w:tcPr>
          <w:p w14:paraId="62E68784">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32.704550763°</w:t>
            </w:r>
          </w:p>
        </w:tc>
        <w:tc>
          <w:tcPr>
            <w:tcW w:w="743" w:type="dxa"/>
            <w:tcBorders>
              <w:tl2br w:val="nil"/>
              <w:tr2bl w:val="nil"/>
            </w:tcBorders>
            <w:vAlign w:val="center"/>
          </w:tcPr>
          <w:p w14:paraId="36C8FF1C">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zCs w:val="21"/>
                <w:highlight w:val="none"/>
              </w:rPr>
              <w:t>居民区</w:t>
            </w:r>
          </w:p>
        </w:tc>
        <w:tc>
          <w:tcPr>
            <w:tcW w:w="1814" w:type="dxa"/>
            <w:tcBorders>
              <w:tl2br w:val="nil"/>
              <w:tr2bl w:val="nil"/>
            </w:tcBorders>
            <w:vAlign w:val="center"/>
          </w:tcPr>
          <w:p w14:paraId="44D6DE49">
            <w:pPr>
              <w:spacing w:line="24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3</w:t>
            </w:r>
            <w:r>
              <w:rPr>
                <w:rFonts w:hint="default" w:ascii="Times New Roman" w:hAnsi="Times New Roman" w:cs="Times New Roman"/>
                <w:bCs/>
                <w:szCs w:val="21"/>
                <w:highlight w:val="none"/>
              </w:rPr>
              <w:t>户，</w:t>
            </w:r>
            <w:r>
              <w:rPr>
                <w:rFonts w:hint="eastAsia" w:cs="Times New Roman"/>
                <w:bCs/>
                <w:szCs w:val="21"/>
                <w:highlight w:val="none"/>
                <w:lang w:val="en-US" w:eastAsia="zh-CN"/>
              </w:rPr>
              <w:t>12</w:t>
            </w:r>
            <w:r>
              <w:rPr>
                <w:rFonts w:hint="default" w:ascii="Times New Roman" w:hAnsi="Times New Roman" w:cs="Times New Roman"/>
                <w:bCs/>
                <w:szCs w:val="21"/>
                <w:highlight w:val="none"/>
              </w:rPr>
              <w:t>人</w:t>
            </w:r>
          </w:p>
        </w:tc>
        <w:tc>
          <w:tcPr>
            <w:tcW w:w="3062" w:type="dxa"/>
            <w:vMerge w:val="continue"/>
            <w:tcBorders>
              <w:tl2br w:val="nil"/>
              <w:tr2bl w:val="nil"/>
            </w:tcBorders>
            <w:vAlign w:val="center"/>
          </w:tcPr>
          <w:p w14:paraId="5DCAA182">
            <w:pPr>
              <w:spacing w:line="240" w:lineRule="atLeast"/>
              <w:jc w:val="center"/>
              <w:rPr>
                <w:rFonts w:hint="default" w:ascii="Times New Roman" w:hAnsi="Times New Roman" w:cs="Times New Roman"/>
                <w:snapToGrid w:val="0"/>
                <w:szCs w:val="21"/>
                <w:highlight w:val="none"/>
              </w:rPr>
            </w:pPr>
          </w:p>
        </w:tc>
        <w:tc>
          <w:tcPr>
            <w:tcW w:w="517" w:type="dxa"/>
            <w:tcBorders>
              <w:tl2br w:val="nil"/>
              <w:tr2bl w:val="nil"/>
            </w:tcBorders>
            <w:vAlign w:val="center"/>
          </w:tcPr>
          <w:p w14:paraId="02D02112">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SE</w:t>
            </w:r>
          </w:p>
        </w:tc>
        <w:tc>
          <w:tcPr>
            <w:tcW w:w="1624" w:type="dxa"/>
            <w:tcBorders>
              <w:tl2br w:val="nil"/>
              <w:tr2bl w:val="nil"/>
            </w:tcBorders>
            <w:vAlign w:val="center"/>
          </w:tcPr>
          <w:p w14:paraId="46EAD445">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201</w:t>
            </w:r>
          </w:p>
        </w:tc>
      </w:tr>
      <w:tr w14:paraId="7538E0A4">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867" w:type="dxa"/>
            <w:vMerge w:val="continue"/>
            <w:tcBorders>
              <w:tl2br w:val="nil"/>
              <w:tr2bl w:val="nil"/>
            </w:tcBorders>
            <w:vAlign w:val="center"/>
          </w:tcPr>
          <w:p w14:paraId="662F3FE8">
            <w:pPr>
              <w:spacing w:line="240" w:lineRule="atLeast"/>
              <w:jc w:val="center"/>
              <w:rPr>
                <w:rFonts w:hint="default" w:ascii="Times New Roman" w:hAnsi="Times New Roman" w:cs="Times New Roman"/>
                <w:bCs/>
                <w:szCs w:val="21"/>
                <w:highlight w:val="none"/>
              </w:rPr>
            </w:pPr>
          </w:p>
        </w:tc>
        <w:tc>
          <w:tcPr>
            <w:tcW w:w="527" w:type="dxa"/>
            <w:tcBorders>
              <w:tl2br w:val="nil"/>
              <w:tr2bl w:val="nil"/>
            </w:tcBorders>
            <w:vAlign w:val="center"/>
          </w:tcPr>
          <w:p w14:paraId="7B2F20C4">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3</w:t>
            </w:r>
          </w:p>
        </w:tc>
        <w:tc>
          <w:tcPr>
            <w:tcW w:w="1107" w:type="dxa"/>
            <w:vMerge w:val="continue"/>
            <w:tcBorders>
              <w:tl2br w:val="nil"/>
              <w:tr2bl w:val="nil"/>
            </w:tcBorders>
            <w:vAlign w:val="center"/>
          </w:tcPr>
          <w:p w14:paraId="0B6F82A5">
            <w:pPr>
              <w:spacing w:line="240" w:lineRule="atLeast"/>
              <w:jc w:val="center"/>
              <w:rPr>
                <w:rFonts w:hint="default" w:ascii="Times New Roman" w:hAnsi="Times New Roman" w:cs="Times New Roman"/>
                <w:snapToGrid w:val="0"/>
                <w:szCs w:val="21"/>
                <w:highlight w:val="none"/>
              </w:rPr>
            </w:pPr>
          </w:p>
        </w:tc>
        <w:tc>
          <w:tcPr>
            <w:tcW w:w="1075" w:type="dxa"/>
            <w:tcBorders>
              <w:tl2br w:val="nil"/>
              <w:tr2bl w:val="nil"/>
            </w:tcBorders>
            <w:vAlign w:val="center"/>
          </w:tcPr>
          <w:p w14:paraId="0D2F577A">
            <w:pPr>
              <w:spacing w:line="240" w:lineRule="atLeast"/>
              <w:jc w:val="center"/>
              <w:rPr>
                <w:rFonts w:hint="eastAsia"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罗杨村</w:t>
            </w:r>
          </w:p>
        </w:tc>
        <w:tc>
          <w:tcPr>
            <w:tcW w:w="1582" w:type="dxa"/>
            <w:tcBorders>
              <w:tl2br w:val="nil"/>
              <w:tr2bl w:val="nil"/>
            </w:tcBorders>
            <w:vAlign w:val="center"/>
          </w:tcPr>
          <w:p w14:paraId="5B7A7319">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116.522020684°</w:t>
            </w:r>
          </w:p>
        </w:tc>
        <w:tc>
          <w:tcPr>
            <w:tcW w:w="1452" w:type="dxa"/>
            <w:tcBorders>
              <w:tl2br w:val="nil"/>
              <w:tr2bl w:val="nil"/>
            </w:tcBorders>
            <w:vAlign w:val="center"/>
          </w:tcPr>
          <w:p w14:paraId="39582CC1">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32.703428362°</w:t>
            </w:r>
          </w:p>
        </w:tc>
        <w:tc>
          <w:tcPr>
            <w:tcW w:w="743" w:type="dxa"/>
            <w:tcBorders>
              <w:tl2br w:val="nil"/>
              <w:tr2bl w:val="nil"/>
            </w:tcBorders>
            <w:vAlign w:val="center"/>
          </w:tcPr>
          <w:p w14:paraId="6F264683">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zCs w:val="21"/>
                <w:highlight w:val="none"/>
              </w:rPr>
              <w:t>居民区</w:t>
            </w:r>
          </w:p>
        </w:tc>
        <w:tc>
          <w:tcPr>
            <w:tcW w:w="1814" w:type="dxa"/>
            <w:tcBorders>
              <w:tl2br w:val="nil"/>
              <w:tr2bl w:val="nil"/>
            </w:tcBorders>
            <w:vAlign w:val="center"/>
          </w:tcPr>
          <w:p w14:paraId="5D8E7556">
            <w:pPr>
              <w:spacing w:line="24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895</w:t>
            </w:r>
            <w:r>
              <w:rPr>
                <w:rFonts w:hint="default" w:ascii="Times New Roman" w:hAnsi="Times New Roman" w:cs="Times New Roman"/>
                <w:bCs/>
                <w:szCs w:val="21"/>
                <w:highlight w:val="none"/>
              </w:rPr>
              <w:t>户，</w:t>
            </w:r>
            <w:r>
              <w:rPr>
                <w:rFonts w:hint="eastAsia" w:cs="Times New Roman"/>
                <w:bCs/>
                <w:szCs w:val="21"/>
                <w:highlight w:val="none"/>
                <w:lang w:val="en-US" w:eastAsia="zh-CN"/>
              </w:rPr>
              <w:t>226</w:t>
            </w:r>
            <w:r>
              <w:rPr>
                <w:rFonts w:hint="default" w:ascii="Times New Roman" w:hAnsi="Times New Roman" w:cs="Times New Roman"/>
                <w:bCs/>
                <w:szCs w:val="21"/>
                <w:highlight w:val="none"/>
              </w:rPr>
              <w:t>0人</w:t>
            </w:r>
          </w:p>
        </w:tc>
        <w:tc>
          <w:tcPr>
            <w:tcW w:w="3062" w:type="dxa"/>
            <w:vMerge w:val="continue"/>
            <w:tcBorders>
              <w:tl2br w:val="nil"/>
              <w:tr2bl w:val="nil"/>
            </w:tcBorders>
            <w:vAlign w:val="center"/>
          </w:tcPr>
          <w:p w14:paraId="3951C510">
            <w:pPr>
              <w:spacing w:line="240" w:lineRule="atLeast"/>
              <w:jc w:val="center"/>
              <w:rPr>
                <w:rFonts w:hint="default" w:ascii="Times New Roman" w:hAnsi="Times New Roman" w:cs="Times New Roman"/>
                <w:snapToGrid w:val="0"/>
                <w:szCs w:val="21"/>
                <w:highlight w:val="none"/>
              </w:rPr>
            </w:pPr>
          </w:p>
        </w:tc>
        <w:tc>
          <w:tcPr>
            <w:tcW w:w="517" w:type="dxa"/>
            <w:tcBorders>
              <w:tl2br w:val="nil"/>
              <w:tr2bl w:val="nil"/>
            </w:tcBorders>
            <w:vAlign w:val="center"/>
          </w:tcPr>
          <w:p w14:paraId="6E0E77FC">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SW</w:t>
            </w:r>
          </w:p>
        </w:tc>
        <w:tc>
          <w:tcPr>
            <w:tcW w:w="1624" w:type="dxa"/>
            <w:tcBorders>
              <w:tl2br w:val="nil"/>
              <w:tr2bl w:val="nil"/>
            </w:tcBorders>
            <w:vAlign w:val="center"/>
          </w:tcPr>
          <w:p w14:paraId="5F22BADA">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307</w:t>
            </w:r>
          </w:p>
        </w:tc>
      </w:tr>
      <w:tr w14:paraId="71F34DEE">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100" w:hRule="atLeast"/>
          <w:jc w:val="center"/>
        </w:trPr>
        <w:tc>
          <w:tcPr>
            <w:tcW w:w="867" w:type="dxa"/>
            <w:vMerge w:val="continue"/>
            <w:tcBorders>
              <w:tl2br w:val="nil"/>
              <w:tr2bl w:val="nil"/>
            </w:tcBorders>
            <w:vAlign w:val="center"/>
          </w:tcPr>
          <w:p w14:paraId="73599D79">
            <w:pPr>
              <w:spacing w:line="240" w:lineRule="atLeast"/>
              <w:jc w:val="center"/>
              <w:rPr>
                <w:rFonts w:hint="default" w:ascii="Times New Roman" w:hAnsi="Times New Roman" w:cs="Times New Roman"/>
                <w:bCs/>
                <w:szCs w:val="21"/>
                <w:highlight w:val="none"/>
              </w:rPr>
            </w:pPr>
          </w:p>
        </w:tc>
        <w:tc>
          <w:tcPr>
            <w:tcW w:w="527" w:type="dxa"/>
            <w:tcBorders>
              <w:tl2br w:val="nil"/>
              <w:tr2bl w:val="nil"/>
            </w:tcBorders>
            <w:vAlign w:val="center"/>
          </w:tcPr>
          <w:p w14:paraId="23455742">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4</w:t>
            </w:r>
          </w:p>
        </w:tc>
        <w:tc>
          <w:tcPr>
            <w:tcW w:w="1107" w:type="dxa"/>
            <w:vMerge w:val="restart"/>
            <w:tcBorders>
              <w:tl2br w:val="nil"/>
              <w:tr2bl w:val="nil"/>
            </w:tcBorders>
            <w:vAlign w:val="center"/>
          </w:tcPr>
          <w:p w14:paraId="03427612">
            <w:pPr>
              <w:spacing w:line="240" w:lineRule="atLeast"/>
              <w:jc w:val="center"/>
              <w:rPr>
                <w:rFonts w:hint="default" w:ascii="Times New Roman" w:hAnsi="Times New Roman" w:cs="Times New Roman"/>
                <w:snapToGrid w:val="0"/>
                <w:szCs w:val="21"/>
                <w:highlight w:val="none"/>
              </w:rPr>
            </w:pPr>
            <w:r>
              <w:rPr>
                <w:rFonts w:hint="eastAsia" w:cs="Times New Roman"/>
                <w:snapToGrid w:val="0"/>
                <w:szCs w:val="21"/>
                <w:highlight w:val="none"/>
                <w:lang w:val="en-US" w:eastAsia="zh-CN"/>
              </w:rPr>
              <w:t>钻孔2</w:t>
            </w:r>
          </w:p>
        </w:tc>
        <w:tc>
          <w:tcPr>
            <w:tcW w:w="1075" w:type="dxa"/>
            <w:tcBorders>
              <w:tl2br w:val="nil"/>
              <w:tr2bl w:val="nil"/>
            </w:tcBorders>
            <w:vAlign w:val="center"/>
          </w:tcPr>
          <w:p w14:paraId="3DAA9712">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居民点A</w:t>
            </w:r>
          </w:p>
        </w:tc>
        <w:tc>
          <w:tcPr>
            <w:tcW w:w="1582" w:type="dxa"/>
            <w:tcBorders>
              <w:tl2br w:val="nil"/>
              <w:tr2bl w:val="nil"/>
            </w:tcBorders>
            <w:vAlign w:val="center"/>
          </w:tcPr>
          <w:p w14:paraId="73011C71">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116.521749726°</w:t>
            </w:r>
          </w:p>
        </w:tc>
        <w:tc>
          <w:tcPr>
            <w:tcW w:w="1452" w:type="dxa"/>
            <w:tcBorders>
              <w:tl2br w:val="nil"/>
              <w:tr2bl w:val="nil"/>
            </w:tcBorders>
            <w:vAlign w:val="center"/>
          </w:tcPr>
          <w:p w14:paraId="56E2822B">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32.704958459°</w:t>
            </w:r>
          </w:p>
        </w:tc>
        <w:tc>
          <w:tcPr>
            <w:tcW w:w="743" w:type="dxa"/>
            <w:tcBorders>
              <w:tl2br w:val="nil"/>
              <w:tr2bl w:val="nil"/>
            </w:tcBorders>
            <w:vAlign w:val="center"/>
          </w:tcPr>
          <w:p w14:paraId="0B5E8376">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zCs w:val="21"/>
                <w:highlight w:val="none"/>
              </w:rPr>
              <w:t>居民区</w:t>
            </w:r>
          </w:p>
        </w:tc>
        <w:tc>
          <w:tcPr>
            <w:tcW w:w="1814" w:type="dxa"/>
            <w:tcBorders>
              <w:tl2br w:val="nil"/>
              <w:tr2bl w:val="nil"/>
            </w:tcBorders>
            <w:vAlign w:val="center"/>
          </w:tcPr>
          <w:p w14:paraId="3EA2463A">
            <w:pPr>
              <w:spacing w:line="24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1</w:t>
            </w:r>
            <w:r>
              <w:rPr>
                <w:rFonts w:hint="default" w:ascii="Times New Roman" w:hAnsi="Times New Roman" w:cs="Times New Roman"/>
                <w:bCs/>
                <w:szCs w:val="21"/>
                <w:highlight w:val="none"/>
              </w:rPr>
              <w:t>户，</w:t>
            </w:r>
            <w:r>
              <w:rPr>
                <w:rFonts w:hint="eastAsia" w:cs="Times New Roman"/>
                <w:bCs/>
                <w:szCs w:val="21"/>
                <w:highlight w:val="none"/>
                <w:lang w:val="en-US" w:eastAsia="zh-CN"/>
              </w:rPr>
              <w:t>4</w:t>
            </w:r>
            <w:r>
              <w:rPr>
                <w:rFonts w:hint="default" w:ascii="Times New Roman" w:hAnsi="Times New Roman" w:cs="Times New Roman"/>
                <w:bCs/>
                <w:szCs w:val="21"/>
                <w:highlight w:val="none"/>
              </w:rPr>
              <w:t>人</w:t>
            </w:r>
          </w:p>
        </w:tc>
        <w:tc>
          <w:tcPr>
            <w:tcW w:w="3062" w:type="dxa"/>
            <w:vMerge w:val="continue"/>
            <w:tcBorders>
              <w:tl2br w:val="nil"/>
              <w:tr2bl w:val="nil"/>
            </w:tcBorders>
            <w:vAlign w:val="center"/>
          </w:tcPr>
          <w:p w14:paraId="5B68CB46">
            <w:pPr>
              <w:spacing w:line="240" w:lineRule="atLeast"/>
              <w:jc w:val="center"/>
              <w:rPr>
                <w:rFonts w:hint="default" w:ascii="Times New Roman" w:hAnsi="Times New Roman" w:cs="Times New Roman"/>
                <w:snapToGrid w:val="0"/>
                <w:szCs w:val="21"/>
                <w:highlight w:val="none"/>
              </w:rPr>
            </w:pPr>
          </w:p>
        </w:tc>
        <w:tc>
          <w:tcPr>
            <w:tcW w:w="517" w:type="dxa"/>
            <w:tcBorders>
              <w:tl2br w:val="nil"/>
              <w:tr2bl w:val="nil"/>
            </w:tcBorders>
            <w:vAlign w:val="center"/>
          </w:tcPr>
          <w:p w14:paraId="7630942B">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SW</w:t>
            </w:r>
          </w:p>
        </w:tc>
        <w:tc>
          <w:tcPr>
            <w:tcW w:w="1624" w:type="dxa"/>
            <w:tcBorders>
              <w:tl2br w:val="nil"/>
              <w:tr2bl w:val="nil"/>
            </w:tcBorders>
            <w:vAlign w:val="center"/>
          </w:tcPr>
          <w:p w14:paraId="2EE1730E">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252</w:t>
            </w:r>
          </w:p>
        </w:tc>
      </w:tr>
      <w:tr w14:paraId="333BD7FB">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100" w:hRule="atLeast"/>
          <w:jc w:val="center"/>
        </w:trPr>
        <w:tc>
          <w:tcPr>
            <w:tcW w:w="867" w:type="dxa"/>
            <w:vMerge w:val="continue"/>
            <w:tcBorders>
              <w:tl2br w:val="nil"/>
              <w:tr2bl w:val="nil"/>
            </w:tcBorders>
            <w:vAlign w:val="center"/>
          </w:tcPr>
          <w:p w14:paraId="6F78E738">
            <w:pPr>
              <w:spacing w:line="240" w:lineRule="atLeast"/>
              <w:jc w:val="center"/>
            </w:pPr>
          </w:p>
        </w:tc>
        <w:tc>
          <w:tcPr>
            <w:tcW w:w="527" w:type="dxa"/>
            <w:tcBorders>
              <w:tl2br w:val="nil"/>
              <w:tr2bl w:val="nil"/>
            </w:tcBorders>
            <w:vAlign w:val="center"/>
          </w:tcPr>
          <w:p w14:paraId="6A3E54AF">
            <w:pPr>
              <w:spacing w:line="240" w:lineRule="atLeast"/>
              <w:jc w:val="center"/>
              <w:rPr>
                <w:rFonts w:hint="eastAsia" w:eastAsia="宋体"/>
                <w:lang w:val="en-US" w:eastAsia="zh-CN"/>
              </w:rPr>
            </w:pPr>
            <w:r>
              <w:rPr>
                <w:rFonts w:hint="eastAsia"/>
                <w:lang w:val="en-US" w:eastAsia="zh-CN"/>
              </w:rPr>
              <w:t>5</w:t>
            </w:r>
          </w:p>
        </w:tc>
        <w:tc>
          <w:tcPr>
            <w:tcW w:w="1107" w:type="dxa"/>
            <w:vMerge w:val="continue"/>
            <w:tcBorders>
              <w:tl2br w:val="nil"/>
              <w:tr2bl w:val="nil"/>
            </w:tcBorders>
            <w:vAlign w:val="center"/>
          </w:tcPr>
          <w:p w14:paraId="294012DA">
            <w:pPr>
              <w:spacing w:line="240" w:lineRule="atLeast"/>
              <w:jc w:val="center"/>
            </w:pPr>
          </w:p>
        </w:tc>
        <w:tc>
          <w:tcPr>
            <w:tcW w:w="1075" w:type="dxa"/>
            <w:tcBorders>
              <w:tl2br w:val="nil"/>
              <w:tr2bl w:val="nil"/>
            </w:tcBorders>
            <w:vAlign w:val="center"/>
          </w:tcPr>
          <w:p w14:paraId="0BFA4FFC">
            <w:pPr>
              <w:spacing w:line="240" w:lineRule="atLeast"/>
              <w:jc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居民B</w:t>
            </w:r>
          </w:p>
        </w:tc>
        <w:tc>
          <w:tcPr>
            <w:tcW w:w="1582" w:type="dxa"/>
            <w:tcBorders>
              <w:tl2br w:val="nil"/>
              <w:tr2bl w:val="nil"/>
            </w:tcBorders>
            <w:vAlign w:val="center"/>
          </w:tcPr>
          <w:p w14:paraId="7EE5CF85">
            <w:pPr>
              <w:spacing w:line="240" w:lineRule="atLeast"/>
              <w:jc w:val="center"/>
              <w:rPr>
                <w:rFonts w:hint="default" w:ascii="Times New Roman" w:hAnsi="Times New Roman" w:cs="Times New Roman"/>
                <w:kern w:val="0"/>
                <w:szCs w:val="21"/>
                <w:highlight w:val="none"/>
              </w:rPr>
            </w:pPr>
            <w:r>
              <w:rPr>
                <w:rFonts w:hint="default" w:ascii="Times New Roman" w:hAnsi="Times New Roman" w:cs="Times New Roman"/>
                <w:snapToGrid w:val="0"/>
                <w:szCs w:val="21"/>
                <w:highlight w:val="none"/>
              </w:rPr>
              <w:t>116.523686281°</w:t>
            </w:r>
          </w:p>
        </w:tc>
        <w:tc>
          <w:tcPr>
            <w:tcW w:w="1452" w:type="dxa"/>
            <w:tcBorders>
              <w:tl2br w:val="nil"/>
              <w:tr2bl w:val="nil"/>
            </w:tcBorders>
            <w:vAlign w:val="center"/>
          </w:tcPr>
          <w:p w14:paraId="4926F9F3">
            <w:pPr>
              <w:spacing w:line="240" w:lineRule="atLeast"/>
              <w:jc w:val="center"/>
              <w:rPr>
                <w:rFonts w:hint="default" w:ascii="Times New Roman" w:hAnsi="Times New Roman" w:cs="Times New Roman"/>
                <w:kern w:val="0"/>
                <w:szCs w:val="21"/>
                <w:highlight w:val="none"/>
              </w:rPr>
            </w:pPr>
            <w:r>
              <w:rPr>
                <w:rFonts w:hint="default" w:ascii="Times New Roman" w:hAnsi="Times New Roman" w:cs="Times New Roman"/>
                <w:snapToGrid w:val="0"/>
                <w:szCs w:val="21"/>
                <w:highlight w:val="none"/>
              </w:rPr>
              <w:t>32.704550763°</w:t>
            </w:r>
          </w:p>
        </w:tc>
        <w:tc>
          <w:tcPr>
            <w:tcW w:w="743" w:type="dxa"/>
            <w:tcBorders>
              <w:tl2br w:val="nil"/>
              <w:tr2bl w:val="nil"/>
            </w:tcBorders>
            <w:vAlign w:val="center"/>
          </w:tcPr>
          <w:p w14:paraId="0BA5D764">
            <w:pPr>
              <w:spacing w:line="240" w:lineRule="atLeast"/>
              <w:jc w:val="center"/>
              <w:rPr>
                <w:rFonts w:hint="eastAsia"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居民区</w:t>
            </w:r>
          </w:p>
        </w:tc>
        <w:tc>
          <w:tcPr>
            <w:tcW w:w="1814" w:type="dxa"/>
            <w:tcBorders>
              <w:tl2br w:val="nil"/>
              <w:tr2bl w:val="nil"/>
            </w:tcBorders>
            <w:vAlign w:val="center"/>
          </w:tcPr>
          <w:p w14:paraId="3C6DA2F6">
            <w:pPr>
              <w:spacing w:line="240" w:lineRule="atLeast"/>
              <w:jc w:val="center"/>
              <w:rPr>
                <w:rFonts w:hint="default" w:ascii="Times New Roman" w:hAnsi="Times New Roman" w:cs="Times New Roman"/>
                <w:kern w:val="0"/>
                <w:szCs w:val="21"/>
                <w:highlight w:val="none"/>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3</w:t>
            </w:r>
            <w:r>
              <w:rPr>
                <w:rFonts w:hint="default" w:ascii="Times New Roman" w:hAnsi="Times New Roman" w:cs="Times New Roman"/>
                <w:bCs/>
                <w:szCs w:val="21"/>
                <w:highlight w:val="none"/>
              </w:rPr>
              <w:t>户，</w:t>
            </w:r>
            <w:r>
              <w:rPr>
                <w:rFonts w:hint="eastAsia" w:cs="Times New Roman"/>
                <w:bCs/>
                <w:szCs w:val="21"/>
                <w:highlight w:val="none"/>
                <w:lang w:val="en-US" w:eastAsia="zh-CN"/>
              </w:rPr>
              <w:t>12</w:t>
            </w:r>
            <w:r>
              <w:rPr>
                <w:rFonts w:hint="default" w:ascii="Times New Roman" w:hAnsi="Times New Roman" w:cs="Times New Roman"/>
                <w:bCs/>
                <w:szCs w:val="21"/>
                <w:highlight w:val="none"/>
              </w:rPr>
              <w:t>人</w:t>
            </w:r>
          </w:p>
        </w:tc>
        <w:tc>
          <w:tcPr>
            <w:tcW w:w="3062" w:type="dxa"/>
            <w:vMerge w:val="continue"/>
            <w:tcBorders>
              <w:tl2br w:val="nil"/>
              <w:tr2bl w:val="nil"/>
            </w:tcBorders>
            <w:vAlign w:val="center"/>
          </w:tcPr>
          <w:p w14:paraId="0F270EAA">
            <w:pPr>
              <w:spacing w:line="240" w:lineRule="atLeast"/>
              <w:jc w:val="center"/>
              <w:rPr>
                <w:rFonts w:hint="default" w:ascii="Times New Roman" w:hAnsi="Times New Roman" w:cs="Times New Roman"/>
                <w:kern w:val="0"/>
                <w:szCs w:val="21"/>
                <w:highlight w:val="none"/>
              </w:rPr>
            </w:pPr>
          </w:p>
        </w:tc>
        <w:tc>
          <w:tcPr>
            <w:tcW w:w="517" w:type="dxa"/>
            <w:tcBorders>
              <w:tl2br w:val="nil"/>
              <w:tr2bl w:val="nil"/>
            </w:tcBorders>
            <w:vAlign w:val="center"/>
          </w:tcPr>
          <w:p w14:paraId="77736E79">
            <w:pPr>
              <w:spacing w:line="240" w:lineRule="atLeast"/>
              <w:jc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SE</w:t>
            </w:r>
          </w:p>
        </w:tc>
        <w:tc>
          <w:tcPr>
            <w:tcW w:w="1624" w:type="dxa"/>
            <w:tcBorders>
              <w:tl2br w:val="nil"/>
              <w:tr2bl w:val="nil"/>
            </w:tcBorders>
            <w:vAlign w:val="center"/>
          </w:tcPr>
          <w:p w14:paraId="08DD4CD2">
            <w:pPr>
              <w:spacing w:line="240" w:lineRule="atLeast"/>
              <w:jc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393</w:t>
            </w:r>
          </w:p>
        </w:tc>
      </w:tr>
      <w:tr w14:paraId="6D44AD39">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100" w:hRule="atLeast"/>
          <w:jc w:val="center"/>
        </w:trPr>
        <w:tc>
          <w:tcPr>
            <w:tcW w:w="867" w:type="dxa"/>
            <w:vMerge w:val="continue"/>
            <w:tcBorders>
              <w:tl2br w:val="nil"/>
              <w:tr2bl w:val="nil"/>
            </w:tcBorders>
            <w:vAlign w:val="center"/>
          </w:tcPr>
          <w:p w14:paraId="36CA109A">
            <w:pPr>
              <w:spacing w:line="240" w:lineRule="atLeast"/>
              <w:jc w:val="center"/>
              <w:rPr>
                <w:rFonts w:hint="default" w:ascii="Times New Roman" w:hAnsi="Times New Roman" w:cs="Times New Roman"/>
                <w:kern w:val="0"/>
                <w:szCs w:val="21"/>
                <w:highlight w:val="none"/>
              </w:rPr>
            </w:pPr>
          </w:p>
        </w:tc>
        <w:tc>
          <w:tcPr>
            <w:tcW w:w="527" w:type="dxa"/>
            <w:tcBorders>
              <w:tl2br w:val="nil"/>
              <w:tr2bl w:val="nil"/>
            </w:tcBorders>
            <w:vAlign w:val="center"/>
          </w:tcPr>
          <w:p w14:paraId="13A6B302">
            <w:pPr>
              <w:spacing w:line="240" w:lineRule="atLeast"/>
              <w:jc w:val="center"/>
              <w:rPr>
                <w:rFonts w:hint="eastAsia"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6</w:t>
            </w:r>
          </w:p>
        </w:tc>
        <w:tc>
          <w:tcPr>
            <w:tcW w:w="1107" w:type="dxa"/>
            <w:vMerge w:val="continue"/>
            <w:tcBorders>
              <w:tl2br w:val="nil"/>
              <w:tr2bl w:val="nil"/>
            </w:tcBorders>
            <w:vAlign w:val="center"/>
          </w:tcPr>
          <w:p w14:paraId="2B41FA68">
            <w:pPr>
              <w:spacing w:line="240" w:lineRule="atLeast"/>
              <w:jc w:val="center"/>
              <w:rPr>
                <w:rFonts w:hint="default" w:ascii="Times New Roman" w:hAnsi="Times New Roman" w:cs="Times New Roman"/>
                <w:kern w:val="0"/>
                <w:szCs w:val="21"/>
                <w:highlight w:val="none"/>
              </w:rPr>
            </w:pPr>
          </w:p>
        </w:tc>
        <w:tc>
          <w:tcPr>
            <w:tcW w:w="1075" w:type="dxa"/>
            <w:tcBorders>
              <w:tl2br w:val="nil"/>
              <w:tr2bl w:val="nil"/>
            </w:tcBorders>
            <w:vAlign w:val="center"/>
          </w:tcPr>
          <w:p w14:paraId="41D1176C">
            <w:pPr>
              <w:spacing w:line="240" w:lineRule="atLeast"/>
              <w:jc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罗杨村</w:t>
            </w:r>
          </w:p>
        </w:tc>
        <w:tc>
          <w:tcPr>
            <w:tcW w:w="1582" w:type="dxa"/>
            <w:tcBorders>
              <w:tl2br w:val="nil"/>
              <w:tr2bl w:val="nil"/>
            </w:tcBorders>
            <w:vAlign w:val="center"/>
          </w:tcPr>
          <w:p w14:paraId="72889BD2">
            <w:pPr>
              <w:spacing w:line="240" w:lineRule="atLeast"/>
              <w:jc w:val="center"/>
              <w:rPr>
                <w:rFonts w:hint="default" w:ascii="Times New Roman" w:hAnsi="Times New Roman" w:cs="Times New Roman"/>
                <w:kern w:val="0"/>
                <w:szCs w:val="21"/>
                <w:highlight w:val="none"/>
              </w:rPr>
            </w:pPr>
            <w:r>
              <w:rPr>
                <w:rFonts w:hint="default" w:ascii="Times New Roman" w:hAnsi="Times New Roman" w:cs="Times New Roman"/>
                <w:snapToGrid w:val="0"/>
                <w:szCs w:val="21"/>
                <w:highlight w:val="none"/>
              </w:rPr>
              <w:t>116.522020684°</w:t>
            </w:r>
          </w:p>
        </w:tc>
        <w:tc>
          <w:tcPr>
            <w:tcW w:w="1452" w:type="dxa"/>
            <w:tcBorders>
              <w:tl2br w:val="nil"/>
              <w:tr2bl w:val="nil"/>
            </w:tcBorders>
            <w:vAlign w:val="center"/>
          </w:tcPr>
          <w:p w14:paraId="742E97BB">
            <w:pPr>
              <w:spacing w:line="240" w:lineRule="atLeast"/>
              <w:jc w:val="center"/>
              <w:rPr>
                <w:rFonts w:hint="default" w:ascii="Times New Roman" w:hAnsi="Times New Roman" w:cs="Times New Roman"/>
                <w:kern w:val="0"/>
                <w:szCs w:val="21"/>
                <w:highlight w:val="none"/>
              </w:rPr>
            </w:pPr>
            <w:r>
              <w:rPr>
                <w:rFonts w:hint="default" w:ascii="Times New Roman" w:hAnsi="Times New Roman" w:cs="Times New Roman"/>
                <w:snapToGrid w:val="0"/>
                <w:szCs w:val="21"/>
                <w:highlight w:val="none"/>
              </w:rPr>
              <w:t>32.703428362°</w:t>
            </w:r>
          </w:p>
        </w:tc>
        <w:tc>
          <w:tcPr>
            <w:tcW w:w="743" w:type="dxa"/>
            <w:tcBorders>
              <w:tl2br w:val="nil"/>
              <w:tr2bl w:val="nil"/>
            </w:tcBorders>
            <w:vAlign w:val="center"/>
          </w:tcPr>
          <w:p w14:paraId="222F2DC5">
            <w:pPr>
              <w:spacing w:line="240" w:lineRule="atLeast"/>
              <w:jc w:val="center"/>
              <w:rPr>
                <w:rFonts w:hint="eastAsia"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居民区</w:t>
            </w:r>
          </w:p>
        </w:tc>
        <w:tc>
          <w:tcPr>
            <w:tcW w:w="1814" w:type="dxa"/>
            <w:tcBorders>
              <w:tl2br w:val="nil"/>
              <w:tr2bl w:val="nil"/>
            </w:tcBorders>
            <w:vAlign w:val="center"/>
          </w:tcPr>
          <w:p w14:paraId="1C10AF55">
            <w:pPr>
              <w:spacing w:line="240" w:lineRule="atLeast"/>
              <w:jc w:val="center"/>
              <w:rPr>
                <w:rFonts w:hint="default" w:ascii="Times New Roman" w:hAnsi="Times New Roman" w:cs="Times New Roman"/>
                <w:kern w:val="0"/>
                <w:szCs w:val="21"/>
                <w:highlight w:val="none"/>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895</w:t>
            </w:r>
            <w:r>
              <w:rPr>
                <w:rFonts w:hint="default" w:ascii="Times New Roman" w:hAnsi="Times New Roman" w:cs="Times New Roman"/>
                <w:bCs/>
                <w:szCs w:val="21"/>
                <w:highlight w:val="none"/>
              </w:rPr>
              <w:t>户，</w:t>
            </w:r>
            <w:r>
              <w:rPr>
                <w:rFonts w:hint="eastAsia" w:cs="Times New Roman"/>
                <w:bCs/>
                <w:szCs w:val="21"/>
                <w:highlight w:val="none"/>
                <w:lang w:val="en-US" w:eastAsia="zh-CN"/>
              </w:rPr>
              <w:t>226</w:t>
            </w:r>
            <w:r>
              <w:rPr>
                <w:rFonts w:hint="default" w:ascii="Times New Roman" w:hAnsi="Times New Roman" w:cs="Times New Roman"/>
                <w:bCs/>
                <w:szCs w:val="21"/>
                <w:highlight w:val="none"/>
              </w:rPr>
              <w:t>0人</w:t>
            </w:r>
          </w:p>
        </w:tc>
        <w:tc>
          <w:tcPr>
            <w:tcW w:w="3062" w:type="dxa"/>
            <w:vMerge w:val="continue"/>
            <w:tcBorders>
              <w:tl2br w:val="nil"/>
              <w:tr2bl w:val="nil"/>
            </w:tcBorders>
            <w:vAlign w:val="center"/>
          </w:tcPr>
          <w:p w14:paraId="0B7292DD">
            <w:pPr>
              <w:spacing w:line="240" w:lineRule="atLeast"/>
              <w:jc w:val="center"/>
              <w:rPr>
                <w:rFonts w:hint="default" w:ascii="Times New Roman" w:hAnsi="Times New Roman" w:cs="Times New Roman"/>
                <w:kern w:val="0"/>
                <w:szCs w:val="21"/>
                <w:highlight w:val="none"/>
              </w:rPr>
            </w:pPr>
          </w:p>
        </w:tc>
        <w:tc>
          <w:tcPr>
            <w:tcW w:w="517" w:type="dxa"/>
            <w:tcBorders>
              <w:tl2br w:val="nil"/>
              <w:tr2bl w:val="nil"/>
            </w:tcBorders>
            <w:vAlign w:val="center"/>
          </w:tcPr>
          <w:p w14:paraId="622DB311">
            <w:pPr>
              <w:spacing w:line="240" w:lineRule="atLeast"/>
              <w:jc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SE</w:t>
            </w:r>
          </w:p>
        </w:tc>
        <w:tc>
          <w:tcPr>
            <w:tcW w:w="1624" w:type="dxa"/>
            <w:tcBorders>
              <w:tl2br w:val="nil"/>
              <w:tr2bl w:val="nil"/>
            </w:tcBorders>
            <w:vAlign w:val="center"/>
          </w:tcPr>
          <w:p w14:paraId="14B3E49C">
            <w:pPr>
              <w:spacing w:line="240" w:lineRule="atLeast"/>
              <w:jc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258</w:t>
            </w:r>
          </w:p>
        </w:tc>
      </w:tr>
      <w:tr w14:paraId="12B22BA6">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867" w:type="dxa"/>
            <w:vMerge w:val="continue"/>
            <w:tcBorders>
              <w:tl2br w:val="nil"/>
              <w:tr2bl w:val="nil"/>
            </w:tcBorders>
            <w:vAlign w:val="center"/>
          </w:tcPr>
          <w:p w14:paraId="30A2BBBA">
            <w:pPr>
              <w:spacing w:line="240" w:lineRule="atLeast"/>
              <w:jc w:val="center"/>
              <w:rPr>
                <w:rFonts w:hint="default" w:ascii="Times New Roman" w:hAnsi="Times New Roman" w:cs="Times New Roman"/>
                <w:bCs/>
                <w:szCs w:val="21"/>
                <w:highlight w:val="none"/>
              </w:rPr>
            </w:pPr>
          </w:p>
        </w:tc>
        <w:tc>
          <w:tcPr>
            <w:tcW w:w="527" w:type="dxa"/>
            <w:tcBorders>
              <w:tl2br w:val="nil"/>
              <w:tr2bl w:val="nil"/>
            </w:tcBorders>
            <w:vAlign w:val="center"/>
          </w:tcPr>
          <w:p w14:paraId="25D405CE">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7</w:t>
            </w:r>
          </w:p>
        </w:tc>
        <w:tc>
          <w:tcPr>
            <w:tcW w:w="1107" w:type="dxa"/>
            <w:vMerge w:val="restart"/>
            <w:tcBorders>
              <w:tl2br w:val="nil"/>
              <w:tr2bl w:val="nil"/>
            </w:tcBorders>
            <w:vAlign w:val="center"/>
          </w:tcPr>
          <w:p w14:paraId="6FA23067">
            <w:pPr>
              <w:spacing w:line="240" w:lineRule="atLeast"/>
              <w:jc w:val="center"/>
              <w:rPr>
                <w:rFonts w:hint="default" w:ascii="Times New Roman" w:hAnsi="Times New Roman" w:cs="Times New Roman"/>
                <w:snapToGrid w:val="0"/>
                <w:szCs w:val="21"/>
                <w:highlight w:val="none"/>
                <w:lang w:val="en-US"/>
              </w:rPr>
            </w:pPr>
            <w:r>
              <w:rPr>
                <w:rFonts w:hint="eastAsia" w:cs="Times New Roman"/>
                <w:snapToGrid w:val="0"/>
                <w:szCs w:val="21"/>
                <w:highlight w:val="none"/>
                <w:lang w:val="en-US" w:eastAsia="zh-CN"/>
              </w:rPr>
              <w:t>钻孔3</w:t>
            </w:r>
          </w:p>
        </w:tc>
        <w:tc>
          <w:tcPr>
            <w:tcW w:w="1075" w:type="dxa"/>
            <w:tcBorders>
              <w:tl2br w:val="nil"/>
              <w:tr2bl w:val="nil"/>
            </w:tcBorders>
            <w:vAlign w:val="center"/>
          </w:tcPr>
          <w:p w14:paraId="3D4299DA">
            <w:pPr>
              <w:spacing w:line="240" w:lineRule="atLeast"/>
              <w:jc w:val="center"/>
              <w:rPr>
                <w:rFonts w:hint="default" w:ascii="Times New Roman" w:hAnsi="Times New Roman" w:eastAsia="宋体" w:cs="Times New Roman"/>
                <w:color w:val="FF0000"/>
                <w:kern w:val="0"/>
                <w:szCs w:val="21"/>
                <w:highlight w:val="none"/>
                <w:lang w:val="en-US" w:eastAsia="zh-CN"/>
              </w:rPr>
            </w:pPr>
            <w:r>
              <w:rPr>
                <w:rFonts w:hint="eastAsia" w:cs="Times New Roman"/>
                <w:color w:val="auto"/>
                <w:kern w:val="0"/>
                <w:szCs w:val="21"/>
                <w:highlight w:val="none"/>
                <w:lang w:val="en-US" w:eastAsia="zh-CN"/>
              </w:rPr>
              <w:t>居民点A</w:t>
            </w:r>
          </w:p>
        </w:tc>
        <w:tc>
          <w:tcPr>
            <w:tcW w:w="1582" w:type="dxa"/>
            <w:tcBorders>
              <w:tl2br w:val="nil"/>
              <w:tr2bl w:val="nil"/>
            </w:tcBorders>
            <w:vAlign w:val="center"/>
          </w:tcPr>
          <w:p w14:paraId="4FF190A1">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116.521749726°</w:t>
            </w:r>
          </w:p>
        </w:tc>
        <w:tc>
          <w:tcPr>
            <w:tcW w:w="1452" w:type="dxa"/>
            <w:tcBorders>
              <w:tl2br w:val="nil"/>
              <w:tr2bl w:val="nil"/>
            </w:tcBorders>
            <w:vAlign w:val="center"/>
          </w:tcPr>
          <w:p w14:paraId="03BD622F">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32.704958459°</w:t>
            </w:r>
          </w:p>
        </w:tc>
        <w:tc>
          <w:tcPr>
            <w:tcW w:w="743" w:type="dxa"/>
            <w:tcBorders>
              <w:tl2br w:val="nil"/>
              <w:tr2bl w:val="nil"/>
            </w:tcBorders>
            <w:vAlign w:val="center"/>
          </w:tcPr>
          <w:p w14:paraId="449F1BA1">
            <w:pPr>
              <w:spacing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居民区</w:t>
            </w:r>
          </w:p>
        </w:tc>
        <w:tc>
          <w:tcPr>
            <w:tcW w:w="1814" w:type="dxa"/>
            <w:tcBorders>
              <w:tl2br w:val="nil"/>
              <w:tr2bl w:val="nil"/>
            </w:tcBorders>
            <w:vAlign w:val="center"/>
          </w:tcPr>
          <w:p w14:paraId="3B9F6E03">
            <w:pPr>
              <w:spacing w:line="24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1</w:t>
            </w:r>
            <w:r>
              <w:rPr>
                <w:rFonts w:hint="default" w:ascii="Times New Roman" w:hAnsi="Times New Roman" w:cs="Times New Roman"/>
                <w:bCs/>
                <w:szCs w:val="21"/>
                <w:highlight w:val="none"/>
              </w:rPr>
              <w:t>户，</w:t>
            </w:r>
            <w:r>
              <w:rPr>
                <w:rFonts w:hint="eastAsia" w:cs="Times New Roman"/>
                <w:bCs/>
                <w:szCs w:val="21"/>
                <w:highlight w:val="none"/>
                <w:lang w:val="en-US" w:eastAsia="zh-CN"/>
              </w:rPr>
              <w:t>4</w:t>
            </w:r>
            <w:r>
              <w:rPr>
                <w:rFonts w:hint="default" w:ascii="Times New Roman" w:hAnsi="Times New Roman" w:cs="Times New Roman"/>
                <w:bCs/>
                <w:szCs w:val="21"/>
                <w:highlight w:val="none"/>
              </w:rPr>
              <w:t>人</w:t>
            </w:r>
          </w:p>
        </w:tc>
        <w:tc>
          <w:tcPr>
            <w:tcW w:w="3062" w:type="dxa"/>
            <w:vMerge w:val="continue"/>
            <w:tcBorders>
              <w:tl2br w:val="nil"/>
              <w:tr2bl w:val="nil"/>
            </w:tcBorders>
            <w:vAlign w:val="center"/>
          </w:tcPr>
          <w:p w14:paraId="6EE09E6F">
            <w:pPr>
              <w:spacing w:line="240" w:lineRule="atLeast"/>
              <w:jc w:val="center"/>
              <w:rPr>
                <w:rFonts w:hint="default" w:ascii="Times New Roman" w:hAnsi="Times New Roman" w:cs="Times New Roman"/>
                <w:snapToGrid w:val="0"/>
                <w:szCs w:val="21"/>
                <w:highlight w:val="none"/>
              </w:rPr>
            </w:pPr>
          </w:p>
        </w:tc>
        <w:tc>
          <w:tcPr>
            <w:tcW w:w="517" w:type="dxa"/>
            <w:tcBorders>
              <w:tl2br w:val="nil"/>
              <w:tr2bl w:val="nil"/>
            </w:tcBorders>
            <w:vAlign w:val="center"/>
          </w:tcPr>
          <w:p w14:paraId="20C8CE71">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SE</w:t>
            </w:r>
          </w:p>
        </w:tc>
        <w:tc>
          <w:tcPr>
            <w:tcW w:w="1624" w:type="dxa"/>
            <w:tcBorders>
              <w:tl2br w:val="nil"/>
              <w:tr2bl w:val="nil"/>
            </w:tcBorders>
            <w:vAlign w:val="center"/>
          </w:tcPr>
          <w:p w14:paraId="5EC71D92">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251</w:t>
            </w:r>
          </w:p>
        </w:tc>
      </w:tr>
      <w:tr w14:paraId="17314089">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867" w:type="dxa"/>
            <w:vMerge w:val="continue"/>
            <w:tcBorders>
              <w:tl2br w:val="nil"/>
              <w:tr2bl w:val="nil"/>
            </w:tcBorders>
            <w:vAlign w:val="center"/>
          </w:tcPr>
          <w:p w14:paraId="1393BC55">
            <w:pPr>
              <w:spacing w:line="240" w:lineRule="atLeast"/>
              <w:jc w:val="center"/>
              <w:rPr>
                <w:rFonts w:hint="default" w:ascii="Times New Roman" w:hAnsi="Times New Roman" w:cs="Times New Roman"/>
                <w:bCs/>
                <w:szCs w:val="21"/>
                <w:highlight w:val="none"/>
              </w:rPr>
            </w:pPr>
          </w:p>
        </w:tc>
        <w:tc>
          <w:tcPr>
            <w:tcW w:w="527" w:type="dxa"/>
            <w:tcBorders>
              <w:tl2br w:val="nil"/>
              <w:tr2bl w:val="nil"/>
            </w:tcBorders>
            <w:vAlign w:val="center"/>
          </w:tcPr>
          <w:p w14:paraId="49C9EFB0">
            <w:pPr>
              <w:spacing w:line="240" w:lineRule="atLeast"/>
              <w:jc w:val="center"/>
              <w:rPr>
                <w:rFonts w:hint="eastAsia"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8</w:t>
            </w:r>
          </w:p>
        </w:tc>
        <w:tc>
          <w:tcPr>
            <w:tcW w:w="1107" w:type="dxa"/>
            <w:vMerge w:val="continue"/>
            <w:tcBorders>
              <w:tl2br w:val="nil"/>
              <w:tr2bl w:val="nil"/>
            </w:tcBorders>
            <w:vAlign w:val="center"/>
          </w:tcPr>
          <w:p w14:paraId="4FFACECA">
            <w:pPr>
              <w:spacing w:line="240" w:lineRule="atLeast"/>
              <w:jc w:val="center"/>
              <w:rPr>
                <w:rFonts w:hint="default" w:ascii="Times New Roman" w:hAnsi="Times New Roman" w:cs="Times New Roman"/>
                <w:snapToGrid w:val="0"/>
                <w:szCs w:val="21"/>
                <w:highlight w:val="none"/>
              </w:rPr>
            </w:pPr>
          </w:p>
        </w:tc>
        <w:tc>
          <w:tcPr>
            <w:tcW w:w="1075" w:type="dxa"/>
            <w:tcBorders>
              <w:tl2br w:val="nil"/>
              <w:tr2bl w:val="nil"/>
            </w:tcBorders>
            <w:vAlign w:val="center"/>
          </w:tcPr>
          <w:p w14:paraId="5FB41BB9">
            <w:pPr>
              <w:spacing w:line="240" w:lineRule="atLeast"/>
              <w:jc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居民点B</w:t>
            </w:r>
          </w:p>
        </w:tc>
        <w:tc>
          <w:tcPr>
            <w:tcW w:w="1582" w:type="dxa"/>
            <w:tcBorders>
              <w:tl2br w:val="nil"/>
              <w:tr2bl w:val="nil"/>
            </w:tcBorders>
            <w:vAlign w:val="center"/>
          </w:tcPr>
          <w:p w14:paraId="42A40EB5">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116.523686281°</w:t>
            </w:r>
          </w:p>
        </w:tc>
        <w:tc>
          <w:tcPr>
            <w:tcW w:w="1452" w:type="dxa"/>
            <w:tcBorders>
              <w:tl2br w:val="nil"/>
              <w:tr2bl w:val="nil"/>
            </w:tcBorders>
            <w:vAlign w:val="center"/>
          </w:tcPr>
          <w:p w14:paraId="6E7B962E">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32.704550763°</w:t>
            </w:r>
          </w:p>
        </w:tc>
        <w:tc>
          <w:tcPr>
            <w:tcW w:w="743" w:type="dxa"/>
            <w:tcBorders>
              <w:tl2br w:val="nil"/>
              <w:tr2bl w:val="nil"/>
            </w:tcBorders>
            <w:vAlign w:val="center"/>
          </w:tcPr>
          <w:p w14:paraId="59F93721">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zCs w:val="21"/>
                <w:highlight w:val="none"/>
              </w:rPr>
              <w:t>居民区</w:t>
            </w:r>
          </w:p>
        </w:tc>
        <w:tc>
          <w:tcPr>
            <w:tcW w:w="1814" w:type="dxa"/>
            <w:tcBorders>
              <w:tl2br w:val="nil"/>
              <w:tr2bl w:val="nil"/>
            </w:tcBorders>
            <w:vAlign w:val="center"/>
          </w:tcPr>
          <w:p w14:paraId="3E6EF323">
            <w:pPr>
              <w:spacing w:line="24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3</w:t>
            </w:r>
            <w:r>
              <w:rPr>
                <w:rFonts w:hint="default" w:ascii="Times New Roman" w:hAnsi="Times New Roman" w:cs="Times New Roman"/>
                <w:bCs/>
                <w:szCs w:val="21"/>
                <w:highlight w:val="none"/>
              </w:rPr>
              <w:t>户，</w:t>
            </w:r>
            <w:r>
              <w:rPr>
                <w:rFonts w:hint="eastAsia" w:cs="Times New Roman"/>
                <w:bCs/>
                <w:szCs w:val="21"/>
                <w:highlight w:val="none"/>
                <w:lang w:val="en-US" w:eastAsia="zh-CN"/>
              </w:rPr>
              <w:t>12</w:t>
            </w:r>
            <w:r>
              <w:rPr>
                <w:rFonts w:hint="default" w:ascii="Times New Roman" w:hAnsi="Times New Roman" w:cs="Times New Roman"/>
                <w:bCs/>
                <w:szCs w:val="21"/>
                <w:highlight w:val="none"/>
              </w:rPr>
              <w:t>人</w:t>
            </w:r>
          </w:p>
        </w:tc>
        <w:tc>
          <w:tcPr>
            <w:tcW w:w="3062" w:type="dxa"/>
            <w:vMerge w:val="continue"/>
            <w:tcBorders>
              <w:tl2br w:val="nil"/>
              <w:tr2bl w:val="nil"/>
            </w:tcBorders>
            <w:vAlign w:val="center"/>
          </w:tcPr>
          <w:p w14:paraId="41060196">
            <w:pPr>
              <w:spacing w:line="240" w:lineRule="atLeast"/>
              <w:jc w:val="center"/>
              <w:rPr>
                <w:rFonts w:hint="default" w:ascii="Times New Roman" w:hAnsi="Times New Roman" w:cs="Times New Roman"/>
                <w:snapToGrid w:val="0"/>
                <w:szCs w:val="21"/>
                <w:highlight w:val="none"/>
              </w:rPr>
            </w:pPr>
          </w:p>
        </w:tc>
        <w:tc>
          <w:tcPr>
            <w:tcW w:w="517" w:type="dxa"/>
            <w:tcBorders>
              <w:tl2br w:val="nil"/>
              <w:tr2bl w:val="nil"/>
            </w:tcBorders>
            <w:vAlign w:val="center"/>
          </w:tcPr>
          <w:p w14:paraId="79B069BC">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SE</w:t>
            </w:r>
          </w:p>
        </w:tc>
        <w:tc>
          <w:tcPr>
            <w:tcW w:w="1624" w:type="dxa"/>
            <w:tcBorders>
              <w:tl2br w:val="nil"/>
              <w:tr2bl w:val="nil"/>
            </w:tcBorders>
            <w:vAlign w:val="center"/>
          </w:tcPr>
          <w:p w14:paraId="04DDBE6B">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424</w:t>
            </w:r>
          </w:p>
        </w:tc>
      </w:tr>
      <w:tr w14:paraId="634B8EB3">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867" w:type="dxa"/>
            <w:vMerge w:val="continue"/>
            <w:tcBorders>
              <w:tl2br w:val="nil"/>
              <w:tr2bl w:val="nil"/>
            </w:tcBorders>
            <w:vAlign w:val="center"/>
          </w:tcPr>
          <w:p w14:paraId="2FE27836">
            <w:pPr>
              <w:spacing w:line="240" w:lineRule="atLeast"/>
              <w:jc w:val="center"/>
              <w:rPr>
                <w:rFonts w:hint="default" w:ascii="Times New Roman" w:hAnsi="Times New Roman" w:cs="Times New Roman"/>
                <w:bCs/>
                <w:szCs w:val="21"/>
                <w:highlight w:val="none"/>
              </w:rPr>
            </w:pPr>
          </w:p>
        </w:tc>
        <w:tc>
          <w:tcPr>
            <w:tcW w:w="527" w:type="dxa"/>
            <w:tcBorders>
              <w:tl2br w:val="nil"/>
              <w:tr2bl w:val="nil"/>
            </w:tcBorders>
            <w:vAlign w:val="center"/>
          </w:tcPr>
          <w:p w14:paraId="60195B88">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9</w:t>
            </w:r>
          </w:p>
        </w:tc>
        <w:tc>
          <w:tcPr>
            <w:tcW w:w="1107" w:type="dxa"/>
            <w:vMerge w:val="continue"/>
            <w:tcBorders>
              <w:tl2br w:val="nil"/>
              <w:tr2bl w:val="nil"/>
            </w:tcBorders>
            <w:vAlign w:val="center"/>
          </w:tcPr>
          <w:p w14:paraId="645EFBD6">
            <w:pPr>
              <w:spacing w:line="240" w:lineRule="atLeast"/>
              <w:jc w:val="center"/>
              <w:rPr>
                <w:rFonts w:hint="default" w:ascii="Times New Roman" w:hAnsi="Times New Roman" w:cs="Times New Roman"/>
                <w:snapToGrid w:val="0"/>
                <w:szCs w:val="21"/>
                <w:highlight w:val="none"/>
              </w:rPr>
            </w:pPr>
          </w:p>
        </w:tc>
        <w:tc>
          <w:tcPr>
            <w:tcW w:w="1075" w:type="dxa"/>
            <w:tcBorders>
              <w:tl2br w:val="nil"/>
              <w:tr2bl w:val="nil"/>
            </w:tcBorders>
            <w:vAlign w:val="center"/>
          </w:tcPr>
          <w:p w14:paraId="773D74B0">
            <w:pPr>
              <w:spacing w:line="240" w:lineRule="atLeast"/>
              <w:jc w:val="center"/>
              <w:rPr>
                <w:rFonts w:hint="eastAsia"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罗杨村</w:t>
            </w:r>
          </w:p>
        </w:tc>
        <w:tc>
          <w:tcPr>
            <w:tcW w:w="1582" w:type="dxa"/>
            <w:tcBorders>
              <w:tl2br w:val="nil"/>
              <w:tr2bl w:val="nil"/>
            </w:tcBorders>
            <w:vAlign w:val="center"/>
          </w:tcPr>
          <w:p w14:paraId="34E7AE42">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116.522020684°</w:t>
            </w:r>
          </w:p>
        </w:tc>
        <w:tc>
          <w:tcPr>
            <w:tcW w:w="1452" w:type="dxa"/>
            <w:tcBorders>
              <w:tl2br w:val="nil"/>
              <w:tr2bl w:val="nil"/>
            </w:tcBorders>
            <w:vAlign w:val="center"/>
          </w:tcPr>
          <w:p w14:paraId="6F735B1A">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32.84239325°</w:t>
            </w:r>
          </w:p>
        </w:tc>
        <w:tc>
          <w:tcPr>
            <w:tcW w:w="743" w:type="dxa"/>
            <w:tcBorders>
              <w:tl2br w:val="nil"/>
              <w:tr2bl w:val="nil"/>
            </w:tcBorders>
            <w:vAlign w:val="center"/>
          </w:tcPr>
          <w:p w14:paraId="31AA4939">
            <w:pPr>
              <w:spacing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居民区</w:t>
            </w:r>
          </w:p>
        </w:tc>
        <w:tc>
          <w:tcPr>
            <w:tcW w:w="1814" w:type="dxa"/>
            <w:tcBorders>
              <w:tl2br w:val="nil"/>
              <w:tr2bl w:val="nil"/>
            </w:tcBorders>
            <w:vAlign w:val="center"/>
          </w:tcPr>
          <w:p w14:paraId="2E9063DD">
            <w:pPr>
              <w:spacing w:line="24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895</w:t>
            </w:r>
            <w:r>
              <w:rPr>
                <w:rFonts w:hint="default" w:ascii="Times New Roman" w:hAnsi="Times New Roman" w:cs="Times New Roman"/>
                <w:bCs/>
                <w:szCs w:val="21"/>
                <w:highlight w:val="none"/>
              </w:rPr>
              <w:t>户，</w:t>
            </w:r>
            <w:r>
              <w:rPr>
                <w:rFonts w:hint="eastAsia" w:cs="Times New Roman"/>
                <w:bCs/>
                <w:szCs w:val="21"/>
                <w:highlight w:val="none"/>
                <w:lang w:val="en-US" w:eastAsia="zh-CN"/>
              </w:rPr>
              <w:t>2260</w:t>
            </w:r>
            <w:r>
              <w:rPr>
                <w:rFonts w:hint="default" w:ascii="Times New Roman" w:hAnsi="Times New Roman" w:cs="Times New Roman"/>
                <w:bCs/>
                <w:szCs w:val="21"/>
                <w:highlight w:val="none"/>
              </w:rPr>
              <w:t>人</w:t>
            </w:r>
          </w:p>
        </w:tc>
        <w:tc>
          <w:tcPr>
            <w:tcW w:w="3062" w:type="dxa"/>
            <w:vMerge w:val="continue"/>
            <w:tcBorders>
              <w:tl2br w:val="nil"/>
              <w:tr2bl w:val="nil"/>
            </w:tcBorders>
            <w:vAlign w:val="center"/>
          </w:tcPr>
          <w:p w14:paraId="1A7561CA">
            <w:pPr>
              <w:spacing w:line="240" w:lineRule="atLeast"/>
              <w:jc w:val="center"/>
              <w:rPr>
                <w:rFonts w:hint="default" w:ascii="Times New Roman" w:hAnsi="Times New Roman" w:cs="Times New Roman"/>
                <w:snapToGrid w:val="0"/>
                <w:szCs w:val="21"/>
                <w:highlight w:val="none"/>
              </w:rPr>
            </w:pPr>
          </w:p>
        </w:tc>
        <w:tc>
          <w:tcPr>
            <w:tcW w:w="517" w:type="dxa"/>
            <w:tcBorders>
              <w:tl2br w:val="nil"/>
              <w:tr2bl w:val="nil"/>
            </w:tcBorders>
            <w:vAlign w:val="center"/>
          </w:tcPr>
          <w:p w14:paraId="647A5E0B">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SE</w:t>
            </w:r>
          </w:p>
        </w:tc>
        <w:tc>
          <w:tcPr>
            <w:tcW w:w="1624" w:type="dxa"/>
            <w:tcBorders>
              <w:tl2br w:val="nil"/>
              <w:tr2bl w:val="nil"/>
            </w:tcBorders>
            <w:vAlign w:val="center"/>
          </w:tcPr>
          <w:p w14:paraId="54E4183E">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300</w:t>
            </w:r>
          </w:p>
        </w:tc>
      </w:tr>
      <w:tr w14:paraId="302557A8">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75" w:hRule="atLeast"/>
          <w:jc w:val="center"/>
        </w:trPr>
        <w:tc>
          <w:tcPr>
            <w:tcW w:w="867" w:type="dxa"/>
            <w:vMerge w:val="continue"/>
            <w:tcBorders>
              <w:tl2br w:val="nil"/>
              <w:tr2bl w:val="nil"/>
            </w:tcBorders>
            <w:vAlign w:val="center"/>
          </w:tcPr>
          <w:p w14:paraId="13F8A843">
            <w:pPr>
              <w:spacing w:line="240" w:lineRule="atLeast"/>
              <w:jc w:val="center"/>
              <w:rPr>
                <w:rFonts w:hint="default" w:ascii="Times New Roman" w:hAnsi="Times New Roman" w:cs="Times New Roman"/>
                <w:bCs/>
                <w:szCs w:val="21"/>
                <w:highlight w:val="none"/>
              </w:rPr>
            </w:pPr>
          </w:p>
        </w:tc>
        <w:tc>
          <w:tcPr>
            <w:tcW w:w="527" w:type="dxa"/>
            <w:tcBorders>
              <w:tl2br w:val="nil"/>
              <w:tr2bl w:val="nil"/>
            </w:tcBorders>
            <w:vAlign w:val="center"/>
          </w:tcPr>
          <w:p w14:paraId="6DF61FC5">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10</w:t>
            </w:r>
          </w:p>
        </w:tc>
        <w:tc>
          <w:tcPr>
            <w:tcW w:w="1107" w:type="dxa"/>
            <w:vMerge w:val="restart"/>
            <w:tcBorders>
              <w:tl2br w:val="nil"/>
              <w:tr2bl w:val="nil"/>
            </w:tcBorders>
            <w:vAlign w:val="center"/>
          </w:tcPr>
          <w:p w14:paraId="6D19BF9C">
            <w:pPr>
              <w:spacing w:line="240" w:lineRule="atLeast"/>
              <w:jc w:val="center"/>
              <w:rPr>
                <w:rFonts w:hint="default" w:ascii="Times New Roman" w:hAnsi="Times New Roman" w:cs="Times New Roman"/>
                <w:snapToGrid w:val="0"/>
                <w:szCs w:val="21"/>
                <w:highlight w:val="none"/>
                <w:lang w:val="en-US"/>
              </w:rPr>
            </w:pPr>
            <w:r>
              <w:rPr>
                <w:rFonts w:hint="eastAsia" w:cs="Times New Roman"/>
                <w:snapToGrid w:val="0"/>
                <w:szCs w:val="21"/>
                <w:highlight w:val="none"/>
                <w:lang w:val="en-US" w:eastAsia="zh-CN"/>
              </w:rPr>
              <w:t>钻孔4</w:t>
            </w:r>
          </w:p>
        </w:tc>
        <w:tc>
          <w:tcPr>
            <w:tcW w:w="1075" w:type="dxa"/>
            <w:tcBorders>
              <w:tl2br w:val="nil"/>
              <w:tr2bl w:val="nil"/>
            </w:tcBorders>
            <w:vAlign w:val="center"/>
          </w:tcPr>
          <w:p w14:paraId="7364C399">
            <w:pPr>
              <w:spacing w:line="240" w:lineRule="atLeast"/>
              <w:jc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居民点A</w:t>
            </w:r>
          </w:p>
        </w:tc>
        <w:tc>
          <w:tcPr>
            <w:tcW w:w="1582" w:type="dxa"/>
            <w:tcBorders>
              <w:tl2br w:val="nil"/>
              <w:tr2bl w:val="nil"/>
            </w:tcBorders>
            <w:vAlign w:val="center"/>
          </w:tcPr>
          <w:p w14:paraId="6BF48538">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116.521749726°</w:t>
            </w:r>
          </w:p>
        </w:tc>
        <w:tc>
          <w:tcPr>
            <w:tcW w:w="1452" w:type="dxa"/>
            <w:tcBorders>
              <w:tl2br w:val="nil"/>
              <w:tr2bl w:val="nil"/>
            </w:tcBorders>
            <w:vAlign w:val="center"/>
          </w:tcPr>
          <w:p w14:paraId="15BBEB98">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32.704958459°</w:t>
            </w:r>
          </w:p>
        </w:tc>
        <w:tc>
          <w:tcPr>
            <w:tcW w:w="743" w:type="dxa"/>
            <w:tcBorders>
              <w:tl2br w:val="nil"/>
              <w:tr2bl w:val="nil"/>
            </w:tcBorders>
            <w:vAlign w:val="center"/>
          </w:tcPr>
          <w:p w14:paraId="23D88997">
            <w:pPr>
              <w:spacing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居民区</w:t>
            </w:r>
          </w:p>
        </w:tc>
        <w:tc>
          <w:tcPr>
            <w:tcW w:w="1814" w:type="dxa"/>
            <w:tcBorders>
              <w:tl2br w:val="nil"/>
              <w:tr2bl w:val="nil"/>
            </w:tcBorders>
            <w:vAlign w:val="center"/>
          </w:tcPr>
          <w:p w14:paraId="4AB0BC40">
            <w:pPr>
              <w:spacing w:line="24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1</w:t>
            </w:r>
            <w:r>
              <w:rPr>
                <w:rFonts w:hint="default" w:ascii="Times New Roman" w:hAnsi="Times New Roman" w:cs="Times New Roman"/>
                <w:bCs/>
                <w:szCs w:val="21"/>
                <w:highlight w:val="none"/>
              </w:rPr>
              <w:t>户，</w:t>
            </w:r>
            <w:r>
              <w:rPr>
                <w:rFonts w:hint="eastAsia" w:cs="Times New Roman"/>
                <w:bCs/>
                <w:szCs w:val="21"/>
                <w:highlight w:val="none"/>
                <w:lang w:val="en-US" w:eastAsia="zh-CN"/>
              </w:rPr>
              <w:t>4</w:t>
            </w:r>
            <w:r>
              <w:rPr>
                <w:rFonts w:hint="default" w:ascii="Times New Roman" w:hAnsi="Times New Roman" w:cs="Times New Roman"/>
                <w:bCs/>
                <w:szCs w:val="21"/>
                <w:highlight w:val="none"/>
              </w:rPr>
              <w:t>人</w:t>
            </w:r>
          </w:p>
        </w:tc>
        <w:tc>
          <w:tcPr>
            <w:tcW w:w="3062" w:type="dxa"/>
            <w:vMerge w:val="continue"/>
            <w:tcBorders>
              <w:tl2br w:val="nil"/>
              <w:tr2bl w:val="nil"/>
            </w:tcBorders>
            <w:vAlign w:val="center"/>
          </w:tcPr>
          <w:p w14:paraId="646EB09F">
            <w:pPr>
              <w:spacing w:line="240" w:lineRule="atLeast"/>
              <w:jc w:val="center"/>
              <w:rPr>
                <w:rFonts w:hint="default" w:ascii="Times New Roman" w:hAnsi="Times New Roman" w:cs="Times New Roman"/>
                <w:snapToGrid w:val="0"/>
                <w:szCs w:val="21"/>
                <w:highlight w:val="none"/>
              </w:rPr>
            </w:pPr>
          </w:p>
        </w:tc>
        <w:tc>
          <w:tcPr>
            <w:tcW w:w="517" w:type="dxa"/>
            <w:tcBorders>
              <w:tl2br w:val="nil"/>
              <w:tr2bl w:val="nil"/>
            </w:tcBorders>
            <w:vAlign w:val="center"/>
          </w:tcPr>
          <w:p w14:paraId="1487B311">
            <w:pPr>
              <w:spacing w:line="240" w:lineRule="atLeast"/>
              <w:jc w:val="center"/>
              <w:rPr>
                <w:rFonts w:hint="default" w:ascii="Times New Roman" w:hAnsi="Times New Roman" w:eastAsia="宋体" w:cs="Times New Roman"/>
                <w:bCs/>
                <w:szCs w:val="21"/>
                <w:highlight w:val="none"/>
                <w:lang w:val="en-US" w:eastAsia="zh-CN"/>
              </w:rPr>
            </w:pPr>
            <w:r>
              <w:rPr>
                <w:rFonts w:hint="eastAsia" w:cs="Times New Roman"/>
                <w:bCs/>
                <w:szCs w:val="21"/>
                <w:highlight w:val="none"/>
                <w:lang w:val="en-US" w:eastAsia="zh-CN"/>
              </w:rPr>
              <w:t>SE</w:t>
            </w:r>
          </w:p>
        </w:tc>
        <w:tc>
          <w:tcPr>
            <w:tcW w:w="1624" w:type="dxa"/>
            <w:tcBorders>
              <w:tl2br w:val="nil"/>
              <w:tr2bl w:val="nil"/>
            </w:tcBorders>
            <w:vAlign w:val="center"/>
          </w:tcPr>
          <w:p w14:paraId="1060A3E8">
            <w:pPr>
              <w:spacing w:line="240" w:lineRule="atLeast"/>
              <w:jc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276</w:t>
            </w:r>
          </w:p>
        </w:tc>
      </w:tr>
      <w:tr w14:paraId="2F250229">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75" w:hRule="atLeast"/>
          <w:jc w:val="center"/>
        </w:trPr>
        <w:tc>
          <w:tcPr>
            <w:tcW w:w="867" w:type="dxa"/>
            <w:vMerge w:val="continue"/>
            <w:tcBorders>
              <w:tl2br w:val="nil"/>
              <w:tr2bl w:val="nil"/>
            </w:tcBorders>
            <w:vAlign w:val="center"/>
          </w:tcPr>
          <w:p w14:paraId="6CCEFEAC">
            <w:pPr>
              <w:spacing w:line="240" w:lineRule="atLeast"/>
              <w:jc w:val="center"/>
            </w:pPr>
          </w:p>
        </w:tc>
        <w:tc>
          <w:tcPr>
            <w:tcW w:w="527" w:type="dxa"/>
            <w:tcBorders>
              <w:tl2br w:val="nil"/>
              <w:tr2bl w:val="nil"/>
            </w:tcBorders>
            <w:vAlign w:val="center"/>
          </w:tcPr>
          <w:p w14:paraId="4C795726">
            <w:pPr>
              <w:spacing w:line="240" w:lineRule="atLeast"/>
              <w:jc w:val="center"/>
              <w:rPr>
                <w:rFonts w:hint="eastAsia" w:cs="Times New Roman"/>
                <w:snapToGrid w:val="0"/>
                <w:szCs w:val="21"/>
                <w:highlight w:val="none"/>
                <w:lang w:val="en-US" w:eastAsia="zh-CN"/>
              </w:rPr>
            </w:pPr>
          </w:p>
        </w:tc>
        <w:tc>
          <w:tcPr>
            <w:tcW w:w="1107" w:type="dxa"/>
            <w:vMerge w:val="continue"/>
            <w:tcBorders>
              <w:tl2br w:val="nil"/>
              <w:tr2bl w:val="nil"/>
            </w:tcBorders>
            <w:vAlign w:val="center"/>
          </w:tcPr>
          <w:p w14:paraId="4DB8DDDD">
            <w:pPr>
              <w:spacing w:line="240" w:lineRule="atLeast"/>
              <w:jc w:val="center"/>
              <w:rPr>
                <w:rFonts w:hint="eastAsia" w:cs="Times New Roman"/>
                <w:snapToGrid w:val="0"/>
                <w:szCs w:val="21"/>
                <w:highlight w:val="none"/>
                <w:lang w:val="en-US" w:eastAsia="zh-CN"/>
              </w:rPr>
            </w:pPr>
          </w:p>
        </w:tc>
        <w:tc>
          <w:tcPr>
            <w:tcW w:w="1075" w:type="dxa"/>
            <w:tcBorders>
              <w:tl2br w:val="nil"/>
              <w:tr2bl w:val="nil"/>
            </w:tcBorders>
            <w:vAlign w:val="center"/>
          </w:tcPr>
          <w:p w14:paraId="58C3CF87">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居民点B</w:t>
            </w:r>
          </w:p>
        </w:tc>
        <w:tc>
          <w:tcPr>
            <w:tcW w:w="1582" w:type="dxa"/>
            <w:tcBorders>
              <w:tl2br w:val="nil"/>
              <w:tr2bl w:val="nil"/>
            </w:tcBorders>
            <w:vAlign w:val="center"/>
          </w:tcPr>
          <w:p w14:paraId="1E36D50C">
            <w:pPr>
              <w:spacing w:line="240" w:lineRule="atLeast"/>
              <w:jc w:val="center"/>
              <w:rPr>
                <w:rFonts w:hint="eastAsia" w:cs="Times New Roman"/>
                <w:snapToGrid w:val="0"/>
                <w:szCs w:val="21"/>
                <w:highlight w:val="none"/>
                <w:lang w:val="en-US" w:eastAsia="zh-CN"/>
              </w:rPr>
            </w:pPr>
            <w:r>
              <w:rPr>
                <w:rFonts w:hint="default" w:ascii="Times New Roman" w:hAnsi="Times New Roman" w:cs="Times New Roman"/>
                <w:snapToGrid w:val="0"/>
                <w:szCs w:val="21"/>
                <w:highlight w:val="none"/>
              </w:rPr>
              <w:t>116.523686281°</w:t>
            </w:r>
          </w:p>
        </w:tc>
        <w:tc>
          <w:tcPr>
            <w:tcW w:w="1452" w:type="dxa"/>
            <w:tcBorders>
              <w:tl2br w:val="nil"/>
              <w:tr2bl w:val="nil"/>
            </w:tcBorders>
            <w:vAlign w:val="center"/>
          </w:tcPr>
          <w:p w14:paraId="742C6497">
            <w:pPr>
              <w:spacing w:line="240" w:lineRule="atLeast"/>
              <w:jc w:val="center"/>
              <w:rPr>
                <w:rFonts w:hint="eastAsia" w:cs="Times New Roman"/>
                <w:snapToGrid w:val="0"/>
                <w:szCs w:val="21"/>
                <w:highlight w:val="none"/>
                <w:lang w:val="en-US" w:eastAsia="zh-CN"/>
              </w:rPr>
            </w:pPr>
            <w:r>
              <w:rPr>
                <w:rFonts w:hint="default" w:ascii="Times New Roman" w:hAnsi="Times New Roman" w:cs="Times New Roman"/>
                <w:snapToGrid w:val="0"/>
                <w:szCs w:val="21"/>
                <w:highlight w:val="none"/>
              </w:rPr>
              <w:t>32.704550763°</w:t>
            </w:r>
          </w:p>
        </w:tc>
        <w:tc>
          <w:tcPr>
            <w:tcW w:w="743" w:type="dxa"/>
            <w:tcBorders>
              <w:tl2br w:val="nil"/>
              <w:tr2bl w:val="nil"/>
            </w:tcBorders>
            <w:vAlign w:val="center"/>
          </w:tcPr>
          <w:p w14:paraId="6705C1F5">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居民区</w:t>
            </w:r>
          </w:p>
        </w:tc>
        <w:tc>
          <w:tcPr>
            <w:tcW w:w="1814" w:type="dxa"/>
            <w:tcBorders>
              <w:tl2br w:val="nil"/>
              <w:tr2bl w:val="nil"/>
            </w:tcBorders>
            <w:vAlign w:val="center"/>
          </w:tcPr>
          <w:p w14:paraId="5AC8DC58">
            <w:pPr>
              <w:spacing w:line="240" w:lineRule="atLeast"/>
              <w:jc w:val="center"/>
              <w:rPr>
                <w:rFonts w:hint="eastAsia" w:cs="Times New Roman"/>
                <w:snapToGrid w:val="0"/>
                <w:szCs w:val="21"/>
                <w:highlight w:val="none"/>
                <w:lang w:val="en-US" w:eastAsia="zh-CN"/>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3</w:t>
            </w:r>
            <w:r>
              <w:rPr>
                <w:rFonts w:hint="default" w:ascii="Times New Roman" w:hAnsi="Times New Roman" w:cs="Times New Roman"/>
                <w:bCs/>
                <w:szCs w:val="21"/>
                <w:highlight w:val="none"/>
              </w:rPr>
              <w:t>户，</w:t>
            </w:r>
            <w:r>
              <w:rPr>
                <w:rFonts w:hint="eastAsia" w:cs="Times New Roman"/>
                <w:bCs/>
                <w:szCs w:val="21"/>
                <w:highlight w:val="none"/>
                <w:lang w:val="en-US" w:eastAsia="zh-CN"/>
              </w:rPr>
              <w:t>12</w:t>
            </w:r>
            <w:r>
              <w:rPr>
                <w:rFonts w:hint="default" w:ascii="Times New Roman" w:hAnsi="Times New Roman" w:cs="Times New Roman"/>
                <w:bCs/>
                <w:szCs w:val="21"/>
                <w:highlight w:val="none"/>
              </w:rPr>
              <w:t>人</w:t>
            </w:r>
          </w:p>
        </w:tc>
        <w:tc>
          <w:tcPr>
            <w:tcW w:w="3062" w:type="dxa"/>
            <w:vMerge w:val="continue"/>
            <w:tcBorders>
              <w:tl2br w:val="nil"/>
              <w:tr2bl w:val="nil"/>
            </w:tcBorders>
            <w:vAlign w:val="center"/>
          </w:tcPr>
          <w:p w14:paraId="78CE7ABC">
            <w:pPr>
              <w:spacing w:line="240" w:lineRule="atLeast"/>
              <w:jc w:val="center"/>
              <w:rPr>
                <w:rFonts w:hint="eastAsia" w:cs="Times New Roman"/>
                <w:snapToGrid w:val="0"/>
                <w:szCs w:val="21"/>
                <w:highlight w:val="none"/>
                <w:lang w:val="en-US" w:eastAsia="zh-CN"/>
              </w:rPr>
            </w:pPr>
          </w:p>
        </w:tc>
        <w:tc>
          <w:tcPr>
            <w:tcW w:w="517" w:type="dxa"/>
            <w:tcBorders>
              <w:tl2br w:val="nil"/>
              <w:tr2bl w:val="nil"/>
            </w:tcBorders>
            <w:vAlign w:val="center"/>
          </w:tcPr>
          <w:p w14:paraId="6C70F2BC">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SE</w:t>
            </w:r>
          </w:p>
        </w:tc>
        <w:tc>
          <w:tcPr>
            <w:tcW w:w="1624" w:type="dxa"/>
            <w:tcBorders>
              <w:tl2br w:val="nil"/>
              <w:tr2bl w:val="nil"/>
            </w:tcBorders>
            <w:vAlign w:val="center"/>
          </w:tcPr>
          <w:p w14:paraId="1CBB41C9">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440</w:t>
            </w:r>
          </w:p>
        </w:tc>
      </w:tr>
      <w:tr w14:paraId="7A907112">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75" w:hRule="atLeast"/>
          <w:jc w:val="center"/>
        </w:trPr>
        <w:tc>
          <w:tcPr>
            <w:tcW w:w="867" w:type="dxa"/>
            <w:vMerge w:val="continue"/>
            <w:tcBorders>
              <w:tl2br w:val="nil"/>
              <w:tr2bl w:val="nil"/>
            </w:tcBorders>
            <w:vAlign w:val="center"/>
          </w:tcPr>
          <w:p w14:paraId="3340C14E">
            <w:pPr>
              <w:spacing w:line="240" w:lineRule="atLeast"/>
              <w:jc w:val="center"/>
              <w:rPr>
                <w:rFonts w:hint="eastAsia" w:cs="Times New Roman"/>
                <w:snapToGrid w:val="0"/>
                <w:szCs w:val="21"/>
                <w:highlight w:val="none"/>
                <w:lang w:val="en-US" w:eastAsia="zh-CN"/>
              </w:rPr>
            </w:pPr>
          </w:p>
        </w:tc>
        <w:tc>
          <w:tcPr>
            <w:tcW w:w="527" w:type="dxa"/>
            <w:tcBorders>
              <w:tl2br w:val="nil"/>
              <w:tr2bl w:val="nil"/>
            </w:tcBorders>
            <w:vAlign w:val="center"/>
          </w:tcPr>
          <w:p w14:paraId="31A95A06">
            <w:pPr>
              <w:spacing w:line="240" w:lineRule="atLeast"/>
              <w:jc w:val="center"/>
              <w:rPr>
                <w:rFonts w:hint="eastAsia" w:cs="Times New Roman"/>
                <w:snapToGrid w:val="0"/>
                <w:szCs w:val="21"/>
                <w:highlight w:val="none"/>
                <w:lang w:val="en-US" w:eastAsia="zh-CN"/>
              </w:rPr>
            </w:pPr>
          </w:p>
        </w:tc>
        <w:tc>
          <w:tcPr>
            <w:tcW w:w="1107" w:type="dxa"/>
            <w:vMerge w:val="continue"/>
            <w:tcBorders>
              <w:tl2br w:val="nil"/>
              <w:tr2bl w:val="nil"/>
            </w:tcBorders>
            <w:vAlign w:val="center"/>
          </w:tcPr>
          <w:p w14:paraId="081B6C93">
            <w:pPr>
              <w:spacing w:line="240" w:lineRule="atLeast"/>
              <w:jc w:val="center"/>
              <w:rPr>
                <w:rFonts w:hint="eastAsia" w:cs="Times New Roman"/>
                <w:snapToGrid w:val="0"/>
                <w:szCs w:val="21"/>
                <w:highlight w:val="none"/>
                <w:lang w:val="en-US" w:eastAsia="zh-CN"/>
              </w:rPr>
            </w:pPr>
          </w:p>
        </w:tc>
        <w:tc>
          <w:tcPr>
            <w:tcW w:w="1075" w:type="dxa"/>
            <w:tcBorders>
              <w:tl2br w:val="nil"/>
              <w:tr2bl w:val="nil"/>
            </w:tcBorders>
            <w:vAlign w:val="center"/>
          </w:tcPr>
          <w:p w14:paraId="16A199C4">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罗杨村</w:t>
            </w:r>
          </w:p>
        </w:tc>
        <w:tc>
          <w:tcPr>
            <w:tcW w:w="1582" w:type="dxa"/>
            <w:tcBorders>
              <w:tl2br w:val="nil"/>
              <w:tr2bl w:val="nil"/>
            </w:tcBorders>
            <w:vAlign w:val="center"/>
          </w:tcPr>
          <w:p w14:paraId="0DD603E8">
            <w:pPr>
              <w:spacing w:line="240" w:lineRule="atLeast"/>
              <w:jc w:val="center"/>
              <w:rPr>
                <w:rFonts w:hint="eastAsia" w:cs="Times New Roman"/>
                <w:snapToGrid w:val="0"/>
                <w:szCs w:val="21"/>
                <w:highlight w:val="none"/>
                <w:lang w:val="en-US" w:eastAsia="zh-CN"/>
              </w:rPr>
            </w:pPr>
            <w:r>
              <w:rPr>
                <w:rFonts w:hint="default" w:ascii="Times New Roman" w:hAnsi="Times New Roman" w:cs="Times New Roman"/>
                <w:snapToGrid w:val="0"/>
                <w:szCs w:val="21"/>
                <w:highlight w:val="none"/>
              </w:rPr>
              <w:t>116.522020684°</w:t>
            </w:r>
          </w:p>
        </w:tc>
        <w:tc>
          <w:tcPr>
            <w:tcW w:w="1452" w:type="dxa"/>
            <w:tcBorders>
              <w:tl2br w:val="nil"/>
              <w:tr2bl w:val="nil"/>
            </w:tcBorders>
            <w:vAlign w:val="center"/>
          </w:tcPr>
          <w:p w14:paraId="53CB6A1A">
            <w:pPr>
              <w:spacing w:line="240" w:lineRule="atLeast"/>
              <w:jc w:val="center"/>
              <w:rPr>
                <w:rFonts w:hint="eastAsia" w:cs="Times New Roman"/>
                <w:snapToGrid w:val="0"/>
                <w:szCs w:val="21"/>
                <w:highlight w:val="none"/>
                <w:lang w:val="en-US" w:eastAsia="zh-CN"/>
              </w:rPr>
            </w:pPr>
            <w:r>
              <w:rPr>
                <w:rFonts w:hint="default" w:ascii="Times New Roman" w:hAnsi="Times New Roman" w:cs="Times New Roman"/>
                <w:snapToGrid w:val="0"/>
                <w:szCs w:val="21"/>
                <w:highlight w:val="none"/>
              </w:rPr>
              <w:t>32.703428362°</w:t>
            </w:r>
          </w:p>
        </w:tc>
        <w:tc>
          <w:tcPr>
            <w:tcW w:w="743" w:type="dxa"/>
            <w:tcBorders>
              <w:tl2br w:val="nil"/>
              <w:tr2bl w:val="nil"/>
            </w:tcBorders>
            <w:vAlign w:val="center"/>
          </w:tcPr>
          <w:p w14:paraId="29381E37">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居民区</w:t>
            </w:r>
          </w:p>
        </w:tc>
        <w:tc>
          <w:tcPr>
            <w:tcW w:w="1814" w:type="dxa"/>
            <w:tcBorders>
              <w:tl2br w:val="nil"/>
              <w:tr2bl w:val="nil"/>
            </w:tcBorders>
            <w:vAlign w:val="center"/>
          </w:tcPr>
          <w:p w14:paraId="5BDAEFB9">
            <w:pPr>
              <w:spacing w:line="240" w:lineRule="atLeast"/>
              <w:jc w:val="center"/>
              <w:rPr>
                <w:rFonts w:hint="eastAsia" w:cs="Times New Roman"/>
                <w:snapToGrid w:val="0"/>
                <w:szCs w:val="21"/>
                <w:highlight w:val="none"/>
                <w:lang w:val="en-US" w:eastAsia="zh-CN"/>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895</w:t>
            </w:r>
            <w:r>
              <w:rPr>
                <w:rFonts w:hint="default" w:ascii="Times New Roman" w:hAnsi="Times New Roman" w:cs="Times New Roman"/>
                <w:bCs/>
                <w:szCs w:val="21"/>
                <w:highlight w:val="none"/>
              </w:rPr>
              <w:t>户，</w:t>
            </w:r>
            <w:r>
              <w:rPr>
                <w:rFonts w:hint="eastAsia" w:cs="Times New Roman"/>
                <w:bCs/>
                <w:szCs w:val="21"/>
                <w:highlight w:val="none"/>
                <w:lang w:val="en-US" w:eastAsia="zh-CN"/>
              </w:rPr>
              <w:t>226</w:t>
            </w:r>
            <w:r>
              <w:rPr>
                <w:rFonts w:hint="default" w:ascii="Times New Roman" w:hAnsi="Times New Roman" w:cs="Times New Roman"/>
                <w:bCs/>
                <w:szCs w:val="21"/>
                <w:highlight w:val="none"/>
              </w:rPr>
              <w:t>0人</w:t>
            </w:r>
          </w:p>
        </w:tc>
        <w:tc>
          <w:tcPr>
            <w:tcW w:w="3062" w:type="dxa"/>
            <w:vMerge w:val="continue"/>
            <w:tcBorders>
              <w:tl2br w:val="nil"/>
              <w:tr2bl w:val="nil"/>
            </w:tcBorders>
            <w:vAlign w:val="center"/>
          </w:tcPr>
          <w:p w14:paraId="5257AD61">
            <w:pPr>
              <w:spacing w:line="240" w:lineRule="atLeast"/>
              <w:jc w:val="center"/>
              <w:rPr>
                <w:rFonts w:hint="eastAsia" w:cs="Times New Roman"/>
                <w:snapToGrid w:val="0"/>
                <w:szCs w:val="21"/>
                <w:highlight w:val="none"/>
                <w:lang w:val="en-US" w:eastAsia="zh-CN"/>
              </w:rPr>
            </w:pPr>
          </w:p>
        </w:tc>
        <w:tc>
          <w:tcPr>
            <w:tcW w:w="517" w:type="dxa"/>
            <w:tcBorders>
              <w:tl2br w:val="nil"/>
              <w:tr2bl w:val="nil"/>
            </w:tcBorders>
            <w:vAlign w:val="center"/>
          </w:tcPr>
          <w:p w14:paraId="11B2319F">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SE</w:t>
            </w:r>
          </w:p>
        </w:tc>
        <w:tc>
          <w:tcPr>
            <w:tcW w:w="1624" w:type="dxa"/>
            <w:tcBorders>
              <w:tl2br w:val="nil"/>
              <w:tr2bl w:val="nil"/>
            </w:tcBorders>
            <w:vAlign w:val="center"/>
          </w:tcPr>
          <w:p w14:paraId="222EC595">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339</w:t>
            </w:r>
          </w:p>
        </w:tc>
      </w:tr>
      <w:tr w14:paraId="652BCC4F">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75" w:hRule="atLeast"/>
          <w:jc w:val="center"/>
        </w:trPr>
        <w:tc>
          <w:tcPr>
            <w:tcW w:w="867" w:type="dxa"/>
            <w:vMerge w:val="continue"/>
            <w:tcBorders>
              <w:tl2br w:val="nil"/>
              <w:tr2bl w:val="nil"/>
            </w:tcBorders>
            <w:vAlign w:val="center"/>
          </w:tcPr>
          <w:p w14:paraId="60875D01">
            <w:pPr>
              <w:spacing w:line="240" w:lineRule="atLeast"/>
              <w:jc w:val="center"/>
              <w:rPr>
                <w:rFonts w:hint="eastAsia" w:cs="Times New Roman"/>
                <w:snapToGrid w:val="0"/>
                <w:szCs w:val="21"/>
                <w:highlight w:val="none"/>
                <w:lang w:val="en-US" w:eastAsia="zh-CN"/>
              </w:rPr>
            </w:pPr>
          </w:p>
        </w:tc>
        <w:tc>
          <w:tcPr>
            <w:tcW w:w="527" w:type="dxa"/>
            <w:tcBorders>
              <w:tl2br w:val="nil"/>
              <w:tr2bl w:val="nil"/>
            </w:tcBorders>
            <w:vAlign w:val="center"/>
          </w:tcPr>
          <w:p w14:paraId="0A646962">
            <w:pPr>
              <w:spacing w:line="240" w:lineRule="atLeast"/>
              <w:jc w:val="center"/>
              <w:rPr>
                <w:rFonts w:hint="eastAsia" w:cs="Times New Roman"/>
                <w:snapToGrid w:val="0"/>
                <w:szCs w:val="21"/>
                <w:highlight w:val="none"/>
                <w:lang w:val="en-US" w:eastAsia="zh-CN"/>
              </w:rPr>
            </w:pPr>
          </w:p>
        </w:tc>
        <w:tc>
          <w:tcPr>
            <w:tcW w:w="1107" w:type="dxa"/>
            <w:vMerge w:val="continue"/>
            <w:tcBorders>
              <w:tl2br w:val="nil"/>
              <w:tr2bl w:val="nil"/>
            </w:tcBorders>
            <w:vAlign w:val="center"/>
          </w:tcPr>
          <w:p w14:paraId="31E3846D">
            <w:pPr>
              <w:spacing w:line="240" w:lineRule="atLeast"/>
              <w:jc w:val="center"/>
              <w:rPr>
                <w:rFonts w:hint="eastAsia" w:cs="Times New Roman"/>
                <w:snapToGrid w:val="0"/>
                <w:szCs w:val="21"/>
                <w:highlight w:val="none"/>
                <w:lang w:val="en-US" w:eastAsia="zh-CN"/>
              </w:rPr>
            </w:pPr>
          </w:p>
        </w:tc>
        <w:tc>
          <w:tcPr>
            <w:tcW w:w="1075" w:type="dxa"/>
            <w:tcBorders>
              <w:tl2br w:val="nil"/>
              <w:tr2bl w:val="nil"/>
            </w:tcBorders>
            <w:vAlign w:val="center"/>
          </w:tcPr>
          <w:p w14:paraId="691C5CF4">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宋郢孜</w:t>
            </w:r>
          </w:p>
        </w:tc>
        <w:tc>
          <w:tcPr>
            <w:tcW w:w="1582" w:type="dxa"/>
            <w:tcBorders>
              <w:tl2br w:val="nil"/>
              <w:tr2bl w:val="nil"/>
            </w:tcBorders>
            <w:vAlign w:val="center"/>
          </w:tcPr>
          <w:p w14:paraId="6837F09A">
            <w:pPr>
              <w:spacing w:line="240" w:lineRule="atLeast"/>
              <w:jc w:val="center"/>
              <w:rPr>
                <w:rFonts w:hint="eastAsia" w:cs="Times New Roman"/>
                <w:snapToGrid w:val="0"/>
                <w:szCs w:val="21"/>
                <w:highlight w:val="none"/>
                <w:lang w:val="en-US" w:eastAsia="zh-CN"/>
              </w:rPr>
            </w:pPr>
            <w:r>
              <w:rPr>
                <w:rFonts w:hint="eastAsia" w:cs="Times New Roman"/>
                <w:snapToGrid w:val="0"/>
                <w:szCs w:val="21"/>
                <w:highlight w:val="none"/>
                <w:lang w:val="en-US" w:eastAsia="zh-CN"/>
              </w:rPr>
              <w:t>116.515564607</w:t>
            </w:r>
            <w:r>
              <w:rPr>
                <w:rFonts w:hint="default" w:ascii="Times New Roman" w:hAnsi="Times New Roman" w:cs="Times New Roman"/>
                <w:snapToGrid w:val="0"/>
                <w:szCs w:val="21"/>
                <w:highlight w:val="none"/>
              </w:rPr>
              <w:t>°</w:t>
            </w:r>
          </w:p>
        </w:tc>
        <w:tc>
          <w:tcPr>
            <w:tcW w:w="1452" w:type="dxa"/>
            <w:tcBorders>
              <w:tl2br w:val="nil"/>
              <w:tr2bl w:val="nil"/>
            </w:tcBorders>
            <w:vAlign w:val="center"/>
          </w:tcPr>
          <w:p w14:paraId="51FEE45E">
            <w:pPr>
              <w:spacing w:line="240" w:lineRule="atLeast"/>
              <w:jc w:val="center"/>
              <w:rPr>
                <w:rFonts w:hint="eastAsia" w:cs="Times New Roman"/>
                <w:snapToGrid w:val="0"/>
                <w:szCs w:val="21"/>
                <w:highlight w:val="none"/>
                <w:lang w:val="en-US" w:eastAsia="zh-CN"/>
              </w:rPr>
            </w:pPr>
            <w:r>
              <w:rPr>
                <w:rFonts w:hint="eastAsia" w:cs="Times New Roman"/>
                <w:snapToGrid w:val="0"/>
                <w:szCs w:val="21"/>
                <w:highlight w:val="none"/>
                <w:lang w:val="en-US" w:eastAsia="zh-CN"/>
              </w:rPr>
              <w:t>32.705391739</w:t>
            </w:r>
            <w:r>
              <w:rPr>
                <w:rFonts w:hint="default" w:ascii="Times New Roman" w:hAnsi="Times New Roman" w:cs="Times New Roman"/>
                <w:snapToGrid w:val="0"/>
                <w:szCs w:val="21"/>
                <w:highlight w:val="none"/>
              </w:rPr>
              <w:t>°</w:t>
            </w:r>
          </w:p>
        </w:tc>
        <w:tc>
          <w:tcPr>
            <w:tcW w:w="743" w:type="dxa"/>
            <w:tcBorders>
              <w:tl2br w:val="nil"/>
              <w:tr2bl w:val="nil"/>
            </w:tcBorders>
            <w:vAlign w:val="center"/>
          </w:tcPr>
          <w:p w14:paraId="371FCFBF">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居民区</w:t>
            </w:r>
          </w:p>
        </w:tc>
        <w:tc>
          <w:tcPr>
            <w:tcW w:w="1814" w:type="dxa"/>
            <w:tcBorders>
              <w:tl2br w:val="nil"/>
              <w:tr2bl w:val="nil"/>
            </w:tcBorders>
            <w:vAlign w:val="center"/>
          </w:tcPr>
          <w:p w14:paraId="533182C8">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约160户，550人</w:t>
            </w:r>
          </w:p>
        </w:tc>
        <w:tc>
          <w:tcPr>
            <w:tcW w:w="3062" w:type="dxa"/>
            <w:vMerge w:val="continue"/>
            <w:tcBorders>
              <w:tl2br w:val="nil"/>
              <w:tr2bl w:val="nil"/>
            </w:tcBorders>
            <w:vAlign w:val="center"/>
          </w:tcPr>
          <w:p w14:paraId="2FC9EDDD">
            <w:pPr>
              <w:spacing w:line="240" w:lineRule="atLeast"/>
              <w:jc w:val="center"/>
              <w:rPr>
                <w:rFonts w:hint="eastAsia" w:cs="Times New Roman"/>
                <w:snapToGrid w:val="0"/>
                <w:szCs w:val="21"/>
                <w:highlight w:val="none"/>
                <w:lang w:val="en-US" w:eastAsia="zh-CN"/>
              </w:rPr>
            </w:pPr>
          </w:p>
        </w:tc>
        <w:tc>
          <w:tcPr>
            <w:tcW w:w="517" w:type="dxa"/>
            <w:tcBorders>
              <w:tl2br w:val="nil"/>
              <w:tr2bl w:val="nil"/>
            </w:tcBorders>
            <w:vAlign w:val="center"/>
          </w:tcPr>
          <w:p w14:paraId="4D262C46">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SW</w:t>
            </w:r>
          </w:p>
        </w:tc>
        <w:tc>
          <w:tcPr>
            <w:tcW w:w="1624" w:type="dxa"/>
            <w:tcBorders>
              <w:tl2br w:val="nil"/>
              <w:tr2bl w:val="nil"/>
            </w:tcBorders>
            <w:vAlign w:val="center"/>
          </w:tcPr>
          <w:p w14:paraId="7AE8C831">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475</w:t>
            </w:r>
          </w:p>
        </w:tc>
      </w:tr>
      <w:tr w14:paraId="71957407">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867" w:type="dxa"/>
            <w:vMerge w:val="continue"/>
            <w:tcBorders>
              <w:tl2br w:val="nil"/>
              <w:tr2bl w:val="nil"/>
            </w:tcBorders>
            <w:vAlign w:val="center"/>
          </w:tcPr>
          <w:p w14:paraId="4F7A6D8D">
            <w:pPr>
              <w:spacing w:line="240" w:lineRule="atLeast"/>
              <w:jc w:val="center"/>
              <w:rPr>
                <w:rFonts w:hint="default" w:ascii="Times New Roman" w:hAnsi="Times New Roman" w:cs="Times New Roman"/>
                <w:bCs/>
                <w:szCs w:val="21"/>
                <w:highlight w:val="none"/>
              </w:rPr>
            </w:pPr>
          </w:p>
        </w:tc>
        <w:tc>
          <w:tcPr>
            <w:tcW w:w="527" w:type="dxa"/>
            <w:tcBorders>
              <w:tl2br w:val="nil"/>
              <w:tr2bl w:val="nil"/>
            </w:tcBorders>
            <w:vAlign w:val="center"/>
          </w:tcPr>
          <w:p w14:paraId="27386A09">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11</w:t>
            </w:r>
          </w:p>
        </w:tc>
        <w:tc>
          <w:tcPr>
            <w:tcW w:w="1107" w:type="dxa"/>
            <w:vMerge w:val="restart"/>
            <w:tcBorders>
              <w:tl2br w:val="nil"/>
              <w:tr2bl w:val="nil"/>
            </w:tcBorders>
            <w:vAlign w:val="center"/>
          </w:tcPr>
          <w:p w14:paraId="149080BF">
            <w:pPr>
              <w:spacing w:line="240" w:lineRule="atLeast"/>
              <w:jc w:val="center"/>
              <w:rPr>
                <w:rFonts w:hint="default" w:ascii="Times New Roman" w:hAnsi="Times New Roman" w:cs="Times New Roman"/>
                <w:snapToGrid w:val="0"/>
                <w:szCs w:val="21"/>
                <w:highlight w:val="none"/>
                <w:lang w:val="en-US"/>
              </w:rPr>
            </w:pPr>
            <w:r>
              <w:rPr>
                <w:rFonts w:hint="eastAsia" w:cs="Times New Roman"/>
                <w:snapToGrid w:val="0"/>
                <w:szCs w:val="21"/>
                <w:highlight w:val="none"/>
                <w:lang w:val="en-US" w:eastAsia="zh-CN"/>
              </w:rPr>
              <w:t>钻孔5</w:t>
            </w:r>
          </w:p>
        </w:tc>
        <w:tc>
          <w:tcPr>
            <w:tcW w:w="1075" w:type="dxa"/>
            <w:tcBorders>
              <w:tl2br w:val="nil"/>
              <w:tr2bl w:val="nil"/>
            </w:tcBorders>
            <w:vAlign w:val="center"/>
          </w:tcPr>
          <w:p w14:paraId="68EE2361">
            <w:pPr>
              <w:spacing w:line="240" w:lineRule="atLeast"/>
              <w:jc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居民点A</w:t>
            </w:r>
          </w:p>
        </w:tc>
        <w:tc>
          <w:tcPr>
            <w:tcW w:w="1582" w:type="dxa"/>
            <w:tcBorders>
              <w:tl2br w:val="nil"/>
              <w:tr2bl w:val="nil"/>
            </w:tcBorders>
            <w:vAlign w:val="center"/>
          </w:tcPr>
          <w:p w14:paraId="22D8A5F7">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116.521749726°</w:t>
            </w:r>
          </w:p>
        </w:tc>
        <w:tc>
          <w:tcPr>
            <w:tcW w:w="1452" w:type="dxa"/>
            <w:tcBorders>
              <w:tl2br w:val="nil"/>
              <w:tr2bl w:val="nil"/>
            </w:tcBorders>
            <w:vAlign w:val="center"/>
          </w:tcPr>
          <w:p w14:paraId="69EF29E6">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32.704958459°</w:t>
            </w:r>
          </w:p>
        </w:tc>
        <w:tc>
          <w:tcPr>
            <w:tcW w:w="743" w:type="dxa"/>
            <w:tcBorders>
              <w:tl2br w:val="nil"/>
              <w:tr2bl w:val="nil"/>
            </w:tcBorders>
            <w:vAlign w:val="center"/>
          </w:tcPr>
          <w:p w14:paraId="68BFB919">
            <w:pPr>
              <w:spacing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居民区</w:t>
            </w:r>
          </w:p>
        </w:tc>
        <w:tc>
          <w:tcPr>
            <w:tcW w:w="1814" w:type="dxa"/>
            <w:tcBorders>
              <w:tl2br w:val="nil"/>
              <w:tr2bl w:val="nil"/>
            </w:tcBorders>
            <w:vAlign w:val="center"/>
          </w:tcPr>
          <w:p w14:paraId="13B53681">
            <w:pPr>
              <w:spacing w:line="24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1</w:t>
            </w:r>
            <w:r>
              <w:rPr>
                <w:rFonts w:hint="default" w:ascii="Times New Roman" w:hAnsi="Times New Roman" w:cs="Times New Roman"/>
                <w:bCs/>
                <w:szCs w:val="21"/>
                <w:highlight w:val="none"/>
              </w:rPr>
              <w:t>户，</w:t>
            </w:r>
            <w:r>
              <w:rPr>
                <w:rFonts w:hint="eastAsia" w:cs="Times New Roman"/>
                <w:bCs/>
                <w:szCs w:val="21"/>
                <w:highlight w:val="none"/>
                <w:lang w:val="en-US" w:eastAsia="zh-CN"/>
              </w:rPr>
              <w:t>4</w:t>
            </w:r>
            <w:r>
              <w:rPr>
                <w:rFonts w:hint="default" w:ascii="Times New Roman" w:hAnsi="Times New Roman" w:cs="Times New Roman"/>
                <w:bCs/>
                <w:szCs w:val="21"/>
                <w:highlight w:val="none"/>
              </w:rPr>
              <w:t>人</w:t>
            </w:r>
          </w:p>
        </w:tc>
        <w:tc>
          <w:tcPr>
            <w:tcW w:w="3062" w:type="dxa"/>
            <w:vMerge w:val="continue"/>
            <w:tcBorders>
              <w:tl2br w:val="nil"/>
              <w:tr2bl w:val="nil"/>
            </w:tcBorders>
            <w:vAlign w:val="center"/>
          </w:tcPr>
          <w:p w14:paraId="0961BB1D">
            <w:pPr>
              <w:spacing w:line="240" w:lineRule="atLeast"/>
              <w:jc w:val="center"/>
              <w:rPr>
                <w:rFonts w:hint="default" w:ascii="Times New Roman" w:hAnsi="Times New Roman" w:cs="Times New Roman"/>
                <w:snapToGrid w:val="0"/>
                <w:szCs w:val="21"/>
                <w:highlight w:val="none"/>
              </w:rPr>
            </w:pPr>
          </w:p>
        </w:tc>
        <w:tc>
          <w:tcPr>
            <w:tcW w:w="517" w:type="dxa"/>
            <w:tcBorders>
              <w:tl2br w:val="nil"/>
              <w:tr2bl w:val="nil"/>
            </w:tcBorders>
            <w:vAlign w:val="center"/>
          </w:tcPr>
          <w:p w14:paraId="437C3573">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SE</w:t>
            </w:r>
          </w:p>
        </w:tc>
        <w:tc>
          <w:tcPr>
            <w:tcW w:w="1624" w:type="dxa"/>
            <w:tcBorders>
              <w:tl2br w:val="nil"/>
              <w:tr2bl w:val="nil"/>
            </w:tcBorders>
            <w:vAlign w:val="center"/>
          </w:tcPr>
          <w:p w14:paraId="79D53FE6">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291</w:t>
            </w:r>
          </w:p>
        </w:tc>
      </w:tr>
      <w:tr w14:paraId="5BB09B17">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100" w:hRule="atLeast"/>
          <w:jc w:val="center"/>
        </w:trPr>
        <w:tc>
          <w:tcPr>
            <w:tcW w:w="867" w:type="dxa"/>
            <w:vMerge w:val="continue"/>
            <w:tcBorders>
              <w:tl2br w:val="nil"/>
              <w:tr2bl w:val="nil"/>
            </w:tcBorders>
            <w:vAlign w:val="center"/>
          </w:tcPr>
          <w:p w14:paraId="5F7A02AC">
            <w:pPr>
              <w:spacing w:line="240" w:lineRule="atLeast"/>
              <w:jc w:val="center"/>
              <w:rPr>
                <w:rFonts w:hint="default" w:ascii="Times New Roman" w:hAnsi="Times New Roman" w:cs="Times New Roman"/>
                <w:bCs/>
                <w:szCs w:val="21"/>
                <w:highlight w:val="none"/>
              </w:rPr>
            </w:pPr>
          </w:p>
        </w:tc>
        <w:tc>
          <w:tcPr>
            <w:tcW w:w="527" w:type="dxa"/>
            <w:tcBorders>
              <w:tl2br w:val="nil"/>
              <w:tr2bl w:val="nil"/>
            </w:tcBorders>
            <w:vAlign w:val="center"/>
          </w:tcPr>
          <w:p w14:paraId="6D5E8F31">
            <w:pPr>
              <w:spacing w:line="240" w:lineRule="atLeast"/>
              <w:jc w:val="center"/>
              <w:rPr>
                <w:rFonts w:hint="eastAsia" w:ascii="Times New Roman" w:hAnsi="Times New Roman" w:eastAsia="宋体" w:cs="Times New Roman"/>
                <w:snapToGrid w:val="0"/>
                <w:szCs w:val="21"/>
                <w:highlight w:val="none"/>
                <w:lang w:val="en-US" w:eastAsia="zh-CN"/>
              </w:rPr>
            </w:pPr>
            <w:r>
              <w:rPr>
                <w:rFonts w:hint="default" w:ascii="Times New Roman" w:hAnsi="Times New Roman" w:cs="Times New Roman"/>
                <w:snapToGrid w:val="0"/>
                <w:szCs w:val="21"/>
                <w:highlight w:val="none"/>
              </w:rPr>
              <w:t>1</w:t>
            </w:r>
            <w:r>
              <w:rPr>
                <w:rFonts w:hint="eastAsia" w:cs="Times New Roman"/>
                <w:snapToGrid w:val="0"/>
                <w:szCs w:val="21"/>
                <w:highlight w:val="none"/>
                <w:lang w:val="en-US" w:eastAsia="zh-CN"/>
              </w:rPr>
              <w:t>2</w:t>
            </w:r>
          </w:p>
        </w:tc>
        <w:tc>
          <w:tcPr>
            <w:tcW w:w="1107" w:type="dxa"/>
            <w:vMerge w:val="continue"/>
            <w:tcBorders>
              <w:tl2br w:val="nil"/>
              <w:tr2bl w:val="nil"/>
            </w:tcBorders>
            <w:vAlign w:val="center"/>
          </w:tcPr>
          <w:p w14:paraId="383165CE">
            <w:pPr>
              <w:spacing w:line="240" w:lineRule="atLeast"/>
              <w:jc w:val="center"/>
              <w:rPr>
                <w:rFonts w:hint="default" w:ascii="Times New Roman" w:hAnsi="Times New Roman" w:cs="Times New Roman"/>
                <w:snapToGrid w:val="0"/>
                <w:szCs w:val="21"/>
                <w:highlight w:val="none"/>
              </w:rPr>
            </w:pPr>
          </w:p>
        </w:tc>
        <w:tc>
          <w:tcPr>
            <w:tcW w:w="1075" w:type="dxa"/>
            <w:tcBorders>
              <w:tl2br w:val="nil"/>
              <w:tr2bl w:val="nil"/>
            </w:tcBorders>
            <w:vAlign w:val="center"/>
          </w:tcPr>
          <w:p w14:paraId="02CAD46C">
            <w:pPr>
              <w:spacing w:line="240" w:lineRule="atLeast"/>
              <w:jc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居民点B</w:t>
            </w:r>
          </w:p>
        </w:tc>
        <w:tc>
          <w:tcPr>
            <w:tcW w:w="1582" w:type="dxa"/>
            <w:tcBorders>
              <w:tl2br w:val="nil"/>
              <w:tr2bl w:val="nil"/>
            </w:tcBorders>
            <w:vAlign w:val="center"/>
          </w:tcPr>
          <w:p w14:paraId="723D3E69">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116.523686281°</w:t>
            </w:r>
          </w:p>
        </w:tc>
        <w:tc>
          <w:tcPr>
            <w:tcW w:w="1452" w:type="dxa"/>
            <w:tcBorders>
              <w:tl2br w:val="nil"/>
              <w:tr2bl w:val="nil"/>
            </w:tcBorders>
            <w:vAlign w:val="center"/>
          </w:tcPr>
          <w:p w14:paraId="22CB95B3">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32.704550763°</w:t>
            </w:r>
          </w:p>
        </w:tc>
        <w:tc>
          <w:tcPr>
            <w:tcW w:w="743" w:type="dxa"/>
            <w:tcBorders>
              <w:tl2br w:val="nil"/>
              <w:tr2bl w:val="nil"/>
            </w:tcBorders>
            <w:vAlign w:val="center"/>
          </w:tcPr>
          <w:p w14:paraId="0A948251">
            <w:pPr>
              <w:spacing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居民区</w:t>
            </w:r>
          </w:p>
        </w:tc>
        <w:tc>
          <w:tcPr>
            <w:tcW w:w="1814" w:type="dxa"/>
            <w:tcBorders>
              <w:tl2br w:val="nil"/>
              <w:tr2bl w:val="nil"/>
            </w:tcBorders>
            <w:vAlign w:val="center"/>
          </w:tcPr>
          <w:p w14:paraId="6705A8D9">
            <w:pPr>
              <w:spacing w:line="24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3</w:t>
            </w:r>
            <w:r>
              <w:rPr>
                <w:rFonts w:hint="default" w:ascii="Times New Roman" w:hAnsi="Times New Roman" w:cs="Times New Roman"/>
                <w:bCs/>
                <w:szCs w:val="21"/>
                <w:highlight w:val="none"/>
              </w:rPr>
              <w:t>户，</w:t>
            </w:r>
            <w:r>
              <w:rPr>
                <w:rFonts w:hint="eastAsia" w:cs="Times New Roman"/>
                <w:bCs/>
                <w:szCs w:val="21"/>
                <w:highlight w:val="none"/>
                <w:lang w:val="en-US" w:eastAsia="zh-CN"/>
              </w:rPr>
              <w:t>12</w:t>
            </w:r>
            <w:r>
              <w:rPr>
                <w:rFonts w:hint="default" w:ascii="Times New Roman" w:hAnsi="Times New Roman" w:cs="Times New Roman"/>
                <w:bCs/>
                <w:szCs w:val="21"/>
                <w:highlight w:val="none"/>
              </w:rPr>
              <w:t>人</w:t>
            </w:r>
          </w:p>
        </w:tc>
        <w:tc>
          <w:tcPr>
            <w:tcW w:w="3062" w:type="dxa"/>
            <w:vMerge w:val="continue"/>
            <w:tcBorders>
              <w:tl2br w:val="nil"/>
              <w:tr2bl w:val="nil"/>
            </w:tcBorders>
            <w:vAlign w:val="center"/>
          </w:tcPr>
          <w:p w14:paraId="742F0D56">
            <w:pPr>
              <w:spacing w:line="240" w:lineRule="atLeast"/>
              <w:jc w:val="center"/>
              <w:rPr>
                <w:rFonts w:hint="default" w:ascii="Times New Roman" w:hAnsi="Times New Roman" w:cs="Times New Roman"/>
                <w:snapToGrid w:val="0"/>
                <w:szCs w:val="21"/>
                <w:highlight w:val="none"/>
              </w:rPr>
            </w:pPr>
          </w:p>
        </w:tc>
        <w:tc>
          <w:tcPr>
            <w:tcW w:w="517" w:type="dxa"/>
            <w:tcBorders>
              <w:tl2br w:val="nil"/>
              <w:tr2bl w:val="nil"/>
            </w:tcBorders>
            <w:vAlign w:val="center"/>
          </w:tcPr>
          <w:p w14:paraId="0378CDDC">
            <w:pPr>
              <w:spacing w:line="240" w:lineRule="atLeast"/>
              <w:jc w:val="center"/>
              <w:rPr>
                <w:rFonts w:hint="eastAsia" w:ascii="Times New Roman" w:hAnsi="Times New Roman" w:eastAsia="宋体" w:cs="Times New Roman"/>
                <w:snapToGrid w:val="0"/>
                <w:szCs w:val="21"/>
                <w:highlight w:val="none"/>
                <w:lang w:val="en-US" w:eastAsia="zh-CN"/>
              </w:rPr>
            </w:pPr>
            <w:r>
              <w:rPr>
                <w:rFonts w:hint="default" w:ascii="Times New Roman" w:hAnsi="Times New Roman" w:cs="Times New Roman"/>
                <w:snapToGrid w:val="0"/>
                <w:szCs w:val="21"/>
                <w:highlight w:val="none"/>
              </w:rPr>
              <w:t>S</w:t>
            </w:r>
            <w:r>
              <w:rPr>
                <w:rFonts w:hint="eastAsia" w:cs="Times New Roman"/>
                <w:snapToGrid w:val="0"/>
                <w:szCs w:val="21"/>
                <w:highlight w:val="none"/>
                <w:lang w:val="en-US" w:eastAsia="zh-CN"/>
              </w:rPr>
              <w:t>E</w:t>
            </w:r>
          </w:p>
        </w:tc>
        <w:tc>
          <w:tcPr>
            <w:tcW w:w="1624" w:type="dxa"/>
            <w:tcBorders>
              <w:tl2br w:val="nil"/>
              <w:tr2bl w:val="nil"/>
            </w:tcBorders>
            <w:vAlign w:val="center"/>
          </w:tcPr>
          <w:p w14:paraId="6D1BD8CA">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463</w:t>
            </w:r>
          </w:p>
        </w:tc>
      </w:tr>
      <w:tr w14:paraId="2FAB35A8">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100" w:hRule="atLeast"/>
          <w:jc w:val="center"/>
        </w:trPr>
        <w:tc>
          <w:tcPr>
            <w:tcW w:w="867" w:type="dxa"/>
            <w:vMerge w:val="continue"/>
            <w:tcBorders>
              <w:tl2br w:val="nil"/>
              <w:tr2bl w:val="nil"/>
            </w:tcBorders>
            <w:vAlign w:val="center"/>
          </w:tcPr>
          <w:p w14:paraId="4FB56B17">
            <w:pPr>
              <w:spacing w:line="240" w:lineRule="atLeast"/>
              <w:jc w:val="center"/>
            </w:pPr>
          </w:p>
        </w:tc>
        <w:tc>
          <w:tcPr>
            <w:tcW w:w="527" w:type="dxa"/>
            <w:tcBorders>
              <w:tl2br w:val="nil"/>
              <w:tr2bl w:val="nil"/>
            </w:tcBorders>
            <w:vAlign w:val="center"/>
          </w:tcPr>
          <w:p w14:paraId="3AC9ABEE">
            <w:pPr>
              <w:spacing w:line="240" w:lineRule="atLeast"/>
              <w:jc w:val="center"/>
              <w:rPr>
                <w:rFonts w:hint="default" w:ascii="Times New Roman" w:hAnsi="Times New Roman" w:cs="Times New Roman"/>
                <w:snapToGrid w:val="0"/>
                <w:szCs w:val="21"/>
                <w:highlight w:val="none"/>
              </w:rPr>
            </w:pPr>
          </w:p>
        </w:tc>
        <w:tc>
          <w:tcPr>
            <w:tcW w:w="1107" w:type="dxa"/>
            <w:vMerge w:val="continue"/>
            <w:tcBorders>
              <w:tl2br w:val="nil"/>
              <w:tr2bl w:val="nil"/>
            </w:tcBorders>
            <w:vAlign w:val="center"/>
          </w:tcPr>
          <w:p w14:paraId="4611F335">
            <w:pPr>
              <w:spacing w:line="240" w:lineRule="atLeast"/>
              <w:jc w:val="center"/>
              <w:rPr>
                <w:rFonts w:hint="default" w:ascii="Times New Roman" w:hAnsi="Times New Roman" w:cs="Times New Roman"/>
                <w:snapToGrid w:val="0"/>
                <w:szCs w:val="21"/>
                <w:highlight w:val="none"/>
              </w:rPr>
            </w:pPr>
          </w:p>
        </w:tc>
        <w:tc>
          <w:tcPr>
            <w:tcW w:w="1075" w:type="dxa"/>
            <w:tcBorders>
              <w:tl2br w:val="nil"/>
              <w:tr2bl w:val="nil"/>
            </w:tcBorders>
            <w:vAlign w:val="center"/>
          </w:tcPr>
          <w:p w14:paraId="6AC10AD7">
            <w:pPr>
              <w:spacing w:line="240" w:lineRule="atLeast"/>
              <w:jc w:val="center"/>
              <w:rPr>
                <w:rFonts w:hint="eastAsia"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罗杨村</w:t>
            </w:r>
          </w:p>
        </w:tc>
        <w:tc>
          <w:tcPr>
            <w:tcW w:w="1582" w:type="dxa"/>
            <w:tcBorders>
              <w:tl2br w:val="nil"/>
              <w:tr2bl w:val="nil"/>
            </w:tcBorders>
            <w:vAlign w:val="center"/>
          </w:tcPr>
          <w:p w14:paraId="6ADEB5E6">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116.522020684°</w:t>
            </w:r>
          </w:p>
        </w:tc>
        <w:tc>
          <w:tcPr>
            <w:tcW w:w="1452" w:type="dxa"/>
            <w:tcBorders>
              <w:tl2br w:val="nil"/>
              <w:tr2bl w:val="nil"/>
            </w:tcBorders>
            <w:vAlign w:val="center"/>
          </w:tcPr>
          <w:p w14:paraId="60E64FE1">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32.703428362°</w:t>
            </w:r>
          </w:p>
        </w:tc>
        <w:tc>
          <w:tcPr>
            <w:tcW w:w="743" w:type="dxa"/>
            <w:tcBorders>
              <w:tl2br w:val="nil"/>
              <w:tr2bl w:val="nil"/>
            </w:tcBorders>
            <w:vAlign w:val="center"/>
          </w:tcPr>
          <w:p w14:paraId="72994F5D">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居民区</w:t>
            </w:r>
          </w:p>
        </w:tc>
        <w:tc>
          <w:tcPr>
            <w:tcW w:w="1814" w:type="dxa"/>
            <w:tcBorders>
              <w:tl2br w:val="nil"/>
              <w:tr2bl w:val="nil"/>
            </w:tcBorders>
            <w:vAlign w:val="center"/>
          </w:tcPr>
          <w:p w14:paraId="5228D3A4">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895</w:t>
            </w:r>
            <w:r>
              <w:rPr>
                <w:rFonts w:hint="default" w:ascii="Times New Roman" w:hAnsi="Times New Roman" w:cs="Times New Roman"/>
                <w:bCs/>
                <w:szCs w:val="21"/>
                <w:highlight w:val="none"/>
              </w:rPr>
              <w:t>户，</w:t>
            </w:r>
            <w:r>
              <w:rPr>
                <w:rFonts w:hint="eastAsia" w:cs="Times New Roman"/>
                <w:bCs/>
                <w:szCs w:val="21"/>
                <w:highlight w:val="none"/>
                <w:lang w:val="en-US" w:eastAsia="zh-CN"/>
              </w:rPr>
              <w:t>226</w:t>
            </w:r>
            <w:r>
              <w:rPr>
                <w:rFonts w:hint="default" w:ascii="Times New Roman" w:hAnsi="Times New Roman" w:cs="Times New Roman"/>
                <w:bCs/>
                <w:szCs w:val="21"/>
                <w:highlight w:val="none"/>
              </w:rPr>
              <w:t>0人</w:t>
            </w:r>
          </w:p>
        </w:tc>
        <w:tc>
          <w:tcPr>
            <w:tcW w:w="3062" w:type="dxa"/>
            <w:vMerge w:val="continue"/>
            <w:tcBorders>
              <w:tl2br w:val="nil"/>
              <w:tr2bl w:val="nil"/>
            </w:tcBorders>
            <w:vAlign w:val="center"/>
          </w:tcPr>
          <w:p w14:paraId="3A040A75">
            <w:pPr>
              <w:spacing w:line="240" w:lineRule="atLeast"/>
              <w:jc w:val="center"/>
              <w:rPr>
                <w:rFonts w:hint="default" w:ascii="Times New Roman" w:hAnsi="Times New Roman" w:cs="Times New Roman"/>
                <w:snapToGrid w:val="0"/>
                <w:szCs w:val="21"/>
                <w:highlight w:val="none"/>
              </w:rPr>
            </w:pPr>
          </w:p>
        </w:tc>
        <w:tc>
          <w:tcPr>
            <w:tcW w:w="517" w:type="dxa"/>
            <w:tcBorders>
              <w:tl2br w:val="nil"/>
              <w:tr2bl w:val="nil"/>
            </w:tcBorders>
            <w:vAlign w:val="center"/>
          </w:tcPr>
          <w:p w14:paraId="017CB36E">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SE</w:t>
            </w:r>
          </w:p>
        </w:tc>
        <w:tc>
          <w:tcPr>
            <w:tcW w:w="1624" w:type="dxa"/>
            <w:tcBorders>
              <w:tl2br w:val="nil"/>
              <w:tr2bl w:val="nil"/>
            </w:tcBorders>
            <w:vAlign w:val="center"/>
          </w:tcPr>
          <w:p w14:paraId="20C51690">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372</w:t>
            </w:r>
          </w:p>
        </w:tc>
      </w:tr>
      <w:tr w14:paraId="35786776">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100" w:hRule="atLeast"/>
          <w:jc w:val="center"/>
        </w:trPr>
        <w:tc>
          <w:tcPr>
            <w:tcW w:w="867" w:type="dxa"/>
            <w:vMerge w:val="continue"/>
            <w:tcBorders>
              <w:tl2br w:val="nil"/>
              <w:tr2bl w:val="nil"/>
            </w:tcBorders>
            <w:vAlign w:val="center"/>
          </w:tcPr>
          <w:p w14:paraId="08D06B59">
            <w:pPr>
              <w:spacing w:line="240" w:lineRule="atLeast"/>
              <w:jc w:val="center"/>
              <w:rPr>
                <w:rFonts w:hint="default" w:ascii="Times New Roman" w:hAnsi="Times New Roman" w:cs="Times New Roman"/>
                <w:snapToGrid w:val="0"/>
                <w:szCs w:val="21"/>
                <w:highlight w:val="none"/>
              </w:rPr>
            </w:pPr>
          </w:p>
        </w:tc>
        <w:tc>
          <w:tcPr>
            <w:tcW w:w="527" w:type="dxa"/>
            <w:tcBorders>
              <w:tl2br w:val="nil"/>
              <w:tr2bl w:val="nil"/>
            </w:tcBorders>
            <w:vAlign w:val="center"/>
          </w:tcPr>
          <w:p w14:paraId="3671E47E">
            <w:pPr>
              <w:spacing w:line="240" w:lineRule="atLeast"/>
              <w:jc w:val="center"/>
              <w:rPr>
                <w:rFonts w:hint="default" w:ascii="Times New Roman" w:hAnsi="Times New Roman" w:cs="Times New Roman"/>
                <w:snapToGrid w:val="0"/>
                <w:szCs w:val="21"/>
                <w:highlight w:val="none"/>
              </w:rPr>
            </w:pPr>
          </w:p>
        </w:tc>
        <w:tc>
          <w:tcPr>
            <w:tcW w:w="1107" w:type="dxa"/>
            <w:vMerge w:val="continue"/>
            <w:tcBorders>
              <w:tl2br w:val="nil"/>
              <w:tr2bl w:val="nil"/>
            </w:tcBorders>
            <w:vAlign w:val="center"/>
          </w:tcPr>
          <w:p w14:paraId="3E1574E4">
            <w:pPr>
              <w:spacing w:line="240" w:lineRule="atLeast"/>
              <w:jc w:val="center"/>
              <w:rPr>
                <w:rFonts w:hint="default" w:ascii="Times New Roman" w:hAnsi="Times New Roman" w:cs="Times New Roman"/>
                <w:snapToGrid w:val="0"/>
                <w:szCs w:val="21"/>
                <w:highlight w:val="none"/>
              </w:rPr>
            </w:pPr>
          </w:p>
        </w:tc>
        <w:tc>
          <w:tcPr>
            <w:tcW w:w="1075" w:type="dxa"/>
            <w:tcBorders>
              <w:tl2br w:val="nil"/>
              <w:tr2bl w:val="nil"/>
            </w:tcBorders>
            <w:vAlign w:val="center"/>
          </w:tcPr>
          <w:p w14:paraId="2B732D8E">
            <w:pPr>
              <w:spacing w:line="240" w:lineRule="atLeast"/>
              <w:jc w:val="center"/>
              <w:rPr>
                <w:rFonts w:hint="eastAsia"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宋郢孜</w:t>
            </w:r>
          </w:p>
        </w:tc>
        <w:tc>
          <w:tcPr>
            <w:tcW w:w="1582" w:type="dxa"/>
            <w:tcBorders>
              <w:tl2br w:val="nil"/>
              <w:tr2bl w:val="nil"/>
            </w:tcBorders>
            <w:vAlign w:val="center"/>
          </w:tcPr>
          <w:p w14:paraId="286F7B45">
            <w:pPr>
              <w:spacing w:line="240" w:lineRule="atLeast"/>
              <w:jc w:val="center"/>
              <w:rPr>
                <w:rFonts w:hint="default" w:ascii="Times New Roman" w:hAnsi="Times New Roman" w:cs="Times New Roman"/>
                <w:snapToGrid w:val="0"/>
                <w:szCs w:val="21"/>
                <w:highlight w:val="none"/>
              </w:rPr>
            </w:pPr>
            <w:r>
              <w:rPr>
                <w:rFonts w:hint="eastAsia" w:cs="Times New Roman"/>
                <w:snapToGrid w:val="0"/>
                <w:szCs w:val="21"/>
                <w:highlight w:val="none"/>
                <w:lang w:val="en-US" w:eastAsia="zh-CN"/>
              </w:rPr>
              <w:t>116.515564607</w:t>
            </w:r>
            <w:r>
              <w:rPr>
                <w:rFonts w:hint="default" w:ascii="Times New Roman" w:hAnsi="Times New Roman" w:cs="Times New Roman"/>
                <w:snapToGrid w:val="0"/>
                <w:szCs w:val="21"/>
                <w:highlight w:val="none"/>
              </w:rPr>
              <w:t>°</w:t>
            </w:r>
          </w:p>
        </w:tc>
        <w:tc>
          <w:tcPr>
            <w:tcW w:w="1452" w:type="dxa"/>
            <w:tcBorders>
              <w:tl2br w:val="nil"/>
              <w:tr2bl w:val="nil"/>
            </w:tcBorders>
            <w:vAlign w:val="center"/>
          </w:tcPr>
          <w:p w14:paraId="6AB3B042">
            <w:pPr>
              <w:spacing w:line="240" w:lineRule="atLeast"/>
              <w:jc w:val="center"/>
              <w:rPr>
                <w:rFonts w:hint="default" w:ascii="Times New Roman" w:hAnsi="Times New Roman" w:cs="Times New Roman"/>
                <w:snapToGrid w:val="0"/>
                <w:szCs w:val="21"/>
                <w:highlight w:val="none"/>
              </w:rPr>
            </w:pPr>
            <w:r>
              <w:rPr>
                <w:rFonts w:hint="eastAsia" w:cs="Times New Roman"/>
                <w:snapToGrid w:val="0"/>
                <w:szCs w:val="21"/>
                <w:highlight w:val="none"/>
                <w:lang w:val="en-US" w:eastAsia="zh-CN"/>
              </w:rPr>
              <w:t>32.705391739</w:t>
            </w:r>
            <w:r>
              <w:rPr>
                <w:rFonts w:hint="default" w:ascii="Times New Roman" w:hAnsi="Times New Roman" w:cs="Times New Roman"/>
                <w:snapToGrid w:val="0"/>
                <w:szCs w:val="21"/>
                <w:highlight w:val="none"/>
              </w:rPr>
              <w:t>°</w:t>
            </w:r>
          </w:p>
        </w:tc>
        <w:tc>
          <w:tcPr>
            <w:tcW w:w="743" w:type="dxa"/>
            <w:tcBorders>
              <w:tl2br w:val="nil"/>
              <w:tr2bl w:val="nil"/>
            </w:tcBorders>
            <w:vAlign w:val="center"/>
          </w:tcPr>
          <w:p w14:paraId="76A11467">
            <w:pPr>
              <w:spacing w:line="240" w:lineRule="atLeast"/>
              <w:jc w:val="center"/>
              <w:rPr>
                <w:rFonts w:hint="eastAsia"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居民区</w:t>
            </w:r>
          </w:p>
        </w:tc>
        <w:tc>
          <w:tcPr>
            <w:tcW w:w="1814" w:type="dxa"/>
            <w:tcBorders>
              <w:tl2br w:val="nil"/>
              <w:tr2bl w:val="nil"/>
            </w:tcBorders>
            <w:vAlign w:val="center"/>
          </w:tcPr>
          <w:p w14:paraId="45AFBD32">
            <w:pPr>
              <w:spacing w:line="240" w:lineRule="atLeast"/>
              <w:jc w:val="center"/>
              <w:rPr>
                <w:rFonts w:hint="default" w:ascii="Times New Roman" w:hAnsi="Times New Roman" w:cs="Times New Roman"/>
                <w:snapToGrid w:val="0"/>
                <w:szCs w:val="21"/>
                <w:highlight w:val="none"/>
              </w:rPr>
            </w:pPr>
            <w:r>
              <w:rPr>
                <w:rFonts w:hint="eastAsia" w:cs="Times New Roman"/>
                <w:snapToGrid w:val="0"/>
                <w:szCs w:val="21"/>
                <w:highlight w:val="none"/>
                <w:lang w:val="en-US" w:eastAsia="zh-CN"/>
              </w:rPr>
              <w:t>约160户，550人</w:t>
            </w:r>
          </w:p>
        </w:tc>
        <w:tc>
          <w:tcPr>
            <w:tcW w:w="3062" w:type="dxa"/>
            <w:vMerge w:val="continue"/>
            <w:tcBorders>
              <w:tl2br w:val="nil"/>
              <w:tr2bl w:val="nil"/>
            </w:tcBorders>
            <w:vAlign w:val="center"/>
          </w:tcPr>
          <w:p w14:paraId="20B2DC73">
            <w:pPr>
              <w:spacing w:line="240" w:lineRule="atLeast"/>
              <w:jc w:val="center"/>
              <w:rPr>
                <w:rFonts w:hint="default" w:ascii="Times New Roman" w:hAnsi="Times New Roman" w:cs="Times New Roman"/>
                <w:snapToGrid w:val="0"/>
                <w:szCs w:val="21"/>
                <w:highlight w:val="none"/>
              </w:rPr>
            </w:pPr>
          </w:p>
        </w:tc>
        <w:tc>
          <w:tcPr>
            <w:tcW w:w="517" w:type="dxa"/>
            <w:tcBorders>
              <w:tl2br w:val="nil"/>
              <w:tr2bl w:val="nil"/>
            </w:tcBorders>
            <w:vAlign w:val="center"/>
          </w:tcPr>
          <w:p w14:paraId="6A77F378">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SW</w:t>
            </w:r>
          </w:p>
        </w:tc>
        <w:tc>
          <w:tcPr>
            <w:tcW w:w="1624" w:type="dxa"/>
            <w:tcBorders>
              <w:tl2br w:val="nil"/>
              <w:tr2bl w:val="nil"/>
            </w:tcBorders>
            <w:vAlign w:val="center"/>
          </w:tcPr>
          <w:p w14:paraId="706803B6">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454</w:t>
            </w:r>
          </w:p>
        </w:tc>
      </w:tr>
      <w:tr w14:paraId="7B2781FE">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867" w:type="dxa"/>
            <w:vMerge w:val="continue"/>
            <w:tcBorders>
              <w:tl2br w:val="nil"/>
              <w:tr2bl w:val="nil"/>
            </w:tcBorders>
            <w:vAlign w:val="center"/>
          </w:tcPr>
          <w:p w14:paraId="0AE0BD80">
            <w:pPr>
              <w:spacing w:line="240" w:lineRule="atLeast"/>
              <w:jc w:val="center"/>
              <w:rPr>
                <w:rFonts w:hint="default" w:ascii="Times New Roman" w:hAnsi="Times New Roman" w:cs="Times New Roman"/>
                <w:bCs/>
                <w:szCs w:val="21"/>
                <w:highlight w:val="none"/>
              </w:rPr>
            </w:pPr>
          </w:p>
        </w:tc>
        <w:tc>
          <w:tcPr>
            <w:tcW w:w="527" w:type="dxa"/>
            <w:tcBorders>
              <w:tl2br w:val="nil"/>
              <w:tr2bl w:val="nil"/>
            </w:tcBorders>
            <w:vAlign w:val="center"/>
          </w:tcPr>
          <w:p w14:paraId="73449DE4">
            <w:pPr>
              <w:spacing w:line="240" w:lineRule="atLeast"/>
              <w:jc w:val="center"/>
              <w:rPr>
                <w:rFonts w:hint="eastAsia" w:ascii="Times New Roman" w:hAnsi="Times New Roman" w:eastAsia="宋体" w:cs="Times New Roman"/>
                <w:snapToGrid w:val="0"/>
                <w:szCs w:val="21"/>
                <w:highlight w:val="none"/>
                <w:lang w:val="en-US" w:eastAsia="zh-CN"/>
              </w:rPr>
            </w:pPr>
            <w:r>
              <w:rPr>
                <w:rFonts w:hint="default" w:ascii="Times New Roman" w:hAnsi="Times New Roman" w:cs="Times New Roman"/>
                <w:snapToGrid w:val="0"/>
                <w:szCs w:val="21"/>
                <w:highlight w:val="none"/>
              </w:rPr>
              <w:t>1</w:t>
            </w:r>
            <w:r>
              <w:rPr>
                <w:rFonts w:hint="eastAsia" w:cs="Times New Roman"/>
                <w:snapToGrid w:val="0"/>
                <w:szCs w:val="21"/>
                <w:highlight w:val="none"/>
                <w:lang w:val="en-US" w:eastAsia="zh-CN"/>
              </w:rPr>
              <w:t>3</w:t>
            </w:r>
          </w:p>
        </w:tc>
        <w:tc>
          <w:tcPr>
            <w:tcW w:w="1107" w:type="dxa"/>
            <w:vMerge w:val="restart"/>
            <w:tcBorders>
              <w:tl2br w:val="nil"/>
              <w:tr2bl w:val="nil"/>
            </w:tcBorders>
            <w:vAlign w:val="center"/>
          </w:tcPr>
          <w:p w14:paraId="77218FD5">
            <w:pPr>
              <w:spacing w:line="240" w:lineRule="atLeast"/>
              <w:jc w:val="center"/>
              <w:rPr>
                <w:rFonts w:hint="default" w:ascii="Times New Roman" w:hAnsi="Times New Roman" w:cs="Times New Roman"/>
                <w:snapToGrid w:val="0"/>
                <w:szCs w:val="21"/>
                <w:highlight w:val="none"/>
                <w:lang w:val="en-US"/>
              </w:rPr>
            </w:pPr>
            <w:r>
              <w:rPr>
                <w:rFonts w:hint="eastAsia" w:cs="Times New Roman"/>
                <w:snapToGrid w:val="0"/>
                <w:szCs w:val="21"/>
                <w:highlight w:val="none"/>
                <w:lang w:val="en-US" w:eastAsia="zh-CN"/>
              </w:rPr>
              <w:t>钻孔6</w:t>
            </w:r>
          </w:p>
        </w:tc>
        <w:tc>
          <w:tcPr>
            <w:tcW w:w="1075" w:type="dxa"/>
            <w:tcBorders>
              <w:tl2br w:val="nil"/>
              <w:tr2bl w:val="nil"/>
            </w:tcBorders>
            <w:vAlign w:val="center"/>
          </w:tcPr>
          <w:p w14:paraId="78F901F3">
            <w:pPr>
              <w:jc w:val="center"/>
              <w:rPr>
                <w:rFonts w:hint="default" w:ascii="Times New Roman" w:hAnsi="Times New Roman" w:eastAsia="宋体" w:cs="Times New Roman"/>
                <w:bCs/>
                <w:szCs w:val="21"/>
                <w:highlight w:val="none"/>
                <w:lang w:val="en-US" w:eastAsia="zh-CN"/>
              </w:rPr>
            </w:pPr>
            <w:r>
              <w:rPr>
                <w:rFonts w:hint="eastAsia" w:cs="Times New Roman"/>
                <w:bCs/>
                <w:szCs w:val="21"/>
                <w:highlight w:val="none"/>
                <w:lang w:val="en-US" w:eastAsia="zh-CN"/>
              </w:rPr>
              <w:t>居民点A</w:t>
            </w:r>
          </w:p>
        </w:tc>
        <w:tc>
          <w:tcPr>
            <w:tcW w:w="1582" w:type="dxa"/>
            <w:tcBorders>
              <w:tl2br w:val="nil"/>
              <w:tr2bl w:val="nil"/>
            </w:tcBorders>
            <w:vAlign w:val="center"/>
          </w:tcPr>
          <w:p w14:paraId="16ECE8FC">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116.521749726°</w:t>
            </w:r>
          </w:p>
        </w:tc>
        <w:tc>
          <w:tcPr>
            <w:tcW w:w="1452" w:type="dxa"/>
            <w:tcBorders>
              <w:tl2br w:val="nil"/>
              <w:tr2bl w:val="nil"/>
            </w:tcBorders>
            <w:vAlign w:val="center"/>
          </w:tcPr>
          <w:p w14:paraId="69251FBA">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32.704958459°</w:t>
            </w:r>
          </w:p>
        </w:tc>
        <w:tc>
          <w:tcPr>
            <w:tcW w:w="743" w:type="dxa"/>
            <w:tcBorders>
              <w:tl2br w:val="nil"/>
              <w:tr2bl w:val="nil"/>
            </w:tcBorders>
            <w:vAlign w:val="center"/>
          </w:tcPr>
          <w:p w14:paraId="1DFEAE15">
            <w:pPr>
              <w:spacing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居民区</w:t>
            </w:r>
          </w:p>
        </w:tc>
        <w:tc>
          <w:tcPr>
            <w:tcW w:w="1814" w:type="dxa"/>
            <w:tcBorders>
              <w:tl2br w:val="nil"/>
              <w:tr2bl w:val="nil"/>
            </w:tcBorders>
            <w:vAlign w:val="center"/>
          </w:tcPr>
          <w:p w14:paraId="38736324">
            <w:pPr>
              <w:spacing w:line="24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1</w:t>
            </w:r>
            <w:r>
              <w:rPr>
                <w:rFonts w:hint="default" w:ascii="Times New Roman" w:hAnsi="Times New Roman" w:cs="Times New Roman"/>
                <w:bCs/>
                <w:szCs w:val="21"/>
                <w:highlight w:val="none"/>
              </w:rPr>
              <w:t>户，</w:t>
            </w:r>
            <w:r>
              <w:rPr>
                <w:rFonts w:hint="eastAsia" w:cs="Times New Roman"/>
                <w:bCs/>
                <w:szCs w:val="21"/>
                <w:highlight w:val="none"/>
                <w:lang w:val="en-US" w:eastAsia="zh-CN"/>
              </w:rPr>
              <w:t>4</w:t>
            </w:r>
            <w:r>
              <w:rPr>
                <w:rFonts w:hint="default" w:ascii="Times New Roman" w:hAnsi="Times New Roman" w:cs="Times New Roman"/>
                <w:bCs/>
                <w:szCs w:val="21"/>
                <w:highlight w:val="none"/>
              </w:rPr>
              <w:t>人</w:t>
            </w:r>
          </w:p>
        </w:tc>
        <w:tc>
          <w:tcPr>
            <w:tcW w:w="3062" w:type="dxa"/>
            <w:vMerge w:val="continue"/>
            <w:tcBorders>
              <w:tl2br w:val="nil"/>
              <w:tr2bl w:val="nil"/>
            </w:tcBorders>
            <w:vAlign w:val="center"/>
          </w:tcPr>
          <w:p w14:paraId="4D790D25">
            <w:pPr>
              <w:spacing w:line="240" w:lineRule="atLeast"/>
              <w:jc w:val="center"/>
              <w:rPr>
                <w:rFonts w:hint="default" w:ascii="Times New Roman" w:hAnsi="Times New Roman" w:cs="Times New Roman"/>
                <w:snapToGrid w:val="0"/>
                <w:szCs w:val="21"/>
                <w:highlight w:val="none"/>
              </w:rPr>
            </w:pPr>
          </w:p>
        </w:tc>
        <w:tc>
          <w:tcPr>
            <w:tcW w:w="517" w:type="dxa"/>
            <w:tcBorders>
              <w:tl2br w:val="nil"/>
              <w:tr2bl w:val="nil"/>
            </w:tcBorders>
            <w:vAlign w:val="center"/>
          </w:tcPr>
          <w:p w14:paraId="09D4BF3C">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SE</w:t>
            </w:r>
          </w:p>
        </w:tc>
        <w:tc>
          <w:tcPr>
            <w:tcW w:w="1624" w:type="dxa"/>
            <w:tcBorders>
              <w:tl2br w:val="nil"/>
              <w:tr2bl w:val="nil"/>
            </w:tcBorders>
            <w:vAlign w:val="center"/>
          </w:tcPr>
          <w:p w14:paraId="21A46B95">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349</w:t>
            </w:r>
          </w:p>
        </w:tc>
      </w:tr>
      <w:tr w14:paraId="21ED7923">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100" w:hRule="atLeast"/>
          <w:jc w:val="center"/>
        </w:trPr>
        <w:tc>
          <w:tcPr>
            <w:tcW w:w="867" w:type="dxa"/>
            <w:vMerge w:val="continue"/>
            <w:tcBorders>
              <w:tl2br w:val="nil"/>
              <w:tr2bl w:val="nil"/>
            </w:tcBorders>
            <w:vAlign w:val="center"/>
          </w:tcPr>
          <w:p w14:paraId="45B1B5D2">
            <w:pPr>
              <w:spacing w:line="240" w:lineRule="atLeast"/>
              <w:jc w:val="center"/>
              <w:rPr>
                <w:rFonts w:hint="default" w:ascii="Times New Roman" w:hAnsi="Times New Roman" w:cs="Times New Roman"/>
                <w:bCs/>
                <w:szCs w:val="21"/>
                <w:highlight w:val="none"/>
              </w:rPr>
            </w:pPr>
          </w:p>
        </w:tc>
        <w:tc>
          <w:tcPr>
            <w:tcW w:w="527" w:type="dxa"/>
            <w:tcBorders>
              <w:tl2br w:val="nil"/>
              <w:tr2bl w:val="nil"/>
            </w:tcBorders>
            <w:vAlign w:val="center"/>
          </w:tcPr>
          <w:p w14:paraId="704D109F">
            <w:pPr>
              <w:spacing w:line="240" w:lineRule="atLeast"/>
              <w:jc w:val="center"/>
              <w:rPr>
                <w:rFonts w:hint="eastAsia" w:ascii="Times New Roman" w:hAnsi="Times New Roman" w:eastAsia="宋体" w:cs="Times New Roman"/>
                <w:snapToGrid w:val="0"/>
                <w:szCs w:val="21"/>
                <w:highlight w:val="none"/>
                <w:lang w:val="en-US" w:eastAsia="zh-CN"/>
              </w:rPr>
            </w:pPr>
            <w:r>
              <w:rPr>
                <w:rFonts w:hint="default" w:ascii="Times New Roman" w:hAnsi="Times New Roman" w:cs="Times New Roman"/>
                <w:snapToGrid w:val="0"/>
                <w:szCs w:val="21"/>
                <w:highlight w:val="none"/>
              </w:rPr>
              <w:t>1</w:t>
            </w:r>
            <w:r>
              <w:rPr>
                <w:rFonts w:hint="eastAsia" w:cs="Times New Roman"/>
                <w:snapToGrid w:val="0"/>
                <w:szCs w:val="21"/>
                <w:highlight w:val="none"/>
                <w:lang w:val="en-US" w:eastAsia="zh-CN"/>
              </w:rPr>
              <w:t>4</w:t>
            </w:r>
          </w:p>
        </w:tc>
        <w:tc>
          <w:tcPr>
            <w:tcW w:w="1107" w:type="dxa"/>
            <w:vMerge w:val="continue"/>
            <w:tcBorders>
              <w:tl2br w:val="nil"/>
              <w:tr2bl w:val="nil"/>
            </w:tcBorders>
            <w:vAlign w:val="center"/>
          </w:tcPr>
          <w:p w14:paraId="44D44176">
            <w:pPr>
              <w:spacing w:line="240" w:lineRule="atLeast"/>
              <w:jc w:val="center"/>
              <w:rPr>
                <w:rFonts w:hint="default" w:ascii="Times New Roman" w:hAnsi="Times New Roman" w:cs="Times New Roman"/>
                <w:snapToGrid w:val="0"/>
                <w:szCs w:val="21"/>
                <w:highlight w:val="none"/>
              </w:rPr>
            </w:pPr>
          </w:p>
        </w:tc>
        <w:tc>
          <w:tcPr>
            <w:tcW w:w="1075" w:type="dxa"/>
            <w:tcBorders>
              <w:tl2br w:val="nil"/>
              <w:tr2bl w:val="nil"/>
            </w:tcBorders>
            <w:vAlign w:val="center"/>
          </w:tcPr>
          <w:p w14:paraId="75A516F3">
            <w:pPr>
              <w:jc w:val="center"/>
              <w:rPr>
                <w:rFonts w:hint="default" w:ascii="Times New Roman" w:hAnsi="Times New Roman" w:eastAsia="宋体" w:cs="Times New Roman"/>
                <w:bCs/>
                <w:szCs w:val="21"/>
                <w:highlight w:val="none"/>
                <w:lang w:val="en-US" w:eastAsia="zh-CN"/>
              </w:rPr>
            </w:pPr>
            <w:r>
              <w:rPr>
                <w:rFonts w:hint="eastAsia" w:cs="Times New Roman"/>
                <w:bCs/>
                <w:szCs w:val="21"/>
                <w:highlight w:val="none"/>
                <w:lang w:val="en-US" w:eastAsia="zh-CN"/>
              </w:rPr>
              <w:t>居民点B</w:t>
            </w:r>
          </w:p>
        </w:tc>
        <w:tc>
          <w:tcPr>
            <w:tcW w:w="1582" w:type="dxa"/>
            <w:tcBorders>
              <w:tl2br w:val="nil"/>
              <w:tr2bl w:val="nil"/>
            </w:tcBorders>
            <w:vAlign w:val="center"/>
          </w:tcPr>
          <w:p w14:paraId="5A924DE7">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116.523686281°</w:t>
            </w:r>
          </w:p>
        </w:tc>
        <w:tc>
          <w:tcPr>
            <w:tcW w:w="1452" w:type="dxa"/>
            <w:tcBorders>
              <w:tl2br w:val="nil"/>
              <w:tr2bl w:val="nil"/>
            </w:tcBorders>
            <w:vAlign w:val="center"/>
          </w:tcPr>
          <w:p w14:paraId="65D10D19">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32.704550763°</w:t>
            </w:r>
          </w:p>
        </w:tc>
        <w:tc>
          <w:tcPr>
            <w:tcW w:w="743" w:type="dxa"/>
            <w:tcBorders>
              <w:tl2br w:val="nil"/>
              <w:tr2bl w:val="nil"/>
            </w:tcBorders>
            <w:vAlign w:val="center"/>
          </w:tcPr>
          <w:p w14:paraId="0342D74E">
            <w:pPr>
              <w:spacing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居民区</w:t>
            </w:r>
          </w:p>
        </w:tc>
        <w:tc>
          <w:tcPr>
            <w:tcW w:w="1814" w:type="dxa"/>
            <w:tcBorders>
              <w:tl2br w:val="nil"/>
              <w:tr2bl w:val="nil"/>
            </w:tcBorders>
            <w:vAlign w:val="center"/>
          </w:tcPr>
          <w:p w14:paraId="4AAA6829">
            <w:pPr>
              <w:spacing w:line="24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3</w:t>
            </w:r>
            <w:r>
              <w:rPr>
                <w:rFonts w:hint="default" w:ascii="Times New Roman" w:hAnsi="Times New Roman" w:cs="Times New Roman"/>
                <w:bCs/>
                <w:szCs w:val="21"/>
                <w:highlight w:val="none"/>
              </w:rPr>
              <w:t>户，</w:t>
            </w:r>
            <w:r>
              <w:rPr>
                <w:rFonts w:hint="eastAsia" w:cs="Times New Roman"/>
                <w:bCs/>
                <w:szCs w:val="21"/>
                <w:highlight w:val="none"/>
                <w:lang w:val="en-US" w:eastAsia="zh-CN"/>
              </w:rPr>
              <w:t>12</w:t>
            </w:r>
            <w:r>
              <w:rPr>
                <w:rFonts w:hint="default" w:ascii="Times New Roman" w:hAnsi="Times New Roman" w:cs="Times New Roman"/>
                <w:bCs/>
                <w:szCs w:val="21"/>
                <w:highlight w:val="none"/>
              </w:rPr>
              <w:t>人</w:t>
            </w:r>
          </w:p>
        </w:tc>
        <w:tc>
          <w:tcPr>
            <w:tcW w:w="3062" w:type="dxa"/>
            <w:vMerge w:val="continue"/>
            <w:tcBorders>
              <w:tl2br w:val="nil"/>
              <w:tr2bl w:val="nil"/>
            </w:tcBorders>
            <w:vAlign w:val="center"/>
          </w:tcPr>
          <w:p w14:paraId="2B3814C0">
            <w:pPr>
              <w:spacing w:line="240" w:lineRule="atLeast"/>
              <w:jc w:val="center"/>
              <w:rPr>
                <w:rFonts w:hint="default" w:ascii="Times New Roman" w:hAnsi="Times New Roman" w:cs="Times New Roman"/>
                <w:snapToGrid w:val="0"/>
                <w:szCs w:val="21"/>
                <w:highlight w:val="none"/>
              </w:rPr>
            </w:pPr>
          </w:p>
        </w:tc>
        <w:tc>
          <w:tcPr>
            <w:tcW w:w="517" w:type="dxa"/>
            <w:tcBorders>
              <w:tl2br w:val="nil"/>
              <w:tr2bl w:val="nil"/>
            </w:tcBorders>
            <w:vAlign w:val="center"/>
          </w:tcPr>
          <w:p w14:paraId="73E6CF9A">
            <w:pPr>
              <w:spacing w:line="240" w:lineRule="atLeast"/>
              <w:jc w:val="center"/>
              <w:rPr>
                <w:rFonts w:hint="eastAsia" w:ascii="Times New Roman" w:hAnsi="Times New Roman" w:eastAsia="宋体" w:cs="Times New Roman"/>
                <w:snapToGrid w:val="0"/>
                <w:szCs w:val="21"/>
                <w:highlight w:val="none"/>
                <w:lang w:val="en-US" w:eastAsia="zh-CN"/>
              </w:rPr>
            </w:pPr>
            <w:r>
              <w:rPr>
                <w:rFonts w:hint="default" w:ascii="Times New Roman" w:hAnsi="Times New Roman" w:cs="Times New Roman"/>
                <w:snapToGrid w:val="0"/>
                <w:szCs w:val="21"/>
                <w:highlight w:val="none"/>
              </w:rPr>
              <w:t>S</w:t>
            </w:r>
            <w:r>
              <w:rPr>
                <w:rFonts w:hint="eastAsia" w:cs="Times New Roman"/>
                <w:snapToGrid w:val="0"/>
                <w:szCs w:val="21"/>
                <w:highlight w:val="none"/>
                <w:lang w:val="en-US" w:eastAsia="zh-CN"/>
              </w:rPr>
              <w:t>E</w:t>
            </w:r>
          </w:p>
        </w:tc>
        <w:tc>
          <w:tcPr>
            <w:tcW w:w="1624" w:type="dxa"/>
            <w:tcBorders>
              <w:tl2br w:val="nil"/>
              <w:tr2bl w:val="nil"/>
            </w:tcBorders>
            <w:vAlign w:val="center"/>
          </w:tcPr>
          <w:p w14:paraId="50581A30">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447</w:t>
            </w:r>
          </w:p>
        </w:tc>
      </w:tr>
      <w:tr w14:paraId="333523EB">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100" w:hRule="atLeast"/>
          <w:jc w:val="center"/>
        </w:trPr>
        <w:tc>
          <w:tcPr>
            <w:tcW w:w="867" w:type="dxa"/>
            <w:vMerge w:val="continue"/>
            <w:tcBorders>
              <w:tl2br w:val="nil"/>
              <w:tr2bl w:val="nil"/>
            </w:tcBorders>
            <w:vAlign w:val="center"/>
          </w:tcPr>
          <w:p w14:paraId="5727E878">
            <w:pPr>
              <w:spacing w:line="240" w:lineRule="atLeast"/>
              <w:jc w:val="center"/>
            </w:pPr>
          </w:p>
        </w:tc>
        <w:tc>
          <w:tcPr>
            <w:tcW w:w="527" w:type="dxa"/>
            <w:tcBorders>
              <w:tl2br w:val="nil"/>
              <w:tr2bl w:val="nil"/>
            </w:tcBorders>
            <w:vAlign w:val="center"/>
          </w:tcPr>
          <w:p w14:paraId="49F94F34">
            <w:pPr>
              <w:spacing w:line="240" w:lineRule="atLeast"/>
              <w:jc w:val="center"/>
              <w:rPr>
                <w:rFonts w:hint="default" w:ascii="Times New Roman" w:hAnsi="Times New Roman" w:cs="Times New Roman"/>
                <w:snapToGrid w:val="0"/>
                <w:szCs w:val="21"/>
                <w:highlight w:val="none"/>
              </w:rPr>
            </w:pPr>
          </w:p>
        </w:tc>
        <w:tc>
          <w:tcPr>
            <w:tcW w:w="1107" w:type="dxa"/>
            <w:vMerge w:val="continue"/>
            <w:tcBorders>
              <w:tl2br w:val="nil"/>
              <w:tr2bl w:val="nil"/>
            </w:tcBorders>
            <w:vAlign w:val="center"/>
          </w:tcPr>
          <w:p w14:paraId="18C51CC2">
            <w:pPr>
              <w:spacing w:line="240" w:lineRule="atLeast"/>
              <w:jc w:val="center"/>
              <w:rPr>
                <w:rFonts w:hint="default" w:ascii="Times New Roman" w:hAnsi="Times New Roman" w:cs="Times New Roman"/>
                <w:snapToGrid w:val="0"/>
                <w:szCs w:val="21"/>
                <w:highlight w:val="none"/>
              </w:rPr>
            </w:pPr>
          </w:p>
        </w:tc>
        <w:tc>
          <w:tcPr>
            <w:tcW w:w="1075" w:type="dxa"/>
            <w:tcBorders>
              <w:tl2br w:val="nil"/>
              <w:tr2bl w:val="nil"/>
            </w:tcBorders>
            <w:vAlign w:val="center"/>
          </w:tcPr>
          <w:p w14:paraId="65589264">
            <w:pPr>
              <w:spacing w:line="240" w:lineRule="atLeast"/>
              <w:jc w:val="center"/>
              <w:rPr>
                <w:rFonts w:hint="eastAsia"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罗杨村</w:t>
            </w:r>
          </w:p>
        </w:tc>
        <w:tc>
          <w:tcPr>
            <w:tcW w:w="1582" w:type="dxa"/>
            <w:tcBorders>
              <w:tl2br w:val="nil"/>
              <w:tr2bl w:val="nil"/>
            </w:tcBorders>
            <w:vAlign w:val="center"/>
          </w:tcPr>
          <w:p w14:paraId="3917E47D">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116.522020684°</w:t>
            </w:r>
          </w:p>
        </w:tc>
        <w:tc>
          <w:tcPr>
            <w:tcW w:w="1452" w:type="dxa"/>
            <w:tcBorders>
              <w:tl2br w:val="nil"/>
              <w:tr2bl w:val="nil"/>
            </w:tcBorders>
            <w:vAlign w:val="center"/>
          </w:tcPr>
          <w:p w14:paraId="25E8351F">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32.703428362°</w:t>
            </w:r>
          </w:p>
        </w:tc>
        <w:tc>
          <w:tcPr>
            <w:tcW w:w="743" w:type="dxa"/>
            <w:tcBorders>
              <w:tl2br w:val="nil"/>
              <w:tr2bl w:val="nil"/>
            </w:tcBorders>
            <w:vAlign w:val="center"/>
          </w:tcPr>
          <w:p w14:paraId="35ECC378">
            <w:pPr>
              <w:spacing w:line="240" w:lineRule="atLeast"/>
              <w:jc w:val="center"/>
              <w:rPr>
                <w:rFonts w:hint="eastAsia"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居民区</w:t>
            </w:r>
          </w:p>
        </w:tc>
        <w:tc>
          <w:tcPr>
            <w:tcW w:w="1814" w:type="dxa"/>
            <w:tcBorders>
              <w:tl2br w:val="nil"/>
              <w:tr2bl w:val="nil"/>
            </w:tcBorders>
            <w:vAlign w:val="center"/>
          </w:tcPr>
          <w:p w14:paraId="3C919B90">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895</w:t>
            </w:r>
            <w:r>
              <w:rPr>
                <w:rFonts w:hint="default" w:ascii="Times New Roman" w:hAnsi="Times New Roman" w:cs="Times New Roman"/>
                <w:bCs/>
                <w:szCs w:val="21"/>
                <w:highlight w:val="none"/>
              </w:rPr>
              <w:t>户，</w:t>
            </w:r>
            <w:r>
              <w:rPr>
                <w:rFonts w:hint="eastAsia" w:cs="Times New Roman"/>
                <w:bCs/>
                <w:szCs w:val="21"/>
                <w:highlight w:val="none"/>
                <w:lang w:val="en-US" w:eastAsia="zh-CN"/>
              </w:rPr>
              <w:t>226</w:t>
            </w:r>
            <w:r>
              <w:rPr>
                <w:rFonts w:hint="default" w:ascii="Times New Roman" w:hAnsi="Times New Roman" w:cs="Times New Roman"/>
                <w:bCs/>
                <w:szCs w:val="21"/>
                <w:highlight w:val="none"/>
              </w:rPr>
              <w:t>0人</w:t>
            </w:r>
          </w:p>
        </w:tc>
        <w:tc>
          <w:tcPr>
            <w:tcW w:w="3062" w:type="dxa"/>
            <w:vMerge w:val="continue"/>
            <w:tcBorders>
              <w:tl2br w:val="nil"/>
              <w:tr2bl w:val="nil"/>
            </w:tcBorders>
            <w:vAlign w:val="center"/>
          </w:tcPr>
          <w:p w14:paraId="53FF2199">
            <w:pPr>
              <w:spacing w:line="240" w:lineRule="atLeast"/>
              <w:jc w:val="center"/>
              <w:rPr>
                <w:rFonts w:hint="default" w:ascii="Times New Roman" w:hAnsi="Times New Roman" w:cs="Times New Roman"/>
                <w:snapToGrid w:val="0"/>
                <w:szCs w:val="21"/>
                <w:highlight w:val="none"/>
              </w:rPr>
            </w:pPr>
          </w:p>
        </w:tc>
        <w:tc>
          <w:tcPr>
            <w:tcW w:w="517" w:type="dxa"/>
            <w:tcBorders>
              <w:tl2br w:val="nil"/>
              <w:tr2bl w:val="nil"/>
            </w:tcBorders>
            <w:vAlign w:val="center"/>
          </w:tcPr>
          <w:p w14:paraId="69283BC5">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SE</w:t>
            </w:r>
          </w:p>
        </w:tc>
        <w:tc>
          <w:tcPr>
            <w:tcW w:w="1624" w:type="dxa"/>
            <w:tcBorders>
              <w:tl2br w:val="nil"/>
              <w:tr2bl w:val="nil"/>
            </w:tcBorders>
            <w:vAlign w:val="center"/>
          </w:tcPr>
          <w:p w14:paraId="0160197E">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497</w:t>
            </w:r>
          </w:p>
        </w:tc>
      </w:tr>
      <w:tr w14:paraId="793CFD19">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100" w:hRule="atLeast"/>
          <w:jc w:val="center"/>
        </w:trPr>
        <w:tc>
          <w:tcPr>
            <w:tcW w:w="867" w:type="dxa"/>
            <w:vMerge w:val="continue"/>
            <w:tcBorders>
              <w:tl2br w:val="nil"/>
              <w:tr2bl w:val="nil"/>
            </w:tcBorders>
            <w:vAlign w:val="center"/>
          </w:tcPr>
          <w:p w14:paraId="282B44F6">
            <w:pPr>
              <w:spacing w:line="240" w:lineRule="atLeast"/>
              <w:jc w:val="center"/>
              <w:rPr>
                <w:rFonts w:hint="default" w:ascii="Times New Roman" w:hAnsi="Times New Roman" w:cs="Times New Roman"/>
                <w:snapToGrid w:val="0"/>
                <w:szCs w:val="21"/>
                <w:highlight w:val="none"/>
              </w:rPr>
            </w:pPr>
          </w:p>
        </w:tc>
        <w:tc>
          <w:tcPr>
            <w:tcW w:w="527" w:type="dxa"/>
            <w:tcBorders>
              <w:tl2br w:val="nil"/>
              <w:tr2bl w:val="nil"/>
            </w:tcBorders>
            <w:vAlign w:val="center"/>
          </w:tcPr>
          <w:p w14:paraId="3957306D">
            <w:pPr>
              <w:spacing w:line="240" w:lineRule="atLeast"/>
              <w:jc w:val="center"/>
              <w:rPr>
                <w:rFonts w:hint="default" w:ascii="Times New Roman" w:hAnsi="Times New Roman" w:cs="Times New Roman"/>
                <w:snapToGrid w:val="0"/>
                <w:szCs w:val="21"/>
                <w:highlight w:val="none"/>
              </w:rPr>
            </w:pPr>
          </w:p>
        </w:tc>
        <w:tc>
          <w:tcPr>
            <w:tcW w:w="1107" w:type="dxa"/>
            <w:vMerge w:val="continue"/>
            <w:tcBorders>
              <w:tl2br w:val="nil"/>
              <w:tr2bl w:val="nil"/>
            </w:tcBorders>
            <w:vAlign w:val="center"/>
          </w:tcPr>
          <w:p w14:paraId="740DEADC">
            <w:pPr>
              <w:spacing w:line="240" w:lineRule="atLeast"/>
              <w:jc w:val="center"/>
              <w:rPr>
                <w:rFonts w:hint="default" w:ascii="Times New Roman" w:hAnsi="Times New Roman" w:cs="Times New Roman"/>
                <w:snapToGrid w:val="0"/>
                <w:szCs w:val="21"/>
                <w:highlight w:val="none"/>
              </w:rPr>
            </w:pPr>
          </w:p>
        </w:tc>
        <w:tc>
          <w:tcPr>
            <w:tcW w:w="1075" w:type="dxa"/>
            <w:tcBorders>
              <w:tl2br w:val="nil"/>
              <w:tr2bl w:val="nil"/>
            </w:tcBorders>
            <w:vAlign w:val="center"/>
          </w:tcPr>
          <w:p w14:paraId="08C356C5">
            <w:pPr>
              <w:spacing w:line="240" w:lineRule="atLeast"/>
              <w:jc w:val="center"/>
              <w:rPr>
                <w:rFonts w:hint="eastAsia"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宋郢孜</w:t>
            </w:r>
          </w:p>
        </w:tc>
        <w:tc>
          <w:tcPr>
            <w:tcW w:w="1582" w:type="dxa"/>
            <w:tcBorders>
              <w:tl2br w:val="nil"/>
              <w:tr2bl w:val="nil"/>
            </w:tcBorders>
            <w:vAlign w:val="center"/>
          </w:tcPr>
          <w:p w14:paraId="1AF84B6C">
            <w:pPr>
              <w:spacing w:line="240" w:lineRule="atLeast"/>
              <w:jc w:val="center"/>
              <w:rPr>
                <w:rFonts w:hint="default" w:ascii="Times New Roman" w:hAnsi="Times New Roman" w:cs="Times New Roman"/>
                <w:snapToGrid w:val="0"/>
                <w:szCs w:val="21"/>
                <w:highlight w:val="none"/>
              </w:rPr>
            </w:pPr>
            <w:r>
              <w:rPr>
                <w:rFonts w:hint="eastAsia" w:cs="Times New Roman"/>
                <w:snapToGrid w:val="0"/>
                <w:szCs w:val="21"/>
                <w:highlight w:val="none"/>
                <w:lang w:val="en-US" w:eastAsia="zh-CN"/>
              </w:rPr>
              <w:t>116.515564607</w:t>
            </w:r>
            <w:r>
              <w:rPr>
                <w:rFonts w:hint="default" w:ascii="Times New Roman" w:hAnsi="Times New Roman" w:cs="Times New Roman"/>
                <w:snapToGrid w:val="0"/>
                <w:szCs w:val="21"/>
                <w:highlight w:val="none"/>
              </w:rPr>
              <w:t>°</w:t>
            </w:r>
          </w:p>
        </w:tc>
        <w:tc>
          <w:tcPr>
            <w:tcW w:w="1452" w:type="dxa"/>
            <w:tcBorders>
              <w:tl2br w:val="nil"/>
              <w:tr2bl w:val="nil"/>
            </w:tcBorders>
            <w:vAlign w:val="center"/>
          </w:tcPr>
          <w:p w14:paraId="1163F5E9">
            <w:pPr>
              <w:spacing w:line="240" w:lineRule="atLeast"/>
              <w:jc w:val="center"/>
              <w:rPr>
                <w:rFonts w:hint="default" w:ascii="Times New Roman" w:hAnsi="Times New Roman" w:cs="Times New Roman"/>
                <w:snapToGrid w:val="0"/>
                <w:szCs w:val="21"/>
                <w:highlight w:val="none"/>
              </w:rPr>
            </w:pPr>
            <w:r>
              <w:rPr>
                <w:rFonts w:hint="eastAsia" w:cs="Times New Roman"/>
                <w:snapToGrid w:val="0"/>
                <w:szCs w:val="21"/>
                <w:highlight w:val="none"/>
                <w:lang w:val="en-US" w:eastAsia="zh-CN"/>
              </w:rPr>
              <w:t>32.705391739</w:t>
            </w:r>
            <w:r>
              <w:rPr>
                <w:rFonts w:hint="default" w:ascii="Times New Roman" w:hAnsi="Times New Roman" w:cs="Times New Roman"/>
                <w:snapToGrid w:val="0"/>
                <w:szCs w:val="21"/>
                <w:highlight w:val="none"/>
              </w:rPr>
              <w:t>°</w:t>
            </w:r>
          </w:p>
        </w:tc>
        <w:tc>
          <w:tcPr>
            <w:tcW w:w="743" w:type="dxa"/>
            <w:tcBorders>
              <w:tl2br w:val="nil"/>
              <w:tr2bl w:val="nil"/>
            </w:tcBorders>
            <w:vAlign w:val="center"/>
          </w:tcPr>
          <w:p w14:paraId="33B30483">
            <w:pPr>
              <w:spacing w:line="240" w:lineRule="atLeast"/>
              <w:jc w:val="center"/>
              <w:rPr>
                <w:rFonts w:hint="eastAsia"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居民区</w:t>
            </w:r>
          </w:p>
        </w:tc>
        <w:tc>
          <w:tcPr>
            <w:tcW w:w="1814" w:type="dxa"/>
            <w:tcBorders>
              <w:tl2br w:val="nil"/>
              <w:tr2bl w:val="nil"/>
            </w:tcBorders>
            <w:vAlign w:val="center"/>
          </w:tcPr>
          <w:p w14:paraId="775E0771">
            <w:pPr>
              <w:spacing w:line="240" w:lineRule="atLeast"/>
              <w:jc w:val="center"/>
              <w:rPr>
                <w:rFonts w:hint="default" w:ascii="Times New Roman" w:hAnsi="Times New Roman" w:cs="Times New Roman"/>
                <w:snapToGrid w:val="0"/>
                <w:szCs w:val="21"/>
                <w:highlight w:val="none"/>
              </w:rPr>
            </w:pPr>
            <w:r>
              <w:rPr>
                <w:rFonts w:hint="eastAsia" w:cs="Times New Roman"/>
                <w:snapToGrid w:val="0"/>
                <w:szCs w:val="21"/>
                <w:highlight w:val="none"/>
                <w:lang w:val="en-US" w:eastAsia="zh-CN"/>
              </w:rPr>
              <w:t>约160户，550人</w:t>
            </w:r>
          </w:p>
        </w:tc>
        <w:tc>
          <w:tcPr>
            <w:tcW w:w="3062" w:type="dxa"/>
            <w:vMerge w:val="continue"/>
            <w:tcBorders>
              <w:tl2br w:val="nil"/>
              <w:tr2bl w:val="nil"/>
            </w:tcBorders>
            <w:vAlign w:val="center"/>
          </w:tcPr>
          <w:p w14:paraId="748B9ADC">
            <w:pPr>
              <w:spacing w:line="240" w:lineRule="atLeast"/>
              <w:jc w:val="center"/>
              <w:rPr>
                <w:rFonts w:hint="default" w:ascii="Times New Roman" w:hAnsi="Times New Roman" w:cs="Times New Roman"/>
                <w:snapToGrid w:val="0"/>
                <w:szCs w:val="21"/>
                <w:highlight w:val="none"/>
              </w:rPr>
            </w:pPr>
          </w:p>
        </w:tc>
        <w:tc>
          <w:tcPr>
            <w:tcW w:w="517" w:type="dxa"/>
            <w:tcBorders>
              <w:tl2br w:val="nil"/>
              <w:tr2bl w:val="nil"/>
            </w:tcBorders>
            <w:vAlign w:val="center"/>
          </w:tcPr>
          <w:p w14:paraId="7D7FEF57">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SW</w:t>
            </w:r>
          </w:p>
        </w:tc>
        <w:tc>
          <w:tcPr>
            <w:tcW w:w="1624" w:type="dxa"/>
            <w:tcBorders>
              <w:tl2br w:val="nil"/>
              <w:tr2bl w:val="nil"/>
            </w:tcBorders>
            <w:vAlign w:val="center"/>
          </w:tcPr>
          <w:p w14:paraId="1D78F53C">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423</w:t>
            </w:r>
          </w:p>
        </w:tc>
      </w:tr>
      <w:tr w14:paraId="2B312548">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75" w:hRule="atLeast"/>
          <w:jc w:val="center"/>
        </w:trPr>
        <w:tc>
          <w:tcPr>
            <w:tcW w:w="867" w:type="dxa"/>
            <w:vMerge w:val="continue"/>
            <w:tcBorders>
              <w:tl2br w:val="nil"/>
              <w:tr2bl w:val="nil"/>
            </w:tcBorders>
            <w:vAlign w:val="center"/>
          </w:tcPr>
          <w:p w14:paraId="18125847">
            <w:pPr>
              <w:spacing w:line="240" w:lineRule="atLeast"/>
              <w:jc w:val="center"/>
              <w:rPr>
                <w:rFonts w:hint="default" w:ascii="Times New Roman" w:hAnsi="Times New Roman" w:cs="Times New Roman"/>
                <w:bCs/>
                <w:szCs w:val="21"/>
                <w:highlight w:val="none"/>
              </w:rPr>
            </w:pPr>
          </w:p>
        </w:tc>
        <w:tc>
          <w:tcPr>
            <w:tcW w:w="527" w:type="dxa"/>
            <w:tcBorders>
              <w:tl2br w:val="nil"/>
              <w:tr2bl w:val="nil"/>
            </w:tcBorders>
            <w:vAlign w:val="center"/>
          </w:tcPr>
          <w:p w14:paraId="6F09C69F">
            <w:pPr>
              <w:spacing w:line="240" w:lineRule="atLeast"/>
              <w:jc w:val="center"/>
              <w:rPr>
                <w:rFonts w:hint="eastAsia" w:ascii="Times New Roman" w:hAnsi="Times New Roman" w:eastAsia="宋体" w:cs="Times New Roman"/>
                <w:snapToGrid w:val="0"/>
                <w:szCs w:val="21"/>
                <w:highlight w:val="none"/>
                <w:lang w:val="en-US" w:eastAsia="zh-CN"/>
              </w:rPr>
            </w:pPr>
            <w:r>
              <w:rPr>
                <w:rFonts w:hint="default" w:ascii="Times New Roman" w:hAnsi="Times New Roman" w:cs="Times New Roman"/>
                <w:snapToGrid w:val="0"/>
                <w:szCs w:val="21"/>
                <w:highlight w:val="none"/>
              </w:rPr>
              <w:t>1</w:t>
            </w:r>
            <w:r>
              <w:rPr>
                <w:rFonts w:hint="eastAsia" w:cs="Times New Roman"/>
                <w:snapToGrid w:val="0"/>
                <w:szCs w:val="21"/>
                <w:highlight w:val="none"/>
                <w:lang w:val="en-US" w:eastAsia="zh-CN"/>
              </w:rPr>
              <w:t>5</w:t>
            </w:r>
          </w:p>
        </w:tc>
        <w:tc>
          <w:tcPr>
            <w:tcW w:w="1107" w:type="dxa"/>
            <w:vMerge w:val="restart"/>
            <w:tcBorders>
              <w:tl2br w:val="nil"/>
              <w:tr2bl w:val="nil"/>
            </w:tcBorders>
            <w:vAlign w:val="center"/>
          </w:tcPr>
          <w:p w14:paraId="3F0BDD31">
            <w:pPr>
              <w:spacing w:line="240" w:lineRule="atLeast"/>
              <w:jc w:val="center"/>
              <w:rPr>
                <w:rFonts w:hint="default" w:ascii="Times New Roman" w:hAnsi="Times New Roman" w:cs="Times New Roman"/>
                <w:snapToGrid w:val="0"/>
                <w:szCs w:val="21"/>
                <w:highlight w:val="none"/>
                <w:lang w:val="en-US"/>
              </w:rPr>
            </w:pPr>
            <w:r>
              <w:rPr>
                <w:rFonts w:hint="eastAsia" w:cs="Times New Roman"/>
                <w:snapToGrid w:val="0"/>
                <w:szCs w:val="21"/>
                <w:highlight w:val="none"/>
                <w:lang w:val="en-US" w:eastAsia="zh-CN"/>
              </w:rPr>
              <w:t>钻孔7</w:t>
            </w:r>
          </w:p>
        </w:tc>
        <w:tc>
          <w:tcPr>
            <w:tcW w:w="1075" w:type="dxa"/>
            <w:tcBorders>
              <w:tl2br w:val="nil"/>
              <w:tr2bl w:val="nil"/>
            </w:tcBorders>
            <w:vAlign w:val="center"/>
          </w:tcPr>
          <w:p w14:paraId="55D72962">
            <w:pPr>
              <w:spacing w:line="240" w:lineRule="atLeast"/>
              <w:jc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居民点A</w:t>
            </w:r>
          </w:p>
        </w:tc>
        <w:tc>
          <w:tcPr>
            <w:tcW w:w="1582" w:type="dxa"/>
            <w:tcBorders>
              <w:tl2br w:val="nil"/>
              <w:tr2bl w:val="nil"/>
            </w:tcBorders>
            <w:vAlign w:val="center"/>
          </w:tcPr>
          <w:p w14:paraId="5DAF4913">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116.521749726°</w:t>
            </w:r>
          </w:p>
        </w:tc>
        <w:tc>
          <w:tcPr>
            <w:tcW w:w="1452" w:type="dxa"/>
            <w:tcBorders>
              <w:tl2br w:val="nil"/>
              <w:tr2bl w:val="nil"/>
            </w:tcBorders>
            <w:vAlign w:val="center"/>
          </w:tcPr>
          <w:p w14:paraId="4033DB93">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32.704958459°</w:t>
            </w:r>
          </w:p>
        </w:tc>
        <w:tc>
          <w:tcPr>
            <w:tcW w:w="743" w:type="dxa"/>
            <w:tcBorders>
              <w:tl2br w:val="nil"/>
              <w:tr2bl w:val="nil"/>
            </w:tcBorders>
            <w:vAlign w:val="center"/>
          </w:tcPr>
          <w:p w14:paraId="037F41CC">
            <w:pPr>
              <w:spacing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居民区</w:t>
            </w:r>
          </w:p>
        </w:tc>
        <w:tc>
          <w:tcPr>
            <w:tcW w:w="1814" w:type="dxa"/>
            <w:tcBorders>
              <w:tl2br w:val="nil"/>
              <w:tr2bl w:val="nil"/>
            </w:tcBorders>
            <w:vAlign w:val="center"/>
          </w:tcPr>
          <w:p w14:paraId="5C6B8172">
            <w:pPr>
              <w:spacing w:line="24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1</w:t>
            </w:r>
            <w:r>
              <w:rPr>
                <w:rFonts w:hint="default" w:ascii="Times New Roman" w:hAnsi="Times New Roman" w:cs="Times New Roman"/>
                <w:bCs/>
                <w:szCs w:val="21"/>
                <w:highlight w:val="none"/>
              </w:rPr>
              <w:t>户，</w:t>
            </w:r>
            <w:r>
              <w:rPr>
                <w:rFonts w:hint="eastAsia" w:cs="Times New Roman"/>
                <w:bCs/>
                <w:szCs w:val="21"/>
                <w:highlight w:val="none"/>
                <w:lang w:val="en-US" w:eastAsia="zh-CN"/>
              </w:rPr>
              <w:t>4</w:t>
            </w:r>
            <w:r>
              <w:rPr>
                <w:rFonts w:hint="default" w:ascii="Times New Roman" w:hAnsi="Times New Roman" w:cs="Times New Roman"/>
                <w:bCs/>
                <w:szCs w:val="21"/>
                <w:highlight w:val="none"/>
              </w:rPr>
              <w:t>人</w:t>
            </w:r>
          </w:p>
        </w:tc>
        <w:tc>
          <w:tcPr>
            <w:tcW w:w="3062" w:type="dxa"/>
            <w:vMerge w:val="continue"/>
            <w:tcBorders>
              <w:tl2br w:val="nil"/>
              <w:tr2bl w:val="nil"/>
            </w:tcBorders>
            <w:vAlign w:val="center"/>
          </w:tcPr>
          <w:p w14:paraId="5AF0C78D">
            <w:pPr>
              <w:spacing w:line="240" w:lineRule="atLeast"/>
              <w:jc w:val="center"/>
              <w:rPr>
                <w:rFonts w:hint="default" w:ascii="Times New Roman" w:hAnsi="Times New Roman" w:cs="Times New Roman"/>
                <w:snapToGrid w:val="0"/>
                <w:color w:val="FF0000"/>
                <w:szCs w:val="21"/>
                <w:highlight w:val="none"/>
              </w:rPr>
            </w:pPr>
          </w:p>
        </w:tc>
        <w:tc>
          <w:tcPr>
            <w:tcW w:w="517" w:type="dxa"/>
            <w:tcBorders>
              <w:tl2br w:val="nil"/>
              <w:tr2bl w:val="nil"/>
            </w:tcBorders>
            <w:vAlign w:val="center"/>
          </w:tcPr>
          <w:p w14:paraId="321C1457">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SE</w:t>
            </w:r>
          </w:p>
        </w:tc>
        <w:tc>
          <w:tcPr>
            <w:tcW w:w="1624" w:type="dxa"/>
            <w:tcBorders>
              <w:tl2br w:val="nil"/>
              <w:tr2bl w:val="nil"/>
            </w:tcBorders>
            <w:vAlign w:val="center"/>
          </w:tcPr>
          <w:p w14:paraId="13917832">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382</w:t>
            </w:r>
          </w:p>
        </w:tc>
      </w:tr>
      <w:tr w14:paraId="1ED9FBDB">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75" w:hRule="atLeast"/>
          <w:jc w:val="center"/>
        </w:trPr>
        <w:tc>
          <w:tcPr>
            <w:tcW w:w="867" w:type="dxa"/>
            <w:vMerge w:val="continue"/>
            <w:tcBorders>
              <w:tl2br w:val="nil"/>
              <w:tr2bl w:val="nil"/>
            </w:tcBorders>
            <w:vAlign w:val="center"/>
          </w:tcPr>
          <w:p w14:paraId="4998358C">
            <w:pPr>
              <w:spacing w:line="240" w:lineRule="atLeast"/>
              <w:jc w:val="center"/>
            </w:pPr>
          </w:p>
        </w:tc>
        <w:tc>
          <w:tcPr>
            <w:tcW w:w="527" w:type="dxa"/>
            <w:tcBorders>
              <w:tl2br w:val="nil"/>
              <w:tr2bl w:val="nil"/>
            </w:tcBorders>
            <w:vAlign w:val="center"/>
          </w:tcPr>
          <w:p w14:paraId="0BD3C916">
            <w:pPr>
              <w:spacing w:line="240" w:lineRule="atLeast"/>
              <w:jc w:val="center"/>
              <w:rPr>
                <w:rFonts w:hint="default" w:ascii="Times New Roman" w:hAnsi="Times New Roman" w:cs="Times New Roman"/>
                <w:snapToGrid w:val="0"/>
                <w:szCs w:val="21"/>
                <w:highlight w:val="none"/>
              </w:rPr>
            </w:pPr>
          </w:p>
        </w:tc>
        <w:tc>
          <w:tcPr>
            <w:tcW w:w="1107" w:type="dxa"/>
            <w:vMerge w:val="continue"/>
            <w:tcBorders>
              <w:tl2br w:val="nil"/>
              <w:tr2bl w:val="nil"/>
            </w:tcBorders>
            <w:vAlign w:val="center"/>
          </w:tcPr>
          <w:p w14:paraId="484FD877">
            <w:pPr>
              <w:spacing w:line="240" w:lineRule="atLeast"/>
              <w:jc w:val="center"/>
              <w:rPr>
                <w:rFonts w:hint="default" w:ascii="Times New Roman" w:hAnsi="Times New Roman" w:cs="Times New Roman"/>
                <w:snapToGrid w:val="0"/>
                <w:szCs w:val="21"/>
                <w:highlight w:val="none"/>
              </w:rPr>
            </w:pPr>
          </w:p>
        </w:tc>
        <w:tc>
          <w:tcPr>
            <w:tcW w:w="1075" w:type="dxa"/>
            <w:tcBorders>
              <w:tl2br w:val="nil"/>
              <w:tr2bl w:val="nil"/>
            </w:tcBorders>
            <w:vAlign w:val="center"/>
          </w:tcPr>
          <w:p w14:paraId="1515C786">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居民点B</w:t>
            </w:r>
          </w:p>
        </w:tc>
        <w:tc>
          <w:tcPr>
            <w:tcW w:w="1582" w:type="dxa"/>
            <w:tcBorders>
              <w:tl2br w:val="nil"/>
              <w:tr2bl w:val="nil"/>
            </w:tcBorders>
            <w:vAlign w:val="center"/>
          </w:tcPr>
          <w:p w14:paraId="563869C7">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116.523686281°</w:t>
            </w:r>
          </w:p>
        </w:tc>
        <w:tc>
          <w:tcPr>
            <w:tcW w:w="1452" w:type="dxa"/>
            <w:tcBorders>
              <w:tl2br w:val="nil"/>
              <w:tr2bl w:val="nil"/>
            </w:tcBorders>
            <w:vAlign w:val="center"/>
          </w:tcPr>
          <w:p w14:paraId="6F0F86A8">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32.704550763°</w:t>
            </w:r>
          </w:p>
        </w:tc>
        <w:tc>
          <w:tcPr>
            <w:tcW w:w="743" w:type="dxa"/>
            <w:tcBorders>
              <w:tl2br w:val="nil"/>
              <w:tr2bl w:val="nil"/>
            </w:tcBorders>
            <w:vAlign w:val="center"/>
          </w:tcPr>
          <w:p w14:paraId="31E5FCDB">
            <w:pPr>
              <w:spacing w:line="240" w:lineRule="atLeast"/>
              <w:jc w:val="center"/>
              <w:rPr>
                <w:rFonts w:hint="eastAsia"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居民区</w:t>
            </w:r>
          </w:p>
        </w:tc>
        <w:tc>
          <w:tcPr>
            <w:tcW w:w="1814" w:type="dxa"/>
            <w:tcBorders>
              <w:tl2br w:val="nil"/>
              <w:tr2bl w:val="nil"/>
            </w:tcBorders>
            <w:vAlign w:val="center"/>
          </w:tcPr>
          <w:p w14:paraId="6D766F02">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3</w:t>
            </w:r>
            <w:r>
              <w:rPr>
                <w:rFonts w:hint="default" w:ascii="Times New Roman" w:hAnsi="Times New Roman" w:cs="Times New Roman"/>
                <w:bCs/>
                <w:szCs w:val="21"/>
                <w:highlight w:val="none"/>
              </w:rPr>
              <w:t>户，</w:t>
            </w:r>
            <w:r>
              <w:rPr>
                <w:rFonts w:hint="eastAsia" w:cs="Times New Roman"/>
                <w:bCs/>
                <w:szCs w:val="21"/>
                <w:highlight w:val="none"/>
                <w:lang w:val="en-US" w:eastAsia="zh-CN"/>
              </w:rPr>
              <w:t>12</w:t>
            </w:r>
            <w:r>
              <w:rPr>
                <w:rFonts w:hint="default" w:ascii="Times New Roman" w:hAnsi="Times New Roman" w:cs="Times New Roman"/>
                <w:bCs/>
                <w:szCs w:val="21"/>
                <w:highlight w:val="none"/>
              </w:rPr>
              <w:t>人</w:t>
            </w:r>
          </w:p>
        </w:tc>
        <w:tc>
          <w:tcPr>
            <w:tcW w:w="3062" w:type="dxa"/>
            <w:vMerge w:val="continue"/>
            <w:tcBorders>
              <w:tl2br w:val="nil"/>
              <w:tr2bl w:val="nil"/>
            </w:tcBorders>
            <w:vAlign w:val="center"/>
          </w:tcPr>
          <w:p w14:paraId="3F102F68">
            <w:pPr>
              <w:spacing w:line="240" w:lineRule="atLeast"/>
              <w:jc w:val="center"/>
              <w:rPr>
                <w:rFonts w:hint="default" w:ascii="Times New Roman" w:hAnsi="Times New Roman" w:cs="Times New Roman"/>
                <w:snapToGrid w:val="0"/>
                <w:szCs w:val="21"/>
                <w:highlight w:val="none"/>
              </w:rPr>
            </w:pPr>
          </w:p>
        </w:tc>
        <w:tc>
          <w:tcPr>
            <w:tcW w:w="517" w:type="dxa"/>
            <w:tcBorders>
              <w:tl2br w:val="nil"/>
              <w:tr2bl w:val="nil"/>
            </w:tcBorders>
            <w:vAlign w:val="center"/>
          </w:tcPr>
          <w:p w14:paraId="141A6D5D">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SE</w:t>
            </w:r>
          </w:p>
        </w:tc>
        <w:tc>
          <w:tcPr>
            <w:tcW w:w="1624" w:type="dxa"/>
            <w:tcBorders>
              <w:tl2br w:val="nil"/>
              <w:tr2bl w:val="nil"/>
            </w:tcBorders>
            <w:vAlign w:val="center"/>
          </w:tcPr>
          <w:p w14:paraId="3CAB4A36">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486</w:t>
            </w:r>
          </w:p>
        </w:tc>
      </w:tr>
      <w:tr w14:paraId="02CC13EA">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75" w:hRule="atLeast"/>
          <w:jc w:val="center"/>
        </w:trPr>
        <w:tc>
          <w:tcPr>
            <w:tcW w:w="867" w:type="dxa"/>
            <w:vMerge w:val="continue"/>
            <w:tcBorders>
              <w:tl2br w:val="nil"/>
              <w:tr2bl w:val="nil"/>
            </w:tcBorders>
            <w:vAlign w:val="center"/>
          </w:tcPr>
          <w:p w14:paraId="574425AA">
            <w:pPr>
              <w:spacing w:line="240" w:lineRule="atLeast"/>
              <w:jc w:val="center"/>
              <w:rPr>
                <w:rFonts w:hint="default" w:ascii="Times New Roman" w:hAnsi="Times New Roman" w:cs="Times New Roman"/>
                <w:snapToGrid w:val="0"/>
                <w:szCs w:val="21"/>
                <w:highlight w:val="none"/>
              </w:rPr>
            </w:pPr>
          </w:p>
        </w:tc>
        <w:tc>
          <w:tcPr>
            <w:tcW w:w="527" w:type="dxa"/>
            <w:tcBorders>
              <w:tl2br w:val="nil"/>
              <w:tr2bl w:val="nil"/>
            </w:tcBorders>
            <w:vAlign w:val="center"/>
          </w:tcPr>
          <w:p w14:paraId="2C4D10CF">
            <w:pPr>
              <w:spacing w:line="240" w:lineRule="atLeast"/>
              <w:jc w:val="center"/>
              <w:rPr>
                <w:rFonts w:hint="default" w:ascii="Times New Roman" w:hAnsi="Times New Roman" w:cs="Times New Roman"/>
                <w:snapToGrid w:val="0"/>
                <w:szCs w:val="21"/>
                <w:highlight w:val="none"/>
              </w:rPr>
            </w:pPr>
          </w:p>
        </w:tc>
        <w:tc>
          <w:tcPr>
            <w:tcW w:w="1107" w:type="dxa"/>
            <w:vMerge w:val="continue"/>
            <w:tcBorders>
              <w:tl2br w:val="nil"/>
              <w:tr2bl w:val="nil"/>
            </w:tcBorders>
            <w:vAlign w:val="center"/>
          </w:tcPr>
          <w:p w14:paraId="36CF0884">
            <w:pPr>
              <w:spacing w:line="240" w:lineRule="atLeast"/>
              <w:jc w:val="center"/>
              <w:rPr>
                <w:rFonts w:hint="default" w:ascii="Times New Roman" w:hAnsi="Times New Roman" w:cs="Times New Roman"/>
                <w:snapToGrid w:val="0"/>
                <w:szCs w:val="21"/>
                <w:highlight w:val="none"/>
              </w:rPr>
            </w:pPr>
          </w:p>
        </w:tc>
        <w:tc>
          <w:tcPr>
            <w:tcW w:w="1075" w:type="dxa"/>
            <w:tcBorders>
              <w:tl2br w:val="nil"/>
              <w:tr2bl w:val="nil"/>
            </w:tcBorders>
            <w:vAlign w:val="center"/>
          </w:tcPr>
          <w:p w14:paraId="53077843">
            <w:pPr>
              <w:spacing w:line="240" w:lineRule="atLeast"/>
              <w:jc w:val="center"/>
              <w:rPr>
                <w:rFonts w:hint="eastAsia"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宋郢孜</w:t>
            </w:r>
          </w:p>
        </w:tc>
        <w:tc>
          <w:tcPr>
            <w:tcW w:w="1582" w:type="dxa"/>
            <w:tcBorders>
              <w:tl2br w:val="nil"/>
              <w:tr2bl w:val="nil"/>
            </w:tcBorders>
            <w:vAlign w:val="center"/>
          </w:tcPr>
          <w:p w14:paraId="24EA0F50">
            <w:pPr>
              <w:spacing w:line="240" w:lineRule="atLeast"/>
              <w:jc w:val="center"/>
              <w:rPr>
                <w:rFonts w:hint="default" w:ascii="Times New Roman" w:hAnsi="Times New Roman" w:cs="Times New Roman"/>
                <w:snapToGrid w:val="0"/>
                <w:szCs w:val="21"/>
                <w:highlight w:val="none"/>
              </w:rPr>
            </w:pPr>
            <w:r>
              <w:rPr>
                <w:rFonts w:hint="eastAsia" w:cs="Times New Roman"/>
                <w:snapToGrid w:val="0"/>
                <w:szCs w:val="21"/>
                <w:highlight w:val="none"/>
                <w:lang w:val="en-US" w:eastAsia="zh-CN"/>
              </w:rPr>
              <w:t>116.515564607</w:t>
            </w:r>
            <w:r>
              <w:rPr>
                <w:rFonts w:hint="default" w:ascii="Times New Roman" w:hAnsi="Times New Roman" w:cs="Times New Roman"/>
                <w:snapToGrid w:val="0"/>
                <w:szCs w:val="21"/>
                <w:highlight w:val="none"/>
              </w:rPr>
              <w:t>°</w:t>
            </w:r>
          </w:p>
        </w:tc>
        <w:tc>
          <w:tcPr>
            <w:tcW w:w="1452" w:type="dxa"/>
            <w:tcBorders>
              <w:tl2br w:val="nil"/>
              <w:tr2bl w:val="nil"/>
            </w:tcBorders>
            <w:vAlign w:val="center"/>
          </w:tcPr>
          <w:p w14:paraId="43BEA48F">
            <w:pPr>
              <w:spacing w:line="240" w:lineRule="atLeast"/>
              <w:jc w:val="center"/>
              <w:rPr>
                <w:rFonts w:hint="default" w:ascii="Times New Roman" w:hAnsi="Times New Roman" w:cs="Times New Roman"/>
                <w:snapToGrid w:val="0"/>
                <w:szCs w:val="21"/>
                <w:highlight w:val="none"/>
              </w:rPr>
            </w:pPr>
            <w:r>
              <w:rPr>
                <w:rFonts w:hint="eastAsia" w:cs="Times New Roman"/>
                <w:snapToGrid w:val="0"/>
                <w:szCs w:val="21"/>
                <w:highlight w:val="none"/>
                <w:lang w:val="en-US" w:eastAsia="zh-CN"/>
              </w:rPr>
              <w:t>32.705391739</w:t>
            </w:r>
            <w:r>
              <w:rPr>
                <w:rFonts w:hint="default" w:ascii="Times New Roman" w:hAnsi="Times New Roman" w:cs="Times New Roman"/>
                <w:snapToGrid w:val="0"/>
                <w:szCs w:val="21"/>
                <w:highlight w:val="none"/>
              </w:rPr>
              <w:t>°</w:t>
            </w:r>
          </w:p>
        </w:tc>
        <w:tc>
          <w:tcPr>
            <w:tcW w:w="743" w:type="dxa"/>
            <w:tcBorders>
              <w:tl2br w:val="nil"/>
              <w:tr2bl w:val="nil"/>
            </w:tcBorders>
            <w:vAlign w:val="center"/>
          </w:tcPr>
          <w:p w14:paraId="03849C3D">
            <w:pPr>
              <w:spacing w:line="240" w:lineRule="atLeast"/>
              <w:jc w:val="center"/>
              <w:rPr>
                <w:rFonts w:hint="eastAsia"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居民区</w:t>
            </w:r>
          </w:p>
        </w:tc>
        <w:tc>
          <w:tcPr>
            <w:tcW w:w="1814" w:type="dxa"/>
            <w:tcBorders>
              <w:tl2br w:val="nil"/>
              <w:tr2bl w:val="nil"/>
            </w:tcBorders>
            <w:vAlign w:val="center"/>
          </w:tcPr>
          <w:p w14:paraId="67F6DF06">
            <w:pPr>
              <w:spacing w:line="240" w:lineRule="atLeast"/>
              <w:jc w:val="center"/>
              <w:rPr>
                <w:rFonts w:hint="default" w:ascii="Times New Roman" w:hAnsi="Times New Roman" w:cs="Times New Roman"/>
                <w:snapToGrid w:val="0"/>
                <w:szCs w:val="21"/>
                <w:highlight w:val="none"/>
              </w:rPr>
            </w:pPr>
            <w:r>
              <w:rPr>
                <w:rFonts w:hint="eastAsia" w:cs="Times New Roman"/>
                <w:snapToGrid w:val="0"/>
                <w:szCs w:val="21"/>
                <w:highlight w:val="none"/>
                <w:lang w:val="en-US" w:eastAsia="zh-CN"/>
              </w:rPr>
              <w:t>约160户，550人</w:t>
            </w:r>
          </w:p>
        </w:tc>
        <w:tc>
          <w:tcPr>
            <w:tcW w:w="3062" w:type="dxa"/>
            <w:vMerge w:val="continue"/>
            <w:tcBorders>
              <w:tl2br w:val="nil"/>
              <w:tr2bl w:val="nil"/>
            </w:tcBorders>
            <w:vAlign w:val="center"/>
          </w:tcPr>
          <w:p w14:paraId="47DB4120">
            <w:pPr>
              <w:spacing w:line="240" w:lineRule="atLeast"/>
              <w:jc w:val="center"/>
              <w:rPr>
                <w:rFonts w:hint="default" w:ascii="Times New Roman" w:hAnsi="Times New Roman" w:cs="Times New Roman"/>
                <w:snapToGrid w:val="0"/>
                <w:szCs w:val="21"/>
                <w:highlight w:val="none"/>
              </w:rPr>
            </w:pPr>
          </w:p>
        </w:tc>
        <w:tc>
          <w:tcPr>
            <w:tcW w:w="517" w:type="dxa"/>
            <w:tcBorders>
              <w:tl2br w:val="nil"/>
              <w:tr2bl w:val="nil"/>
            </w:tcBorders>
            <w:vAlign w:val="center"/>
          </w:tcPr>
          <w:p w14:paraId="279632C9">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SW</w:t>
            </w:r>
          </w:p>
        </w:tc>
        <w:tc>
          <w:tcPr>
            <w:tcW w:w="1624" w:type="dxa"/>
            <w:tcBorders>
              <w:tl2br w:val="nil"/>
              <w:tr2bl w:val="nil"/>
            </w:tcBorders>
            <w:vAlign w:val="center"/>
          </w:tcPr>
          <w:p w14:paraId="05864637">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399</w:t>
            </w:r>
          </w:p>
        </w:tc>
      </w:tr>
      <w:tr w14:paraId="10533044">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867" w:type="dxa"/>
            <w:vMerge w:val="continue"/>
            <w:tcBorders>
              <w:tl2br w:val="nil"/>
              <w:tr2bl w:val="nil"/>
            </w:tcBorders>
            <w:vAlign w:val="center"/>
          </w:tcPr>
          <w:p w14:paraId="13FCCE44">
            <w:pPr>
              <w:spacing w:line="240" w:lineRule="atLeast"/>
              <w:jc w:val="center"/>
              <w:rPr>
                <w:rFonts w:hint="default" w:ascii="Times New Roman" w:hAnsi="Times New Roman" w:cs="Times New Roman"/>
                <w:bCs/>
                <w:szCs w:val="21"/>
                <w:highlight w:val="none"/>
              </w:rPr>
            </w:pPr>
          </w:p>
        </w:tc>
        <w:tc>
          <w:tcPr>
            <w:tcW w:w="527" w:type="dxa"/>
            <w:tcBorders>
              <w:tl2br w:val="nil"/>
              <w:tr2bl w:val="nil"/>
            </w:tcBorders>
            <w:vAlign w:val="center"/>
          </w:tcPr>
          <w:p w14:paraId="1C2C5EA6">
            <w:pPr>
              <w:spacing w:line="240" w:lineRule="atLeast"/>
              <w:jc w:val="center"/>
              <w:rPr>
                <w:rFonts w:hint="eastAsia" w:ascii="Times New Roman" w:hAnsi="Times New Roman" w:eastAsia="宋体" w:cs="Times New Roman"/>
                <w:snapToGrid w:val="0"/>
                <w:szCs w:val="21"/>
                <w:highlight w:val="none"/>
                <w:lang w:val="en-US" w:eastAsia="zh-CN"/>
              </w:rPr>
            </w:pPr>
            <w:r>
              <w:rPr>
                <w:rFonts w:hint="default" w:ascii="Times New Roman" w:hAnsi="Times New Roman" w:cs="Times New Roman"/>
                <w:snapToGrid w:val="0"/>
                <w:szCs w:val="21"/>
                <w:highlight w:val="none"/>
              </w:rPr>
              <w:t>1</w:t>
            </w:r>
            <w:r>
              <w:rPr>
                <w:rFonts w:hint="eastAsia" w:cs="Times New Roman"/>
                <w:snapToGrid w:val="0"/>
                <w:szCs w:val="21"/>
                <w:highlight w:val="none"/>
                <w:lang w:val="en-US" w:eastAsia="zh-CN"/>
              </w:rPr>
              <w:t>6</w:t>
            </w:r>
          </w:p>
        </w:tc>
        <w:tc>
          <w:tcPr>
            <w:tcW w:w="1107" w:type="dxa"/>
            <w:vMerge w:val="restart"/>
            <w:tcBorders>
              <w:tl2br w:val="nil"/>
              <w:tr2bl w:val="nil"/>
            </w:tcBorders>
            <w:vAlign w:val="center"/>
          </w:tcPr>
          <w:p w14:paraId="62CE3390">
            <w:pPr>
              <w:spacing w:line="240" w:lineRule="atLeast"/>
              <w:jc w:val="center"/>
              <w:rPr>
                <w:rFonts w:hint="default" w:ascii="Times New Roman" w:hAnsi="Times New Roman" w:cs="Times New Roman"/>
                <w:snapToGrid w:val="0"/>
                <w:szCs w:val="21"/>
                <w:highlight w:val="none"/>
                <w:lang w:val="en-US"/>
              </w:rPr>
            </w:pPr>
            <w:r>
              <w:rPr>
                <w:rFonts w:hint="eastAsia" w:cs="Times New Roman"/>
                <w:snapToGrid w:val="0"/>
                <w:szCs w:val="21"/>
                <w:highlight w:val="none"/>
                <w:lang w:val="en-US" w:eastAsia="zh-CN"/>
              </w:rPr>
              <w:t>钻孔8</w:t>
            </w:r>
          </w:p>
        </w:tc>
        <w:tc>
          <w:tcPr>
            <w:tcW w:w="1075" w:type="dxa"/>
            <w:tcBorders>
              <w:tl2br w:val="nil"/>
              <w:tr2bl w:val="nil"/>
            </w:tcBorders>
            <w:vAlign w:val="center"/>
          </w:tcPr>
          <w:p w14:paraId="7F314030">
            <w:pPr>
              <w:jc w:val="center"/>
              <w:rPr>
                <w:rFonts w:hint="default" w:ascii="Times New Roman" w:hAnsi="Times New Roman" w:eastAsia="宋体" w:cs="Times New Roman"/>
                <w:bCs/>
                <w:szCs w:val="21"/>
                <w:highlight w:val="none"/>
                <w:lang w:val="en-US" w:eastAsia="zh-CN"/>
              </w:rPr>
            </w:pPr>
            <w:r>
              <w:rPr>
                <w:rFonts w:hint="eastAsia" w:cs="Times New Roman"/>
                <w:bCs/>
                <w:szCs w:val="21"/>
                <w:highlight w:val="none"/>
                <w:lang w:val="en-US" w:eastAsia="zh-CN"/>
              </w:rPr>
              <w:t>居民点A</w:t>
            </w:r>
          </w:p>
        </w:tc>
        <w:tc>
          <w:tcPr>
            <w:tcW w:w="1582" w:type="dxa"/>
            <w:tcBorders>
              <w:tl2br w:val="nil"/>
              <w:tr2bl w:val="nil"/>
            </w:tcBorders>
            <w:vAlign w:val="center"/>
          </w:tcPr>
          <w:p w14:paraId="01B8597C">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116.521749726°</w:t>
            </w:r>
          </w:p>
        </w:tc>
        <w:tc>
          <w:tcPr>
            <w:tcW w:w="1452" w:type="dxa"/>
            <w:tcBorders>
              <w:tl2br w:val="nil"/>
              <w:tr2bl w:val="nil"/>
            </w:tcBorders>
            <w:vAlign w:val="center"/>
          </w:tcPr>
          <w:p w14:paraId="29623F95">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32.704958459°</w:t>
            </w:r>
          </w:p>
        </w:tc>
        <w:tc>
          <w:tcPr>
            <w:tcW w:w="743" w:type="dxa"/>
            <w:tcBorders>
              <w:tl2br w:val="nil"/>
              <w:tr2bl w:val="nil"/>
            </w:tcBorders>
            <w:vAlign w:val="center"/>
          </w:tcPr>
          <w:p w14:paraId="49F4C190">
            <w:pPr>
              <w:spacing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居民区</w:t>
            </w:r>
          </w:p>
        </w:tc>
        <w:tc>
          <w:tcPr>
            <w:tcW w:w="1814" w:type="dxa"/>
            <w:tcBorders>
              <w:tl2br w:val="nil"/>
              <w:tr2bl w:val="nil"/>
            </w:tcBorders>
            <w:vAlign w:val="center"/>
          </w:tcPr>
          <w:p w14:paraId="1522C7D9">
            <w:pPr>
              <w:spacing w:line="24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1</w:t>
            </w:r>
            <w:r>
              <w:rPr>
                <w:rFonts w:hint="default" w:ascii="Times New Roman" w:hAnsi="Times New Roman" w:cs="Times New Roman"/>
                <w:bCs/>
                <w:szCs w:val="21"/>
                <w:highlight w:val="none"/>
              </w:rPr>
              <w:t>户，</w:t>
            </w:r>
            <w:r>
              <w:rPr>
                <w:rFonts w:hint="eastAsia" w:cs="Times New Roman"/>
                <w:bCs/>
                <w:szCs w:val="21"/>
                <w:highlight w:val="none"/>
                <w:lang w:val="en-US" w:eastAsia="zh-CN"/>
              </w:rPr>
              <w:t>4</w:t>
            </w:r>
            <w:r>
              <w:rPr>
                <w:rFonts w:hint="default" w:ascii="Times New Roman" w:hAnsi="Times New Roman" w:cs="Times New Roman"/>
                <w:bCs/>
                <w:szCs w:val="21"/>
                <w:highlight w:val="none"/>
              </w:rPr>
              <w:t>人</w:t>
            </w:r>
          </w:p>
        </w:tc>
        <w:tc>
          <w:tcPr>
            <w:tcW w:w="3062" w:type="dxa"/>
            <w:vMerge w:val="continue"/>
            <w:tcBorders>
              <w:tl2br w:val="nil"/>
              <w:tr2bl w:val="nil"/>
            </w:tcBorders>
            <w:vAlign w:val="center"/>
          </w:tcPr>
          <w:p w14:paraId="73DF695B">
            <w:pPr>
              <w:spacing w:line="240" w:lineRule="atLeast"/>
              <w:jc w:val="center"/>
              <w:rPr>
                <w:rFonts w:hint="default" w:ascii="Times New Roman" w:hAnsi="Times New Roman" w:cs="Times New Roman"/>
                <w:snapToGrid w:val="0"/>
                <w:color w:val="FF0000"/>
                <w:szCs w:val="21"/>
                <w:highlight w:val="none"/>
              </w:rPr>
            </w:pPr>
          </w:p>
        </w:tc>
        <w:tc>
          <w:tcPr>
            <w:tcW w:w="517" w:type="dxa"/>
            <w:tcBorders>
              <w:tl2br w:val="nil"/>
              <w:tr2bl w:val="nil"/>
            </w:tcBorders>
            <w:vAlign w:val="center"/>
          </w:tcPr>
          <w:p w14:paraId="544CF58B">
            <w:pPr>
              <w:spacing w:line="240" w:lineRule="atLeast"/>
              <w:jc w:val="center"/>
              <w:rPr>
                <w:rFonts w:hint="eastAsia" w:ascii="Times New Roman" w:hAnsi="Times New Roman" w:eastAsia="宋体" w:cs="Times New Roman"/>
                <w:snapToGrid w:val="0"/>
                <w:szCs w:val="21"/>
                <w:highlight w:val="none"/>
                <w:lang w:val="en-US" w:eastAsia="zh-CN"/>
              </w:rPr>
            </w:pPr>
            <w:r>
              <w:rPr>
                <w:rFonts w:hint="default" w:ascii="Times New Roman" w:hAnsi="Times New Roman" w:cs="Times New Roman"/>
                <w:snapToGrid w:val="0"/>
                <w:szCs w:val="21"/>
                <w:highlight w:val="none"/>
              </w:rPr>
              <w:t>S</w:t>
            </w:r>
            <w:r>
              <w:rPr>
                <w:rFonts w:hint="eastAsia" w:cs="Times New Roman"/>
                <w:snapToGrid w:val="0"/>
                <w:szCs w:val="21"/>
                <w:highlight w:val="none"/>
                <w:lang w:val="en-US" w:eastAsia="zh-CN"/>
              </w:rPr>
              <w:t>E</w:t>
            </w:r>
          </w:p>
        </w:tc>
        <w:tc>
          <w:tcPr>
            <w:tcW w:w="1624" w:type="dxa"/>
            <w:tcBorders>
              <w:tl2br w:val="nil"/>
              <w:tr2bl w:val="nil"/>
            </w:tcBorders>
            <w:vAlign w:val="center"/>
          </w:tcPr>
          <w:p w14:paraId="0AE31C42">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455</w:t>
            </w:r>
          </w:p>
        </w:tc>
      </w:tr>
      <w:tr w14:paraId="42C0FF7B">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867" w:type="dxa"/>
            <w:vMerge w:val="continue"/>
            <w:tcBorders>
              <w:tl2br w:val="nil"/>
              <w:tr2bl w:val="nil"/>
            </w:tcBorders>
            <w:vAlign w:val="center"/>
          </w:tcPr>
          <w:p w14:paraId="38B79D1F">
            <w:pPr>
              <w:spacing w:line="240" w:lineRule="atLeast"/>
              <w:jc w:val="center"/>
              <w:rPr>
                <w:rFonts w:hint="default" w:ascii="Times New Roman" w:hAnsi="Times New Roman" w:cs="Times New Roman"/>
                <w:bCs/>
                <w:szCs w:val="21"/>
                <w:highlight w:val="none"/>
              </w:rPr>
            </w:pPr>
          </w:p>
        </w:tc>
        <w:tc>
          <w:tcPr>
            <w:tcW w:w="527" w:type="dxa"/>
            <w:tcBorders>
              <w:tl2br w:val="nil"/>
              <w:tr2bl w:val="nil"/>
            </w:tcBorders>
            <w:vAlign w:val="center"/>
          </w:tcPr>
          <w:p w14:paraId="79864BDD">
            <w:pPr>
              <w:spacing w:line="240" w:lineRule="atLeast"/>
              <w:jc w:val="center"/>
              <w:rPr>
                <w:rFonts w:hint="eastAsia" w:ascii="Times New Roman" w:hAnsi="Times New Roman" w:eastAsia="宋体" w:cs="Times New Roman"/>
                <w:snapToGrid w:val="0"/>
                <w:szCs w:val="21"/>
                <w:highlight w:val="none"/>
                <w:lang w:val="en-US" w:eastAsia="zh-CN"/>
              </w:rPr>
            </w:pPr>
            <w:r>
              <w:rPr>
                <w:rFonts w:hint="default" w:ascii="Times New Roman" w:hAnsi="Times New Roman" w:cs="Times New Roman"/>
                <w:snapToGrid w:val="0"/>
                <w:szCs w:val="21"/>
                <w:highlight w:val="none"/>
              </w:rPr>
              <w:t>1</w:t>
            </w:r>
            <w:r>
              <w:rPr>
                <w:rFonts w:hint="eastAsia" w:cs="Times New Roman"/>
                <w:snapToGrid w:val="0"/>
                <w:szCs w:val="21"/>
                <w:highlight w:val="none"/>
                <w:lang w:val="en-US" w:eastAsia="zh-CN"/>
              </w:rPr>
              <w:t>7</w:t>
            </w:r>
          </w:p>
        </w:tc>
        <w:tc>
          <w:tcPr>
            <w:tcW w:w="1107" w:type="dxa"/>
            <w:vMerge w:val="continue"/>
            <w:tcBorders>
              <w:tl2br w:val="nil"/>
              <w:tr2bl w:val="nil"/>
            </w:tcBorders>
            <w:vAlign w:val="center"/>
          </w:tcPr>
          <w:p w14:paraId="444AEA19">
            <w:pPr>
              <w:spacing w:line="240" w:lineRule="atLeast"/>
              <w:jc w:val="center"/>
              <w:rPr>
                <w:rFonts w:hint="default" w:ascii="Times New Roman" w:hAnsi="Times New Roman" w:cs="Times New Roman"/>
                <w:snapToGrid w:val="0"/>
                <w:szCs w:val="21"/>
                <w:highlight w:val="none"/>
              </w:rPr>
            </w:pPr>
          </w:p>
        </w:tc>
        <w:tc>
          <w:tcPr>
            <w:tcW w:w="1075" w:type="dxa"/>
            <w:tcBorders>
              <w:tl2br w:val="nil"/>
              <w:tr2bl w:val="nil"/>
            </w:tcBorders>
            <w:vAlign w:val="center"/>
          </w:tcPr>
          <w:p w14:paraId="4DE6F999">
            <w:pPr>
              <w:spacing w:line="240" w:lineRule="atLeast"/>
              <w:jc w:val="center"/>
              <w:rPr>
                <w:rFonts w:hint="eastAsia"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宋郢孜</w:t>
            </w:r>
          </w:p>
        </w:tc>
        <w:tc>
          <w:tcPr>
            <w:tcW w:w="1582" w:type="dxa"/>
            <w:tcBorders>
              <w:tl2br w:val="nil"/>
              <w:tr2bl w:val="nil"/>
            </w:tcBorders>
            <w:vAlign w:val="center"/>
          </w:tcPr>
          <w:p w14:paraId="448AD1AE">
            <w:pPr>
              <w:spacing w:line="240" w:lineRule="atLeast"/>
              <w:jc w:val="center"/>
              <w:rPr>
                <w:rFonts w:hint="default" w:ascii="Times New Roman" w:hAnsi="Times New Roman" w:cs="Times New Roman"/>
                <w:snapToGrid w:val="0"/>
                <w:szCs w:val="21"/>
                <w:highlight w:val="none"/>
              </w:rPr>
            </w:pPr>
            <w:r>
              <w:rPr>
                <w:rFonts w:hint="eastAsia" w:cs="Times New Roman"/>
                <w:snapToGrid w:val="0"/>
                <w:szCs w:val="21"/>
                <w:highlight w:val="none"/>
                <w:lang w:val="en-US" w:eastAsia="zh-CN"/>
              </w:rPr>
              <w:t>116.515564607</w:t>
            </w:r>
            <w:r>
              <w:rPr>
                <w:rFonts w:hint="default" w:ascii="Times New Roman" w:hAnsi="Times New Roman" w:cs="Times New Roman"/>
                <w:snapToGrid w:val="0"/>
                <w:szCs w:val="21"/>
                <w:highlight w:val="none"/>
              </w:rPr>
              <w:t>°</w:t>
            </w:r>
          </w:p>
        </w:tc>
        <w:tc>
          <w:tcPr>
            <w:tcW w:w="1452" w:type="dxa"/>
            <w:tcBorders>
              <w:tl2br w:val="nil"/>
              <w:tr2bl w:val="nil"/>
            </w:tcBorders>
            <w:vAlign w:val="center"/>
          </w:tcPr>
          <w:p w14:paraId="6A1F38DC">
            <w:pPr>
              <w:spacing w:line="240" w:lineRule="atLeast"/>
              <w:jc w:val="center"/>
              <w:rPr>
                <w:rFonts w:hint="default" w:ascii="Times New Roman" w:hAnsi="Times New Roman" w:cs="Times New Roman"/>
                <w:snapToGrid w:val="0"/>
                <w:szCs w:val="21"/>
                <w:highlight w:val="none"/>
              </w:rPr>
            </w:pPr>
            <w:r>
              <w:rPr>
                <w:rFonts w:hint="eastAsia" w:cs="Times New Roman"/>
                <w:snapToGrid w:val="0"/>
                <w:szCs w:val="21"/>
                <w:highlight w:val="none"/>
                <w:lang w:val="en-US" w:eastAsia="zh-CN"/>
              </w:rPr>
              <w:t>32.705391739</w:t>
            </w:r>
            <w:r>
              <w:rPr>
                <w:rFonts w:hint="default" w:ascii="Times New Roman" w:hAnsi="Times New Roman" w:cs="Times New Roman"/>
                <w:snapToGrid w:val="0"/>
                <w:szCs w:val="21"/>
                <w:highlight w:val="none"/>
              </w:rPr>
              <w:t>°</w:t>
            </w:r>
          </w:p>
        </w:tc>
        <w:tc>
          <w:tcPr>
            <w:tcW w:w="743" w:type="dxa"/>
            <w:tcBorders>
              <w:tl2br w:val="nil"/>
              <w:tr2bl w:val="nil"/>
            </w:tcBorders>
            <w:vAlign w:val="center"/>
          </w:tcPr>
          <w:p w14:paraId="24255C95">
            <w:pPr>
              <w:spacing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居民区</w:t>
            </w:r>
          </w:p>
        </w:tc>
        <w:tc>
          <w:tcPr>
            <w:tcW w:w="1814" w:type="dxa"/>
            <w:tcBorders>
              <w:tl2br w:val="nil"/>
              <w:tr2bl w:val="nil"/>
            </w:tcBorders>
            <w:vAlign w:val="center"/>
          </w:tcPr>
          <w:p w14:paraId="5CE5CF14">
            <w:pPr>
              <w:spacing w:line="24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约1</w:t>
            </w:r>
            <w:r>
              <w:rPr>
                <w:rFonts w:hint="eastAsia" w:cs="Times New Roman"/>
                <w:bCs/>
                <w:szCs w:val="21"/>
                <w:highlight w:val="none"/>
                <w:lang w:val="en-US" w:eastAsia="zh-CN"/>
              </w:rPr>
              <w:t>60</w:t>
            </w:r>
            <w:r>
              <w:rPr>
                <w:rFonts w:hint="default" w:ascii="Times New Roman" w:hAnsi="Times New Roman" w:cs="Times New Roman"/>
                <w:bCs/>
                <w:szCs w:val="21"/>
                <w:highlight w:val="none"/>
              </w:rPr>
              <w:t>户，</w:t>
            </w:r>
            <w:r>
              <w:rPr>
                <w:rFonts w:hint="eastAsia" w:cs="Times New Roman"/>
                <w:bCs/>
                <w:szCs w:val="21"/>
                <w:highlight w:val="none"/>
                <w:lang w:val="en-US" w:eastAsia="zh-CN"/>
              </w:rPr>
              <w:t>55</w:t>
            </w:r>
            <w:r>
              <w:rPr>
                <w:rFonts w:hint="default" w:ascii="Times New Roman" w:hAnsi="Times New Roman" w:cs="Times New Roman"/>
                <w:bCs/>
                <w:szCs w:val="21"/>
                <w:highlight w:val="none"/>
              </w:rPr>
              <w:t>0人</w:t>
            </w:r>
          </w:p>
        </w:tc>
        <w:tc>
          <w:tcPr>
            <w:tcW w:w="3062" w:type="dxa"/>
            <w:vMerge w:val="continue"/>
            <w:tcBorders>
              <w:tl2br w:val="nil"/>
              <w:tr2bl w:val="nil"/>
            </w:tcBorders>
            <w:vAlign w:val="center"/>
          </w:tcPr>
          <w:p w14:paraId="27D00B09">
            <w:pPr>
              <w:spacing w:line="240" w:lineRule="atLeast"/>
              <w:jc w:val="center"/>
              <w:rPr>
                <w:rFonts w:hint="default" w:ascii="Times New Roman" w:hAnsi="Times New Roman" w:cs="Times New Roman"/>
                <w:snapToGrid w:val="0"/>
                <w:color w:val="FF0000"/>
                <w:szCs w:val="21"/>
                <w:highlight w:val="none"/>
              </w:rPr>
            </w:pPr>
          </w:p>
        </w:tc>
        <w:tc>
          <w:tcPr>
            <w:tcW w:w="517" w:type="dxa"/>
            <w:tcBorders>
              <w:tl2br w:val="nil"/>
              <w:tr2bl w:val="nil"/>
            </w:tcBorders>
            <w:vAlign w:val="center"/>
          </w:tcPr>
          <w:p w14:paraId="3492AFBB">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SW</w:t>
            </w:r>
          </w:p>
        </w:tc>
        <w:tc>
          <w:tcPr>
            <w:tcW w:w="1624" w:type="dxa"/>
            <w:tcBorders>
              <w:tl2br w:val="nil"/>
              <w:tr2bl w:val="nil"/>
            </w:tcBorders>
            <w:vAlign w:val="center"/>
          </w:tcPr>
          <w:p w14:paraId="0179E3F7">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372</w:t>
            </w:r>
          </w:p>
        </w:tc>
      </w:tr>
      <w:tr w14:paraId="69545755">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867" w:type="dxa"/>
            <w:vMerge w:val="continue"/>
            <w:tcBorders>
              <w:tl2br w:val="nil"/>
              <w:tr2bl w:val="nil"/>
            </w:tcBorders>
            <w:vAlign w:val="center"/>
          </w:tcPr>
          <w:p w14:paraId="6F2D36B4">
            <w:pPr>
              <w:spacing w:line="240" w:lineRule="atLeast"/>
              <w:jc w:val="center"/>
              <w:rPr>
                <w:rFonts w:hint="default" w:ascii="Times New Roman" w:hAnsi="Times New Roman" w:cs="Times New Roman"/>
                <w:bCs/>
                <w:szCs w:val="21"/>
                <w:highlight w:val="none"/>
              </w:rPr>
            </w:pPr>
          </w:p>
        </w:tc>
        <w:tc>
          <w:tcPr>
            <w:tcW w:w="527" w:type="dxa"/>
            <w:tcBorders>
              <w:tl2br w:val="nil"/>
              <w:tr2bl w:val="nil"/>
            </w:tcBorders>
            <w:vAlign w:val="center"/>
          </w:tcPr>
          <w:p w14:paraId="407C0EE0">
            <w:pPr>
              <w:spacing w:line="240" w:lineRule="atLeast"/>
              <w:jc w:val="center"/>
              <w:rPr>
                <w:rFonts w:hint="eastAsia" w:ascii="Times New Roman" w:hAnsi="Times New Roman" w:eastAsia="宋体" w:cs="Times New Roman"/>
                <w:snapToGrid w:val="0"/>
                <w:szCs w:val="21"/>
                <w:highlight w:val="none"/>
                <w:lang w:val="en-US" w:eastAsia="zh-CN"/>
              </w:rPr>
            </w:pPr>
            <w:r>
              <w:rPr>
                <w:rFonts w:hint="default" w:ascii="Times New Roman" w:hAnsi="Times New Roman" w:cs="Times New Roman"/>
                <w:snapToGrid w:val="0"/>
                <w:szCs w:val="21"/>
                <w:highlight w:val="none"/>
              </w:rPr>
              <w:t>1</w:t>
            </w:r>
            <w:r>
              <w:rPr>
                <w:rFonts w:hint="eastAsia" w:cs="Times New Roman"/>
                <w:snapToGrid w:val="0"/>
                <w:szCs w:val="21"/>
                <w:highlight w:val="none"/>
                <w:lang w:val="en-US" w:eastAsia="zh-CN"/>
              </w:rPr>
              <w:t>9</w:t>
            </w:r>
          </w:p>
        </w:tc>
        <w:tc>
          <w:tcPr>
            <w:tcW w:w="1107" w:type="dxa"/>
            <w:tcBorders>
              <w:tl2br w:val="nil"/>
              <w:tr2bl w:val="nil"/>
            </w:tcBorders>
            <w:vAlign w:val="center"/>
          </w:tcPr>
          <w:p w14:paraId="386470F6">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钻孔9</w:t>
            </w:r>
          </w:p>
        </w:tc>
        <w:tc>
          <w:tcPr>
            <w:tcW w:w="1075" w:type="dxa"/>
            <w:tcBorders>
              <w:tl2br w:val="nil"/>
              <w:tr2bl w:val="nil"/>
            </w:tcBorders>
            <w:vAlign w:val="center"/>
          </w:tcPr>
          <w:p w14:paraId="1EAE280A">
            <w:pPr>
              <w:jc w:val="center"/>
              <w:rPr>
                <w:rFonts w:hint="eastAsia"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宋郢孜</w:t>
            </w:r>
          </w:p>
        </w:tc>
        <w:tc>
          <w:tcPr>
            <w:tcW w:w="1582" w:type="dxa"/>
            <w:tcBorders>
              <w:tl2br w:val="nil"/>
              <w:tr2bl w:val="nil"/>
            </w:tcBorders>
            <w:vAlign w:val="center"/>
          </w:tcPr>
          <w:p w14:paraId="0E96DDC5">
            <w:pPr>
              <w:spacing w:line="240" w:lineRule="atLeast"/>
              <w:jc w:val="center"/>
              <w:rPr>
                <w:rFonts w:hint="default" w:ascii="Times New Roman" w:hAnsi="Times New Roman" w:cs="Times New Roman"/>
                <w:snapToGrid w:val="0"/>
                <w:szCs w:val="21"/>
                <w:highlight w:val="none"/>
              </w:rPr>
            </w:pPr>
            <w:r>
              <w:rPr>
                <w:rFonts w:hint="eastAsia" w:cs="Times New Roman"/>
                <w:snapToGrid w:val="0"/>
                <w:szCs w:val="21"/>
                <w:highlight w:val="none"/>
                <w:lang w:val="en-US" w:eastAsia="zh-CN"/>
              </w:rPr>
              <w:t>116.515564607</w:t>
            </w:r>
            <w:r>
              <w:rPr>
                <w:rFonts w:hint="default" w:ascii="Times New Roman" w:hAnsi="Times New Roman" w:cs="Times New Roman"/>
                <w:snapToGrid w:val="0"/>
                <w:szCs w:val="21"/>
                <w:highlight w:val="none"/>
              </w:rPr>
              <w:t>°</w:t>
            </w:r>
          </w:p>
        </w:tc>
        <w:tc>
          <w:tcPr>
            <w:tcW w:w="1452" w:type="dxa"/>
            <w:tcBorders>
              <w:tl2br w:val="nil"/>
              <w:tr2bl w:val="nil"/>
            </w:tcBorders>
            <w:vAlign w:val="center"/>
          </w:tcPr>
          <w:p w14:paraId="1A9B8226">
            <w:pPr>
              <w:spacing w:line="240" w:lineRule="atLeast"/>
              <w:jc w:val="center"/>
              <w:rPr>
                <w:rFonts w:hint="default" w:ascii="Times New Roman" w:hAnsi="Times New Roman" w:cs="Times New Roman"/>
                <w:snapToGrid w:val="0"/>
                <w:szCs w:val="21"/>
                <w:highlight w:val="none"/>
              </w:rPr>
            </w:pPr>
            <w:r>
              <w:rPr>
                <w:rFonts w:hint="eastAsia" w:cs="Times New Roman"/>
                <w:snapToGrid w:val="0"/>
                <w:szCs w:val="21"/>
                <w:highlight w:val="none"/>
                <w:lang w:val="en-US" w:eastAsia="zh-CN"/>
              </w:rPr>
              <w:t>32.705391739</w:t>
            </w:r>
            <w:r>
              <w:rPr>
                <w:rFonts w:hint="default" w:ascii="Times New Roman" w:hAnsi="Times New Roman" w:cs="Times New Roman"/>
                <w:snapToGrid w:val="0"/>
                <w:szCs w:val="21"/>
                <w:highlight w:val="none"/>
              </w:rPr>
              <w:t>°</w:t>
            </w:r>
          </w:p>
        </w:tc>
        <w:tc>
          <w:tcPr>
            <w:tcW w:w="743" w:type="dxa"/>
            <w:tcBorders>
              <w:tl2br w:val="nil"/>
              <w:tr2bl w:val="nil"/>
            </w:tcBorders>
            <w:vAlign w:val="center"/>
          </w:tcPr>
          <w:p w14:paraId="087578CC">
            <w:pPr>
              <w:spacing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居民区</w:t>
            </w:r>
          </w:p>
        </w:tc>
        <w:tc>
          <w:tcPr>
            <w:tcW w:w="1814" w:type="dxa"/>
            <w:tcBorders>
              <w:tl2br w:val="nil"/>
              <w:tr2bl w:val="nil"/>
            </w:tcBorders>
            <w:vAlign w:val="center"/>
          </w:tcPr>
          <w:p w14:paraId="71AB47C2">
            <w:pPr>
              <w:spacing w:line="24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160</w:t>
            </w:r>
            <w:r>
              <w:rPr>
                <w:rFonts w:hint="default" w:ascii="Times New Roman" w:hAnsi="Times New Roman" w:cs="Times New Roman"/>
                <w:bCs/>
                <w:szCs w:val="21"/>
                <w:highlight w:val="none"/>
              </w:rPr>
              <w:t>户，</w:t>
            </w:r>
            <w:r>
              <w:rPr>
                <w:rFonts w:hint="eastAsia" w:cs="Times New Roman"/>
                <w:bCs/>
                <w:szCs w:val="21"/>
                <w:highlight w:val="none"/>
                <w:lang w:val="en-US" w:eastAsia="zh-CN"/>
              </w:rPr>
              <w:t>550</w:t>
            </w:r>
            <w:r>
              <w:rPr>
                <w:rFonts w:hint="default" w:ascii="Times New Roman" w:hAnsi="Times New Roman" w:cs="Times New Roman"/>
                <w:bCs/>
                <w:szCs w:val="21"/>
                <w:highlight w:val="none"/>
              </w:rPr>
              <w:t>人</w:t>
            </w:r>
          </w:p>
        </w:tc>
        <w:tc>
          <w:tcPr>
            <w:tcW w:w="3062" w:type="dxa"/>
            <w:vMerge w:val="continue"/>
            <w:tcBorders>
              <w:tl2br w:val="nil"/>
              <w:tr2bl w:val="nil"/>
            </w:tcBorders>
            <w:vAlign w:val="center"/>
          </w:tcPr>
          <w:p w14:paraId="6A46ABE1">
            <w:pPr>
              <w:spacing w:line="240" w:lineRule="atLeast"/>
              <w:jc w:val="center"/>
              <w:rPr>
                <w:rFonts w:hint="default" w:ascii="Times New Roman" w:hAnsi="Times New Roman" w:cs="Times New Roman"/>
                <w:snapToGrid w:val="0"/>
                <w:szCs w:val="21"/>
                <w:highlight w:val="none"/>
              </w:rPr>
            </w:pPr>
          </w:p>
        </w:tc>
        <w:tc>
          <w:tcPr>
            <w:tcW w:w="517" w:type="dxa"/>
            <w:tcBorders>
              <w:tl2br w:val="nil"/>
              <w:tr2bl w:val="nil"/>
            </w:tcBorders>
            <w:vAlign w:val="center"/>
          </w:tcPr>
          <w:p w14:paraId="3F9C2D3A">
            <w:pPr>
              <w:spacing w:line="240" w:lineRule="atLeast"/>
              <w:jc w:val="center"/>
              <w:rPr>
                <w:rFonts w:hint="eastAsia" w:ascii="Times New Roman" w:hAnsi="Times New Roman" w:eastAsia="宋体" w:cs="Times New Roman"/>
                <w:snapToGrid w:val="0"/>
                <w:szCs w:val="21"/>
                <w:highlight w:val="none"/>
                <w:lang w:val="en-US" w:eastAsia="zh-CN"/>
              </w:rPr>
            </w:pPr>
            <w:r>
              <w:rPr>
                <w:rFonts w:hint="default" w:ascii="Times New Roman" w:hAnsi="Times New Roman" w:cs="Times New Roman"/>
                <w:snapToGrid w:val="0"/>
                <w:szCs w:val="21"/>
                <w:highlight w:val="none"/>
              </w:rPr>
              <w:t>S</w:t>
            </w:r>
            <w:r>
              <w:rPr>
                <w:rFonts w:hint="eastAsia" w:cs="Times New Roman"/>
                <w:snapToGrid w:val="0"/>
                <w:szCs w:val="21"/>
                <w:highlight w:val="none"/>
                <w:lang w:val="en-US" w:eastAsia="zh-CN"/>
              </w:rPr>
              <w:t>W</w:t>
            </w:r>
          </w:p>
        </w:tc>
        <w:tc>
          <w:tcPr>
            <w:tcW w:w="1624" w:type="dxa"/>
            <w:tcBorders>
              <w:tl2br w:val="nil"/>
              <w:tr2bl w:val="nil"/>
            </w:tcBorders>
            <w:vAlign w:val="center"/>
          </w:tcPr>
          <w:p w14:paraId="7E4B2030">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402</w:t>
            </w:r>
          </w:p>
        </w:tc>
      </w:tr>
      <w:tr w14:paraId="70C05C2D">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100" w:hRule="atLeast"/>
          <w:jc w:val="center"/>
        </w:trPr>
        <w:tc>
          <w:tcPr>
            <w:tcW w:w="867" w:type="dxa"/>
            <w:vMerge w:val="continue"/>
            <w:tcBorders>
              <w:tl2br w:val="nil"/>
              <w:tr2bl w:val="nil"/>
            </w:tcBorders>
            <w:vAlign w:val="center"/>
          </w:tcPr>
          <w:p w14:paraId="57334846">
            <w:pPr>
              <w:spacing w:line="240" w:lineRule="atLeast"/>
              <w:jc w:val="center"/>
              <w:rPr>
                <w:rFonts w:hint="default" w:ascii="Times New Roman" w:hAnsi="Times New Roman" w:cs="Times New Roman"/>
                <w:bCs/>
                <w:szCs w:val="21"/>
                <w:highlight w:val="none"/>
              </w:rPr>
            </w:pPr>
          </w:p>
        </w:tc>
        <w:tc>
          <w:tcPr>
            <w:tcW w:w="527" w:type="dxa"/>
            <w:tcBorders>
              <w:tl2br w:val="nil"/>
              <w:tr2bl w:val="nil"/>
            </w:tcBorders>
            <w:vAlign w:val="center"/>
          </w:tcPr>
          <w:p w14:paraId="4E345A66">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20</w:t>
            </w:r>
          </w:p>
        </w:tc>
        <w:tc>
          <w:tcPr>
            <w:tcW w:w="1107" w:type="dxa"/>
            <w:vMerge w:val="restart"/>
            <w:tcBorders>
              <w:tl2br w:val="nil"/>
              <w:tr2bl w:val="nil"/>
            </w:tcBorders>
            <w:vAlign w:val="center"/>
          </w:tcPr>
          <w:p w14:paraId="56CB5890">
            <w:pPr>
              <w:spacing w:line="240" w:lineRule="atLeast"/>
              <w:jc w:val="center"/>
              <w:rPr>
                <w:rFonts w:hint="default" w:ascii="Times New Roman" w:hAnsi="Times New Roman" w:cs="Times New Roman"/>
                <w:snapToGrid w:val="0"/>
                <w:szCs w:val="21"/>
                <w:highlight w:val="none"/>
                <w:lang w:val="en-US"/>
              </w:rPr>
            </w:pPr>
            <w:r>
              <w:rPr>
                <w:rFonts w:hint="eastAsia" w:cs="Times New Roman"/>
                <w:snapToGrid w:val="0"/>
                <w:szCs w:val="21"/>
                <w:highlight w:val="none"/>
                <w:lang w:val="en-US" w:eastAsia="zh-CN"/>
              </w:rPr>
              <w:t>钻孔10</w:t>
            </w:r>
          </w:p>
        </w:tc>
        <w:tc>
          <w:tcPr>
            <w:tcW w:w="1075" w:type="dxa"/>
            <w:tcBorders>
              <w:tl2br w:val="nil"/>
              <w:tr2bl w:val="nil"/>
            </w:tcBorders>
            <w:vAlign w:val="center"/>
          </w:tcPr>
          <w:p w14:paraId="040CB575">
            <w:pPr>
              <w:spacing w:line="240" w:lineRule="atLeast"/>
              <w:jc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居民点A</w:t>
            </w:r>
          </w:p>
        </w:tc>
        <w:tc>
          <w:tcPr>
            <w:tcW w:w="1582" w:type="dxa"/>
            <w:tcBorders>
              <w:tl2br w:val="nil"/>
              <w:tr2bl w:val="nil"/>
            </w:tcBorders>
            <w:vAlign w:val="center"/>
          </w:tcPr>
          <w:p w14:paraId="57E44D4C">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116.521749726°</w:t>
            </w:r>
          </w:p>
        </w:tc>
        <w:tc>
          <w:tcPr>
            <w:tcW w:w="1452" w:type="dxa"/>
            <w:tcBorders>
              <w:tl2br w:val="nil"/>
              <w:tr2bl w:val="nil"/>
            </w:tcBorders>
            <w:vAlign w:val="center"/>
          </w:tcPr>
          <w:p w14:paraId="2D40B220">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32.704958459°</w:t>
            </w:r>
          </w:p>
        </w:tc>
        <w:tc>
          <w:tcPr>
            <w:tcW w:w="743" w:type="dxa"/>
            <w:tcBorders>
              <w:tl2br w:val="nil"/>
              <w:tr2bl w:val="nil"/>
            </w:tcBorders>
            <w:vAlign w:val="center"/>
          </w:tcPr>
          <w:p w14:paraId="24B375BB">
            <w:pPr>
              <w:spacing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居民区</w:t>
            </w:r>
          </w:p>
        </w:tc>
        <w:tc>
          <w:tcPr>
            <w:tcW w:w="1814" w:type="dxa"/>
            <w:tcBorders>
              <w:tl2br w:val="nil"/>
              <w:tr2bl w:val="nil"/>
            </w:tcBorders>
            <w:vAlign w:val="center"/>
          </w:tcPr>
          <w:p w14:paraId="7777C675">
            <w:pPr>
              <w:spacing w:line="24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1</w:t>
            </w:r>
            <w:r>
              <w:rPr>
                <w:rFonts w:hint="default" w:ascii="Times New Roman" w:hAnsi="Times New Roman" w:cs="Times New Roman"/>
                <w:bCs/>
                <w:szCs w:val="21"/>
                <w:highlight w:val="none"/>
              </w:rPr>
              <w:t>户，</w:t>
            </w:r>
            <w:r>
              <w:rPr>
                <w:rFonts w:hint="eastAsia" w:cs="Times New Roman"/>
                <w:bCs/>
                <w:szCs w:val="21"/>
                <w:highlight w:val="none"/>
                <w:lang w:val="en-US" w:eastAsia="zh-CN"/>
              </w:rPr>
              <w:t>4</w:t>
            </w:r>
            <w:r>
              <w:rPr>
                <w:rFonts w:hint="default" w:ascii="Times New Roman" w:hAnsi="Times New Roman" w:cs="Times New Roman"/>
                <w:bCs/>
                <w:szCs w:val="21"/>
                <w:highlight w:val="none"/>
              </w:rPr>
              <w:t>人</w:t>
            </w:r>
          </w:p>
        </w:tc>
        <w:tc>
          <w:tcPr>
            <w:tcW w:w="3062" w:type="dxa"/>
            <w:vMerge w:val="continue"/>
            <w:tcBorders>
              <w:tl2br w:val="nil"/>
              <w:tr2bl w:val="nil"/>
            </w:tcBorders>
            <w:vAlign w:val="center"/>
          </w:tcPr>
          <w:p w14:paraId="23F85F85">
            <w:pPr>
              <w:spacing w:line="240" w:lineRule="atLeast"/>
              <w:jc w:val="center"/>
              <w:rPr>
                <w:rFonts w:hint="default" w:ascii="Times New Roman" w:hAnsi="Times New Roman" w:cs="Times New Roman"/>
                <w:snapToGrid w:val="0"/>
                <w:color w:val="FF0000"/>
                <w:szCs w:val="21"/>
                <w:highlight w:val="none"/>
              </w:rPr>
            </w:pPr>
          </w:p>
        </w:tc>
        <w:tc>
          <w:tcPr>
            <w:tcW w:w="517" w:type="dxa"/>
            <w:tcBorders>
              <w:tl2br w:val="nil"/>
              <w:tr2bl w:val="nil"/>
            </w:tcBorders>
            <w:vAlign w:val="center"/>
          </w:tcPr>
          <w:p w14:paraId="7C2A37B0">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SW</w:t>
            </w:r>
          </w:p>
        </w:tc>
        <w:tc>
          <w:tcPr>
            <w:tcW w:w="1624" w:type="dxa"/>
            <w:tcBorders>
              <w:tl2br w:val="nil"/>
              <w:tr2bl w:val="nil"/>
            </w:tcBorders>
            <w:vAlign w:val="center"/>
          </w:tcPr>
          <w:p w14:paraId="3092A20E">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162</w:t>
            </w:r>
          </w:p>
        </w:tc>
      </w:tr>
      <w:tr w14:paraId="233C37AC">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100" w:hRule="atLeast"/>
          <w:jc w:val="center"/>
        </w:trPr>
        <w:tc>
          <w:tcPr>
            <w:tcW w:w="867" w:type="dxa"/>
            <w:vMerge w:val="continue"/>
            <w:tcBorders>
              <w:tl2br w:val="nil"/>
              <w:tr2bl w:val="nil"/>
            </w:tcBorders>
            <w:vAlign w:val="center"/>
          </w:tcPr>
          <w:p w14:paraId="0F4F8E0C">
            <w:pPr>
              <w:spacing w:line="240" w:lineRule="atLeast"/>
              <w:jc w:val="center"/>
            </w:pPr>
          </w:p>
        </w:tc>
        <w:tc>
          <w:tcPr>
            <w:tcW w:w="527" w:type="dxa"/>
            <w:tcBorders>
              <w:tl2br w:val="nil"/>
              <w:tr2bl w:val="nil"/>
            </w:tcBorders>
            <w:vAlign w:val="center"/>
          </w:tcPr>
          <w:p w14:paraId="0481046B">
            <w:pPr>
              <w:spacing w:line="240" w:lineRule="atLeast"/>
              <w:jc w:val="center"/>
              <w:rPr>
                <w:rFonts w:hint="eastAsia" w:cs="Times New Roman"/>
                <w:snapToGrid w:val="0"/>
                <w:szCs w:val="21"/>
                <w:highlight w:val="none"/>
                <w:lang w:val="en-US" w:eastAsia="zh-CN"/>
              </w:rPr>
            </w:pPr>
          </w:p>
        </w:tc>
        <w:tc>
          <w:tcPr>
            <w:tcW w:w="1107" w:type="dxa"/>
            <w:vMerge w:val="continue"/>
            <w:tcBorders>
              <w:tl2br w:val="nil"/>
              <w:tr2bl w:val="nil"/>
            </w:tcBorders>
            <w:vAlign w:val="center"/>
          </w:tcPr>
          <w:p w14:paraId="5F3D3032">
            <w:pPr>
              <w:spacing w:line="240" w:lineRule="atLeast"/>
              <w:jc w:val="center"/>
              <w:rPr>
                <w:rFonts w:hint="eastAsia" w:cs="Times New Roman"/>
                <w:snapToGrid w:val="0"/>
                <w:szCs w:val="21"/>
                <w:highlight w:val="none"/>
                <w:lang w:val="en-US" w:eastAsia="zh-CN"/>
              </w:rPr>
            </w:pPr>
          </w:p>
        </w:tc>
        <w:tc>
          <w:tcPr>
            <w:tcW w:w="1075" w:type="dxa"/>
            <w:tcBorders>
              <w:tl2br w:val="nil"/>
              <w:tr2bl w:val="nil"/>
            </w:tcBorders>
            <w:vAlign w:val="center"/>
          </w:tcPr>
          <w:p w14:paraId="52EF9F20">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居民点B</w:t>
            </w:r>
          </w:p>
        </w:tc>
        <w:tc>
          <w:tcPr>
            <w:tcW w:w="1582" w:type="dxa"/>
            <w:tcBorders>
              <w:tl2br w:val="nil"/>
              <w:tr2bl w:val="nil"/>
            </w:tcBorders>
            <w:vAlign w:val="center"/>
          </w:tcPr>
          <w:p w14:paraId="2982945B">
            <w:pPr>
              <w:spacing w:line="240" w:lineRule="atLeast"/>
              <w:jc w:val="center"/>
              <w:rPr>
                <w:rFonts w:hint="eastAsia" w:cs="Times New Roman"/>
                <w:snapToGrid w:val="0"/>
                <w:szCs w:val="21"/>
                <w:highlight w:val="none"/>
                <w:lang w:val="en-US" w:eastAsia="zh-CN"/>
              </w:rPr>
            </w:pPr>
            <w:r>
              <w:rPr>
                <w:rFonts w:hint="default" w:ascii="Times New Roman" w:hAnsi="Times New Roman" w:cs="Times New Roman"/>
                <w:snapToGrid w:val="0"/>
                <w:szCs w:val="21"/>
                <w:highlight w:val="none"/>
              </w:rPr>
              <w:t>116.523686281°</w:t>
            </w:r>
          </w:p>
        </w:tc>
        <w:tc>
          <w:tcPr>
            <w:tcW w:w="1452" w:type="dxa"/>
            <w:tcBorders>
              <w:tl2br w:val="nil"/>
              <w:tr2bl w:val="nil"/>
            </w:tcBorders>
            <w:vAlign w:val="center"/>
          </w:tcPr>
          <w:p w14:paraId="3B87E32F">
            <w:pPr>
              <w:spacing w:line="240" w:lineRule="atLeast"/>
              <w:jc w:val="center"/>
              <w:rPr>
                <w:rFonts w:hint="eastAsia" w:cs="Times New Roman"/>
                <w:snapToGrid w:val="0"/>
                <w:szCs w:val="21"/>
                <w:highlight w:val="none"/>
                <w:lang w:val="en-US" w:eastAsia="zh-CN"/>
              </w:rPr>
            </w:pPr>
            <w:r>
              <w:rPr>
                <w:rFonts w:hint="default" w:ascii="Times New Roman" w:hAnsi="Times New Roman" w:cs="Times New Roman"/>
                <w:snapToGrid w:val="0"/>
                <w:szCs w:val="21"/>
                <w:highlight w:val="none"/>
              </w:rPr>
              <w:t>32.704550763°</w:t>
            </w:r>
          </w:p>
        </w:tc>
        <w:tc>
          <w:tcPr>
            <w:tcW w:w="743" w:type="dxa"/>
            <w:tcBorders>
              <w:tl2br w:val="nil"/>
              <w:tr2bl w:val="nil"/>
            </w:tcBorders>
            <w:vAlign w:val="center"/>
          </w:tcPr>
          <w:p w14:paraId="76ACF073">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居民区</w:t>
            </w:r>
          </w:p>
        </w:tc>
        <w:tc>
          <w:tcPr>
            <w:tcW w:w="1814" w:type="dxa"/>
            <w:tcBorders>
              <w:tl2br w:val="nil"/>
              <w:tr2bl w:val="nil"/>
            </w:tcBorders>
            <w:vAlign w:val="center"/>
          </w:tcPr>
          <w:p w14:paraId="49EE5889">
            <w:pPr>
              <w:spacing w:line="240" w:lineRule="atLeast"/>
              <w:jc w:val="center"/>
              <w:rPr>
                <w:rFonts w:hint="eastAsia" w:cs="Times New Roman"/>
                <w:snapToGrid w:val="0"/>
                <w:szCs w:val="21"/>
                <w:highlight w:val="none"/>
                <w:lang w:val="en-US" w:eastAsia="zh-CN"/>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3</w:t>
            </w:r>
            <w:r>
              <w:rPr>
                <w:rFonts w:hint="default" w:ascii="Times New Roman" w:hAnsi="Times New Roman" w:cs="Times New Roman"/>
                <w:bCs/>
                <w:szCs w:val="21"/>
                <w:highlight w:val="none"/>
              </w:rPr>
              <w:t>户，</w:t>
            </w:r>
            <w:r>
              <w:rPr>
                <w:rFonts w:hint="eastAsia" w:cs="Times New Roman"/>
                <w:bCs/>
                <w:szCs w:val="21"/>
                <w:highlight w:val="none"/>
                <w:lang w:val="en-US" w:eastAsia="zh-CN"/>
              </w:rPr>
              <w:t>12</w:t>
            </w:r>
            <w:r>
              <w:rPr>
                <w:rFonts w:hint="default" w:ascii="Times New Roman" w:hAnsi="Times New Roman" w:cs="Times New Roman"/>
                <w:bCs/>
                <w:szCs w:val="21"/>
                <w:highlight w:val="none"/>
              </w:rPr>
              <w:t>人</w:t>
            </w:r>
          </w:p>
        </w:tc>
        <w:tc>
          <w:tcPr>
            <w:tcW w:w="3062" w:type="dxa"/>
            <w:vMerge w:val="continue"/>
            <w:tcBorders>
              <w:tl2br w:val="nil"/>
              <w:tr2bl w:val="nil"/>
            </w:tcBorders>
            <w:vAlign w:val="center"/>
          </w:tcPr>
          <w:p w14:paraId="43951595">
            <w:pPr>
              <w:spacing w:line="240" w:lineRule="atLeast"/>
              <w:jc w:val="center"/>
              <w:rPr>
                <w:rFonts w:hint="eastAsia" w:cs="Times New Roman"/>
                <w:snapToGrid w:val="0"/>
                <w:szCs w:val="21"/>
                <w:highlight w:val="none"/>
                <w:lang w:val="en-US" w:eastAsia="zh-CN"/>
              </w:rPr>
            </w:pPr>
          </w:p>
        </w:tc>
        <w:tc>
          <w:tcPr>
            <w:tcW w:w="517" w:type="dxa"/>
            <w:tcBorders>
              <w:tl2br w:val="nil"/>
              <w:tr2bl w:val="nil"/>
            </w:tcBorders>
            <w:vAlign w:val="center"/>
          </w:tcPr>
          <w:p w14:paraId="0AAD93EB">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SE</w:t>
            </w:r>
          </w:p>
        </w:tc>
        <w:tc>
          <w:tcPr>
            <w:tcW w:w="1624" w:type="dxa"/>
            <w:tcBorders>
              <w:tl2br w:val="nil"/>
              <w:tr2bl w:val="nil"/>
            </w:tcBorders>
            <w:vAlign w:val="center"/>
          </w:tcPr>
          <w:p w14:paraId="687550AB">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145.4</w:t>
            </w:r>
          </w:p>
        </w:tc>
      </w:tr>
      <w:tr w14:paraId="13ABC293">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100" w:hRule="atLeast"/>
          <w:jc w:val="center"/>
        </w:trPr>
        <w:tc>
          <w:tcPr>
            <w:tcW w:w="867" w:type="dxa"/>
            <w:vMerge w:val="continue"/>
            <w:tcBorders>
              <w:tl2br w:val="nil"/>
              <w:tr2bl w:val="nil"/>
            </w:tcBorders>
            <w:vAlign w:val="center"/>
          </w:tcPr>
          <w:p w14:paraId="381DC089">
            <w:pPr>
              <w:spacing w:line="240" w:lineRule="atLeast"/>
              <w:jc w:val="center"/>
              <w:rPr>
                <w:rFonts w:hint="eastAsia" w:cs="Times New Roman"/>
                <w:snapToGrid w:val="0"/>
                <w:szCs w:val="21"/>
                <w:highlight w:val="none"/>
                <w:lang w:val="en-US" w:eastAsia="zh-CN"/>
              </w:rPr>
            </w:pPr>
          </w:p>
        </w:tc>
        <w:tc>
          <w:tcPr>
            <w:tcW w:w="527" w:type="dxa"/>
            <w:tcBorders>
              <w:tl2br w:val="nil"/>
              <w:tr2bl w:val="nil"/>
            </w:tcBorders>
            <w:vAlign w:val="center"/>
          </w:tcPr>
          <w:p w14:paraId="0027103A">
            <w:pPr>
              <w:spacing w:line="240" w:lineRule="atLeast"/>
              <w:jc w:val="center"/>
              <w:rPr>
                <w:rFonts w:hint="eastAsia" w:cs="Times New Roman"/>
                <w:snapToGrid w:val="0"/>
                <w:szCs w:val="21"/>
                <w:highlight w:val="none"/>
                <w:lang w:val="en-US" w:eastAsia="zh-CN"/>
              </w:rPr>
            </w:pPr>
          </w:p>
        </w:tc>
        <w:tc>
          <w:tcPr>
            <w:tcW w:w="1107" w:type="dxa"/>
            <w:vMerge w:val="continue"/>
            <w:tcBorders>
              <w:tl2br w:val="nil"/>
              <w:tr2bl w:val="nil"/>
            </w:tcBorders>
            <w:vAlign w:val="center"/>
          </w:tcPr>
          <w:p w14:paraId="3628619C">
            <w:pPr>
              <w:spacing w:line="240" w:lineRule="atLeast"/>
              <w:jc w:val="center"/>
              <w:rPr>
                <w:rFonts w:hint="eastAsia" w:cs="Times New Roman"/>
                <w:snapToGrid w:val="0"/>
                <w:szCs w:val="21"/>
                <w:highlight w:val="none"/>
                <w:lang w:val="en-US" w:eastAsia="zh-CN"/>
              </w:rPr>
            </w:pPr>
          </w:p>
        </w:tc>
        <w:tc>
          <w:tcPr>
            <w:tcW w:w="1075" w:type="dxa"/>
            <w:tcBorders>
              <w:tl2br w:val="nil"/>
              <w:tr2bl w:val="nil"/>
            </w:tcBorders>
            <w:vAlign w:val="center"/>
          </w:tcPr>
          <w:p w14:paraId="15A5E2C0">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罗杨村</w:t>
            </w:r>
          </w:p>
        </w:tc>
        <w:tc>
          <w:tcPr>
            <w:tcW w:w="1582" w:type="dxa"/>
            <w:tcBorders>
              <w:tl2br w:val="nil"/>
              <w:tr2bl w:val="nil"/>
            </w:tcBorders>
            <w:vAlign w:val="center"/>
          </w:tcPr>
          <w:p w14:paraId="15DBB692">
            <w:pPr>
              <w:spacing w:line="240" w:lineRule="atLeast"/>
              <w:jc w:val="center"/>
              <w:rPr>
                <w:rFonts w:hint="eastAsia" w:cs="Times New Roman"/>
                <w:snapToGrid w:val="0"/>
                <w:szCs w:val="21"/>
                <w:highlight w:val="none"/>
                <w:lang w:val="en-US" w:eastAsia="zh-CN"/>
              </w:rPr>
            </w:pPr>
            <w:r>
              <w:rPr>
                <w:rFonts w:hint="default" w:ascii="Times New Roman" w:hAnsi="Times New Roman" w:cs="Times New Roman"/>
                <w:snapToGrid w:val="0"/>
                <w:szCs w:val="21"/>
                <w:highlight w:val="none"/>
              </w:rPr>
              <w:t>116.522020684°</w:t>
            </w:r>
          </w:p>
        </w:tc>
        <w:tc>
          <w:tcPr>
            <w:tcW w:w="1452" w:type="dxa"/>
            <w:tcBorders>
              <w:tl2br w:val="nil"/>
              <w:tr2bl w:val="nil"/>
            </w:tcBorders>
            <w:vAlign w:val="center"/>
          </w:tcPr>
          <w:p w14:paraId="4BE08064">
            <w:pPr>
              <w:spacing w:line="240" w:lineRule="atLeast"/>
              <w:jc w:val="center"/>
              <w:rPr>
                <w:rFonts w:hint="eastAsia" w:cs="Times New Roman"/>
                <w:snapToGrid w:val="0"/>
                <w:szCs w:val="21"/>
                <w:highlight w:val="none"/>
                <w:lang w:val="en-US" w:eastAsia="zh-CN"/>
              </w:rPr>
            </w:pPr>
            <w:r>
              <w:rPr>
                <w:rFonts w:hint="default" w:ascii="Times New Roman" w:hAnsi="Times New Roman" w:cs="Times New Roman"/>
                <w:snapToGrid w:val="0"/>
                <w:szCs w:val="21"/>
                <w:highlight w:val="none"/>
              </w:rPr>
              <w:t>32.703428362°</w:t>
            </w:r>
          </w:p>
        </w:tc>
        <w:tc>
          <w:tcPr>
            <w:tcW w:w="743" w:type="dxa"/>
            <w:tcBorders>
              <w:tl2br w:val="nil"/>
              <w:tr2bl w:val="nil"/>
            </w:tcBorders>
            <w:vAlign w:val="center"/>
          </w:tcPr>
          <w:p w14:paraId="1FC6D752">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居民区</w:t>
            </w:r>
          </w:p>
        </w:tc>
        <w:tc>
          <w:tcPr>
            <w:tcW w:w="1814" w:type="dxa"/>
            <w:tcBorders>
              <w:tl2br w:val="nil"/>
              <w:tr2bl w:val="nil"/>
            </w:tcBorders>
            <w:vAlign w:val="center"/>
          </w:tcPr>
          <w:p w14:paraId="47E38752">
            <w:pPr>
              <w:spacing w:line="240" w:lineRule="atLeast"/>
              <w:jc w:val="center"/>
              <w:rPr>
                <w:rFonts w:hint="eastAsia" w:cs="Times New Roman"/>
                <w:snapToGrid w:val="0"/>
                <w:szCs w:val="21"/>
                <w:highlight w:val="none"/>
                <w:lang w:val="en-US" w:eastAsia="zh-CN"/>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895</w:t>
            </w:r>
            <w:r>
              <w:rPr>
                <w:rFonts w:hint="default" w:ascii="Times New Roman" w:hAnsi="Times New Roman" w:cs="Times New Roman"/>
                <w:bCs/>
                <w:szCs w:val="21"/>
                <w:highlight w:val="none"/>
              </w:rPr>
              <w:t>户，</w:t>
            </w:r>
            <w:r>
              <w:rPr>
                <w:rFonts w:hint="eastAsia" w:cs="Times New Roman"/>
                <w:bCs/>
                <w:szCs w:val="21"/>
                <w:highlight w:val="none"/>
                <w:lang w:val="en-US" w:eastAsia="zh-CN"/>
              </w:rPr>
              <w:t>226</w:t>
            </w:r>
            <w:r>
              <w:rPr>
                <w:rFonts w:hint="default" w:ascii="Times New Roman" w:hAnsi="Times New Roman" w:cs="Times New Roman"/>
                <w:bCs/>
                <w:szCs w:val="21"/>
                <w:highlight w:val="none"/>
              </w:rPr>
              <w:t>0人</w:t>
            </w:r>
          </w:p>
        </w:tc>
        <w:tc>
          <w:tcPr>
            <w:tcW w:w="3062" w:type="dxa"/>
            <w:vMerge w:val="continue"/>
            <w:tcBorders>
              <w:tl2br w:val="nil"/>
              <w:tr2bl w:val="nil"/>
            </w:tcBorders>
            <w:vAlign w:val="center"/>
          </w:tcPr>
          <w:p w14:paraId="1DB78CFD">
            <w:pPr>
              <w:spacing w:line="240" w:lineRule="atLeast"/>
              <w:jc w:val="center"/>
              <w:rPr>
                <w:rFonts w:hint="eastAsia" w:cs="Times New Roman"/>
                <w:snapToGrid w:val="0"/>
                <w:szCs w:val="21"/>
                <w:highlight w:val="none"/>
                <w:lang w:val="en-US" w:eastAsia="zh-CN"/>
              </w:rPr>
            </w:pPr>
          </w:p>
        </w:tc>
        <w:tc>
          <w:tcPr>
            <w:tcW w:w="517" w:type="dxa"/>
            <w:tcBorders>
              <w:tl2br w:val="nil"/>
              <w:tr2bl w:val="nil"/>
            </w:tcBorders>
            <w:vAlign w:val="center"/>
          </w:tcPr>
          <w:p w14:paraId="4B73BF26">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SW</w:t>
            </w:r>
          </w:p>
        </w:tc>
        <w:tc>
          <w:tcPr>
            <w:tcW w:w="1624" w:type="dxa"/>
            <w:tcBorders>
              <w:tl2br w:val="nil"/>
              <w:tr2bl w:val="nil"/>
            </w:tcBorders>
            <w:vAlign w:val="center"/>
          </w:tcPr>
          <w:p w14:paraId="775196DD">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307</w:t>
            </w:r>
          </w:p>
        </w:tc>
      </w:tr>
      <w:tr w14:paraId="6F375634">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151" w:hRule="atLeast"/>
          <w:jc w:val="center"/>
        </w:trPr>
        <w:tc>
          <w:tcPr>
            <w:tcW w:w="867" w:type="dxa"/>
            <w:vMerge w:val="continue"/>
            <w:tcBorders>
              <w:tl2br w:val="nil"/>
              <w:tr2bl w:val="nil"/>
            </w:tcBorders>
            <w:vAlign w:val="center"/>
          </w:tcPr>
          <w:p w14:paraId="3A1C9505">
            <w:pPr>
              <w:spacing w:line="240" w:lineRule="atLeast"/>
              <w:jc w:val="center"/>
              <w:rPr>
                <w:rFonts w:hint="default" w:ascii="Times New Roman" w:hAnsi="Times New Roman" w:cs="Times New Roman"/>
                <w:bCs/>
                <w:szCs w:val="21"/>
                <w:highlight w:val="none"/>
              </w:rPr>
            </w:pPr>
          </w:p>
        </w:tc>
        <w:tc>
          <w:tcPr>
            <w:tcW w:w="527" w:type="dxa"/>
            <w:tcBorders>
              <w:tl2br w:val="nil"/>
              <w:tr2bl w:val="nil"/>
            </w:tcBorders>
            <w:vAlign w:val="center"/>
          </w:tcPr>
          <w:p w14:paraId="49B0F59D">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21</w:t>
            </w:r>
          </w:p>
        </w:tc>
        <w:tc>
          <w:tcPr>
            <w:tcW w:w="1107" w:type="dxa"/>
            <w:tcBorders>
              <w:tl2br w:val="nil"/>
              <w:tr2bl w:val="nil"/>
            </w:tcBorders>
            <w:vAlign w:val="center"/>
          </w:tcPr>
          <w:p w14:paraId="614E8C32">
            <w:pPr>
              <w:spacing w:line="240" w:lineRule="atLeast"/>
              <w:jc w:val="center"/>
              <w:rPr>
                <w:rFonts w:hint="default" w:ascii="Times New Roman" w:hAnsi="Times New Roman" w:cs="Times New Roman"/>
                <w:snapToGrid w:val="0"/>
                <w:szCs w:val="21"/>
                <w:highlight w:val="none"/>
                <w:lang w:val="en-US"/>
              </w:rPr>
            </w:pPr>
            <w:r>
              <w:rPr>
                <w:rFonts w:hint="eastAsia" w:cs="Times New Roman"/>
                <w:snapToGrid w:val="0"/>
                <w:szCs w:val="21"/>
                <w:highlight w:val="none"/>
                <w:lang w:val="en-US" w:eastAsia="zh-CN"/>
              </w:rPr>
              <w:t>钻孔11</w:t>
            </w:r>
          </w:p>
        </w:tc>
        <w:tc>
          <w:tcPr>
            <w:tcW w:w="1075" w:type="dxa"/>
            <w:tcBorders>
              <w:tl2br w:val="nil"/>
              <w:tr2bl w:val="nil"/>
            </w:tcBorders>
            <w:vAlign w:val="center"/>
          </w:tcPr>
          <w:p w14:paraId="6840E53F">
            <w:pPr>
              <w:spacing w:line="240" w:lineRule="atLeast"/>
              <w:jc w:val="center"/>
              <w:rPr>
                <w:rFonts w:hint="default" w:ascii="Times New Roman" w:hAnsi="Times New Roman" w:eastAsia="宋体" w:cs="Times New Roman"/>
                <w:kern w:val="0"/>
                <w:szCs w:val="21"/>
                <w:highlight w:val="none"/>
                <w:lang w:val="en-US" w:eastAsia="zh-CN"/>
              </w:rPr>
            </w:pPr>
            <w:r>
              <w:rPr>
                <w:rFonts w:hint="eastAsia" w:cs="Times New Roman"/>
                <w:kern w:val="0"/>
                <w:szCs w:val="21"/>
                <w:highlight w:val="none"/>
                <w:lang w:val="en-US" w:eastAsia="zh-CN"/>
              </w:rPr>
              <w:t>宋郢孜</w:t>
            </w:r>
          </w:p>
        </w:tc>
        <w:tc>
          <w:tcPr>
            <w:tcW w:w="1582" w:type="dxa"/>
            <w:tcBorders>
              <w:tl2br w:val="nil"/>
              <w:tr2bl w:val="nil"/>
            </w:tcBorders>
            <w:vAlign w:val="center"/>
          </w:tcPr>
          <w:p w14:paraId="02691494">
            <w:pPr>
              <w:spacing w:line="240" w:lineRule="atLeast"/>
              <w:jc w:val="center"/>
              <w:rPr>
                <w:rFonts w:hint="default" w:ascii="Times New Roman" w:hAnsi="Times New Roman" w:cs="Times New Roman"/>
                <w:snapToGrid w:val="0"/>
                <w:szCs w:val="21"/>
                <w:highlight w:val="none"/>
              </w:rPr>
            </w:pPr>
            <w:r>
              <w:rPr>
                <w:rFonts w:hint="eastAsia" w:cs="Times New Roman"/>
                <w:snapToGrid w:val="0"/>
                <w:szCs w:val="21"/>
                <w:highlight w:val="none"/>
                <w:lang w:val="en-US" w:eastAsia="zh-CN"/>
              </w:rPr>
              <w:t>116.515564607</w:t>
            </w:r>
            <w:r>
              <w:rPr>
                <w:rFonts w:hint="default" w:ascii="Times New Roman" w:hAnsi="Times New Roman" w:cs="Times New Roman"/>
                <w:snapToGrid w:val="0"/>
                <w:szCs w:val="21"/>
                <w:highlight w:val="none"/>
              </w:rPr>
              <w:t>°</w:t>
            </w:r>
          </w:p>
        </w:tc>
        <w:tc>
          <w:tcPr>
            <w:tcW w:w="1452" w:type="dxa"/>
            <w:tcBorders>
              <w:tl2br w:val="nil"/>
              <w:tr2bl w:val="nil"/>
            </w:tcBorders>
            <w:vAlign w:val="center"/>
          </w:tcPr>
          <w:p w14:paraId="40B8D2E4">
            <w:pPr>
              <w:spacing w:line="240" w:lineRule="atLeast"/>
              <w:jc w:val="center"/>
              <w:rPr>
                <w:rFonts w:hint="default" w:ascii="Times New Roman" w:hAnsi="Times New Roman" w:cs="Times New Roman"/>
                <w:snapToGrid w:val="0"/>
                <w:szCs w:val="21"/>
                <w:highlight w:val="none"/>
              </w:rPr>
            </w:pPr>
            <w:r>
              <w:rPr>
                <w:rFonts w:hint="eastAsia" w:cs="Times New Roman"/>
                <w:snapToGrid w:val="0"/>
                <w:szCs w:val="21"/>
                <w:highlight w:val="none"/>
                <w:lang w:val="en-US" w:eastAsia="zh-CN"/>
              </w:rPr>
              <w:t>32.705391739</w:t>
            </w:r>
            <w:r>
              <w:rPr>
                <w:rFonts w:hint="default" w:ascii="Times New Roman" w:hAnsi="Times New Roman" w:cs="Times New Roman"/>
                <w:snapToGrid w:val="0"/>
                <w:szCs w:val="21"/>
                <w:highlight w:val="none"/>
              </w:rPr>
              <w:t>°</w:t>
            </w:r>
          </w:p>
        </w:tc>
        <w:tc>
          <w:tcPr>
            <w:tcW w:w="743" w:type="dxa"/>
            <w:tcBorders>
              <w:tl2br w:val="nil"/>
              <w:tr2bl w:val="nil"/>
            </w:tcBorders>
            <w:vAlign w:val="center"/>
          </w:tcPr>
          <w:p w14:paraId="0E48F24A">
            <w:pPr>
              <w:spacing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居民区</w:t>
            </w:r>
          </w:p>
        </w:tc>
        <w:tc>
          <w:tcPr>
            <w:tcW w:w="1814" w:type="dxa"/>
            <w:tcBorders>
              <w:tl2br w:val="nil"/>
              <w:tr2bl w:val="nil"/>
            </w:tcBorders>
            <w:vAlign w:val="center"/>
          </w:tcPr>
          <w:p w14:paraId="4C32F048">
            <w:pPr>
              <w:spacing w:line="24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160</w:t>
            </w:r>
            <w:r>
              <w:rPr>
                <w:rFonts w:hint="default" w:ascii="Times New Roman" w:hAnsi="Times New Roman" w:cs="Times New Roman"/>
                <w:bCs/>
                <w:szCs w:val="21"/>
                <w:highlight w:val="none"/>
              </w:rPr>
              <w:t>户，</w:t>
            </w:r>
            <w:r>
              <w:rPr>
                <w:rFonts w:hint="eastAsia" w:cs="Times New Roman"/>
                <w:bCs/>
                <w:szCs w:val="21"/>
                <w:highlight w:val="none"/>
                <w:lang w:val="en-US" w:eastAsia="zh-CN"/>
              </w:rPr>
              <w:t>550</w:t>
            </w:r>
            <w:r>
              <w:rPr>
                <w:rFonts w:hint="default" w:ascii="Times New Roman" w:hAnsi="Times New Roman" w:cs="Times New Roman"/>
                <w:bCs/>
                <w:szCs w:val="21"/>
                <w:highlight w:val="none"/>
              </w:rPr>
              <w:t>人</w:t>
            </w:r>
          </w:p>
        </w:tc>
        <w:tc>
          <w:tcPr>
            <w:tcW w:w="3062" w:type="dxa"/>
            <w:vMerge w:val="continue"/>
            <w:tcBorders>
              <w:tl2br w:val="nil"/>
              <w:tr2bl w:val="nil"/>
            </w:tcBorders>
            <w:vAlign w:val="center"/>
          </w:tcPr>
          <w:p w14:paraId="36C68DA8">
            <w:pPr>
              <w:spacing w:line="240" w:lineRule="atLeast"/>
              <w:jc w:val="center"/>
              <w:rPr>
                <w:rFonts w:hint="default" w:ascii="Times New Roman" w:hAnsi="Times New Roman" w:cs="Times New Roman"/>
                <w:snapToGrid w:val="0"/>
                <w:color w:val="FF0000"/>
                <w:szCs w:val="21"/>
                <w:highlight w:val="none"/>
              </w:rPr>
            </w:pPr>
          </w:p>
        </w:tc>
        <w:tc>
          <w:tcPr>
            <w:tcW w:w="517" w:type="dxa"/>
            <w:tcBorders>
              <w:tl2br w:val="nil"/>
              <w:tr2bl w:val="nil"/>
            </w:tcBorders>
            <w:vAlign w:val="center"/>
          </w:tcPr>
          <w:p w14:paraId="3E189631">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SE</w:t>
            </w:r>
          </w:p>
        </w:tc>
        <w:tc>
          <w:tcPr>
            <w:tcW w:w="1624" w:type="dxa"/>
            <w:tcBorders>
              <w:tl2br w:val="nil"/>
              <w:tr2bl w:val="nil"/>
            </w:tcBorders>
            <w:vAlign w:val="center"/>
          </w:tcPr>
          <w:p w14:paraId="32322099">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394</w:t>
            </w:r>
          </w:p>
        </w:tc>
      </w:tr>
      <w:tr w14:paraId="5044C0A0">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151" w:hRule="atLeast"/>
          <w:jc w:val="center"/>
        </w:trPr>
        <w:tc>
          <w:tcPr>
            <w:tcW w:w="867" w:type="dxa"/>
            <w:vMerge w:val="continue"/>
            <w:tcBorders>
              <w:tl2br w:val="nil"/>
              <w:tr2bl w:val="nil"/>
            </w:tcBorders>
            <w:vAlign w:val="center"/>
          </w:tcPr>
          <w:p w14:paraId="5465CB17">
            <w:pPr>
              <w:spacing w:line="240" w:lineRule="atLeast"/>
              <w:jc w:val="center"/>
            </w:pPr>
          </w:p>
        </w:tc>
        <w:tc>
          <w:tcPr>
            <w:tcW w:w="527" w:type="dxa"/>
            <w:tcBorders>
              <w:tl2br w:val="nil"/>
              <w:tr2bl w:val="nil"/>
            </w:tcBorders>
            <w:vAlign w:val="center"/>
          </w:tcPr>
          <w:p w14:paraId="1CE3EF98">
            <w:pPr>
              <w:spacing w:line="240" w:lineRule="atLeast"/>
              <w:jc w:val="center"/>
              <w:rPr>
                <w:rFonts w:hint="eastAsia" w:cs="Times New Roman"/>
                <w:snapToGrid w:val="0"/>
                <w:szCs w:val="21"/>
                <w:highlight w:val="none"/>
                <w:lang w:val="en-US" w:eastAsia="zh-CN"/>
              </w:rPr>
            </w:pPr>
          </w:p>
        </w:tc>
        <w:tc>
          <w:tcPr>
            <w:tcW w:w="1107" w:type="dxa"/>
            <w:vMerge w:val="restart"/>
            <w:tcBorders>
              <w:tl2br w:val="nil"/>
              <w:tr2bl w:val="nil"/>
            </w:tcBorders>
            <w:vAlign w:val="center"/>
          </w:tcPr>
          <w:p w14:paraId="3C8E7C4A">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注浆站</w:t>
            </w:r>
          </w:p>
        </w:tc>
        <w:tc>
          <w:tcPr>
            <w:tcW w:w="1075" w:type="dxa"/>
            <w:tcBorders>
              <w:tl2br w:val="nil"/>
              <w:tr2bl w:val="nil"/>
            </w:tcBorders>
            <w:vAlign w:val="center"/>
          </w:tcPr>
          <w:p w14:paraId="057470D9">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宋郢孜</w:t>
            </w:r>
          </w:p>
        </w:tc>
        <w:tc>
          <w:tcPr>
            <w:tcW w:w="1582" w:type="dxa"/>
            <w:tcBorders>
              <w:tl2br w:val="nil"/>
              <w:tr2bl w:val="nil"/>
            </w:tcBorders>
            <w:vAlign w:val="center"/>
          </w:tcPr>
          <w:p w14:paraId="2E6F2CB5">
            <w:pPr>
              <w:spacing w:line="240" w:lineRule="atLeast"/>
              <w:jc w:val="center"/>
              <w:rPr>
                <w:rFonts w:hint="eastAsia" w:cs="Times New Roman"/>
                <w:snapToGrid w:val="0"/>
                <w:szCs w:val="21"/>
                <w:highlight w:val="none"/>
                <w:lang w:val="en-US" w:eastAsia="zh-CN"/>
              </w:rPr>
            </w:pPr>
            <w:r>
              <w:rPr>
                <w:rFonts w:hint="eastAsia" w:cs="Times New Roman"/>
                <w:snapToGrid w:val="0"/>
                <w:szCs w:val="21"/>
                <w:highlight w:val="none"/>
                <w:lang w:val="en-US" w:eastAsia="zh-CN"/>
              </w:rPr>
              <w:t>116.515564607</w:t>
            </w:r>
            <w:r>
              <w:rPr>
                <w:rFonts w:hint="default" w:ascii="Times New Roman" w:hAnsi="Times New Roman" w:cs="Times New Roman"/>
                <w:snapToGrid w:val="0"/>
                <w:szCs w:val="21"/>
                <w:highlight w:val="none"/>
              </w:rPr>
              <w:t>°</w:t>
            </w:r>
          </w:p>
        </w:tc>
        <w:tc>
          <w:tcPr>
            <w:tcW w:w="1452" w:type="dxa"/>
            <w:tcBorders>
              <w:tl2br w:val="nil"/>
              <w:tr2bl w:val="nil"/>
            </w:tcBorders>
            <w:vAlign w:val="center"/>
          </w:tcPr>
          <w:p w14:paraId="7374D68D">
            <w:pPr>
              <w:spacing w:line="240" w:lineRule="atLeast"/>
              <w:jc w:val="center"/>
              <w:rPr>
                <w:rFonts w:hint="eastAsia" w:cs="Times New Roman"/>
                <w:snapToGrid w:val="0"/>
                <w:szCs w:val="21"/>
                <w:highlight w:val="none"/>
                <w:lang w:val="en-US" w:eastAsia="zh-CN"/>
              </w:rPr>
            </w:pPr>
            <w:r>
              <w:rPr>
                <w:rFonts w:hint="eastAsia" w:cs="Times New Roman"/>
                <w:snapToGrid w:val="0"/>
                <w:szCs w:val="21"/>
                <w:highlight w:val="none"/>
                <w:lang w:val="en-US" w:eastAsia="zh-CN"/>
              </w:rPr>
              <w:t>32.705391739</w:t>
            </w:r>
            <w:r>
              <w:rPr>
                <w:rFonts w:hint="default" w:ascii="Times New Roman" w:hAnsi="Times New Roman" w:cs="Times New Roman"/>
                <w:snapToGrid w:val="0"/>
                <w:szCs w:val="21"/>
                <w:highlight w:val="none"/>
              </w:rPr>
              <w:t>°</w:t>
            </w:r>
          </w:p>
        </w:tc>
        <w:tc>
          <w:tcPr>
            <w:tcW w:w="743" w:type="dxa"/>
            <w:tcBorders>
              <w:tl2br w:val="nil"/>
              <w:tr2bl w:val="nil"/>
            </w:tcBorders>
            <w:vAlign w:val="center"/>
          </w:tcPr>
          <w:p w14:paraId="50E971DD">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居民区</w:t>
            </w:r>
          </w:p>
        </w:tc>
        <w:tc>
          <w:tcPr>
            <w:tcW w:w="1814" w:type="dxa"/>
            <w:tcBorders>
              <w:tl2br w:val="nil"/>
              <w:tr2bl w:val="nil"/>
            </w:tcBorders>
            <w:vAlign w:val="center"/>
          </w:tcPr>
          <w:p w14:paraId="05FAAD70">
            <w:pPr>
              <w:spacing w:line="240" w:lineRule="atLeast"/>
              <w:jc w:val="center"/>
              <w:rPr>
                <w:rFonts w:hint="eastAsia" w:cs="Times New Roman"/>
                <w:snapToGrid w:val="0"/>
                <w:szCs w:val="21"/>
                <w:highlight w:val="none"/>
                <w:lang w:val="en-US" w:eastAsia="zh-CN"/>
              </w:rPr>
            </w:pPr>
            <w:r>
              <w:rPr>
                <w:rFonts w:hint="eastAsia" w:cs="Times New Roman"/>
                <w:snapToGrid w:val="0"/>
                <w:szCs w:val="21"/>
                <w:highlight w:val="none"/>
                <w:lang w:val="en-US" w:eastAsia="zh-CN"/>
              </w:rPr>
              <w:t>约160户，550人</w:t>
            </w:r>
          </w:p>
        </w:tc>
        <w:tc>
          <w:tcPr>
            <w:tcW w:w="3062" w:type="dxa"/>
            <w:vMerge w:val="continue"/>
            <w:tcBorders>
              <w:tl2br w:val="nil"/>
              <w:tr2bl w:val="nil"/>
            </w:tcBorders>
            <w:vAlign w:val="center"/>
          </w:tcPr>
          <w:p w14:paraId="3FDDC92B">
            <w:pPr>
              <w:spacing w:line="240" w:lineRule="atLeast"/>
              <w:jc w:val="center"/>
              <w:rPr>
                <w:rFonts w:hint="eastAsia" w:cs="Times New Roman"/>
                <w:snapToGrid w:val="0"/>
                <w:szCs w:val="21"/>
                <w:highlight w:val="none"/>
                <w:lang w:val="en-US" w:eastAsia="zh-CN"/>
              </w:rPr>
            </w:pPr>
          </w:p>
        </w:tc>
        <w:tc>
          <w:tcPr>
            <w:tcW w:w="517" w:type="dxa"/>
            <w:tcBorders>
              <w:tl2br w:val="nil"/>
              <w:tr2bl w:val="nil"/>
            </w:tcBorders>
            <w:vAlign w:val="center"/>
          </w:tcPr>
          <w:p w14:paraId="01AB203D">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SE</w:t>
            </w:r>
          </w:p>
        </w:tc>
        <w:tc>
          <w:tcPr>
            <w:tcW w:w="1624" w:type="dxa"/>
            <w:tcBorders>
              <w:tl2br w:val="nil"/>
              <w:tr2bl w:val="nil"/>
            </w:tcBorders>
            <w:vAlign w:val="center"/>
          </w:tcPr>
          <w:p w14:paraId="36BE8DD9">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458</w:t>
            </w:r>
          </w:p>
        </w:tc>
      </w:tr>
      <w:tr w14:paraId="4419D653">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151" w:hRule="atLeast"/>
          <w:jc w:val="center"/>
        </w:trPr>
        <w:tc>
          <w:tcPr>
            <w:tcW w:w="867" w:type="dxa"/>
            <w:vMerge w:val="continue"/>
            <w:tcBorders>
              <w:tl2br w:val="nil"/>
              <w:tr2bl w:val="nil"/>
            </w:tcBorders>
            <w:vAlign w:val="center"/>
          </w:tcPr>
          <w:p w14:paraId="5D4FC186">
            <w:pPr>
              <w:spacing w:line="240" w:lineRule="atLeast"/>
              <w:jc w:val="center"/>
            </w:pPr>
          </w:p>
        </w:tc>
        <w:tc>
          <w:tcPr>
            <w:tcW w:w="527" w:type="dxa"/>
            <w:tcBorders>
              <w:tl2br w:val="nil"/>
              <w:tr2bl w:val="nil"/>
            </w:tcBorders>
            <w:vAlign w:val="center"/>
          </w:tcPr>
          <w:p w14:paraId="02D435CA">
            <w:pPr>
              <w:spacing w:line="240" w:lineRule="atLeast"/>
              <w:jc w:val="center"/>
              <w:rPr>
                <w:rFonts w:hint="eastAsia" w:cs="Times New Roman"/>
                <w:snapToGrid w:val="0"/>
                <w:szCs w:val="21"/>
                <w:highlight w:val="none"/>
                <w:lang w:val="en-US" w:eastAsia="zh-CN"/>
              </w:rPr>
            </w:pPr>
          </w:p>
        </w:tc>
        <w:tc>
          <w:tcPr>
            <w:tcW w:w="1107" w:type="dxa"/>
            <w:vMerge w:val="continue"/>
            <w:tcBorders>
              <w:tl2br w:val="nil"/>
              <w:tr2bl w:val="nil"/>
            </w:tcBorders>
            <w:vAlign w:val="center"/>
          </w:tcPr>
          <w:p w14:paraId="067E511B">
            <w:pPr>
              <w:spacing w:line="240" w:lineRule="atLeast"/>
              <w:jc w:val="center"/>
              <w:rPr>
                <w:rFonts w:hint="eastAsia" w:cs="Times New Roman"/>
                <w:snapToGrid w:val="0"/>
                <w:szCs w:val="21"/>
                <w:highlight w:val="none"/>
                <w:lang w:val="en-US" w:eastAsia="zh-CN"/>
              </w:rPr>
            </w:pPr>
          </w:p>
        </w:tc>
        <w:tc>
          <w:tcPr>
            <w:tcW w:w="1075" w:type="dxa"/>
            <w:tcBorders>
              <w:tl2br w:val="nil"/>
              <w:tr2bl w:val="nil"/>
            </w:tcBorders>
            <w:vAlign w:val="center"/>
          </w:tcPr>
          <w:p w14:paraId="54009ACA">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大庄村</w:t>
            </w:r>
          </w:p>
        </w:tc>
        <w:tc>
          <w:tcPr>
            <w:tcW w:w="1582" w:type="dxa"/>
            <w:tcBorders>
              <w:tl2br w:val="nil"/>
              <w:tr2bl w:val="nil"/>
            </w:tcBorders>
            <w:vAlign w:val="center"/>
          </w:tcPr>
          <w:p w14:paraId="55544C2B">
            <w:pPr>
              <w:spacing w:line="240" w:lineRule="atLeast"/>
              <w:jc w:val="center"/>
              <w:rPr>
                <w:rFonts w:hint="eastAsia" w:cs="Times New Roman"/>
                <w:snapToGrid w:val="0"/>
                <w:szCs w:val="21"/>
                <w:highlight w:val="none"/>
                <w:lang w:val="en-US" w:eastAsia="zh-CN"/>
              </w:rPr>
            </w:pPr>
            <w:r>
              <w:rPr>
                <w:rFonts w:hint="eastAsia" w:cs="Times New Roman"/>
                <w:snapToGrid w:val="0"/>
                <w:szCs w:val="21"/>
                <w:highlight w:val="none"/>
                <w:lang w:val="en-US" w:eastAsia="zh-CN"/>
              </w:rPr>
              <w:t>116.508546607</w:t>
            </w:r>
            <w:r>
              <w:rPr>
                <w:rFonts w:hint="default" w:ascii="Times New Roman" w:hAnsi="Times New Roman" w:cs="Times New Roman"/>
                <w:snapToGrid w:val="0"/>
                <w:szCs w:val="21"/>
                <w:highlight w:val="none"/>
              </w:rPr>
              <w:t>°</w:t>
            </w:r>
          </w:p>
        </w:tc>
        <w:tc>
          <w:tcPr>
            <w:tcW w:w="1452" w:type="dxa"/>
            <w:tcBorders>
              <w:tl2br w:val="nil"/>
              <w:tr2bl w:val="nil"/>
            </w:tcBorders>
            <w:vAlign w:val="center"/>
          </w:tcPr>
          <w:p w14:paraId="54AF0979">
            <w:pPr>
              <w:spacing w:line="240" w:lineRule="atLeast"/>
              <w:jc w:val="center"/>
              <w:rPr>
                <w:rFonts w:hint="eastAsia" w:cs="Times New Roman"/>
                <w:snapToGrid w:val="0"/>
                <w:szCs w:val="21"/>
                <w:highlight w:val="none"/>
                <w:lang w:val="en-US" w:eastAsia="zh-CN"/>
              </w:rPr>
            </w:pPr>
            <w:r>
              <w:rPr>
                <w:rFonts w:hint="eastAsia" w:cs="Times New Roman"/>
                <w:snapToGrid w:val="0"/>
                <w:szCs w:val="21"/>
                <w:highlight w:val="none"/>
                <w:lang w:val="en-US" w:eastAsia="zh-CN"/>
              </w:rPr>
              <w:t>32.707026545</w:t>
            </w:r>
            <w:r>
              <w:rPr>
                <w:rFonts w:hint="default" w:ascii="Times New Roman" w:hAnsi="Times New Roman" w:cs="Times New Roman"/>
                <w:snapToGrid w:val="0"/>
                <w:szCs w:val="21"/>
                <w:highlight w:val="none"/>
              </w:rPr>
              <w:t>°</w:t>
            </w:r>
          </w:p>
        </w:tc>
        <w:tc>
          <w:tcPr>
            <w:tcW w:w="743" w:type="dxa"/>
            <w:tcBorders>
              <w:tl2br w:val="nil"/>
              <w:tr2bl w:val="nil"/>
            </w:tcBorders>
            <w:vAlign w:val="center"/>
          </w:tcPr>
          <w:p w14:paraId="7E518673">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居民区</w:t>
            </w:r>
          </w:p>
        </w:tc>
        <w:tc>
          <w:tcPr>
            <w:tcW w:w="1814" w:type="dxa"/>
            <w:tcBorders>
              <w:tl2br w:val="nil"/>
              <w:tr2bl w:val="nil"/>
            </w:tcBorders>
            <w:vAlign w:val="center"/>
          </w:tcPr>
          <w:p w14:paraId="40F18C0C">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约890户，2860人</w:t>
            </w:r>
          </w:p>
        </w:tc>
        <w:tc>
          <w:tcPr>
            <w:tcW w:w="3062" w:type="dxa"/>
            <w:vMerge w:val="continue"/>
            <w:tcBorders>
              <w:tl2br w:val="nil"/>
              <w:tr2bl w:val="nil"/>
            </w:tcBorders>
            <w:vAlign w:val="center"/>
          </w:tcPr>
          <w:p w14:paraId="60C95980">
            <w:pPr>
              <w:spacing w:line="240" w:lineRule="atLeast"/>
              <w:jc w:val="center"/>
              <w:rPr>
                <w:rFonts w:hint="eastAsia" w:cs="Times New Roman"/>
                <w:snapToGrid w:val="0"/>
                <w:szCs w:val="21"/>
                <w:highlight w:val="none"/>
                <w:lang w:val="en-US" w:eastAsia="zh-CN"/>
              </w:rPr>
            </w:pPr>
          </w:p>
        </w:tc>
        <w:tc>
          <w:tcPr>
            <w:tcW w:w="517" w:type="dxa"/>
            <w:tcBorders>
              <w:tl2br w:val="nil"/>
              <w:tr2bl w:val="nil"/>
            </w:tcBorders>
            <w:vAlign w:val="center"/>
          </w:tcPr>
          <w:p w14:paraId="20B8DE71">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SW</w:t>
            </w:r>
          </w:p>
        </w:tc>
        <w:tc>
          <w:tcPr>
            <w:tcW w:w="1624" w:type="dxa"/>
            <w:tcBorders>
              <w:tl2br w:val="nil"/>
              <w:tr2bl w:val="nil"/>
            </w:tcBorders>
            <w:vAlign w:val="center"/>
          </w:tcPr>
          <w:p w14:paraId="45446559">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450</w:t>
            </w:r>
          </w:p>
        </w:tc>
      </w:tr>
      <w:tr w14:paraId="3894D7E1">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867" w:type="dxa"/>
            <w:vMerge w:val="restart"/>
            <w:tcBorders>
              <w:tl2br w:val="nil"/>
              <w:tr2bl w:val="nil"/>
            </w:tcBorders>
            <w:vAlign w:val="center"/>
          </w:tcPr>
          <w:p w14:paraId="5A270F18">
            <w:pPr>
              <w:spacing w:line="240" w:lineRule="atLeast"/>
              <w:jc w:val="center"/>
              <w:rPr>
                <w:rFonts w:hint="default"/>
                <w:highlight w:val="none"/>
                <w:lang w:eastAsia="zh-CN"/>
              </w:rPr>
            </w:pPr>
            <w:r>
              <w:rPr>
                <w:rFonts w:hint="default" w:ascii="Times New Roman" w:hAnsi="Times New Roman" w:cs="Times New Roman"/>
                <w:bCs/>
                <w:szCs w:val="21"/>
                <w:highlight w:val="none"/>
                <w:lang w:eastAsia="zh-CN"/>
              </w:rPr>
              <w:t>声环境</w:t>
            </w:r>
          </w:p>
        </w:tc>
        <w:tc>
          <w:tcPr>
            <w:tcW w:w="527" w:type="dxa"/>
            <w:tcBorders>
              <w:tl2br w:val="nil"/>
              <w:tr2bl w:val="nil"/>
            </w:tcBorders>
            <w:shd w:val="clear" w:color="auto" w:fill="auto"/>
            <w:vAlign w:val="center"/>
          </w:tcPr>
          <w:p w14:paraId="2E67A30A">
            <w:pPr>
              <w:spacing w:line="240" w:lineRule="atLeast"/>
              <w:jc w:val="center"/>
              <w:rPr>
                <w:rFonts w:hint="default" w:ascii="Times New Roman" w:hAnsi="Times New Roman" w:cs="Times New Roman" w:eastAsiaTheme="minorEastAsia"/>
                <w:snapToGrid w:val="0"/>
                <w:kern w:val="2"/>
                <w:sz w:val="21"/>
                <w:szCs w:val="21"/>
                <w:highlight w:val="none"/>
                <w:lang w:val="en-US" w:eastAsia="zh-CN" w:bidi="ar-SA"/>
              </w:rPr>
            </w:pPr>
            <w:r>
              <w:rPr>
                <w:rFonts w:hint="default" w:ascii="Times New Roman" w:hAnsi="Times New Roman" w:cs="Times New Roman"/>
                <w:snapToGrid w:val="0"/>
                <w:szCs w:val="21"/>
                <w:highlight w:val="none"/>
              </w:rPr>
              <w:t>1</w:t>
            </w:r>
          </w:p>
        </w:tc>
        <w:tc>
          <w:tcPr>
            <w:tcW w:w="1107" w:type="dxa"/>
            <w:tcBorders>
              <w:tl2br w:val="nil"/>
              <w:tr2bl w:val="nil"/>
            </w:tcBorders>
            <w:shd w:val="clear" w:color="auto" w:fill="auto"/>
            <w:vAlign w:val="center"/>
          </w:tcPr>
          <w:p w14:paraId="46AC7C69">
            <w:pPr>
              <w:spacing w:line="240" w:lineRule="atLeast"/>
              <w:jc w:val="center"/>
              <w:rPr>
                <w:rFonts w:hint="default" w:ascii="Times New Roman" w:hAnsi="Times New Roman" w:cs="Times New Roman" w:eastAsiaTheme="minorEastAsia"/>
                <w:snapToGrid w:val="0"/>
                <w:kern w:val="2"/>
                <w:sz w:val="21"/>
                <w:szCs w:val="21"/>
                <w:highlight w:val="none"/>
                <w:lang w:val="en-US" w:eastAsia="zh-CN" w:bidi="ar-SA"/>
              </w:rPr>
            </w:pPr>
            <w:r>
              <w:rPr>
                <w:rFonts w:hint="eastAsia" w:cs="Times New Roman"/>
                <w:snapToGrid w:val="0"/>
                <w:szCs w:val="21"/>
                <w:highlight w:val="none"/>
                <w:lang w:val="en-US" w:eastAsia="zh-CN"/>
              </w:rPr>
              <w:t>钻孔1</w:t>
            </w:r>
          </w:p>
        </w:tc>
        <w:tc>
          <w:tcPr>
            <w:tcW w:w="1075" w:type="dxa"/>
            <w:tcBorders>
              <w:tl2br w:val="nil"/>
              <w:tr2bl w:val="nil"/>
            </w:tcBorders>
            <w:shd w:val="clear" w:color="auto" w:fill="auto"/>
            <w:vAlign w:val="center"/>
          </w:tcPr>
          <w:p w14:paraId="244993F7">
            <w:pPr>
              <w:spacing w:line="240" w:lineRule="atLeast"/>
              <w:jc w:val="center"/>
              <w:rPr>
                <w:rFonts w:hint="default" w:ascii="Times New Roman" w:hAnsi="Times New Roman" w:cs="Times New Roman" w:eastAsiaTheme="minorEastAsia"/>
                <w:kern w:val="0"/>
                <w:sz w:val="21"/>
                <w:szCs w:val="21"/>
                <w:highlight w:val="none"/>
                <w:lang w:val="en-US" w:eastAsia="zh-CN" w:bidi="ar-SA"/>
              </w:rPr>
            </w:pPr>
            <w:r>
              <w:rPr>
                <w:rFonts w:hint="eastAsia" w:cs="Times New Roman" w:eastAsiaTheme="minorEastAsia"/>
                <w:kern w:val="0"/>
                <w:sz w:val="21"/>
                <w:szCs w:val="21"/>
                <w:highlight w:val="none"/>
                <w:lang w:val="en-US" w:eastAsia="zh-CN" w:bidi="ar-SA"/>
              </w:rPr>
              <w:t>居民点A</w:t>
            </w:r>
          </w:p>
        </w:tc>
        <w:tc>
          <w:tcPr>
            <w:tcW w:w="1582" w:type="dxa"/>
            <w:tcBorders>
              <w:tl2br w:val="nil"/>
              <w:tr2bl w:val="nil"/>
            </w:tcBorders>
            <w:shd w:val="clear" w:color="auto" w:fill="auto"/>
            <w:vAlign w:val="center"/>
          </w:tcPr>
          <w:p w14:paraId="5CF917E3">
            <w:pPr>
              <w:spacing w:line="240" w:lineRule="atLeast"/>
              <w:jc w:val="center"/>
              <w:rPr>
                <w:rFonts w:hint="default" w:ascii="Times New Roman" w:hAnsi="Times New Roman" w:cs="Times New Roman" w:eastAsiaTheme="minorEastAsia"/>
                <w:snapToGrid w:val="0"/>
                <w:kern w:val="2"/>
                <w:sz w:val="21"/>
                <w:szCs w:val="21"/>
                <w:highlight w:val="none"/>
                <w:lang w:val="en-US" w:eastAsia="zh-CN" w:bidi="ar-SA"/>
              </w:rPr>
            </w:pPr>
            <w:r>
              <w:rPr>
                <w:rFonts w:hint="default" w:ascii="Times New Roman" w:hAnsi="Times New Roman" w:cs="Times New Roman"/>
                <w:snapToGrid w:val="0"/>
                <w:szCs w:val="21"/>
                <w:highlight w:val="none"/>
              </w:rPr>
              <w:t>116.521749726°</w:t>
            </w:r>
          </w:p>
        </w:tc>
        <w:tc>
          <w:tcPr>
            <w:tcW w:w="1452" w:type="dxa"/>
            <w:tcBorders>
              <w:tl2br w:val="nil"/>
              <w:tr2bl w:val="nil"/>
            </w:tcBorders>
            <w:shd w:val="clear" w:color="auto" w:fill="auto"/>
            <w:vAlign w:val="center"/>
          </w:tcPr>
          <w:p w14:paraId="66FF9515">
            <w:pPr>
              <w:spacing w:line="240" w:lineRule="atLeast"/>
              <w:jc w:val="center"/>
              <w:rPr>
                <w:rFonts w:hint="default" w:ascii="Times New Roman" w:hAnsi="Times New Roman" w:cs="Times New Roman" w:eastAsiaTheme="minorEastAsia"/>
                <w:snapToGrid w:val="0"/>
                <w:kern w:val="2"/>
                <w:sz w:val="21"/>
                <w:szCs w:val="21"/>
                <w:highlight w:val="none"/>
                <w:lang w:val="en-US" w:eastAsia="zh-CN" w:bidi="ar-SA"/>
              </w:rPr>
            </w:pPr>
            <w:r>
              <w:rPr>
                <w:rFonts w:hint="default" w:ascii="Times New Roman" w:hAnsi="Times New Roman" w:cs="Times New Roman"/>
                <w:snapToGrid w:val="0"/>
                <w:szCs w:val="21"/>
                <w:highlight w:val="none"/>
              </w:rPr>
              <w:t>32.704958459°</w:t>
            </w:r>
          </w:p>
        </w:tc>
        <w:tc>
          <w:tcPr>
            <w:tcW w:w="743" w:type="dxa"/>
            <w:tcBorders>
              <w:tl2br w:val="nil"/>
              <w:tr2bl w:val="nil"/>
            </w:tcBorders>
            <w:shd w:val="clear" w:color="auto" w:fill="auto"/>
            <w:vAlign w:val="center"/>
          </w:tcPr>
          <w:p w14:paraId="24D7D6B4">
            <w:pPr>
              <w:spacing w:line="240" w:lineRule="atLeast"/>
              <w:jc w:val="center"/>
              <w:rPr>
                <w:rFonts w:hint="default" w:ascii="Times New Roman" w:hAnsi="Times New Roman" w:cs="Times New Roman" w:eastAsiaTheme="minorEastAsia"/>
                <w:snapToGrid w:val="0"/>
                <w:kern w:val="2"/>
                <w:sz w:val="21"/>
                <w:szCs w:val="21"/>
                <w:highlight w:val="none"/>
                <w:lang w:val="en-US" w:eastAsia="zh-CN" w:bidi="ar-SA"/>
              </w:rPr>
            </w:pPr>
            <w:r>
              <w:rPr>
                <w:rFonts w:hint="default" w:ascii="Times New Roman" w:hAnsi="Times New Roman" w:cs="Times New Roman"/>
                <w:szCs w:val="21"/>
                <w:highlight w:val="none"/>
              </w:rPr>
              <w:t>居民区</w:t>
            </w:r>
          </w:p>
        </w:tc>
        <w:tc>
          <w:tcPr>
            <w:tcW w:w="1814" w:type="dxa"/>
            <w:tcBorders>
              <w:tl2br w:val="nil"/>
              <w:tr2bl w:val="nil"/>
            </w:tcBorders>
            <w:shd w:val="clear" w:color="auto" w:fill="auto"/>
            <w:vAlign w:val="center"/>
          </w:tcPr>
          <w:p w14:paraId="1D016D0C">
            <w:pPr>
              <w:spacing w:line="240" w:lineRule="atLeast"/>
              <w:jc w:val="center"/>
              <w:rPr>
                <w:rFonts w:hint="default" w:ascii="Times New Roman" w:hAnsi="Times New Roman" w:cs="Times New Roman" w:eastAsiaTheme="minorEastAsia"/>
                <w:snapToGrid w:val="0"/>
                <w:color w:val="auto"/>
                <w:kern w:val="2"/>
                <w:sz w:val="21"/>
                <w:szCs w:val="21"/>
                <w:highlight w:val="none"/>
                <w:lang w:val="en-US" w:eastAsia="zh-CN" w:bidi="ar-SA"/>
              </w:rPr>
            </w:pPr>
            <w:r>
              <w:rPr>
                <w:rFonts w:hint="default" w:ascii="Times New Roman" w:hAnsi="Times New Roman" w:cs="Times New Roman"/>
                <w:bCs/>
                <w:color w:val="auto"/>
                <w:szCs w:val="21"/>
                <w:highlight w:val="none"/>
              </w:rPr>
              <w:t>约</w:t>
            </w:r>
            <w:r>
              <w:rPr>
                <w:rFonts w:hint="eastAsia" w:cs="Times New Roman"/>
                <w:bCs/>
                <w:color w:val="auto"/>
                <w:szCs w:val="21"/>
                <w:highlight w:val="none"/>
                <w:lang w:val="en-US" w:eastAsia="zh-CN"/>
              </w:rPr>
              <w:t>1</w:t>
            </w:r>
            <w:r>
              <w:rPr>
                <w:rFonts w:hint="default" w:ascii="Times New Roman" w:hAnsi="Times New Roman" w:cs="Times New Roman"/>
                <w:bCs/>
                <w:color w:val="auto"/>
                <w:szCs w:val="21"/>
                <w:highlight w:val="none"/>
              </w:rPr>
              <w:t>户，</w:t>
            </w:r>
            <w:r>
              <w:rPr>
                <w:rFonts w:hint="eastAsia" w:cs="Times New Roman"/>
                <w:bCs/>
                <w:color w:val="auto"/>
                <w:szCs w:val="21"/>
                <w:highlight w:val="none"/>
                <w:lang w:val="en-US" w:eastAsia="zh-CN"/>
              </w:rPr>
              <w:t>4</w:t>
            </w:r>
            <w:r>
              <w:rPr>
                <w:rFonts w:hint="default" w:ascii="Times New Roman" w:hAnsi="Times New Roman" w:cs="Times New Roman"/>
                <w:bCs/>
                <w:color w:val="auto"/>
                <w:szCs w:val="21"/>
                <w:highlight w:val="none"/>
              </w:rPr>
              <w:t>人</w:t>
            </w:r>
          </w:p>
        </w:tc>
        <w:tc>
          <w:tcPr>
            <w:tcW w:w="3062" w:type="dxa"/>
            <w:vMerge w:val="restart"/>
            <w:tcBorders>
              <w:tl2br w:val="nil"/>
              <w:tr2bl w:val="nil"/>
            </w:tcBorders>
            <w:vAlign w:val="center"/>
          </w:tcPr>
          <w:p w14:paraId="3E6F5150">
            <w:pPr>
              <w:spacing w:line="240" w:lineRule="atLeast"/>
              <w:jc w:val="center"/>
              <w:rPr>
                <w:rFonts w:hint="default" w:ascii="Times New Roman" w:hAnsi="Times New Roman" w:cs="Times New Roman"/>
                <w:snapToGrid w:val="0"/>
                <w:color w:val="auto"/>
                <w:szCs w:val="21"/>
                <w:highlight w:val="none"/>
              </w:rPr>
            </w:pPr>
            <w:r>
              <w:rPr>
                <w:rFonts w:hint="default" w:ascii="Times New Roman" w:hAnsi="Times New Roman" w:cs="Times New Roman"/>
                <w:snapToGrid w:val="0"/>
                <w:color w:val="auto"/>
                <w:szCs w:val="21"/>
                <w:highlight w:val="none"/>
              </w:rPr>
              <w:t>《声环境质量标准》（GB3096-2008）中的</w:t>
            </w:r>
            <w:r>
              <w:rPr>
                <w:rFonts w:hint="eastAsia" w:cs="Times New Roman"/>
                <w:snapToGrid w:val="0"/>
                <w:color w:val="auto"/>
                <w:szCs w:val="21"/>
                <w:highlight w:val="none"/>
                <w:lang w:val="en-US" w:eastAsia="zh-CN"/>
              </w:rPr>
              <w:t>2</w:t>
            </w:r>
            <w:r>
              <w:rPr>
                <w:rFonts w:hint="default" w:ascii="Times New Roman" w:hAnsi="Times New Roman" w:cs="Times New Roman"/>
                <w:snapToGrid w:val="0"/>
                <w:color w:val="auto"/>
                <w:szCs w:val="21"/>
                <w:highlight w:val="none"/>
              </w:rPr>
              <w:t>类标准</w:t>
            </w:r>
          </w:p>
        </w:tc>
        <w:tc>
          <w:tcPr>
            <w:tcW w:w="517" w:type="dxa"/>
            <w:tcBorders>
              <w:tl2br w:val="nil"/>
              <w:tr2bl w:val="nil"/>
            </w:tcBorders>
            <w:shd w:val="clear" w:color="auto" w:fill="auto"/>
            <w:vAlign w:val="center"/>
          </w:tcPr>
          <w:p w14:paraId="7CAB68AE">
            <w:pPr>
              <w:spacing w:line="240" w:lineRule="atLeast"/>
              <w:jc w:val="center"/>
              <w:rPr>
                <w:rFonts w:hint="default" w:ascii="Times New Roman" w:hAnsi="Times New Roman" w:cs="Times New Roman" w:eastAsiaTheme="minorEastAsia"/>
                <w:snapToGrid w:val="0"/>
                <w:color w:val="auto"/>
                <w:kern w:val="2"/>
                <w:sz w:val="21"/>
                <w:szCs w:val="21"/>
                <w:highlight w:val="none"/>
                <w:lang w:val="en-US" w:eastAsia="zh-CN" w:bidi="ar-SA"/>
              </w:rPr>
            </w:pPr>
            <w:r>
              <w:rPr>
                <w:rFonts w:hint="eastAsia" w:cs="Times New Roman" w:eastAsiaTheme="minorEastAsia"/>
                <w:snapToGrid w:val="0"/>
                <w:color w:val="auto"/>
                <w:kern w:val="2"/>
                <w:sz w:val="21"/>
                <w:szCs w:val="21"/>
                <w:highlight w:val="none"/>
                <w:lang w:val="en-US" w:eastAsia="zh-CN" w:bidi="ar-SA"/>
              </w:rPr>
              <w:t>SW</w:t>
            </w:r>
          </w:p>
        </w:tc>
        <w:tc>
          <w:tcPr>
            <w:tcW w:w="1624" w:type="dxa"/>
            <w:tcBorders>
              <w:tl2br w:val="nil"/>
              <w:tr2bl w:val="nil"/>
            </w:tcBorders>
            <w:shd w:val="clear" w:color="auto" w:fill="auto"/>
            <w:vAlign w:val="center"/>
          </w:tcPr>
          <w:p w14:paraId="63A925AB">
            <w:pPr>
              <w:spacing w:line="240" w:lineRule="atLeast"/>
              <w:jc w:val="center"/>
              <w:rPr>
                <w:rFonts w:hint="default" w:ascii="Times New Roman" w:hAnsi="Times New Roman" w:cs="Times New Roman" w:eastAsiaTheme="minorEastAsia"/>
                <w:snapToGrid w:val="0"/>
                <w:color w:val="auto"/>
                <w:kern w:val="2"/>
                <w:sz w:val="21"/>
                <w:szCs w:val="21"/>
                <w:highlight w:val="none"/>
                <w:lang w:val="en-US" w:eastAsia="zh-CN" w:bidi="ar-SA"/>
              </w:rPr>
            </w:pPr>
            <w:r>
              <w:rPr>
                <w:rFonts w:hint="eastAsia" w:cs="Times New Roman" w:eastAsiaTheme="minorEastAsia"/>
                <w:snapToGrid w:val="0"/>
                <w:color w:val="auto"/>
                <w:kern w:val="2"/>
                <w:sz w:val="21"/>
                <w:szCs w:val="21"/>
                <w:highlight w:val="none"/>
                <w:lang w:val="en-US" w:eastAsia="zh-CN" w:bidi="ar-SA"/>
              </w:rPr>
              <w:t>162</w:t>
            </w:r>
          </w:p>
        </w:tc>
      </w:tr>
      <w:tr w14:paraId="15D96D09">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867" w:type="dxa"/>
            <w:vMerge w:val="continue"/>
            <w:tcBorders>
              <w:tl2br w:val="nil"/>
              <w:tr2bl w:val="nil"/>
            </w:tcBorders>
            <w:vAlign w:val="center"/>
          </w:tcPr>
          <w:p w14:paraId="21777C64">
            <w:pPr>
              <w:spacing w:line="240" w:lineRule="atLeast"/>
              <w:jc w:val="center"/>
              <w:rPr>
                <w:rFonts w:hint="default" w:ascii="Times New Roman" w:hAnsi="Times New Roman" w:cs="Times New Roman"/>
                <w:bCs/>
                <w:szCs w:val="21"/>
                <w:highlight w:val="none"/>
                <w:lang w:eastAsia="zh-CN"/>
              </w:rPr>
            </w:pPr>
          </w:p>
        </w:tc>
        <w:tc>
          <w:tcPr>
            <w:tcW w:w="527" w:type="dxa"/>
            <w:tcBorders>
              <w:tl2br w:val="nil"/>
              <w:tr2bl w:val="nil"/>
            </w:tcBorders>
            <w:shd w:val="clear" w:color="auto" w:fill="auto"/>
            <w:vAlign w:val="center"/>
          </w:tcPr>
          <w:p w14:paraId="0E328FC6">
            <w:pPr>
              <w:spacing w:line="240" w:lineRule="atLeast"/>
              <w:jc w:val="center"/>
              <w:rPr>
                <w:rFonts w:hint="default" w:ascii="Times New Roman" w:hAnsi="Times New Roman" w:cs="Times New Roman"/>
                <w:snapToGrid w:val="0"/>
                <w:szCs w:val="21"/>
                <w:highlight w:val="none"/>
                <w:lang w:val="en-US" w:eastAsia="zh-CN"/>
              </w:rPr>
            </w:pPr>
            <w:r>
              <w:rPr>
                <w:rFonts w:hint="eastAsia" w:cs="Times New Roman"/>
                <w:snapToGrid w:val="0"/>
                <w:szCs w:val="21"/>
                <w:highlight w:val="none"/>
                <w:lang w:val="en-US" w:eastAsia="zh-CN"/>
              </w:rPr>
              <w:t>10</w:t>
            </w:r>
          </w:p>
        </w:tc>
        <w:tc>
          <w:tcPr>
            <w:tcW w:w="1107" w:type="dxa"/>
            <w:tcBorders>
              <w:tl2br w:val="nil"/>
              <w:tr2bl w:val="nil"/>
            </w:tcBorders>
            <w:shd w:val="clear" w:color="auto" w:fill="auto"/>
            <w:vAlign w:val="center"/>
          </w:tcPr>
          <w:p w14:paraId="2D7625EA">
            <w:pPr>
              <w:spacing w:line="240" w:lineRule="atLeast"/>
              <w:jc w:val="center"/>
              <w:rPr>
                <w:rFonts w:hint="default" w:cs="Times New Roman"/>
                <w:snapToGrid w:val="0"/>
                <w:szCs w:val="21"/>
                <w:highlight w:val="none"/>
                <w:lang w:val="en-US" w:eastAsia="zh-CN"/>
              </w:rPr>
            </w:pPr>
            <w:r>
              <w:rPr>
                <w:rFonts w:hint="eastAsia" w:cs="Times New Roman"/>
                <w:snapToGrid w:val="0"/>
                <w:szCs w:val="21"/>
                <w:highlight w:val="none"/>
                <w:lang w:val="en-US" w:eastAsia="zh-CN"/>
              </w:rPr>
              <w:t>钻孔10</w:t>
            </w:r>
          </w:p>
        </w:tc>
        <w:tc>
          <w:tcPr>
            <w:tcW w:w="1075" w:type="dxa"/>
            <w:tcBorders>
              <w:tl2br w:val="nil"/>
              <w:tr2bl w:val="nil"/>
            </w:tcBorders>
            <w:shd w:val="clear" w:color="auto" w:fill="auto"/>
            <w:vAlign w:val="center"/>
          </w:tcPr>
          <w:p w14:paraId="70D65570">
            <w:pPr>
              <w:spacing w:line="240" w:lineRule="atLeast"/>
              <w:jc w:val="center"/>
              <w:rPr>
                <w:rFonts w:hint="default" w:ascii="Times New Roman" w:hAnsi="Times New Roman" w:cs="Times New Roman" w:eastAsiaTheme="minorEastAsia"/>
                <w:kern w:val="0"/>
                <w:sz w:val="21"/>
                <w:szCs w:val="21"/>
                <w:highlight w:val="none"/>
                <w:lang w:val="en-US" w:eastAsia="zh-CN" w:bidi="ar-SA"/>
              </w:rPr>
            </w:pPr>
            <w:r>
              <w:rPr>
                <w:rFonts w:hint="eastAsia" w:cs="Times New Roman" w:eastAsiaTheme="minorEastAsia"/>
                <w:kern w:val="0"/>
                <w:sz w:val="21"/>
                <w:szCs w:val="21"/>
                <w:highlight w:val="none"/>
                <w:lang w:val="en-US" w:eastAsia="zh-CN" w:bidi="ar-SA"/>
              </w:rPr>
              <w:t>居民点B</w:t>
            </w:r>
          </w:p>
        </w:tc>
        <w:tc>
          <w:tcPr>
            <w:tcW w:w="1582" w:type="dxa"/>
            <w:tcBorders>
              <w:tl2br w:val="nil"/>
              <w:tr2bl w:val="nil"/>
            </w:tcBorders>
            <w:shd w:val="clear" w:color="auto" w:fill="auto"/>
            <w:vAlign w:val="center"/>
          </w:tcPr>
          <w:p w14:paraId="0900A2FA">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116.523686281°</w:t>
            </w:r>
          </w:p>
        </w:tc>
        <w:tc>
          <w:tcPr>
            <w:tcW w:w="1452" w:type="dxa"/>
            <w:tcBorders>
              <w:tl2br w:val="nil"/>
              <w:tr2bl w:val="nil"/>
            </w:tcBorders>
            <w:shd w:val="clear" w:color="auto" w:fill="auto"/>
            <w:vAlign w:val="center"/>
          </w:tcPr>
          <w:p w14:paraId="77620729">
            <w:pPr>
              <w:spacing w:line="240" w:lineRule="atLeast"/>
              <w:jc w:val="center"/>
              <w:rPr>
                <w:rFonts w:hint="default" w:ascii="Times New Roman" w:hAnsi="Times New Roman" w:cs="Times New Roman"/>
                <w:snapToGrid w:val="0"/>
                <w:szCs w:val="21"/>
                <w:highlight w:val="none"/>
              </w:rPr>
            </w:pPr>
            <w:r>
              <w:rPr>
                <w:rFonts w:hint="default" w:ascii="Times New Roman" w:hAnsi="Times New Roman" w:cs="Times New Roman"/>
                <w:snapToGrid w:val="0"/>
                <w:szCs w:val="21"/>
                <w:highlight w:val="none"/>
              </w:rPr>
              <w:t>32.704550763°</w:t>
            </w:r>
          </w:p>
        </w:tc>
        <w:tc>
          <w:tcPr>
            <w:tcW w:w="743" w:type="dxa"/>
            <w:tcBorders>
              <w:tl2br w:val="nil"/>
              <w:tr2bl w:val="nil"/>
            </w:tcBorders>
            <w:shd w:val="clear" w:color="auto" w:fill="auto"/>
            <w:vAlign w:val="center"/>
          </w:tcPr>
          <w:p w14:paraId="4E4CAB1D">
            <w:pPr>
              <w:spacing w:line="240" w:lineRule="atLeast"/>
              <w:jc w:val="center"/>
              <w:rPr>
                <w:rFonts w:hint="eastAsia" w:ascii="Times New Roman" w:hAnsi="Times New Roman" w:eastAsia="宋体" w:cs="Times New Roman"/>
                <w:szCs w:val="21"/>
                <w:highlight w:val="none"/>
                <w:lang w:val="en-US" w:eastAsia="zh-CN"/>
              </w:rPr>
            </w:pPr>
            <w:r>
              <w:rPr>
                <w:rFonts w:hint="eastAsia" w:cs="Times New Roman"/>
                <w:szCs w:val="21"/>
                <w:highlight w:val="none"/>
                <w:lang w:val="en-US" w:eastAsia="zh-CN"/>
              </w:rPr>
              <w:t>居民区</w:t>
            </w:r>
          </w:p>
        </w:tc>
        <w:tc>
          <w:tcPr>
            <w:tcW w:w="1814" w:type="dxa"/>
            <w:tcBorders>
              <w:tl2br w:val="nil"/>
              <w:tr2bl w:val="nil"/>
            </w:tcBorders>
            <w:shd w:val="clear" w:color="auto" w:fill="auto"/>
            <w:vAlign w:val="center"/>
          </w:tcPr>
          <w:p w14:paraId="47745E0C">
            <w:pPr>
              <w:spacing w:line="24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约</w:t>
            </w:r>
            <w:r>
              <w:rPr>
                <w:rFonts w:hint="eastAsia" w:cs="Times New Roman"/>
                <w:bCs/>
                <w:szCs w:val="21"/>
                <w:highlight w:val="none"/>
                <w:lang w:val="en-US" w:eastAsia="zh-CN"/>
              </w:rPr>
              <w:t>3</w:t>
            </w:r>
            <w:r>
              <w:rPr>
                <w:rFonts w:hint="default" w:ascii="Times New Roman" w:hAnsi="Times New Roman" w:cs="Times New Roman"/>
                <w:bCs/>
                <w:szCs w:val="21"/>
                <w:highlight w:val="none"/>
              </w:rPr>
              <w:t>户，</w:t>
            </w:r>
            <w:r>
              <w:rPr>
                <w:rFonts w:hint="eastAsia" w:cs="Times New Roman"/>
                <w:bCs/>
                <w:szCs w:val="21"/>
                <w:highlight w:val="none"/>
                <w:lang w:val="en-US" w:eastAsia="zh-CN"/>
              </w:rPr>
              <w:t>12</w:t>
            </w:r>
            <w:r>
              <w:rPr>
                <w:rFonts w:hint="default" w:ascii="Times New Roman" w:hAnsi="Times New Roman" w:cs="Times New Roman"/>
                <w:bCs/>
                <w:szCs w:val="21"/>
                <w:highlight w:val="none"/>
              </w:rPr>
              <w:t>人</w:t>
            </w:r>
          </w:p>
        </w:tc>
        <w:tc>
          <w:tcPr>
            <w:tcW w:w="3062" w:type="dxa"/>
            <w:vMerge w:val="continue"/>
            <w:tcBorders>
              <w:tl2br w:val="nil"/>
              <w:tr2bl w:val="nil"/>
            </w:tcBorders>
            <w:vAlign w:val="center"/>
          </w:tcPr>
          <w:p w14:paraId="550908A4">
            <w:pPr>
              <w:spacing w:line="240" w:lineRule="atLeast"/>
              <w:jc w:val="center"/>
              <w:rPr>
                <w:rFonts w:hint="default" w:ascii="Times New Roman" w:hAnsi="Times New Roman" w:cs="Times New Roman"/>
                <w:snapToGrid w:val="0"/>
                <w:color w:val="auto"/>
                <w:szCs w:val="21"/>
                <w:highlight w:val="none"/>
              </w:rPr>
            </w:pPr>
          </w:p>
        </w:tc>
        <w:tc>
          <w:tcPr>
            <w:tcW w:w="517" w:type="dxa"/>
            <w:tcBorders>
              <w:tl2br w:val="nil"/>
              <w:tr2bl w:val="nil"/>
            </w:tcBorders>
            <w:shd w:val="clear" w:color="auto" w:fill="auto"/>
            <w:vAlign w:val="center"/>
          </w:tcPr>
          <w:p w14:paraId="2FB5676A">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SE</w:t>
            </w:r>
          </w:p>
        </w:tc>
        <w:tc>
          <w:tcPr>
            <w:tcW w:w="1624" w:type="dxa"/>
            <w:tcBorders>
              <w:tl2br w:val="nil"/>
              <w:tr2bl w:val="nil"/>
            </w:tcBorders>
            <w:shd w:val="clear" w:color="auto" w:fill="auto"/>
            <w:vAlign w:val="center"/>
          </w:tcPr>
          <w:p w14:paraId="4AF55318">
            <w:pPr>
              <w:spacing w:line="240" w:lineRule="atLeast"/>
              <w:jc w:val="center"/>
              <w:rPr>
                <w:rFonts w:hint="default" w:ascii="Times New Roman" w:hAnsi="Times New Roman" w:eastAsia="宋体" w:cs="Times New Roman"/>
                <w:snapToGrid w:val="0"/>
                <w:szCs w:val="21"/>
                <w:highlight w:val="none"/>
                <w:lang w:val="en-US" w:eastAsia="zh-CN"/>
              </w:rPr>
            </w:pPr>
            <w:r>
              <w:rPr>
                <w:rFonts w:hint="eastAsia" w:cs="Times New Roman"/>
                <w:snapToGrid w:val="0"/>
                <w:szCs w:val="21"/>
                <w:highlight w:val="none"/>
                <w:lang w:val="en-US" w:eastAsia="zh-CN"/>
              </w:rPr>
              <w:t>145.4</w:t>
            </w:r>
          </w:p>
        </w:tc>
      </w:tr>
      <w:tr w14:paraId="0FB6CA93">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100" w:hRule="atLeast"/>
          <w:jc w:val="center"/>
        </w:trPr>
        <w:tc>
          <w:tcPr>
            <w:tcW w:w="867" w:type="dxa"/>
            <w:vMerge w:val="restart"/>
            <w:tcBorders>
              <w:tl2br w:val="nil"/>
              <w:tr2bl w:val="nil"/>
            </w:tcBorders>
            <w:vAlign w:val="center"/>
          </w:tcPr>
          <w:p w14:paraId="36C46E92">
            <w:pPr>
              <w:spacing w:line="24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地表水环境</w:t>
            </w:r>
          </w:p>
        </w:tc>
        <w:tc>
          <w:tcPr>
            <w:tcW w:w="527" w:type="dxa"/>
            <w:tcBorders>
              <w:tl2br w:val="nil"/>
              <w:tr2bl w:val="nil"/>
            </w:tcBorders>
            <w:vAlign w:val="center"/>
          </w:tcPr>
          <w:p w14:paraId="6D3FAF4C">
            <w:pPr>
              <w:spacing w:line="24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1</w:t>
            </w:r>
          </w:p>
        </w:tc>
        <w:tc>
          <w:tcPr>
            <w:tcW w:w="1107" w:type="dxa"/>
            <w:tcBorders>
              <w:tl2br w:val="nil"/>
              <w:tr2bl w:val="nil"/>
            </w:tcBorders>
            <w:vAlign w:val="center"/>
          </w:tcPr>
          <w:p w14:paraId="0FE5EA33">
            <w:pPr>
              <w:spacing w:line="240" w:lineRule="atLeast"/>
              <w:jc w:val="center"/>
              <w:rPr>
                <w:rFonts w:hint="default" w:ascii="Times New Roman" w:hAnsi="Times New Roman" w:eastAsia="宋体" w:cs="Times New Roman"/>
                <w:bCs/>
                <w:szCs w:val="21"/>
                <w:highlight w:val="none"/>
                <w:lang w:val="en-US" w:eastAsia="zh-CN"/>
              </w:rPr>
            </w:pPr>
            <w:r>
              <w:rPr>
                <w:rFonts w:hint="eastAsia" w:cs="Times New Roman"/>
                <w:bCs/>
                <w:szCs w:val="21"/>
                <w:highlight w:val="none"/>
                <w:lang w:val="en-US" w:eastAsia="zh-CN"/>
              </w:rPr>
              <w:t>钻孔1~9</w:t>
            </w:r>
          </w:p>
        </w:tc>
        <w:tc>
          <w:tcPr>
            <w:tcW w:w="4109" w:type="dxa"/>
            <w:gridSpan w:val="3"/>
            <w:vMerge w:val="restart"/>
            <w:tcBorders>
              <w:tl2br w:val="nil"/>
              <w:tr2bl w:val="nil"/>
            </w:tcBorders>
            <w:vAlign w:val="center"/>
          </w:tcPr>
          <w:p w14:paraId="463FEB17">
            <w:pPr>
              <w:spacing w:line="240" w:lineRule="atLeast"/>
              <w:jc w:val="center"/>
              <w:rPr>
                <w:rFonts w:hint="eastAsia" w:ascii="Times New Roman" w:hAnsi="Times New Roman" w:eastAsia="宋体" w:cs="Times New Roman"/>
                <w:szCs w:val="21"/>
                <w:highlight w:val="none"/>
                <w:lang w:val="en-US" w:eastAsia="zh-CN"/>
              </w:rPr>
            </w:pPr>
            <w:r>
              <w:rPr>
                <w:rFonts w:hint="eastAsia" w:cs="Times New Roman"/>
                <w:szCs w:val="21"/>
                <w:highlight w:val="none"/>
                <w:lang w:val="en-US" w:eastAsia="zh-CN"/>
              </w:rPr>
              <w:t>八丈沟</w:t>
            </w:r>
          </w:p>
        </w:tc>
        <w:tc>
          <w:tcPr>
            <w:tcW w:w="2557" w:type="dxa"/>
            <w:gridSpan w:val="2"/>
            <w:vMerge w:val="restart"/>
            <w:tcBorders>
              <w:tl2br w:val="nil"/>
              <w:tr2bl w:val="nil"/>
            </w:tcBorders>
            <w:vAlign w:val="center"/>
          </w:tcPr>
          <w:p w14:paraId="36D02290">
            <w:pPr>
              <w:spacing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小型河流</w:t>
            </w:r>
          </w:p>
        </w:tc>
        <w:tc>
          <w:tcPr>
            <w:tcW w:w="3062" w:type="dxa"/>
            <w:vMerge w:val="restart"/>
            <w:tcBorders>
              <w:tl2br w:val="nil"/>
              <w:tr2bl w:val="nil"/>
            </w:tcBorders>
            <w:vAlign w:val="center"/>
          </w:tcPr>
          <w:p w14:paraId="7B31FC05">
            <w:pPr>
              <w:spacing w:line="24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《地表水环境质量标准》（GB3838-2002）</w:t>
            </w:r>
            <w:r>
              <w:rPr>
                <w:rFonts w:hint="default" w:ascii="Times New Roman" w:hAnsi="Times New Roman" w:eastAsia="宋体" w:cs="Times New Roman"/>
                <w:kern w:val="0"/>
                <w:szCs w:val="21"/>
                <w:highlight w:val="none"/>
              </w:rPr>
              <w:t>Ⅲ</w:t>
            </w:r>
            <w:r>
              <w:rPr>
                <w:rFonts w:hint="default" w:ascii="Times New Roman" w:hAnsi="Times New Roman" w:cs="Times New Roman"/>
                <w:bCs/>
                <w:szCs w:val="21"/>
                <w:highlight w:val="none"/>
              </w:rPr>
              <w:t>类标准</w:t>
            </w:r>
          </w:p>
        </w:tc>
        <w:tc>
          <w:tcPr>
            <w:tcW w:w="517" w:type="dxa"/>
            <w:tcBorders>
              <w:tl2br w:val="nil"/>
              <w:tr2bl w:val="nil"/>
            </w:tcBorders>
            <w:vAlign w:val="center"/>
          </w:tcPr>
          <w:p w14:paraId="172B06D8">
            <w:pPr>
              <w:spacing w:line="240" w:lineRule="atLeast"/>
              <w:jc w:val="center"/>
              <w:rPr>
                <w:rFonts w:hint="default" w:ascii="Times New Roman" w:hAnsi="Times New Roman" w:eastAsia="宋体" w:cs="Times New Roman"/>
                <w:bCs/>
                <w:szCs w:val="21"/>
                <w:highlight w:val="none"/>
                <w:lang w:val="en-US" w:eastAsia="zh-CN"/>
              </w:rPr>
            </w:pPr>
            <w:r>
              <w:rPr>
                <w:rFonts w:hint="eastAsia" w:cs="Times New Roman"/>
                <w:bCs/>
                <w:szCs w:val="21"/>
                <w:highlight w:val="none"/>
                <w:lang w:val="en-US" w:eastAsia="zh-CN"/>
              </w:rPr>
              <w:t>SW</w:t>
            </w:r>
          </w:p>
        </w:tc>
        <w:tc>
          <w:tcPr>
            <w:tcW w:w="1624" w:type="dxa"/>
            <w:tcBorders>
              <w:tl2br w:val="nil"/>
              <w:tr2bl w:val="nil"/>
            </w:tcBorders>
            <w:vAlign w:val="center"/>
          </w:tcPr>
          <w:p w14:paraId="7CF47033">
            <w:pPr>
              <w:spacing w:line="240" w:lineRule="atLeast"/>
              <w:jc w:val="center"/>
              <w:rPr>
                <w:rFonts w:hint="default" w:ascii="Times New Roman" w:hAnsi="Times New Roman" w:eastAsia="宋体" w:cs="Times New Roman"/>
                <w:bCs/>
                <w:szCs w:val="21"/>
                <w:highlight w:val="none"/>
                <w:lang w:val="en-US" w:eastAsia="zh-CN"/>
              </w:rPr>
            </w:pPr>
            <w:r>
              <w:rPr>
                <w:rFonts w:hint="eastAsia" w:cs="Times New Roman"/>
                <w:bCs/>
                <w:szCs w:val="21"/>
                <w:highlight w:val="none"/>
                <w:lang w:val="en-US" w:eastAsia="zh-CN"/>
              </w:rPr>
              <w:t>5~20</w:t>
            </w:r>
          </w:p>
        </w:tc>
      </w:tr>
      <w:tr w14:paraId="0A9FA9F3">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100" w:hRule="atLeast"/>
          <w:jc w:val="center"/>
        </w:trPr>
        <w:tc>
          <w:tcPr>
            <w:tcW w:w="867" w:type="dxa"/>
            <w:vMerge w:val="continue"/>
            <w:tcBorders>
              <w:tl2br w:val="nil"/>
              <w:tr2bl w:val="nil"/>
            </w:tcBorders>
            <w:vAlign w:val="center"/>
          </w:tcPr>
          <w:p w14:paraId="4B4A3DCE">
            <w:pPr>
              <w:spacing w:line="240" w:lineRule="atLeast"/>
              <w:jc w:val="center"/>
            </w:pPr>
          </w:p>
        </w:tc>
        <w:tc>
          <w:tcPr>
            <w:tcW w:w="527" w:type="dxa"/>
            <w:tcBorders>
              <w:tl2br w:val="nil"/>
              <w:tr2bl w:val="nil"/>
            </w:tcBorders>
            <w:vAlign w:val="center"/>
          </w:tcPr>
          <w:p w14:paraId="2C3DEC96">
            <w:pPr>
              <w:spacing w:line="240" w:lineRule="atLeast"/>
              <w:jc w:val="center"/>
              <w:rPr>
                <w:rFonts w:hint="eastAsia" w:ascii="Times New Roman" w:hAnsi="Times New Roman" w:eastAsia="宋体" w:cs="Times New Roman"/>
                <w:bCs/>
                <w:szCs w:val="21"/>
                <w:highlight w:val="none"/>
                <w:lang w:val="en-US" w:eastAsia="zh-CN"/>
              </w:rPr>
            </w:pPr>
            <w:r>
              <w:rPr>
                <w:rFonts w:hint="eastAsia" w:cs="Times New Roman"/>
                <w:bCs/>
                <w:szCs w:val="21"/>
                <w:highlight w:val="none"/>
                <w:lang w:val="en-US" w:eastAsia="zh-CN"/>
              </w:rPr>
              <w:t>2</w:t>
            </w:r>
          </w:p>
        </w:tc>
        <w:tc>
          <w:tcPr>
            <w:tcW w:w="1107" w:type="dxa"/>
            <w:tcBorders>
              <w:tl2br w:val="nil"/>
              <w:tr2bl w:val="nil"/>
            </w:tcBorders>
            <w:vAlign w:val="center"/>
          </w:tcPr>
          <w:p w14:paraId="2976B0E3">
            <w:pPr>
              <w:spacing w:line="240" w:lineRule="atLeast"/>
              <w:jc w:val="center"/>
              <w:rPr>
                <w:rFonts w:hint="default" w:ascii="Times New Roman" w:hAnsi="Times New Roman" w:eastAsia="宋体" w:cs="Times New Roman"/>
                <w:bCs/>
                <w:szCs w:val="21"/>
                <w:highlight w:val="none"/>
                <w:lang w:val="en-US" w:eastAsia="zh-CN"/>
              </w:rPr>
            </w:pPr>
            <w:r>
              <w:rPr>
                <w:rFonts w:hint="eastAsia" w:cs="Times New Roman"/>
                <w:bCs/>
                <w:szCs w:val="21"/>
                <w:highlight w:val="none"/>
                <w:lang w:val="en-US" w:eastAsia="zh-CN"/>
              </w:rPr>
              <w:t>钻孔10~11</w:t>
            </w:r>
          </w:p>
        </w:tc>
        <w:tc>
          <w:tcPr>
            <w:tcW w:w="4109" w:type="dxa"/>
            <w:gridSpan w:val="3"/>
            <w:vMerge w:val="continue"/>
            <w:tcBorders>
              <w:tl2br w:val="nil"/>
              <w:tr2bl w:val="nil"/>
            </w:tcBorders>
            <w:vAlign w:val="center"/>
          </w:tcPr>
          <w:p w14:paraId="5C4C0B58">
            <w:pPr>
              <w:spacing w:line="240" w:lineRule="atLeast"/>
              <w:jc w:val="center"/>
              <w:rPr>
                <w:rFonts w:hint="default" w:ascii="Times New Roman" w:hAnsi="Times New Roman" w:cs="Times New Roman"/>
                <w:bCs/>
                <w:szCs w:val="21"/>
                <w:highlight w:val="none"/>
              </w:rPr>
            </w:pPr>
          </w:p>
        </w:tc>
        <w:tc>
          <w:tcPr>
            <w:tcW w:w="2557" w:type="dxa"/>
            <w:gridSpan w:val="2"/>
            <w:vMerge w:val="continue"/>
            <w:tcBorders>
              <w:tl2br w:val="nil"/>
              <w:tr2bl w:val="nil"/>
            </w:tcBorders>
            <w:vAlign w:val="center"/>
          </w:tcPr>
          <w:p w14:paraId="1DB90409">
            <w:pPr>
              <w:spacing w:line="240" w:lineRule="atLeast"/>
              <w:jc w:val="center"/>
              <w:rPr>
                <w:rFonts w:hint="default" w:ascii="Times New Roman" w:hAnsi="Times New Roman" w:cs="Times New Roman"/>
                <w:bCs/>
                <w:szCs w:val="21"/>
                <w:highlight w:val="none"/>
              </w:rPr>
            </w:pPr>
          </w:p>
        </w:tc>
        <w:tc>
          <w:tcPr>
            <w:tcW w:w="3062" w:type="dxa"/>
            <w:vMerge w:val="continue"/>
            <w:tcBorders>
              <w:tl2br w:val="nil"/>
              <w:tr2bl w:val="nil"/>
            </w:tcBorders>
            <w:vAlign w:val="center"/>
          </w:tcPr>
          <w:p w14:paraId="4878B076">
            <w:pPr>
              <w:spacing w:line="240" w:lineRule="atLeast"/>
              <w:jc w:val="center"/>
              <w:rPr>
                <w:rFonts w:hint="default" w:ascii="Times New Roman" w:hAnsi="Times New Roman" w:cs="Times New Roman"/>
                <w:bCs/>
                <w:szCs w:val="21"/>
                <w:highlight w:val="none"/>
              </w:rPr>
            </w:pPr>
          </w:p>
        </w:tc>
        <w:tc>
          <w:tcPr>
            <w:tcW w:w="517" w:type="dxa"/>
            <w:tcBorders>
              <w:tl2br w:val="nil"/>
              <w:tr2bl w:val="nil"/>
            </w:tcBorders>
            <w:vAlign w:val="center"/>
          </w:tcPr>
          <w:p w14:paraId="210ED919">
            <w:pPr>
              <w:spacing w:line="240" w:lineRule="atLeast"/>
              <w:jc w:val="center"/>
              <w:rPr>
                <w:rFonts w:hint="default" w:ascii="Times New Roman" w:hAnsi="Times New Roman" w:eastAsia="宋体" w:cs="Times New Roman"/>
                <w:bCs/>
                <w:szCs w:val="21"/>
                <w:highlight w:val="none"/>
                <w:lang w:val="en-US" w:eastAsia="zh-CN"/>
              </w:rPr>
            </w:pPr>
            <w:r>
              <w:rPr>
                <w:rFonts w:hint="eastAsia" w:cs="Times New Roman"/>
                <w:bCs/>
                <w:szCs w:val="21"/>
                <w:highlight w:val="none"/>
                <w:lang w:val="en-US" w:eastAsia="zh-CN"/>
              </w:rPr>
              <w:t>NE</w:t>
            </w:r>
          </w:p>
        </w:tc>
        <w:tc>
          <w:tcPr>
            <w:tcW w:w="1624" w:type="dxa"/>
            <w:tcBorders>
              <w:tl2br w:val="nil"/>
              <w:tr2bl w:val="nil"/>
            </w:tcBorders>
            <w:vAlign w:val="center"/>
          </w:tcPr>
          <w:p w14:paraId="6AF4F562">
            <w:pPr>
              <w:spacing w:line="240" w:lineRule="atLeast"/>
              <w:jc w:val="center"/>
              <w:rPr>
                <w:rFonts w:hint="default" w:ascii="Times New Roman" w:hAnsi="Times New Roman" w:eastAsia="宋体" w:cs="Times New Roman"/>
                <w:bCs/>
                <w:szCs w:val="21"/>
                <w:highlight w:val="none"/>
                <w:lang w:val="en-US" w:eastAsia="zh-CN"/>
              </w:rPr>
            </w:pPr>
            <w:r>
              <w:rPr>
                <w:rFonts w:hint="eastAsia" w:cs="Times New Roman"/>
                <w:bCs/>
                <w:szCs w:val="21"/>
                <w:highlight w:val="none"/>
                <w:lang w:val="en-US" w:eastAsia="zh-CN"/>
              </w:rPr>
              <w:t>5~45</w:t>
            </w:r>
          </w:p>
        </w:tc>
      </w:tr>
      <w:tr w14:paraId="16DC1ABD">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100" w:hRule="atLeast"/>
          <w:jc w:val="center"/>
        </w:trPr>
        <w:tc>
          <w:tcPr>
            <w:tcW w:w="867" w:type="dxa"/>
            <w:vMerge w:val="continue"/>
            <w:tcBorders>
              <w:tl2br w:val="nil"/>
              <w:tr2bl w:val="nil"/>
            </w:tcBorders>
            <w:vAlign w:val="center"/>
          </w:tcPr>
          <w:p w14:paraId="6715928C">
            <w:pPr>
              <w:spacing w:line="240" w:lineRule="atLeast"/>
              <w:jc w:val="center"/>
              <w:rPr>
                <w:rFonts w:hint="default" w:ascii="Times New Roman" w:hAnsi="Times New Roman" w:cs="Times New Roman"/>
                <w:bCs/>
                <w:szCs w:val="21"/>
                <w:highlight w:val="none"/>
              </w:rPr>
            </w:pPr>
          </w:p>
        </w:tc>
        <w:tc>
          <w:tcPr>
            <w:tcW w:w="527" w:type="dxa"/>
            <w:tcBorders>
              <w:tl2br w:val="nil"/>
              <w:tr2bl w:val="nil"/>
            </w:tcBorders>
            <w:vAlign w:val="center"/>
          </w:tcPr>
          <w:p w14:paraId="76719049">
            <w:pPr>
              <w:spacing w:line="240" w:lineRule="atLeast"/>
              <w:jc w:val="center"/>
              <w:rPr>
                <w:rFonts w:hint="eastAsia" w:ascii="Times New Roman" w:hAnsi="Times New Roman" w:eastAsia="宋体" w:cs="Times New Roman"/>
                <w:bCs/>
                <w:szCs w:val="21"/>
                <w:highlight w:val="none"/>
                <w:lang w:val="en-US" w:eastAsia="zh-CN"/>
              </w:rPr>
            </w:pPr>
            <w:r>
              <w:rPr>
                <w:rFonts w:hint="eastAsia" w:cs="Times New Roman"/>
                <w:bCs/>
                <w:szCs w:val="21"/>
                <w:highlight w:val="none"/>
                <w:lang w:val="en-US" w:eastAsia="zh-CN"/>
              </w:rPr>
              <w:t>3</w:t>
            </w:r>
          </w:p>
        </w:tc>
        <w:tc>
          <w:tcPr>
            <w:tcW w:w="1107" w:type="dxa"/>
            <w:tcBorders>
              <w:tl2br w:val="nil"/>
              <w:tr2bl w:val="nil"/>
            </w:tcBorders>
            <w:vAlign w:val="center"/>
          </w:tcPr>
          <w:p w14:paraId="77FC75BF">
            <w:pPr>
              <w:spacing w:line="240" w:lineRule="atLeast"/>
              <w:jc w:val="center"/>
              <w:rPr>
                <w:rFonts w:hint="eastAsia" w:ascii="Times New Roman" w:hAnsi="Times New Roman" w:eastAsia="宋体" w:cs="Times New Roman"/>
                <w:bCs/>
                <w:szCs w:val="21"/>
                <w:highlight w:val="none"/>
                <w:lang w:val="en-US" w:eastAsia="zh-CN"/>
              </w:rPr>
            </w:pPr>
            <w:r>
              <w:rPr>
                <w:rFonts w:hint="eastAsia" w:cs="Times New Roman"/>
                <w:bCs/>
                <w:szCs w:val="21"/>
                <w:highlight w:val="none"/>
                <w:lang w:val="en-US" w:eastAsia="zh-CN"/>
              </w:rPr>
              <w:t>注浆站</w:t>
            </w:r>
          </w:p>
        </w:tc>
        <w:tc>
          <w:tcPr>
            <w:tcW w:w="4109" w:type="dxa"/>
            <w:gridSpan w:val="3"/>
            <w:vMerge w:val="continue"/>
            <w:tcBorders>
              <w:tl2br w:val="nil"/>
              <w:tr2bl w:val="nil"/>
            </w:tcBorders>
            <w:vAlign w:val="center"/>
          </w:tcPr>
          <w:p w14:paraId="19E21790">
            <w:pPr>
              <w:spacing w:line="240" w:lineRule="atLeast"/>
              <w:jc w:val="center"/>
              <w:rPr>
                <w:rFonts w:hint="default" w:ascii="Times New Roman" w:hAnsi="Times New Roman" w:cs="Times New Roman"/>
                <w:bCs/>
                <w:szCs w:val="21"/>
                <w:highlight w:val="none"/>
              </w:rPr>
            </w:pPr>
          </w:p>
        </w:tc>
        <w:tc>
          <w:tcPr>
            <w:tcW w:w="2557" w:type="dxa"/>
            <w:gridSpan w:val="2"/>
            <w:vMerge w:val="continue"/>
            <w:tcBorders>
              <w:tl2br w:val="nil"/>
              <w:tr2bl w:val="nil"/>
            </w:tcBorders>
            <w:vAlign w:val="center"/>
          </w:tcPr>
          <w:p w14:paraId="5C9C5B87">
            <w:pPr>
              <w:spacing w:line="240" w:lineRule="atLeast"/>
              <w:jc w:val="center"/>
              <w:rPr>
                <w:rFonts w:hint="default" w:ascii="Times New Roman" w:hAnsi="Times New Roman" w:cs="Times New Roman"/>
                <w:bCs/>
                <w:szCs w:val="21"/>
                <w:highlight w:val="none"/>
              </w:rPr>
            </w:pPr>
          </w:p>
        </w:tc>
        <w:tc>
          <w:tcPr>
            <w:tcW w:w="3062" w:type="dxa"/>
            <w:vMerge w:val="continue"/>
            <w:tcBorders>
              <w:tl2br w:val="nil"/>
              <w:tr2bl w:val="nil"/>
            </w:tcBorders>
            <w:vAlign w:val="center"/>
          </w:tcPr>
          <w:p w14:paraId="2B36AB8F">
            <w:pPr>
              <w:spacing w:line="240" w:lineRule="atLeast"/>
              <w:jc w:val="center"/>
              <w:rPr>
                <w:rFonts w:hint="default" w:ascii="Times New Roman" w:hAnsi="Times New Roman" w:cs="Times New Roman"/>
                <w:bCs/>
                <w:szCs w:val="21"/>
                <w:highlight w:val="none"/>
              </w:rPr>
            </w:pPr>
          </w:p>
        </w:tc>
        <w:tc>
          <w:tcPr>
            <w:tcW w:w="517" w:type="dxa"/>
            <w:tcBorders>
              <w:tl2br w:val="nil"/>
              <w:tr2bl w:val="nil"/>
            </w:tcBorders>
            <w:vAlign w:val="center"/>
          </w:tcPr>
          <w:p w14:paraId="6F34B7A3">
            <w:pPr>
              <w:spacing w:line="240" w:lineRule="atLeast"/>
              <w:jc w:val="center"/>
              <w:rPr>
                <w:rFonts w:hint="default" w:ascii="Times New Roman" w:hAnsi="Times New Roman" w:eastAsia="宋体" w:cs="Times New Roman"/>
                <w:bCs/>
                <w:szCs w:val="21"/>
                <w:highlight w:val="none"/>
                <w:lang w:val="en-US" w:eastAsia="zh-CN"/>
              </w:rPr>
            </w:pPr>
            <w:r>
              <w:rPr>
                <w:rFonts w:hint="eastAsia" w:cs="Times New Roman"/>
                <w:bCs/>
                <w:szCs w:val="21"/>
                <w:highlight w:val="none"/>
                <w:lang w:val="en-US" w:eastAsia="zh-CN"/>
              </w:rPr>
              <w:t>NE</w:t>
            </w:r>
          </w:p>
        </w:tc>
        <w:tc>
          <w:tcPr>
            <w:tcW w:w="1624" w:type="dxa"/>
            <w:tcBorders>
              <w:tl2br w:val="nil"/>
              <w:tr2bl w:val="nil"/>
            </w:tcBorders>
            <w:vAlign w:val="center"/>
          </w:tcPr>
          <w:p w14:paraId="5EB9794C">
            <w:pPr>
              <w:spacing w:line="240" w:lineRule="atLeast"/>
              <w:jc w:val="center"/>
              <w:rPr>
                <w:rFonts w:hint="default" w:ascii="Times New Roman" w:hAnsi="Times New Roman" w:eastAsia="宋体" w:cs="Times New Roman"/>
                <w:bCs/>
                <w:szCs w:val="21"/>
                <w:highlight w:val="none"/>
                <w:lang w:val="en-US" w:eastAsia="zh-CN"/>
              </w:rPr>
            </w:pPr>
            <w:r>
              <w:rPr>
                <w:rFonts w:hint="eastAsia" w:cs="Times New Roman"/>
                <w:bCs/>
                <w:szCs w:val="21"/>
                <w:highlight w:val="none"/>
                <w:lang w:val="en-US" w:eastAsia="zh-CN"/>
              </w:rPr>
              <w:t>25</w:t>
            </w:r>
          </w:p>
        </w:tc>
      </w:tr>
      <w:tr w14:paraId="59233C69">
        <w:tblPrEx>
          <w:tblBorders>
            <w:top w:val="single" w:color="000000" w:themeColor="text1" w:sz="4" w:space="0"/>
            <w:left w:val="single" w:color="000000" w:themeColor="text1" w:sz="4" w:space="0"/>
            <w:bottom w:val="single" w:color="auto"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867" w:type="dxa"/>
            <w:tcBorders>
              <w:tl2br w:val="nil"/>
              <w:tr2bl w:val="nil"/>
            </w:tcBorders>
            <w:vAlign w:val="center"/>
          </w:tcPr>
          <w:p w14:paraId="5228678E">
            <w:pPr>
              <w:spacing w:line="24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生态环境</w:t>
            </w:r>
          </w:p>
        </w:tc>
        <w:tc>
          <w:tcPr>
            <w:tcW w:w="5743" w:type="dxa"/>
            <w:gridSpan w:val="5"/>
            <w:tcBorders>
              <w:tl2br w:val="nil"/>
              <w:tr2bl w:val="nil"/>
            </w:tcBorders>
            <w:vAlign w:val="center"/>
          </w:tcPr>
          <w:p w14:paraId="5FAA9C45">
            <w:pPr>
              <w:spacing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农田、野生动植物</w:t>
            </w:r>
          </w:p>
        </w:tc>
        <w:tc>
          <w:tcPr>
            <w:tcW w:w="2557" w:type="dxa"/>
            <w:gridSpan w:val="2"/>
            <w:tcBorders>
              <w:tl2br w:val="nil"/>
              <w:tr2bl w:val="nil"/>
            </w:tcBorders>
            <w:vAlign w:val="center"/>
          </w:tcPr>
          <w:p w14:paraId="66F80C3B">
            <w:pPr>
              <w:spacing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3062" w:type="dxa"/>
            <w:tcBorders>
              <w:tl2br w:val="nil"/>
              <w:tr2bl w:val="nil"/>
            </w:tcBorders>
            <w:vAlign w:val="center"/>
          </w:tcPr>
          <w:p w14:paraId="3AD5659A">
            <w:pPr>
              <w:spacing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不对周围生态环境产生明显影响</w:t>
            </w:r>
          </w:p>
        </w:tc>
        <w:tc>
          <w:tcPr>
            <w:tcW w:w="2141" w:type="dxa"/>
            <w:gridSpan w:val="2"/>
            <w:tcBorders>
              <w:tl2br w:val="nil"/>
              <w:tr2bl w:val="nil"/>
            </w:tcBorders>
            <w:vAlign w:val="center"/>
          </w:tcPr>
          <w:p w14:paraId="61E35223">
            <w:pPr>
              <w:spacing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项目及周边区域</w:t>
            </w:r>
          </w:p>
        </w:tc>
      </w:tr>
    </w:tbl>
    <w:p w14:paraId="5717D45E">
      <w:pPr>
        <w:widowControl/>
        <w:spacing w:before="100" w:beforeAutospacing="1" w:after="100" w:afterAutospacing="1"/>
        <w:outlineLvl w:val="0"/>
        <w:rPr>
          <w:rFonts w:hint="default" w:ascii="Times New Roman" w:hAnsi="Times New Roman" w:eastAsia="黑体" w:cs="Times New Roman"/>
          <w:snapToGrid w:val="0"/>
          <w:color w:val="FF0000"/>
          <w:sz w:val="36"/>
          <w:szCs w:val="36"/>
          <w:highlight w:val="none"/>
        </w:rPr>
        <w:sectPr>
          <w:pgSz w:w="16838" w:h="11906" w:orient="landscape"/>
          <w:pgMar w:top="1797" w:right="1440" w:bottom="1797" w:left="1440" w:header="851" w:footer="1077" w:gutter="0"/>
          <w:pgBorders>
            <w:top w:val="none" w:sz="0" w:space="0"/>
            <w:left w:val="none" w:sz="0" w:space="0"/>
            <w:bottom w:val="none" w:sz="0" w:space="0"/>
            <w:right w:val="none" w:sz="0" w:space="0"/>
          </w:pgBorders>
          <w:cols w:space="425" w:num="1"/>
          <w:docGrid w:type="lines" w:linePitch="312" w:charSpace="0"/>
        </w:sectPr>
      </w:pPr>
    </w:p>
    <w:tbl>
      <w:tblPr>
        <w:tblStyle w:val="29"/>
        <w:tblW w:w="915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04"/>
        <w:gridCol w:w="8253"/>
      </w:tblGrid>
      <w:tr w14:paraId="07D049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11" w:hRule="atLeast"/>
          <w:jc w:val="center"/>
        </w:trPr>
        <w:tc>
          <w:tcPr>
            <w:tcW w:w="904" w:type="dxa"/>
            <w:vAlign w:val="center"/>
          </w:tcPr>
          <w:p w14:paraId="0CFB9F67">
            <w:pPr>
              <w:adjustRightInd w:val="0"/>
              <w:snapToGrid w:val="0"/>
              <w:jc w:val="center"/>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 w:val="24"/>
                <w:szCs w:val="24"/>
                <w:highlight w:val="none"/>
              </w:rPr>
              <w:t>评价标准</w:t>
            </w:r>
          </w:p>
        </w:tc>
        <w:tc>
          <w:tcPr>
            <w:tcW w:w="8253" w:type="dxa"/>
            <w:vAlign w:val="center"/>
          </w:tcPr>
          <w:p w14:paraId="708C8CD6">
            <w:pPr>
              <w:widowControl/>
              <w:spacing w:line="360" w:lineRule="auto"/>
              <w:jc w:val="left"/>
              <w:rPr>
                <w:color w:val="auto"/>
                <w:highlight w:val="none"/>
              </w:rPr>
            </w:pPr>
            <w:r>
              <w:rPr>
                <w:b/>
                <w:bCs/>
                <w:color w:val="auto"/>
                <w:kern w:val="0"/>
                <w:sz w:val="24"/>
                <w:highlight w:val="none"/>
                <w:lang w:bidi="ar"/>
              </w:rPr>
              <w:t>一、环境质量标准</w:t>
            </w:r>
          </w:p>
          <w:p w14:paraId="1EE9D7CD">
            <w:pPr>
              <w:spacing w:line="360" w:lineRule="auto"/>
              <w:ind w:firstLine="480" w:firstLineChars="200"/>
              <w:rPr>
                <w:snapToGrid w:val="0"/>
                <w:kern w:val="0"/>
                <w:sz w:val="24"/>
                <w:szCs w:val="28"/>
                <w:highlight w:val="none"/>
              </w:rPr>
            </w:pPr>
            <w:r>
              <w:rPr>
                <w:sz w:val="24"/>
                <w:highlight w:val="none"/>
              </w:rPr>
              <w:t>1、</w:t>
            </w:r>
            <w:r>
              <w:rPr>
                <w:snapToGrid w:val="0"/>
                <w:kern w:val="0"/>
                <w:sz w:val="24"/>
                <w:szCs w:val="28"/>
                <w:highlight w:val="none"/>
              </w:rPr>
              <w:t>评价区域地表水</w:t>
            </w:r>
            <w:r>
              <w:rPr>
                <w:rFonts w:hint="eastAsia"/>
                <w:snapToGrid w:val="0"/>
                <w:kern w:val="0"/>
                <w:sz w:val="24"/>
                <w:szCs w:val="28"/>
                <w:highlight w:val="none"/>
                <w:lang w:val="en-US" w:eastAsia="zh-CN"/>
              </w:rPr>
              <w:t>西淝河支流</w:t>
            </w:r>
            <w:r>
              <w:rPr>
                <w:snapToGrid w:val="0"/>
                <w:kern w:val="0"/>
                <w:sz w:val="24"/>
                <w:szCs w:val="28"/>
                <w:highlight w:val="none"/>
              </w:rPr>
              <w:t>评价执行《地表水环境质量标准》（GB3838-2002）Ⅲ类标准。</w:t>
            </w:r>
          </w:p>
          <w:p w14:paraId="37E6FCE5">
            <w:pPr>
              <w:spacing w:line="240" w:lineRule="atLeast"/>
              <w:jc w:val="center"/>
              <w:rPr>
                <w:rFonts w:eastAsia="黑体"/>
                <w:szCs w:val="20"/>
                <w:highlight w:val="none"/>
              </w:rPr>
            </w:pPr>
            <w:r>
              <w:rPr>
                <w:rFonts w:eastAsia="黑体"/>
                <w:szCs w:val="20"/>
                <w:highlight w:val="none"/>
              </w:rPr>
              <w:t>表3-</w:t>
            </w:r>
            <w:r>
              <w:rPr>
                <w:rFonts w:hint="eastAsia" w:eastAsia="黑体"/>
                <w:szCs w:val="20"/>
                <w:highlight w:val="none"/>
                <w:lang w:val="en-US" w:eastAsia="zh-CN"/>
              </w:rPr>
              <w:t>4</w:t>
            </w:r>
            <w:r>
              <w:rPr>
                <w:rFonts w:eastAsia="黑体"/>
                <w:szCs w:val="20"/>
                <w:highlight w:val="none"/>
              </w:rPr>
              <w:t xml:space="preserve">  水环境质量标准   单位：mg/L(pH除外)</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2"/>
              <w:gridCol w:w="3543"/>
              <w:gridCol w:w="496"/>
              <w:gridCol w:w="660"/>
              <w:gridCol w:w="728"/>
              <w:gridCol w:w="809"/>
              <w:gridCol w:w="726"/>
            </w:tblGrid>
            <w:tr w14:paraId="77762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82" w:type="dxa"/>
                  <w:noWrap w:val="0"/>
                  <w:vAlign w:val="center"/>
                </w:tcPr>
                <w:p w14:paraId="78354A10">
                  <w:pPr>
                    <w:jc w:val="center"/>
                    <w:rPr>
                      <w:highlight w:val="none"/>
                    </w:rPr>
                  </w:pPr>
                  <w:r>
                    <w:rPr>
                      <w:highlight w:val="none"/>
                    </w:rPr>
                    <w:t>水体</w:t>
                  </w:r>
                </w:p>
              </w:tc>
              <w:tc>
                <w:tcPr>
                  <w:tcW w:w="3543" w:type="dxa"/>
                  <w:noWrap w:val="0"/>
                  <w:vAlign w:val="center"/>
                </w:tcPr>
                <w:p w14:paraId="1E537797">
                  <w:pPr>
                    <w:jc w:val="center"/>
                    <w:rPr>
                      <w:highlight w:val="none"/>
                    </w:rPr>
                  </w:pPr>
                  <w:r>
                    <w:rPr>
                      <w:highlight w:val="none"/>
                    </w:rPr>
                    <w:t>标准</w:t>
                  </w:r>
                </w:p>
              </w:tc>
              <w:tc>
                <w:tcPr>
                  <w:tcW w:w="496" w:type="dxa"/>
                  <w:noWrap w:val="0"/>
                  <w:vAlign w:val="center"/>
                </w:tcPr>
                <w:p w14:paraId="03822A6B">
                  <w:pPr>
                    <w:jc w:val="center"/>
                    <w:rPr>
                      <w:highlight w:val="none"/>
                    </w:rPr>
                  </w:pPr>
                  <w:r>
                    <w:rPr>
                      <w:highlight w:val="none"/>
                    </w:rPr>
                    <w:t>pH</w:t>
                  </w:r>
                </w:p>
              </w:tc>
              <w:tc>
                <w:tcPr>
                  <w:tcW w:w="660" w:type="dxa"/>
                  <w:noWrap w:val="0"/>
                  <w:vAlign w:val="center"/>
                </w:tcPr>
                <w:p w14:paraId="18B464A7">
                  <w:pPr>
                    <w:jc w:val="center"/>
                    <w:rPr>
                      <w:highlight w:val="none"/>
                    </w:rPr>
                  </w:pPr>
                  <w:r>
                    <w:rPr>
                      <w:highlight w:val="none"/>
                    </w:rPr>
                    <w:t>COD</w:t>
                  </w:r>
                </w:p>
              </w:tc>
              <w:tc>
                <w:tcPr>
                  <w:tcW w:w="728" w:type="dxa"/>
                  <w:noWrap w:val="0"/>
                  <w:vAlign w:val="center"/>
                </w:tcPr>
                <w:p w14:paraId="2BAA0688">
                  <w:pPr>
                    <w:jc w:val="center"/>
                    <w:rPr>
                      <w:highlight w:val="none"/>
                    </w:rPr>
                  </w:pPr>
                  <w:r>
                    <w:rPr>
                      <w:highlight w:val="none"/>
                    </w:rPr>
                    <w:t>BOD</w:t>
                  </w:r>
                  <w:r>
                    <w:rPr>
                      <w:highlight w:val="none"/>
                      <w:vertAlign w:val="subscript"/>
                    </w:rPr>
                    <w:t>5</w:t>
                  </w:r>
                </w:p>
              </w:tc>
              <w:tc>
                <w:tcPr>
                  <w:tcW w:w="809" w:type="dxa"/>
                  <w:noWrap w:val="0"/>
                  <w:vAlign w:val="center"/>
                </w:tcPr>
                <w:p w14:paraId="2818FF2F">
                  <w:pPr>
                    <w:jc w:val="center"/>
                    <w:rPr>
                      <w:highlight w:val="none"/>
                    </w:rPr>
                  </w:pPr>
                  <w:bookmarkStart w:id="12" w:name="_Toc183433375"/>
                  <w:bookmarkStart w:id="13" w:name="_Toc4092"/>
                  <w:bookmarkStart w:id="14" w:name="_Toc31879"/>
                  <w:bookmarkStart w:id="15" w:name="_Toc225846357"/>
                  <w:bookmarkStart w:id="16" w:name="_Toc226167590"/>
                  <w:r>
                    <w:rPr>
                      <w:highlight w:val="none"/>
                    </w:rPr>
                    <w:t>NH</w:t>
                  </w:r>
                  <w:r>
                    <w:rPr>
                      <w:highlight w:val="none"/>
                      <w:vertAlign w:val="subscript"/>
                    </w:rPr>
                    <w:t>3</w:t>
                  </w:r>
                  <w:r>
                    <w:rPr>
                      <w:highlight w:val="none"/>
                    </w:rPr>
                    <w:t>-N</w:t>
                  </w:r>
                  <w:bookmarkEnd w:id="12"/>
                  <w:bookmarkEnd w:id="13"/>
                  <w:bookmarkEnd w:id="14"/>
                  <w:bookmarkEnd w:id="15"/>
                  <w:bookmarkEnd w:id="16"/>
                </w:p>
              </w:tc>
              <w:tc>
                <w:tcPr>
                  <w:tcW w:w="726" w:type="dxa"/>
                  <w:noWrap w:val="0"/>
                  <w:vAlign w:val="center"/>
                </w:tcPr>
                <w:p w14:paraId="1CF6EE6D">
                  <w:pPr>
                    <w:jc w:val="center"/>
                    <w:rPr>
                      <w:highlight w:val="none"/>
                    </w:rPr>
                  </w:pPr>
                  <w:r>
                    <w:rPr>
                      <w:highlight w:val="none"/>
                    </w:rPr>
                    <w:t>石油类</w:t>
                  </w:r>
                </w:p>
              </w:tc>
            </w:tr>
            <w:tr w14:paraId="2DC29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82" w:type="dxa"/>
                  <w:noWrap w:val="0"/>
                  <w:vAlign w:val="center"/>
                </w:tcPr>
                <w:p w14:paraId="72118216">
                  <w:pPr>
                    <w:jc w:val="center"/>
                    <w:rPr>
                      <w:highlight w:val="none"/>
                    </w:rPr>
                  </w:pPr>
                  <w:r>
                    <w:rPr>
                      <w:highlight w:val="none"/>
                    </w:rPr>
                    <w:t>西淝河</w:t>
                  </w:r>
                  <w:r>
                    <w:rPr>
                      <w:rFonts w:hint="eastAsia"/>
                      <w:highlight w:val="none"/>
                    </w:rPr>
                    <w:t>支流</w:t>
                  </w:r>
                </w:p>
              </w:tc>
              <w:tc>
                <w:tcPr>
                  <w:tcW w:w="3543" w:type="dxa"/>
                  <w:noWrap w:val="0"/>
                  <w:vAlign w:val="center"/>
                </w:tcPr>
                <w:p w14:paraId="1D00EB49">
                  <w:pPr>
                    <w:jc w:val="center"/>
                    <w:rPr>
                      <w:highlight w:val="none"/>
                    </w:rPr>
                  </w:pPr>
                  <w:r>
                    <w:rPr>
                      <w:highlight w:val="none"/>
                    </w:rPr>
                    <w:t>《地表水环境质量标准》（GB3838-2002）Ⅲ类标准</w:t>
                  </w:r>
                </w:p>
              </w:tc>
              <w:tc>
                <w:tcPr>
                  <w:tcW w:w="496" w:type="dxa"/>
                  <w:noWrap w:val="0"/>
                  <w:vAlign w:val="center"/>
                </w:tcPr>
                <w:p w14:paraId="5EF85138">
                  <w:pPr>
                    <w:jc w:val="center"/>
                    <w:rPr>
                      <w:highlight w:val="none"/>
                    </w:rPr>
                  </w:pPr>
                  <w:r>
                    <w:rPr>
                      <w:highlight w:val="none"/>
                    </w:rPr>
                    <w:t>6-9</w:t>
                  </w:r>
                </w:p>
              </w:tc>
              <w:tc>
                <w:tcPr>
                  <w:tcW w:w="660" w:type="dxa"/>
                  <w:noWrap w:val="0"/>
                  <w:vAlign w:val="center"/>
                </w:tcPr>
                <w:p w14:paraId="7D963E5B">
                  <w:pPr>
                    <w:jc w:val="center"/>
                    <w:rPr>
                      <w:highlight w:val="none"/>
                    </w:rPr>
                  </w:pPr>
                  <w:r>
                    <w:rPr>
                      <w:highlight w:val="none"/>
                    </w:rPr>
                    <w:t>20</w:t>
                  </w:r>
                </w:p>
              </w:tc>
              <w:tc>
                <w:tcPr>
                  <w:tcW w:w="728" w:type="dxa"/>
                  <w:noWrap w:val="0"/>
                  <w:vAlign w:val="center"/>
                </w:tcPr>
                <w:p w14:paraId="32404840">
                  <w:pPr>
                    <w:jc w:val="center"/>
                    <w:rPr>
                      <w:highlight w:val="none"/>
                    </w:rPr>
                  </w:pPr>
                  <w:r>
                    <w:rPr>
                      <w:highlight w:val="none"/>
                    </w:rPr>
                    <w:t>4</w:t>
                  </w:r>
                </w:p>
              </w:tc>
              <w:tc>
                <w:tcPr>
                  <w:tcW w:w="809" w:type="dxa"/>
                  <w:noWrap w:val="0"/>
                  <w:vAlign w:val="center"/>
                </w:tcPr>
                <w:p w14:paraId="7D4B6D49">
                  <w:pPr>
                    <w:jc w:val="center"/>
                    <w:rPr>
                      <w:highlight w:val="none"/>
                    </w:rPr>
                  </w:pPr>
                  <w:r>
                    <w:rPr>
                      <w:highlight w:val="none"/>
                    </w:rPr>
                    <w:t>1</w:t>
                  </w:r>
                </w:p>
              </w:tc>
              <w:tc>
                <w:tcPr>
                  <w:tcW w:w="726" w:type="dxa"/>
                  <w:noWrap w:val="0"/>
                  <w:vAlign w:val="center"/>
                </w:tcPr>
                <w:p w14:paraId="3B0ECB5E">
                  <w:pPr>
                    <w:jc w:val="center"/>
                    <w:rPr>
                      <w:highlight w:val="none"/>
                    </w:rPr>
                  </w:pPr>
                  <w:r>
                    <w:rPr>
                      <w:highlight w:val="none"/>
                    </w:rPr>
                    <w:t>0.05</w:t>
                  </w:r>
                </w:p>
              </w:tc>
            </w:tr>
          </w:tbl>
          <w:p w14:paraId="0E75884C">
            <w:pPr>
              <w:spacing w:before="120" w:beforeLines="50" w:line="360" w:lineRule="auto"/>
              <w:ind w:firstLine="480" w:firstLineChars="200"/>
              <w:rPr>
                <w:sz w:val="24"/>
                <w:highlight w:val="none"/>
              </w:rPr>
            </w:pPr>
            <w:r>
              <w:rPr>
                <w:sz w:val="24"/>
                <w:highlight w:val="none"/>
              </w:rPr>
              <w:t>2、建设项目环境空气评价范围内的区域属于空气质量二类功能区，SO</w:t>
            </w:r>
            <w:r>
              <w:rPr>
                <w:sz w:val="24"/>
                <w:highlight w:val="none"/>
                <w:vertAlign w:val="subscript"/>
              </w:rPr>
              <w:t>2</w:t>
            </w:r>
            <w:r>
              <w:rPr>
                <w:sz w:val="24"/>
                <w:highlight w:val="none"/>
              </w:rPr>
              <w:t>、NO</w:t>
            </w:r>
            <w:r>
              <w:rPr>
                <w:sz w:val="24"/>
                <w:highlight w:val="none"/>
                <w:vertAlign w:val="subscript"/>
              </w:rPr>
              <w:t>2</w:t>
            </w:r>
            <w:r>
              <w:rPr>
                <w:sz w:val="24"/>
                <w:highlight w:val="none"/>
              </w:rPr>
              <w:t>、PM</w:t>
            </w:r>
            <w:r>
              <w:rPr>
                <w:sz w:val="24"/>
                <w:highlight w:val="none"/>
                <w:vertAlign w:val="subscript"/>
              </w:rPr>
              <w:t>10</w:t>
            </w:r>
            <w:r>
              <w:rPr>
                <w:sz w:val="24"/>
                <w:highlight w:val="none"/>
              </w:rPr>
              <w:t>、PM</w:t>
            </w:r>
            <w:r>
              <w:rPr>
                <w:sz w:val="24"/>
                <w:highlight w:val="none"/>
                <w:vertAlign w:val="subscript"/>
              </w:rPr>
              <w:t>2.5</w:t>
            </w:r>
            <w:r>
              <w:rPr>
                <w:sz w:val="24"/>
                <w:highlight w:val="none"/>
              </w:rPr>
              <w:t>、CO、O</w:t>
            </w:r>
            <w:r>
              <w:rPr>
                <w:sz w:val="24"/>
                <w:highlight w:val="none"/>
                <w:vertAlign w:val="subscript"/>
              </w:rPr>
              <w:t>3</w:t>
            </w:r>
            <w:r>
              <w:rPr>
                <w:sz w:val="24"/>
                <w:highlight w:val="none"/>
              </w:rPr>
              <w:t>常规因子及TSP执行《环境空气质量标准》（GB3095-20</w:t>
            </w:r>
            <w:r>
              <w:rPr>
                <w:rFonts w:hint="eastAsia"/>
                <w:sz w:val="24"/>
                <w:highlight w:val="none"/>
              </w:rPr>
              <w:t>26</w:t>
            </w:r>
            <w:r>
              <w:rPr>
                <w:sz w:val="24"/>
                <w:highlight w:val="none"/>
              </w:rPr>
              <w:t>）中的二级标准，具体标准值详见下表：</w:t>
            </w:r>
          </w:p>
          <w:p w14:paraId="3820D9BF">
            <w:pPr>
              <w:spacing w:line="240" w:lineRule="atLeast"/>
              <w:jc w:val="center"/>
              <w:rPr>
                <w:rFonts w:eastAsia="黑体"/>
                <w:szCs w:val="20"/>
                <w:highlight w:val="none"/>
              </w:rPr>
            </w:pPr>
            <w:r>
              <w:rPr>
                <w:rFonts w:eastAsia="黑体"/>
                <w:szCs w:val="20"/>
                <w:highlight w:val="none"/>
              </w:rPr>
              <w:t>表3-</w:t>
            </w:r>
            <w:r>
              <w:rPr>
                <w:rFonts w:hint="eastAsia" w:eastAsia="黑体"/>
                <w:szCs w:val="20"/>
                <w:highlight w:val="none"/>
                <w:lang w:val="en-US" w:eastAsia="zh-CN"/>
              </w:rPr>
              <w:t>5</w:t>
            </w:r>
            <w:r>
              <w:rPr>
                <w:rFonts w:eastAsia="黑体"/>
                <w:szCs w:val="20"/>
                <w:highlight w:val="none"/>
              </w:rPr>
              <w:t xml:space="preserve">  环境空气质量标准</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5"/>
              <w:gridCol w:w="1330"/>
              <w:gridCol w:w="1213"/>
              <w:gridCol w:w="862"/>
              <w:gridCol w:w="3617"/>
            </w:tblGrid>
            <w:tr w14:paraId="224D9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jc w:val="center"/>
              </w:trPr>
              <w:tc>
                <w:tcPr>
                  <w:tcW w:w="626" w:type="pct"/>
                  <w:noWrap w:val="0"/>
                  <w:vAlign w:val="center"/>
                </w:tcPr>
                <w:p w14:paraId="3DBEF78F">
                  <w:pPr>
                    <w:jc w:val="center"/>
                    <w:rPr>
                      <w:szCs w:val="21"/>
                      <w:highlight w:val="none"/>
                    </w:rPr>
                  </w:pPr>
                  <w:r>
                    <w:rPr>
                      <w:szCs w:val="21"/>
                      <w:highlight w:val="none"/>
                    </w:rPr>
                    <w:t>污染物名称</w:t>
                  </w:r>
                </w:p>
              </w:tc>
              <w:tc>
                <w:tcPr>
                  <w:tcW w:w="828" w:type="pct"/>
                  <w:noWrap w:val="0"/>
                  <w:vAlign w:val="center"/>
                </w:tcPr>
                <w:p w14:paraId="48630E4F">
                  <w:pPr>
                    <w:jc w:val="center"/>
                    <w:rPr>
                      <w:szCs w:val="21"/>
                      <w:highlight w:val="none"/>
                    </w:rPr>
                  </w:pPr>
                  <w:r>
                    <w:rPr>
                      <w:szCs w:val="21"/>
                      <w:highlight w:val="none"/>
                    </w:rPr>
                    <w:t>取值时间</w:t>
                  </w:r>
                </w:p>
              </w:tc>
              <w:tc>
                <w:tcPr>
                  <w:tcW w:w="755" w:type="pct"/>
                  <w:noWrap w:val="0"/>
                  <w:vAlign w:val="center"/>
                </w:tcPr>
                <w:p w14:paraId="4559E13D">
                  <w:pPr>
                    <w:jc w:val="center"/>
                    <w:rPr>
                      <w:szCs w:val="21"/>
                      <w:highlight w:val="none"/>
                    </w:rPr>
                  </w:pPr>
                  <w:r>
                    <w:rPr>
                      <w:szCs w:val="21"/>
                      <w:highlight w:val="none"/>
                    </w:rPr>
                    <w:t>浓度限值</w:t>
                  </w:r>
                </w:p>
              </w:tc>
              <w:tc>
                <w:tcPr>
                  <w:tcW w:w="537" w:type="pct"/>
                  <w:noWrap w:val="0"/>
                  <w:vAlign w:val="center"/>
                </w:tcPr>
                <w:p w14:paraId="35A1CFC8">
                  <w:pPr>
                    <w:jc w:val="center"/>
                    <w:rPr>
                      <w:szCs w:val="21"/>
                      <w:highlight w:val="none"/>
                    </w:rPr>
                  </w:pPr>
                  <w:r>
                    <w:rPr>
                      <w:szCs w:val="21"/>
                      <w:highlight w:val="none"/>
                    </w:rPr>
                    <w:t>单位</w:t>
                  </w:r>
                </w:p>
              </w:tc>
              <w:tc>
                <w:tcPr>
                  <w:tcW w:w="2252" w:type="pct"/>
                  <w:noWrap w:val="0"/>
                  <w:vAlign w:val="center"/>
                </w:tcPr>
                <w:p w14:paraId="2521D6D8">
                  <w:pPr>
                    <w:jc w:val="center"/>
                    <w:rPr>
                      <w:szCs w:val="21"/>
                      <w:highlight w:val="none"/>
                    </w:rPr>
                  </w:pPr>
                  <w:r>
                    <w:rPr>
                      <w:szCs w:val="21"/>
                      <w:highlight w:val="none"/>
                    </w:rPr>
                    <w:t>标准来源</w:t>
                  </w:r>
                </w:p>
              </w:tc>
            </w:tr>
            <w:tr w14:paraId="7C1A3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26" w:type="pct"/>
                  <w:vMerge w:val="restart"/>
                  <w:noWrap w:val="0"/>
                  <w:vAlign w:val="center"/>
                </w:tcPr>
                <w:p w14:paraId="73B5173E">
                  <w:pPr>
                    <w:jc w:val="center"/>
                    <w:rPr>
                      <w:szCs w:val="21"/>
                      <w:highlight w:val="none"/>
                      <w:vertAlign w:val="subscript"/>
                    </w:rPr>
                  </w:pPr>
                  <w:r>
                    <w:rPr>
                      <w:szCs w:val="21"/>
                      <w:highlight w:val="none"/>
                    </w:rPr>
                    <w:t>SO</w:t>
                  </w:r>
                  <w:r>
                    <w:rPr>
                      <w:szCs w:val="21"/>
                      <w:highlight w:val="none"/>
                      <w:vertAlign w:val="subscript"/>
                    </w:rPr>
                    <w:t>2</w:t>
                  </w:r>
                </w:p>
              </w:tc>
              <w:tc>
                <w:tcPr>
                  <w:tcW w:w="828" w:type="pct"/>
                  <w:noWrap w:val="0"/>
                  <w:vAlign w:val="center"/>
                </w:tcPr>
                <w:p w14:paraId="485C779C">
                  <w:pPr>
                    <w:spacing w:line="240" w:lineRule="exact"/>
                    <w:jc w:val="center"/>
                    <w:rPr>
                      <w:szCs w:val="21"/>
                      <w:highlight w:val="none"/>
                    </w:rPr>
                  </w:pPr>
                  <w:r>
                    <w:rPr>
                      <w:szCs w:val="21"/>
                      <w:highlight w:val="none"/>
                    </w:rPr>
                    <w:t>日平均</w:t>
                  </w:r>
                </w:p>
              </w:tc>
              <w:tc>
                <w:tcPr>
                  <w:tcW w:w="755" w:type="pct"/>
                  <w:noWrap w:val="0"/>
                  <w:vAlign w:val="center"/>
                </w:tcPr>
                <w:p w14:paraId="76885106">
                  <w:pPr>
                    <w:spacing w:line="240" w:lineRule="exact"/>
                    <w:jc w:val="center"/>
                    <w:rPr>
                      <w:szCs w:val="21"/>
                      <w:highlight w:val="none"/>
                    </w:rPr>
                  </w:pPr>
                  <w:r>
                    <w:rPr>
                      <w:szCs w:val="21"/>
                      <w:highlight w:val="none"/>
                    </w:rPr>
                    <w:t>150</w:t>
                  </w:r>
                </w:p>
              </w:tc>
              <w:tc>
                <w:tcPr>
                  <w:tcW w:w="537" w:type="pct"/>
                  <w:vMerge w:val="restart"/>
                  <w:noWrap w:val="0"/>
                  <w:vAlign w:val="center"/>
                </w:tcPr>
                <w:p w14:paraId="7F91A2E4">
                  <w:pPr>
                    <w:jc w:val="center"/>
                    <w:rPr>
                      <w:szCs w:val="21"/>
                      <w:highlight w:val="none"/>
                    </w:rPr>
                  </w:pPr>
                  <w:r>
                    <w:rPr>
                      <w:rFonts w:ascii="Times New Roman" w:hAnsi="Times New Roman" w:eastAsia="宋体" w:cs="Times New Roman"/>
                      <w:szCs w:val="21"/>
                      <w:highlight w:val="none"/>
                    </w:rPr>
                    <w:t>μg/m</w:t>
                  </w:r>
                  <w:r>
                    <w:rPr>
                      <w:bCs/>
                      <w:szCs w:val="21"/>
                      <w:highlight w:val="none"/>
                      <w:vertAlign w:val="superscript"/>
                    </w:rPr>
                    <w:t>3</w:t>
                  </w:r>
                </w:p>
              </w:tc>
              <w:tc>
                <w:tcPr>
                  <w:tcW w:w="2252" w:type="pct"/>
                  <w:vMerge w:val="restart"/>
                  <w:noWrap w:val="0"/>
                  <w:vAlign w:val="center"/>
                </w:tcPr>
                <w:p w14:paraId="704B6DA3">
                  <w:pPr>
                    <w:jc w:val="center"/>
                    <w:rPr>
                      <w:szCs w:val="21"/>
                      <w:highlight w:val="none"/>
                    </w:rPr>
                  </w:pPr>
                  <w:r>
                    <w:rPr>
                      <w:szCs w:val="21"/>
                      <w:highlight w:val="none"/>
                    </w:rPr>
                    <w:t>GB3095－</w:t>
                  </w:r>
                  <w:r>
                    <w:rPr>
                      <w:rFonts w:hint="eastAsia"/>
                      <w:szCs w:val="21"/>
                      <w:highlight w:val="none"/>
                    </w:rPr>
                    <w:t>2026</w:t>
                  </w:r>
                  <w:r>
                    <w:rPr>
                      <w:szCs w:val="21"/>
                      <w:highlight w:val="none"/>
                    </w:rPr>
                    <w:t>《环境空气质量标准》中二级标准限值</w:t>
                  </w:r>
                </w:p>
              </w:tc>
            </w:tr>
            <w:tr w14:paraId="2ACD0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26" w:type="pct"/>
                  <w:vMerge w:val="continue"/>
                  <w:noWrap w:val="0"/>
                  <w:vAlign w:val="center"/>
                </w:tcPr>
                <w:p w14:paraId="0BD3B267">
                  <w:pPr>
                    <w:jc w:val="center"/>
                    <w:rPr>
                      <w:szCs w:val="21"/>
                      <w:highlight w:val="none"/>
                    </w:rPr>
                  </w:pPr>
                </w:p>
              </w:tc>
              <w:tc>
                <w:tcPr>
                  <w:tcW w:w="828" w:type="pct"/>
                  <w:noWrap w:val="0"/>
                  <w:vAlign w:val="center"/>
                </w:tcPr>
                <w:p w14:paraId="0AECBF17">
                  <w:pPr>
                    <w:spacing w:line="240" w:lineRule="exact"/>
                    <w:jc w:val="center"/>
                    <w:rPr>
                      <w:szCs w:val="21"/>
                      <w:highlight w:val="none"/>
                    </w:rPr>
                  </w:pPr>
                  <w:r>
                    <w:rPr>
                      <w:szCs w:val="21"/>
                      <w:highlight w:val="none"/>
                    </w:rPr>
                    <w:t>1小时平均</w:t>
                  </w:r>
                </w:p>
              </w:tc>
              <w:tc>
                <w:tcPr>
                  <w:tcW w:w="755" w:type="pct"/>
                  <w:noWrap w:val="0"/>
                  <w:vAlign w:val="center"/>
                </w:tcPr>
                <w:p w14:paraId="26741FE8">
                  <w:pPr>
                    <w:spacing w:line="240" w:lineRule="exact"/>
                    <w:jc w:val="center"/>
                    <w:rPr>
                      <w:szCs w:val="21"/>
                      <w:highlight w:val="none"/>
                    </w:rPr>
                  </w:pPr>
                  <w:r>
                    <w:rPr>
                      <w:szCs w:val="21"/>
                      <w:highlight w:val="none"/>
                    </w:rPr>
                    <w:t>500</w:t>
                  </w:r>
                </w:p>
              </w:tc>
              <w:tc>
                <w:tcPr>
                  <w:tcW w:w="537" w:type="pct"/>
                  <w:vMerge w:val="continue"/>
                  <w:noWrap w:val="0"/>
                  <w:vAlign w:val="center"/>
                </w:tcPr>
                <w:p w14:paraId="01921916">
                  <w:pPr>
                    <w:jc w:val="center"/>
                    <w:rPr>
                      <w:szCs w:val="21"/>
                      <w:highlight w:val="none"/>
                    </w:rPr>
                  </w:pPr>
                </w:p>
              </w:tc>
              <w:tc>
                <w:tcPr>
                  <w:tcW w:w="2252" w:type="pct"/>
                  <w:vMerge w:val="continue"/>
                  <w:noWrap w:val="0"/>
                  <w:vAlign w:val="center"/>
                </w:tcPr>
                <w:p w14:paraId="470A2441">
                  <w:pPr>
                    <w:jc w:val="center"/>
                    <w:rPr>
                      <w:szCs w:val="21"/>
                      <w:highlight w:val="none"/>
                    </w:rPr>
                  </w:pPr>
                </w:p>
              </w:tc>
            </w:tr>
            <w:tr w14:paraId="73F0D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26" w:type="pct"/>
                  <w:vMerge w:val="restart"/>
                  <w:noWrap w:val="0"/>
                  <w:vAlign w:val="center"/>
                </w:tcPr>
                <w:p w14:paraId="5F961FC4">
                  <w:pPr>
                    <w:jc w:val="center"/>
                    <w:rPr>
                      <w:szCs w:val="21"/>
                      <w:highlight w:val="none"/>
                      <w:vertAlign w:val="subscript"/>
                    </w:rPr>
                  </w:pPr>
                  <w:r>
                    <w:rPr>
                      <w:szCs w:val="21"/>
                      <w:highlight w:val="none"/>
                    </w:rPr>
                    <w:t>NO</w:t>
                  </w:r>
                  <w:r>
                    <w:rPr>
                      <w:szCs w:val="21"/>
                      <w:highlight w:val="none"/>
                      <w:vertAlign w:val="subscript"/>
                    </w:rPr>
                    <w:t>2</w:t>
                  </w:r>
                </w:p>
              </w:tc>
              <w:tc>
                <w:tcPr>
                  <w:tcW w:w="828" w:type="pct"/>
                  <w:noWrap w:val="0"/>
                  <w:vAlign w:val="center"/>
                </w:tcPr>
                <w:p w14:paraId="4C4063F5">
                  <w:pPr>
                    <w:spacing w:line="240" w:lineRule="exact"/>
                    <w:jc w:val="center"/>
                    <w:rPr>
                      <w:szCs w:val="21"/>
                      <w:highlight w:val="none"/>
                    </w:rPr>
                  </w:pPr>
                  <w:r>
                    <w:rPr>
                      <w:szCs w:val="21"/>
                      <w:highlight w:val="none"/>
                    </w:rPr>
                    <w:t>日平均</w:t>
                  </w:r>
                </w:p>
              </w:tc>
              <w:tc>
                <w:tcPr>
                  <w:tcW w:w="755" w:type="pct"/>
                  <w:noWrap w:val="0"/>
                  <w:vAlign w:val="center"/>
                </w:tcPr>
                <w:p w14:paraId="567854BA">
                  <w:pPr>
                    <w:spacing w:line="240" w:lineRule="exact"/>
                    <w:jc w:val="center"/>
                    <w:rPr>
                      <w:szCs w:val="21"/>
                      <w:highlight w:val="none"/>
                    </w:rPr>
                  </w:pPr>
                  <w:r>
                    <w:rPr>
                      <w:szCs w:val="21"/>
                      <w:highlight w:val="none"/>
                    </w:rPr>
                    <w:t>80</w:t>
                  </w:r>
                </w:p>
              </w:tc>
              <w:tc>
                <w:tcPr>
                  <w:tcW w:w="537" w:type="pct"/>
                  <w:vMerge w:val="continue"/>
                  <w:noWrap w:val="0"/>
                  <w:vAlign w:val="center"/>
                </w:tcPr>
                <w:p w14:paraId="4C5D5E2B">
                  <w:pPr>
                    <w:jc w:val="center"/>
                    <w:rPr>
                      <w:szCs w:val="21"/>
                      <w:highlight w:val="none"/>
                    </w:rPr>
                  </w:pPr>
                </w:p>
              </w:tc>
              <w:tc>
                <w:tcPr>
                  <w:tcW w:w="2252" w:type="pct"/>
                  <w:vMerge w:val="continue"/>
                  <w:noWrap w:val="0"/>
                  <w:vAlign w:val="center"/>
                </w:tcPr>
                <w:p w14:paraId="42B765CC">
                  <w:pPr>
                    <w:jc w:val="center"/>
                    <w:rPr>
                      <w:szCs w:val="21"/>
                      <w:highlight w:val="none"/>
                    </w:rPr>
                  </w:pPr>
                </w:p>
              </w:tc>
            </w:tr>
            <w:tr w14:paraId="234C3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26" w:type="pct"/>
                  <w:vMerge w:val="continue"/>
                  <w:noWrap w:val="0"/>
                  <w:vAlign w:val="center"/>
                </w:tcPr>
                <w:p w14:paraId="31A75773">
                  <w:pPr>
                    <w:jc w:val="center"/>
                    <w:rPr>
                      <w:szCs w:val="21"/>
                      <w:highlight w:val="none"/>
                    </w:rPr>
                  </w:pPr>
                </w:p>
              </w:tc>
              <w:tc>
                <w:tcPr>
                  <w:tcW w:w="828" w:type="pct"/>
                  <w:noWrap w:val="0"/>
                  <w:vAlign w:val="center"/>
                </w:tcPr>
                <w:p w14:paraId="462FBF41">
                  <w:pPr>
                    <w:spacing w:line="240" w:lineRule="exact"/>
                    <w:jc w:val="center"/>
                    <w:rPr>
                      <w:szCs w:val="21"/>
                      <w:highlight w:val="none"/>
                    </w:rPr>
                  </w:pPr>
                  <w:r>
                    <w:rPr>
                      <w:szCs w:val="21"/>
                      <w:highlight w:val="none"/>
                    </w:rPr>
                    <w:t>1小时平均</w:t>
                  </w:r>
                </w:p>
              </w:tc>
              <w:tc>
                <w:tcPr>
                  <w:tcW w:w="755" w:type="pct"/>
                  <w:noWrap w:val="0"/>
                  <w:vAlign w:val="center"/>
                </w:tcPr>
                <w:p w14:paraId="0E57B876">
                  <w:pPr>
                    <w:spacing w:line="240" w:lineRule="exact"/>
                    <w:jc w:val="center"/>
                    <w:rPr>
                      <w:szCs w:val="21"/>
                      <w:highlight w:val="none"/>
                    </w:rPr>
                  </w:pPr>
                  <w:r>
                    <w:rPr>
                      <w:szCs w:val="21"/>
                      <w:highlight w:val="none"/>
                    </w:rPr>
                    <w:t>200</w:t>
                  </w:r>
                </w:p>
              </w:tc>
              <w:tc>
                <w:tcPr>
                  <w:tcW w:w="537" w:type="pct"/>
                  <w:vMerge w:val="continue"/>
                  <w:noWrap w:val="0"/>
                  <w:vAlign w:val="center"/>
                </w:tcPr>
                <w:p w14:paraId="7F4730D2">
                  <w:pPr>
                    <w:jc w:val="center"/>
                    <w:rPr>
                      <w:szCs w:val="21"/>
                      <w:highlight w:val="none"/>
                    </w:rPr>
                  </w:pPr>
                </w:p>
              </w:tc>
              <w:tc>
                <w:tcPr>
                  <w:tcW w:w="2252" w:type="pct"/>
                  <w:vMerge w:val="continue"/>
                  <w:noWrap w:val="0"/>
                  <w:vAlign w:val="center"/>
                </w:tcPr>
                <w:p w14:paraId="2EDA78FA">
                  <w:pPr>
                    <w:jc w:val="center"/>
                    <w:rPr>
                      <w:szCs w:val="21"/>
                      <w:highlight w:val="none"/>
                    </w:rPr>
                  </w:pPr>
                </w:p>
              </w:tc>
            </w:tr>
            <w:tr w14:paraId="2CCFA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26" w:type="pct"/>
                  <w:noWrap w:val="0"/>
                  <w:vAlign w:val="center"/>
                </w:tcPr>
                <w:p w14:paraId="3A8F58BF">
                  <w:pPr>
                    <w:jc w:val="center"/>
                    <w:rPr>
                      <w:szCs w:val="21"/>
                      <w:highlight w:val="none"/>
                    </w:rPr>
                  </w:pPr>
                  <w:r>
                    <w:rPr>
                      <w:szCs w:val="21"/>
                      <w:highlight w:val="none"/>
                    </w:rPr>
                    <w:t>PM</w:t>
                  </w:r>
                  <w:r>
                    <w:rPr>
                      <w:szCs w:val="21"/>
                      <w:highlight w:val="none"/>
                      <w:vertAlign w:val="subscript"/>
                    </w:rPr>
                    <w:t>10</w:t>
                  </w:r>
                </w:p>
              </w:tc>
              <w:tc>
                <w:tcPr>
                  <w:tcW w:w="828" w:type="pct"/>
                  <w:noWrap w:val="0"/>
                  <w:vAlign w:val="center"/>
                </w:tcPr>
                <w:p w14:paraId="27A94E7A">
                  <w:pPr>
                    <w:spacing w:line="240" w:lineRule="exact"/>
                    <w:jc w:val="center"/>
                    <w:rPr>
                      <w:kern w:val="0"/>
                      <w:szCs w:val="21"/>
                      <w:highlight w:val="none"/>
                    </w:rPr>
                  </w:pPr>
                  <w:r>
                    <w:rPr>
                      <w:kern w:val="0"/>
                      <w:szCs w:val="21"/>
                      <w:highlight w:val="none"/>
                    </w:rPr>
                    <w:t>日平均</w:t>
                  </w:r>
                </w:p>
              </w:tc>
              <w:tc>
                <w:tcPr>
                  <w:tcW w:w="755" w:type="pct"/>
                  <w:noWrap w:val="0"/>
                  <w:vAlign w:val="center"/>
                </w:tcPr>
                <w:p w14:paraId="2FC79BF7">
                  <w:pPr>
                    <w:spacing w:line="240" w:lineRule="exact"/>
                    <w:jc w:val="center"/>
                    <w:rPr>
                      <w:szCs w:val="21"/>
                      <w:highlight w:val="none"/>
                    </w:rPr>
                  </w:pPr>
                  <w:r>
                    <w:rPr>
                      <w:rFonts w:hint="eastAsia"/>
                      <w:szCs w:val="21"/>
                      <w:highlight w:val="none"/>
                    </w:rPr>
                    <w:t>120</w:t>
                  </w:r>
                </w:p>
              </w:tc>
              <w:tc>
                <w:tcPr>
                  <w:tcW w:w="537" w:type="pct"/>
                  <w:vMerge w:val="continue"/>
                  <w:noWrap w:val="0"/>
                  <w:vAlign w:val="center"/>
                </w:tcPr>
                <w:p w14:paraId="5754EDFC">
                  <w:pPr>
                    <w:jc w:val="center"/>
                    <w:rPr>
                      <w:szCs w:val="21"/>
                      <w:highlight w:val="none"/>
                    </w:rPr>
                  </w:pPr>
                </w:p>
              </w:tc>
              <w:tc>
                <w:tcPr>
                  <w:tcW w:w="2252" w:type="pct"/>
                  <w:vMerge w:val="continue"/>
                  <w:noWrap w:val="0"/>
                  <w:vAlign w:val="center"/>
                </w:tcPr>
                <w:p w14:paraId="087DAB91">
                  <w:pPr>
                    <w:jc w:val="center"/>
                    <w:rPr>
                      <w:szCs w:val="21"/>
                      <w:highlight w:val="none"/>
                    </w:rPr>
                  </w:pPr>
                </w:p>
              </w:tc>
            </w:tr>
            <w:tr w14:paraId="231C3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26" w:type="pct"/>
                  <w:noWrap w:val="0"/>
                  <w:vAlign w:val="center"/>
                </w:tcPr>
                <w:p w14:paraId="2EE5C4EF">
                  <w:pPr>
                    <w:jc w:val="center"/>
                    <w:rPr>
                      <w:highlight w:val="none"/>
                    </w:rPr>
                  </w:pPr>
                  <w:r>
                    <w:rPr>
                      <w:highlight w:val="none"/>
                    </w:rPr>
                    <w:t>PM</w:t>
                  </w:r>
                  <w:r>
                    <w:rPr>
                      <w:szCs w:val="21"/>
                      <w:highlight w:val="none"/>
                      <w:vertAlign w:val="subscript"/>
                    </w:rPr>
                    <w:t>2.5</w:t>
                  </w:r>
                </w:p>
              </w:tc>
              <w:tc>
                <w:tcPr>
                  <w:tcW w:w="828" w:type="pct"/>
                  <w:noWrap w:val="0"/>
                  <w:vAlign w:val="center"/>
                </w:tcPr>
                <w:p w14:paraId="098C998C">
                  <w:pPr>
                    <w:spacing w:line="240" w:lineRule="exact"/>
                    <w:jc w:val="center"/>
                    <w:rPr>
                      <w:kern w:val="0"/>
                      <w:szCs w:val="21"/>
                      <w:highlight w:val="none"/>
                    </w:rPr>
                  </w:pPr>
                  <w:r>
                    <w:rPr>
                      <w:kern w:val="0"/>
                      <w:szCs w:val="21"/>
                      <w:highlight w:val="none"/>
                    </w:rPr>
                    <w:t>日平均</w:t>
                  </w:r>
                </w:p>
              </w:tc>
              <w:tc>
                <w:tcPr>
                  <w:tcW w:w="755" w:type="pct"/>
                  <w:noWrap w:val="0"/>
                  <w:vAlign w:val="center"/>
                </w:tcPr>
                <w:p w14:paraId="0CA86A1F">
                  <w:pPr>
                    <w:spacing w:line="240" w:lineRule="exact"/>
                    <w:jc w:val="center"/>
                    <w:rPr>
                      <w:szCs w:val="21"/>
                      <w:highlight w:val="none"/>
                    </w:rPr>
                  </w:pPr>
                  <w:r>
                    <w:rPr>
                      <w:rFonts w:hint="eastAsia"/>
                      <w:szCs w:val="21"/>
                      <w:highlight w:val="none"/>
                    </w:rPr>
                    <w:t>60</w:t>
                  </w:r>
                </w:p>
              </w:tc>
              <w:tc>
                <w:tcPr>
                  <w:tcW w:w="537" w:type="pct"/>
                  <w:vMerge w:val="continue"/>
                  <w:noWrap w:val="0"/>
                  <w:vAlign w:val="center"/>
                </w:tcPr>
                <w:p w14:paraId="5150BABF">
                  <w:pPr>
                    <w:jc w:val="center"/>
                    <w:rPr>
                      <w:szCs w:val="21"/>
                      <w:highlight w:val="none"/>
                    </w:rPr>
                  </w:pPr>
                </w:p>
              </w:tc>
              <w:tc>
                <w:tcPr>
                  <w:tcW w:w="2252" w:type="pct"/>
                  <w:vMerge w:val="continue"/>
                  <w:noWrap w:val="0"/>
                  <w:vAlign w:val="center"/>
                </w:tcPr>
                <w:p w14:paraId="5ACFE1BD">
                  <w:pPr>
                    <w:jc w:val="center"/>
                    <w:rPr>
                      <w:szCs w:val="21"/>
                      <w:highlight w:val="none"/>
                    </w:rPr>
                  </w:pPr>
                </w:p>
              </w:tc>
            </w:tr>
            <w:tr w14:paraId="34A97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26" w:type="pct"/>
                  <w:vMerge w:val="restart"/>
                  <w:noWrap w:val="0"/>
                  <w:vAlign w:val="center"/>
                </w:tcPr>
                <w:p w14:paraId="7E4DCAD3">
                  <w:pPr>
                    <w:jc w:val="center"/>
                    <w:rPr>
                      <w:szCs w:val="21"/>
                      <w:highlight w:val="none"/>
                    </w:rPr>
                  </w:pPr>
                  <w:r>
                    <w:rPr>
                      <w:szCs w:val="21"/>
                      <w:highlight w:val="none"/>
                    </w:rPr>
                    <w:t>O</w:t>
                  </w:r>
                  <w:r>
                    <w:rPr>
                      <w:szCs w:val="21"/>
                      <w:highlight w:val="none"/>
                      <w:vertAlign w:val="subscript"/>
                    </w:rPr>
                    <w:t>3</w:t>
                  </w:r>
                </w:p>
              </w:tc>
              <w:tc>
                <w:tcPr>
                  <w:tcW w:w="828" w:type="pct"/>
                  <w:noWrap w:val="0"/>
                  <w:vAlign w:val="center"/>
                </w:tcPr>
                <w:p w14:paraId="3EE2510A">
                  <w:pPr>
                    <w:spacing w:line="240" w:lineRule="exact"/>
                    <w:jc w:val="center"/>
                    <w:rPr>
                      <w:kern w:val="0"/>
                      <w:szCs w:val="21"/>
                      <w:highlight w:val="none"/>
                    </w:rPr>
                  </w:pPr>
                  <w:r>
                    <w:rPr>
                      <w:kern w:val="0"/>
                      <w:szCs w:val="21"/>
                      <w:highlight w:val="none"/>
                    </w:rPr>
                    <w:t>8h平均</w:t>
                  </w:r>
                </w:p>
              </w:tc>
              <w:tc>
                <w:tcPr>
                  <w:tcW w:w="755" w:type="pct"/>
                  <w:noWrap w:val="0"/>
                  <w:vAlign w:val="center"/>
                </w:tcPr>
                <w:p w14:paraId="6D26DFFA">
                  <w:pPr>
                    <w:spacing w:line="240" w:lineRule="exact"/>
                    <w:jc w:val="center"/>
                    <w:rPr>
                      <w:szCs w:val="21"/>
                      <w:highlight w:val="none"/>
                    </w:rPr>
                  </w:pPr>
                  <w:r>
                    <w:rPr>
                      <w:szCs w:val="21"/>
                      <w:highlight w:val="none"/>
                    </w:rPr>
                    <w:t>160</w:t>
                  </w:r>
                </w:p>
              </w:tc>
              <w:tc>
                <w:tcPr>
                  <w:tcW w:w="537" w:type="pct"/>
                  <w:vMerge w:val="continue"/>
                  <w:noWrap w:val="0"/>
                  <w:vAlign w:val="center"/>
                </w:tcPr>
                <w:p w14:paraId="666B6163">
                  <w:pPr>
                    <w:jc w:val="center"/>
                    <w:rPr>
                      <w:szCs w:val="21"/>
                      <w:highlight w:val="none"/>
                    </w:rPr>
                  </w:pPr>
                </w:p>
              </w:tc>
              <w:tc>
                <w:tcPr>
                  <w:tcW w:w="2252" w:type="pct"/>
                  <w:vMerge w:val="continue"/>
                  <w:noWrap w:val="0"/>
                  <w:vAlign w:val="center"/>
                </w:tcPr>
                <w:p w14:paraId="2617FFB1">
                  <w:pPr>
                    <w:jc w:val="center"/>
                    <w:rPr>
                      <w:szCs w:val="21"/>
                      <w:highlight w:val="none"/>
                    </w:rPr>
                  </w:pPr>
                </w:p>
              </w:tc>
            </w:tr>
            <w:tr w14:paraId="3325D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26" w:type="pct"/>
                  <w:vMerge w:val="continue"/>
                  <w:noWrap w:val="0"/>
                  <w:vAlign w:val="center"/>
                </w:tcPr>
                <w:p w14:paraId="5A81C1F8">
                  <w:pPr>
                    <w:jc w:val="center"/>
                    <w:rPr>
                      <w:szCs w:val="21"/>
                      <w:highlight w:val="none"/>
                    </w:rPr>
                  </w:pPr>
                </w:p>
              </w:tc>
              <w:tc>
                <w:tcPr>
                  <w:tcW w:w="828" w:type="pct"/>
                  <w:noWrap w:val="0"/>
                  <w:vAlign w:val="center"/>
                </w:tcPr>
                <w:p w14:paraId="110D35A3">
                  <w:pPr>
                    <w:spacing w:line="240" w:lineRule="exact"/>
                    <w:jc w:val="center"/>
                    <w:rPr>
                      <w:kern w:val="0"/>
                      <w:szCs w:val="21"/>
                      <w:highlight w:val="none"/>
                    </w:rPr>
                  </w:pPr>
                  <w:r>
                    <w:rPr>
                      <w:kern w:val="0"/>
                      <w:szCs w:val="21"/>
                      <w:highlight w:val="none"/>
                    </w:rPr>
                    <w:t>日平均</w:t>
                  </w:r>
                </w:p>
              </w:tc>
              <w:tc>
                <w:tcPr>
                  <w:tcW w:w="755" w:type="pct"/>
                  <w:noWrap w:val="0"/>
                  <w:vAlign w:val="center"/>
                </w:tcPr>
                <w:p w14:paraId="49994159">
                  <w:pPr>
                    <w:spacing w:line="240" w:lineRule="exact"/>
                    <w:jc w:val="center"/>
                    <w:rPr>
                      <w:szCs w:val="21"/>
                      <w:highlight w:val="none"/>
                    </w:rPr>
                  </w:pPr>
                  <w:r>
                    <w:rPr>
                      <w:szCs w:val="21"/>
                      <w:highlight w:val="none"/>
                    </w:rPr>
                    <w:t>200</w:t>
                  </w:r>
                </w:p>
              </w:tc>
              <w:tc>
                <w:tcPr>
                  <w:tcW w:w="537" w:type="pct"/>
                  <w:vMerge w:val="continue"/>
                  <w:noWrap w:val="0"/>
                  <w:vAlign w:val="center"/>
                </w:tcPr>
                <w:p w14:paraId="3C43C47C">
                  <w:pPr>
                    <w:jc w:val="center"/>
                    <w:rPr>
                      <w:szCs w:val="21"/>
                      <w:highlight w:val="none"/>
                    </w:rPr>
                  </w:pPr>
                </w:p>
              </w:tc>
              <w:tc>
                <w:tcPr>
                  <w:tcW w:w="2252" w:type="pct"/>
                  <w:vMerge w:val="continue"/>
                  <w:noWrap w:val="0"/>
                  <w:vAlign w:val="center"/>
                </w:tcPr>
                <w:p w14:paraId="49EAAEA2">
                  <w:pPr>
                    <w:jc w:val="center"/>
                    <w:rPr>
                      <w:szCs w:val="21"/>
                      <w:highlight w:val="none"/>
                    </w:rPr>
                  </w:pPr>
                </w:p>
              </w:tc>
            </w:tr>
            <w:tr w14:paraId="3057F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26" w:type="pct"/>
                  <w:noWrap w:val="0"/>
                  <w:vAlign w:val="center"/>
                </w:tcPr>
                <w:p w14:paraId="68DA6B39">
                  <w:pPr>
                    <w:jc w:val="center"/>
                    <w:rPr>
                      <w:szCs w:val="21"/>
                      <w:highlight w:val="none"/>
                    </w:rPr>
                  </w:pPr>
                  <w:r>
                    <w:rPr>
                      <w:szCs w:val="21"/>
                      <w:highlight w:val="none"/>
                    </w:rPr>
                    <w:t>CO</w:t>
                  </w:r>
                </w:p>
              </w:tc>
              <w:tc>
                <w:tcPr>
                  <w:tcW w:w="828" w:type="pct"/>
                  <w:noWrap w:val="0"/>
                  <w:vAlign w:val="center"/>
                </w:tcPr>
                <w:p w14:paraId="09FFEA73">
                  <w:pPr>
                    <w:spacing w:line="240" w:lineRule="exact"/>
                    <w:jc w:val="center"/>
                    <w:rPr>
                      <w:kern w:val="0"/>
                      <w:szCs w:val="21"/>
                      <w:highlight w:val="none"/>
                    </w:rPr>
                  </w:pPr>
                  <w:r>
                    <w:rPr>
                      <w:kern w:val="0"/>
                      <w:szCs w:val="21"/>
                      <w:highlight w:val="none"/>
                    </w:rPr>
                    <w:t>日平均</w:t>
                  </w:r>
                </w:p>
              </w:tc>
              <w:tc>
                <w:tcPr>
                  <w:tcW w:w="755" w:type="pct"/>
                  <w:noWrap w:val="0"/>
                  <w:vAlign w:val="center"/>
                </w:tcPr>
                <w:p w14:paraId="5602302F">
                  <w:pPr>
                    <w:spacing w:line="240" w:lineRule="exact"/>
                    <w:jc w:val="center"/>
                    <w:rPr>
                      <w:szCs w:val="21"/>
                      <w:highlight w:val="none"/>
                    </w:rPr>
                  </w:pPr>
                  <w:r>
                    <w:rPr>
                      <w:szCs w:val="21"/>
                      <w:highlight w:val="none"/>
                    </w:rPr>
                    <w:t>4</w:t>
                  </w:r>
                </w:p>
              </w:tc>
              <w:tc>
                <w:tcPr>
                  <w:tcW w:w="537" w:type="pct"/>
                  <w:noWrap w:val="0"/>
                  <w:vAlign w:val="center"/>
                </w:tcPr>
                <w:p w14:paraId="53FE5442">
                  <w:pPr>
                    <w:jc w:val="center"/>
                    <w:rPr>
                      <w:szCs w:val="21"/>
                      <w:highlight w:val="none"/>
                    </w:rPr>
                  </w:pPr>
                  <w:r>
                    <w:rPr>
                      <w:bCs/>
                      <w:szCs w:val="21"/>
                      <w:highlight w:val="none"/>
                    </w:rPr>
                    <w:t>mg/m</w:t>
                  </w:r>
                  <w:r>
                    <w:rPr>
                      <w:bCs/>
                      <w:szCs w:val="21"/>
                      <w:highlight w:val="none"/>
                      <w:vertAlign w:val="superscript"/>
                    </w:rPr>
                    <w:t>3</w:t>
                  </w:r>
                </w:p>
              </w:tc>
              <w:tc>
                <w:tcPr>
                  <w:tcW w:w="2252" w:type="pct"/>
                  <w:vMerge w:val="continue"/>
                  <w:noWrap w:val="0"/>
                  <w:vAlign w:val="center"/>
                </w:tcPr>
                <w:p w14:paraId="60804E42">
                  <w:pPr>
                    <w:jc w:val="center"/>
                    <w:rPr>
                      <w:szCs w:val="21"/>
                      <w:highlight w:val="none"/>
                    </w:rPr>
                  </w:pPr>
                </w:p>
              </w:tc>
            </w:tr>
            <w:tr w14:paraId="71319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26" w:type="pct"/>
                  <w:noWrap w:val="0"/>
                  <w:vAlign w:val="center"/>
                </w:tcPr>
                <w:p w14:paraId="1EAE6F18">
                  <w:pPr>
                    <w:jc w:val="center"/>
                    <w:rPr>
                      <w:szCs w:val="21"/>
                      <w:highlight w:val="none"/>
                    </w:rPr>
                  </w:pPr>
                  <w:r>
                    <w:rPr>
                      <w:szCs w:val="21"/>
                      <w:highlight w:val="none"/>
                    </w:rPr>
                    <w:t>TSP</w:t>
                  </w:r>
                </w:p>
              </w:tc>
              <w:tc>
                <w:tcPr>
                  <w:tcW w:w="828" w:type="pct"/>
                  <w:noWrap w:val="0"/>
                  <w:vAlign w:val="center"/>
                </w:tcPr>
                <w:p w14:paraId="6F9263AB">
                  <w:pPr>
                    <w:spacing w:line="240" w:lineRule="exact"/>
                    <w:jc w:val="center"/>
                    <w:rPr>
                      <w:kern w:val="0"/>
                      <w:szCs w:val="21"/>
                      <w:highlight w:val="none"/>
                    </w:rPr>
                  </w:pPr>
                  <w:r>
                    <w:rPr>
                      <w:kern w:val="0"/>
                      <w:szCs w:val="21"/>
                      <w:highlight w:val="none"/>
                    </w:rPr>
                    <w:t>日平均</w:t>
                  </w:r>
                </w:p>
              </w:tc>
              <w:tc>
                <w:tcPr>
                  <w:tcW w:w="755" w:type="pct"/>
                  <w:noWrap w:val="0"/>
                  <w:vAlign w:val="center"/>
                </w:tcPr>
                <w:p w14:paraId="45E84A46">
                  <w:pPr>
                    <w:spacing w:line="240" w:lineRule="exact"/>
                    <w:jc w:val="center"/>
                    <w:rPr>
                      <w:szCs w:val="21"/>
                      <w:highlight w:val="none"/>
                    </w:rPr>
                  </w:pPr>
                  <w:r>
                    <w:rPr>
                      <w:szCs w:val="21"/>
                      <w:highlight w:val="none"/>
                    </w:rPr>
                    <w:t>300</w:t>
                  </w:r>
                </w:p>
              </w:tc>
              <w:tc>
                <w:tcPr>
                  <w:tcW w:w="537" w:type="pct"/>
                  <w:noWrap w:val="0"/>
                  <w:vAlign w:val="center"/>
                </w:tcPr>
                <w:p w14:paraId="3AB16973">
                  <w:pPr>
                    <w:jc w:val="center"/>
                    <w:rPr>
                      <w:szCs w:val="21"/>
                      <w:highlight w:val="none"/>
                    </w:rPr>
                  </w:pPr>
                  <w:r>
                    <w:rPr>
                      <w:bCs/>
                      <w:szCs w:val="21"/>
                      <w:highlight w:val="none"/>
                    </w:rPr>
                    <w:t>μg/m</w:t>
                  </w:r>
                  <w:r>
                    <w:rPr>
                      <w:bCs/>
                      <w:szCs w:val="21"/>
                      <w:highlight w:val="none"/>
                      <w:vertAlign w:val="superscript"/>
                    </w:rPr>
                    <w:t>3</w:t>
                  </w:r>
                </w:p>
              </w:tc>
              <w:tc>
                <w:tcPr>
                  <w:tcW w:w="2252" w:type="pct"/>
                  <w:vMerge w:val="continue"/>
                  <w:noWrap w:val="0"/>
                  <w:vAlign w:val="center"/>
                </w:tcPr>
                <w:p w14:paraId="0D28B66B">
                  <w:pPr>
                    <w:jc w:val="center"/>
                    <w:rPr>
                      <w:szCs w:val="21"/>
                      <w:highlight w:val="none"/>
                    </w:rPr>
                  </w:pPr>
                </w:p>
              </w:tc>
            </w:tr>
          </w:tbl>
          <w:p w14:paraId="48286B3F">
            <w:pPr>
              <w:spacing w:line="240" w:lineRule="atLeast"/>
              <w:jc w:val="center"/>
              <w:rPr>
                <w:rFonts w:eastAsia="黑体"/>
                <w:szCs w:val="20"/>
                <w:highlight w:val="none"/>
              </w:rPr>
            </w:pPr>
          </w:p>
          <w:p w14:paraId="261E8E50">
            <w:pPr>
              <w:spacing w:before="120" w:beforeLines="50" w:line="360" w:lineRule="auto"/>
              <w:ind w:firstLine="480" w:firstLineChars="200"/>
              <w:rPr>
                <w:highlight w:val="none"/>
              </w:rPr>
            </w:pPr>
            <w:r>
              <w:rPr>
                <w:sz w:val="24"/>
                <w:highlight w:val="none"/>
              </w:rPr>
              <w:t>3、区域声环境执行GB3096-2008《声环境质量标准》</w:t>
            </w:r>
            <w:r>
              <w:rPr>
                <w:rFonts w:hint="eastAsia"/>
                <w:sz w:val="24"/>
                <w:highlight w:val="none"/>
              </w:rPr>
              <w:t>1</w:t>
            </w:r>
            <w:r>
              <w:rPr>
                <w:sz w:val="24"/>
                <w:highlight w:val="none"/>
              </w:rPr>
              <w:t>类标准。</w:t>
            </w:r>
          </w:p>
          <w:p w14:paraId="0E867683">
            <w:pPr>
              <w:spacing w:line="240" w:lineRule="atLeast"/>
              <w:jc w:val="center"/>
              <w:rPr>
                <w:rFonts w:eastAsia="黑体"/>
                <w:szCs w:val="20"/>
                <w:highlight w:val="none"/>
              </w:rPr>
            </w:pPr>
            <w:r>
              <w:rPr>
                <w:rFonts w:eastAsia="黑体"/>
                <w:szCs w:val="20"/>
                <w:highlight w:val="none"/>
              </w:rPr>
              <w:t>表3-</w:t>
            </w:r>
            <w:r>
              <w:rPr>
                <w:rFonts w:hint="eastAsia" w:eastAsia="黑体"/>
                <w:szCs w:val="20"/>
                <w:highlight w:val="none"/>
                <w:lang w:val="en-US" w:eastAsia="zh-CN"/>
              </w:rPr>
              <w:t>6</w:t>
            </w:r>
            <w:r>
              <w:rPr>
                <w:rFonts w:eastAsia="黑体"/>
                <w:szCs w:val="20"/>
                <w:highlight w:val="none"/>
              </w:rPr>
              <w:t xml:space="preserve">  声环境质量标准  单位： dB(A)</w:t>
            </w:r>
          </w:p>
          <w:tbl>
            <w:tblPr>
              <w:tblStyle w:val="29"/>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2435"/>
              <w:gridCol w:w="2765"/>
              <w:gridCol w:w="2822"/>
            </w:tblGrid>
            <w:tr w14:paraId="619FF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3" w:hRule="atLeast"/>
                <w:jc w:val="center"/>
              </w:trPr>
              <w:tc>
                <w:tcPr>
                  <w:tcW w:w="2522" w:type="dxa"/>
                  <w:noWrap w:val="0"/>
                  <w:vAlign w:val="center"/>
                </w:tcPr>
                <w:p w14:paraId="6FBC3DAA">
                  <w:pPr>
                    <w:jc w:val="center"/>
                    <w:rPr>
                      <w:highlight w:val="none"/>
                    </w:rPr>
                  </w:pPr>
                  <w:r>
                    <w:rPr>
                      <w:highlight w:val="none"/>
                    </w:rPr>
                    <w:t>类别</w:t>
                  </w:r>
                </w:p>
              </w:tc>
              <w:tc>
                <w:tcPr>
                  <w:tcW w:w="2866" w:type="dxa"/>
                  <w:noWrap w:val="0"/>
                  <w:vAlign w:val="center"/>
                </w:tcPr>
                <w:p w14:paraId="48592D41">
                  <w:pPr>
                    <w:jc w:val="center"/>
                    <w:rPr>
                      <w:highlight w:val="none"/>
                    </w:rPr>
                  </w:pPr>
                  <w:r>
                    <w:rPr>
                      <w:highlight w:val="none"/>
                    </w:rPr>
                    <w:t>昼间</w:t>
                  </w:r>
                </w:p>
              </w:tc>
              <w:tc>
                <w:tcPr>
                  <w:tcW w:w="2926" w:type="dxa"/>
                  <w:noWrap w:val="0"/>
                  <w:vAlign w:val="center"/>
                </w:tcPr>
                <w:p w14:paraId="1E831E05">
                  <w:pPr>
                    <w:jc w:val="center"/>
                    <w:rPr>
                      <w:highlight w:val="none"/>
                    </w:rPr>
                  </w:pPr>
                  <w:r>
                    <w:rPr>
                      <w:highlight w:val="none"/>
                    </w:rPr>
                    <w:t>夜间</w:t>
                  </w:r>
                </w:p>
              </w:tc>
            </w:tr>
            <w:tr w14:paraId="773C9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2522" w:type="dxa"/>
                  <w:noWrap w:val="0"/>
                  <w:vAlign w:val="center"/>
                </w:tcPr>
                <w:p w14:paraId="4AD535B3">
                  <w:pPr>
                    <w:jc w:val="center"/>
                    <w:rPr>
                      <w:highlight w:val="none"/>
                    </w:rPr>
                  </w:pPr>
                  <w:r>
                    <w:rPr>
                      <w:rFonts w:hint="eastAsia"/>
                      <w:highlight w:val="none"/>
                    </w:rPr>
                    <w:t>1</w:t>
                  </w:r>
                  <w:r>
                    <w:rPr>
                      <w:highlight w:val="none"/>
                    </w:rPr>
                    <w:t>类</w:t>
                  </w:r>
                </w:p>
              </w:tc>
              <w:tc>
                <w:tcPr>
                  <w:tcW w:w="2866" w:type="dxa"/>
                  <w:noWrap w:val="0"/>
                  <w:vAlign w:val="center"/>
                </w:tcPr>
                <w:p w14:paraId="43513708">
                  <w:pPr>
                    <w:jc w:val="center"/>
                    <w:rPr>
                      <w:highlight w:val="none"/>
                    </w:rPr>
                  </w:pPr>
                  <w:r>
                    <w:rPr>
                      <w:rFonts w:hint="eastAsia"/>
                      <w:highlight w:val="none"/>
                    </w:rPr>
                    <w:t>55</w:t>
                  </w:r>
                </w:p>
              </w:tc>
              <w:tc>
                <w:tcPr>
                  <w:tcW w:w="2926" w:type="dxa"/>
                  <w:noWrap w:val="0"/>
                  <w:vAlign w:val="center"/>
                </w:tcPr>
                <w:p w14:paraId="17A3F9B2">
                  <w:pPr>
                    <w:jc w:val="center"/>
                    <w:rPr>
                      <w:highlight w:val="none"/>
                    </w:rPr>
                  </w:pPr>
                  <w:r>
                    <w:rPr>
                      <w:rFonts w:hint="eastAsia"/>
                      <w:highlight w:val="none"/>
                    </w:rPr>
                    <w:t>45</w:t>
                  </w:r>
                </w:p>
              </w:tc>
            </w:tr>
          </w:tbl>
          <w:p w14:paraId="59D92576">
            <w:pPr>
              <w:widowControl/>
              <w:spacing w:line="360" w:lineRule="auto"/>
              <w:jc w:val="left"/>
              <w:rPr>
                <w:color w:val="auto"/>
                <w:highlight w:val="none"/>
              </w:rPr>
            </w:pPr>
            <w:r>
              <w:rPr>
                <w:b/>
                <w:bCs/>
                <w:color w:val="auto"/>
                <w:kern w:val="0"/>
                <w:sz w:val="24"/>
                <w:highlight w:val="none"/>
                <w:lang w:bidi="ar"/>
              </w:rPr>
              <w:t>二、污染物排放标准</w:t>
            </w:r>
          </w:p>
          <w:p w14:paraId="41AA2929">
            <w:pPr>
              <w:spacing w:line="360" w:lineRule="auto"/>
              <w:ind w:left="420"/>
              <w:rPr>
                <w:rFonts w:hint="eastAsia"/>
                <w:b/>
                <w:bCs/>
                <w:color w:val="auto"/>
                <w:sz w:val="24"/>
                <w:highlight w:val="none"/>
                <w:lang w:val="en-US" w:eastAsia="zh-CN"/>
              </w:rPr>
            </w:pPr>
            <w:r>
              <w:rPr>
                <w:rFonts w:hint="eastAsia"/>
                <w:b/>
                <w:bCs/>
                <w:color w:val="auto"/>
                <w:sz w:val="24"/>
                <w:highlight w:val="none"/>
                <w:lang w:val="en-US" w:eastAsia="zh-CN"/>
              </w:rPr>
              <w:t>1、废水</w:t>
            </w:r>
          </w:p>
          <w:p w14:paraId="2A0F6C7D">
            <w:pPr>
              <w:spacing w:line="360" w:lineRule="auto"/>
              <w:ind w:firstLine="480" w:firstLineChars="200"/>
              <w:rPr>
                <w:rFonts w:hint="eastAsia" w:ascii="Times New Roman" w:hAnsi="Times New Roman" w:eastAsia="宋体" w:cs="Times New Roman"/>
                <w:color w:val="auto"/>
                <w:kern w:val="0"/>
                <w:sz w:val="24"/>
                <w:highlight w:val="none"/>
                <w:lang w:val="en-US" w:eastAsia="zh-CN" w:bidi="ar"/>
              </w:rPr>
            </w:pPr>
            <w:r>
              <w:rPr>
                <w:sz w:val="24"/>
                <w:highlight w:val="none"/>
              </w:rPr>
              <w:t>项</w:t>
            </w:r>
            <w:r>
              <w:rPr>
                <w:rFonts w:ascii="Times New Roman" w:hAnsi="Times New Roman" w:eastAsia="宋体" w:cs="Times New Roman"/>
                <w:color w:val="auto"/>
                <w:kern w:val="0"/>
                <w:sz w:val="24"/>
                <w:highlight w:val="none"/>
                <w:lang w:bidi="ar"/>
              </w:rPr>
              <w:t>目无生产性废水排放，主要为</w:t>
            </w:r>
            <w:r>
              <w:rPr>
                <w:rFonts w:hint="eastAsia" w:ascii="Times New Roman" w:hAnsi="Times New Roman" w:eastAsia="宋体" w:cs="Times New Roman"/>
                <w:color w:val="auto"/>
                <w:kern w:val="0"/>
                <w:sz w:val="24"/>
                <w:highlight w:val="none"/>
                <w:lang w:val="en-US" w:eastAsia="zh-CN" w:bidi="ar"/>
              </w:rPr>
              <w:t>钻井废液以及</w:t>
            </w:r>
            <w:r>
              <w:rPr>
                <w:rFonts w:ascii="Times New Roman" w:hAnsi="Times New Roman" w:eastAsia="宋体" w:cs="Times New Roman"/>
                <w:color w:val="auto"/>
                <w:kern w:val="0"/>
                <w:sz w:val="24"/>
                <w:highlight w:val="none"/>
                <w:lang w:bidi="ar"/>
              </w:rPr>
              <w:t>施工期人员的</w:t>
            </w:r>
            <w:r>
              <w:rPr>
                <w:rFonts w:hint="eastAsia" w:ascii="Times New Roman" w:hAnsi="Times New Roman" w:eastAsia="宋体" w:cs="Times New Roman"/>
                <w:color w:val="auto"/>
                <w:kern w:val="0"/>
                <w:sz w:val="24"/>
                <w:highlight w:val="none"/>
                <w:lang w:val="en-US" w:eastAsia="zh-CN" w:bidi="ar"/>
              </w:rPr>
              <w:t>生活污水。</w:t>
            </w:r>
          </w:p>
          <w:p w14:paraId="009F1C11">
            <w:pPr>
              <w:spacing w:line="360" w:lineRule="auto"/>
              <w:ind w:firstLine="480" w:firstLineChars="200"/>
              <w:rPr>
                <w:rFonts w:hint="eastAsia" w:ascii="Times New Roman" w:hAnsi="Times New Roman" w:eastAsia="宋体" w:cs="Times New Roman"/>
                <w:color w:val="auto"/>
                <w:kern w:val="0"/>
                <w:sz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①钻井液通过泥浆泵以泥浆干化池为介质循环使用，不外排，不涉及向积水区排水。待钻井结束后投加泥浆固化剂固化后作为周边路基维护的建材使用，不随便丢弃，对当地地表水环境影响较小，在当地环境可接受范围内。</w:t>
            </w:r>
          </w:p>
          <w:p w14:paraId="03AD7117">
            <w:pPr>
              <w:spacing w:line="360" w:lineRule="auto"/>
              <w:ind w:firstLine="480" w:firstLineChars="200"/>
              <w:rPr>
                <w:rFonts w:hint="eastAsia" w:ascii="Times New Roman" w:hAnsi="Times New Roman" w:eastAsia="宋体" w:cs="Times New Roman"/>
                <w:color w:val="auto"/>
                <w:kern w:val="0"/>
                <w:sz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②生活污水经化粪池预处理后定期委托第三方使用吸污车运送至新集</w:t>
            </w:r>
            <w:r>
              <w:rPr>
                <w:rFonts w:hint="eastAsia" w:cs="Times New Roman"/>
                <w:color w:val="auto"/>
                <w:kern w:val="0"/>
                <w:sz w:val="24"/>
                <w:highlight w:val="none"/>
                <w:lang w:val="en-US" w:eastAsia="zh-CN" w:bidi="ar"/>
              </w:rPr>
              <w:t>一</w:t>
            </w:r>
            <w:r>
              <w:rPr>
                <w:rFonts w:hint="eastAsia" w:ascii="Times New Roman" w:hAnsi="Times New Roman" w:eastAsia="宋体" w:cs="Times New Roman"/>
                <w:color w:val="auto"/>
                <w:kern w:val="0"/>
                <w:sz w:val="24"/>
                <w:highlight w:val="none"/>
                <w:lang w:val="en-US" w:eastAsia="zh-CN" w:bidi="ar"/>
              </w:rPr>
              <w:t>矿现有生活污水处理站进行处理。</w:t>
            </w:r>
          </w:p>
          <w:p w14:paraId="05B8490B">
            <w:pPr>
              <w:spacing w:line="240" w:lineRule="atLeast"/>
              <w:jc w:val="center"/>
              <w:rPr>
                <w:rFonts w:hint="eastAsia" w:ascii="黑体" w:hAnsi="黑体" w:eastAsia="黑体" w:cs="黑体"/>
                <w:color w:val="auto"/>
                <w:szCs w:val="21"/>
                <w:highlight w:val="none"/>
              </w:rPr>
            </w:pPr>
            <w:r>
              <w:rPr>
                <w:rFonts w:hint="eastAsia" w:ascii="黑体" w:hAnsi="黑体" w:eastAsia="黑体" w:cs="黑体"/>
                <w:color w:val="auto"/>
                <w:szCs w:val="21"/>
                <w:highlight w:val="none"/>
              </w:rPr>
              <w:t>表3-</w:t>
            </w:r>
            <w:r>
              <w:rPr>
                <w:rFonts w:hint="eastAsia" w:ascii="黑体" w:hAnsi="黑体" w:eastAsia="黑体" w:cs="黑体"/>
                <w:color w:val="auto"/>
                <w:szCs w:val="21"/>
                <w:highlight w:val="none"/>
                <w:lang w:val="en-US" w:eastAsia="zh-CN"/>
              </w:rPr>
              <w:t>7</w:t>
            </w:r>
            <w:r>
              <w:rPr>
                <w:rFonts w:hint="eastAsia" w:ascii="黑体" w:hAnsi="黑体" w:eastAsia="黑体" w:cs="黑体"/>
                <w:color w:val="auto"/>
                <w:szCs w:val="21"/>
                <w:highlight w:val="none"/>
              </w:rPr>
              <w:t xml:space="preserve">  污水综合排放标准</w:t>
            </w:r>
          </w:p>
          <w:tbl>
            <w:tblPr>
              <w:tblStyle w:val="2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6"/>
              <w:gridCol w:w="970"/>
              <w:gridCol w:w="2570"/>
              <w:gridCol w:w="2578"/>
            </w:tblGrid>
            <w:tr w14:paraId="6B3CF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3" w:type="dxa"/>
                  <w:tcBorders>
                    <w:top w:val="single" w:color="auto" w:sz="4" w:space="0"/>
                    <w:left w:val="single" w:color="auto" w:sz="4" w:space="0"/>
                    <w:bottom w:val="single" w:color="auto" w:sz="4" w:space="0"/>
                    <w:right w:val="single" w:color="auto" w:sz="4" w:space="0"/>
                  </w:tcBorders>
                  <w:noWrap w:val="0"/>
                  <w:vAlign w:val="center"/>
                </w:tcPr>
                <w:p w14:paraId="12B9CF6C">
                  <w:pPr>
                    <w:jc w:val="center"/>
                    <w:rPr>
                      <w:b/>
                      <w:bCs/>
                      <w:szCs w:val="21"/>
                      <w:highlight w:val="none"/>
                    </w:rPr>
                  </w:pPr>
                  <w:r>
                    <w:rPr>
                      <w:b/>
                      <w:bCs/>
                      <w:szCs w:val="21"/>
                      <w:highlight w:val="none"/>
                    </w:rPr>
                    <w:t>污染物</w:t>
                  </w:r>
                </w:p>
              </w:tc>
              <w:tc>
                <w:tcPr>
                  <w:tcW w:w="948" w:type="dxa"/>
                  <w:tcBorders>
                    <w:top w:val="single" w:color="auto" w:sz="4" w:space="0"/>
                    <w:left w:val="single" w:color="auto" w:sz="4" w:space="0"/>
                    <w:bottom w:val="single" w:color="auto" w:sz="4" w:space="0"/>
                    <w:right w:val="single" w:color="auto" w:sz="4" w:space="0"/>
                  </w:tcBorders>
                  <w:noWrap w:val="0"/>
                  <w:vAlign w:val="center"/>
                </w:tcPr>
                <w:p w14:paraId="592E5694">
                  <w:pPr>
                    <w:jc w:val="center"/>
                    <w:rPr>
                      <w:b/>
                      <w:bCs/>
                      <w:szCs w:val="21"/>
                      <w:highlight w:val="none"/>
                    </w:rPr>
                  </w:pPr>
                  <w:r>
                    <w:rPr>
                      <w:b/>
                      <w:bCs/>
                      <w:szCs w:val="21"/>
                      <w:highlight w:val="none"/>
                    </w:rPr>
                    <w:t>单位</w:t>
                  </w:r>
                </w:p>
              </w:tc>
              <w:tc>
                <w:tcPr>
                  <w:tcW w:w="2511" w:type="dxa"/>
                  <w:tcBorders>
                    <w:top w:val="single" w:color="auto" w:sz="4" w:space="0"/>
                    <w:left w:val="single" w:color="auto" w:sz="4" w:space="0"/>
                    <w:bottom w:val="single" w:color="auto" w:sz="4" w:space="0"/>
                    <w:right w:val="single" w:color="auto" w:sz="4" w:space="0"/>
                  </w:tcBorders>
                  <w:noWrap w:val="0"/>
                  <w:vAlign w:val="center"/>
                </w:tcPr>
                <w:p w14:paraId="3F42A667">
                  <w:pPr>
                    <w:jc w:val="center"/>
                    <w:rPr>
                      <w:b/>
                      <w:bCs/>
                      <w:szCs w:val="21"/>
                      <w:highlight w:val="none"/>
                    </w:rPr>
                  </w:pPr>
                  <w:r>
                    <w:rPr>
                      <w:b/>
                      <w:bCs/>
                      <w:szCs w:val="21"/>
                      <w:highlight w:val="none"/>
                    </w:rPr>
                    <w:t>标准限值</w:t>
                  </w:r>
                </w:p>
              </w:tc>
              <w:tc>
                <w:tcPr>
                  <w:tcW w:w="2519" w:type="dxa"/>
                  <w:tcBorders>
                    <w:top w:val="single" w:color="auto" w:sz="4" w:space="0"/>
                    <w:left w:val="single" w:color="auto" w:sz="4" w:space="0"/>
                    <w:bottom w:val="single" w:color="auto" w:sz="4" w:space="0"/>
                    <w:right w:val="single" w:color="auto" w:sz="4" w:space="0"/>
                  </w:tcBorders>
                  <w:noWrap w:val="0"/>
                  <w:vAlign w:val="center"/>
                </w:tcPr>
                <w:p w14:paraId="10CC9CB3">
                  <w:pPr>
                    <w:jc w:val="center"/>
                    <w:rPr>
                      <w:b/>
                      <w:bCs/>
                      <w:szCs w:val="21"/>
                      <w:highlight w:val="none"/>
                    </w:rPr>
                  </w:pPr>
                  <w:r>
                    <w:rPr>
                      <w:b/>
                      <w:bCs/>
                      <w:szCs w:val="21"/>
                      <w:highlight w:val="none"/>
                    </w:rPr>
                    <w:t>执行标准</w:t>
                  </w:r>
                </w:p>
              </w:tc>
            </w:tr>
            <w:tr w14:paraId="4D076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3" w:type="dxa"/>
                  <w:tcBorders>
                    <w:top w:val="single" w:color="auto" w:sz="4" w:space="0"/>
                    <w:left w:val="single" w:color="auto" w:sz="4" w:space="0"/>
                    <w:bottom w:val="single" w:color="auto" w:sz="4" w:space="0"/>
                    <w:right w:val="single" w:color="auto" w:sz="4" w:space="0"/>
                  </w:tcBorders>
                  <w:noWrap w:val="0"/>
                  <w:vAlign w:val="top"/>
                </w:tcPr>
                <w:p w14:paraId="4113574E">
                  <w:pPr>
                    <w:spacing w:before="116" w:line="194" w:lineRule="auto"/>
                    <w:ind w:left="102"/>
                    <w:jc w:val="center"/>
                    <w:rPr>
                      <w:rFonts w:eastAsia="Times New Roman"/>
                      <w:szCs w:val="21"/>
                      <w:highlight w:val="none"/>
                    </w:rPr>
                  </w:pPr>
                  <w:r>
                    <w:rPr>
                      <w:rFonts w:eastAsia="Times New Roman"/>
                      <w:spacing w:val="6"/>
                      <w:szCs w:val="21"/>
                      <w:highlight w:val="none"/>
                    </w:rPr>
                    <w:t>pH</w:t>
                  </w:r>
                </w:p>
              </w:tc>
              <w:tc>
                <w:tcPr>
                  <w:tcW w:w="948" w:type="dxa"/>
                  <w:tcBorders>
                    <w:top w:val="single" w:color="auto" w:sz="4" w:space="0"/>
                    <w:left w:val="single" w:color="auto" w:sz="4" w:space="0"/>
                    <w:bottom w:val="single" w:color="auto" w:sz="4" w:space="0"/>
                    <w:right w:val="single" w:color="auto" w:sz="4" w:space="0"/>
                  </w:tcBorders>
                  <w:noWrap w:val="0"/>
                  <w:vAlign w:val="center"/>
                </w:tcPr>
                <w:p w14:paraId="43B693F7">
                  <w:pPr>
                    <w:jc w:val="center"/>
                    <w:rPr>
                      <w:szCs w:val="21"/>
                      <w:highlight w:val="none"/>
                    </w:rPr>
                  </w:pPr>
                  <w:r>
                    <w:rPr>
                      <w:szCs w:val="21"/>
                      <w:highlight w:val="none"/>
                    </w:rPr>
                    <w:t>无量纲</w:t>
                  </w:r>
                </w:p>
              </w:tc>
              <w:tc>
                <w:tcPr>
                  <w:tcW w:w="2511" w:type="dxa"/>
                  <w:tcBorders>
                    <w:top w:val="single" w:color="auto" w:sz="4" w:space="0"/>
                    <w:left w:val="single" w:color="auto" w:sz="4" w:space="0"/>
                    <w:bottom w:val="single" w:color="auto" w:sz="4" w:space="0"/>
                    <w:right w:val="single" w:color="auto" w:sz="4" w:space="0"/>
                  </w:tcBorders>
                  <w:noWrap w:val="0"/>
                  <w:vAlign w:val="top"/>
                </w:tcPr>
                <w:p w14:paraId="6306A0E7">
                  <w:pPr>
                    <w:spacing w:before="113" w:line="195" w:lineRule="auto"/>
                    <w:ind w:left="115"/>
                    <w:jc w:val="center"/>
                    <w:rPr>
                      <w:rFonts w:eastAsia="Times New Roman"/>
                      <w:szCs w:val="21"/>
                      <w:highlight w:val="none"/>
                    </w:rPr>
                  </w:pPr>
                  <w:r>
                    <w:rPr>
                      <w:rFonts w:eastAsia="Times New Roman"/>
                      <w:spacing w:val="1"/>
                      <w:szCs w:val="21"/>
                      <w:highlight w:val="none"/>
                    </w:rPr>
                    <w:t>6~9</w:t>
                  </w:r>
                </w:p>
              </w:tc>
              <w:tc>
                <w:tcPr>
                  <w:tcW w:w="2519" w:type="dxa"/>
                  <w:vMerge w:val="restart"/>
                  <w:tcBorders>
                    <w:top w:val="single" w:color="auto" w:sz="4" w:space="0"/>
                    <w:left w:val="single" w:color="auto" w:sz="4" w:space="0"/>
                    <w:right w:val="single" w:color="auto" w:sz="4" w:space="0"/>
                  </w:tcBorders>
                  <w:noWrap w:val="0"/>
                  <w:vAlign w:val="center"/>
                </w:tcPr>
                <w:p w14:paraId="498E4B69">
                  <w:pPr>
                    <w:spacing w:before="117" w:line="195" w:lineRule="auto"/>
                    <w:ind w:left="111"/>
                    <w:jc w:val="center"/>
                    <w:rPr>
                      <w:rFonts w:eastAsia="Times New Roman"/>
                      <w:szCs w:val="21"/>
                      <w:highlight w:val="none"/>
                    </w:rPr>
                  </w:pPr>
                  <w:r>
                    <w:rPr>
                      <w:rFonts w:hint="eastAsia" w:eastAsia="宋体"/>
                      <w:szCs w:val="21"/>
                      <w:highlight w:val="none"/>
                      <w:lang w:eastAsia="zh-CN"/>
                    </w:rPr>
                    <w:t>《</w:t>
                  </w:r>
                  <w:r>
                    <w:rPr>
                      <w:rFonts w:eastAsia="Times New Roman"/>
                      <w:szCs w:val="21"/>
                      <w:highlight w:val="none"/>
                    </w:rPr>
                    <w:t>污水综合排放标准</w:t>
                  </w:r>
                  <w:r>
                    <w:rPr>
                      <w:rFonts w:hint="eastAsia" w:eastAsia="宋体"/>
                      <w:szCs w:val="21"/>
                      <w:highlight w:val="none"/>
                      <w:lang w:eastAsia="zh-CN"/>
                    </w:rPr>
                    <w:t>》（</w:t>
                  </w:r>
                  <w:r>
                    <w:rPr>
                      <w:rFonts w:eastAsia="Times New Roman"/>
                      <w:szCs w:val="21"/>
                      <w:highlight w:val="none"/>
                    </w:rPr>
                    <w:t>GB8978-1996</w:t>
                  </w:r>
                  <w:r>
                    <w:rPr>
                      <w:rFonts w:hint="eastAsia" w:eastAsia="宋体"/>
                      <w:szCs w:val="21"/>
                      <w:highlight w:val="none"/>
                      <w:lang w:eastAsia="zh-CN"/>
                    </w:rPr>
                    <w:t>）</w:t>
                  </w:r>
                </w:p>
              </w:tc>
            </w:tr>
            <w:tr w14:paraId="36EA9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863" w:type="dxa"/>
                  <w:tcBorders>
                    <w:top w:val="single" w:color="auto" w:sz="4" w:space="0"/>
                    <w:left w:val="single" w:color="auto" w:sz="4" w:space="0"/>
                    <w:bottom w:val="single" w:color="auto" w:sz="4" w:space="0"/>
                    <w:right w:val="single" w:color="auto" w:sz="4" w:space="0"/>
                  </w:tcBorders>
                  <w:noWrap w:val="0"/>
                  <w:vAlign w:val="top"/>
                </w:tcPr>
                <w:p w14:paraId="4905B843">
                  <w:pPr>
                    <w:spacing w:before="115" w:line="195" w:lineRule="auto"/>
                    <w:ind w:left="116"/>
                    <w:jc w:val="center"/>
                    <w:rPr>
                      <w:rFonts w:eastAsia="Times New Roman"/>
                      <w:szCs w:val="21"/>
                      <w:highlight w:val="none"/>
                    </w:rPr>
                  </w:pPr>
                  <w:r>
                    <w:rPr>
                      <w:rFonts w:eastAsia="Times New Roman"/>
                      <w:spacing w:val="-3"/>
                      <w:szCs w:val="21"/>
                      <w:highlight w:val="none"/>
                    </w:rPr>
                    <w:t>SS</w:t>
                  </w:r>
                </w:p>
              </w:tc>
              <w:tc>
                <w:tcPr>
                  <w:tcW w:w="948" w:type="dxa"/>
                  <w:tcBorders>
                    <w:top w:val="single" w:color="auto" w:sz="4" w:space="0"/>
                    <w:left w:val="single" w:color="auto" w:sz="4" w:space="0"/>
                    <w:bottom w:val="single" w:color="auto" w:sz="4" w:space="0"/>
                    <w:right w:val="single" w:color="auto" w:sz="4" w:space="0"/>
                  </w:tcBorders>
                  <w:noWrap w:val="0"/>
                  <w:vAlign w:val="center"/>
                </w:tcPr>
                <w:p w14:paraId="168E13EC">
                  <w:pPr>
                    <w:jc w:val="center"/>
                    <w:rPr>
                      <w:szCs w:val="21"/>
                      <w:highlight w:val="none"/>
                    </w:rPr>
                  </w:pPr>
                  <w:r>
                    <w:rPr>
                      <w:szCs w:val="21"/>
                      <w:highlight w:val="none"/>
                    </w:rPr>
                    <w:t>mg/L</w:t>
                  </w:r>
                </w:p>
              </w:tc>
              <w:tc>
                <w:tcPr>
                  <w:tcW w:w="2511" w:type="dxa"/>
                  <w:tcBorders>
                    <w:top w:val="single" w:color="auto" w:sz="4" w:space="0"/>
                    <w:left w:val="single" w:color="auto" w:sz="4" w:space="0"/>
                    <w:bottom w:val="single" w:color="auto" w:sz="4" w:space="0"/>
                    <w:right w:val="single" w:color="auto" w:sz="4" w:space="0"/>
                  </w:tcBorders>
                  <w:noWrap w:val="0"/>
                  <w:vAlign w:val="top"/>
                </w:tcPr>
                <w:p w14:paraId="79465E57">
                  <w:pPr>
                    <w:spacing w:before="115" w:line="195" w:lineRule="auto"/>
                    <w:ind w:left="116"/>
                    <w:jc w:val="center"/>
                    <w:rPr>
                      <w:rFonts w:eastAsia="Times New Roman"/>
                      <w:szCs w:val="21"/>
                      <w:highlight w:val="none"/>
                    </w:rPr>
                  </w:pPr>
                  <w:r>
                    <w:rPr>
                      <w:rFonts w:hint="eastAsia" w:eastAsia="宋体"/>
                      <w:szCs w:val="21"/>
                      <w:highlight w:val="none"/>
                      <w:lang w:val="en-US" w:eastAsia="zh-CN"/>
                    </w:rPr>
                    <w:t>7</w:t>
                  </w:r>
                  <w:r>
                    <w:rPr>
                      <w:rFonts w:eastAsia="Times New Roman"/>
                      <w:szCs w:val="21"/>
                      <w:highlight w:val="none"/>
                    </w:rPr>
                    <w:t>0</w:t>
                  </w:r>
                </w:p>
              </w:tc>
              <w:tc>
                <w:tcPr>
                  <w:tcW w:w="2519" w:type="dxa"/>
                  <w:vMerge w:val="continue"/>
                  <w:tcBorders>
                    <w:left w:val="single" w:color="auto" w:sz="4" w:space="0"/>
                    <w:right w:val="single" w:color="auto" w:sz="4" w:space="0"/>
                  </w:tcBorders>
                  <w:noWrap w:val="0"/>
                  <w:vAlign w:val="center"/>
                </w:tcPr>
                <w:p w14:paraId="05066811">
                  <w:pPr>
                    <w:spacing w:before="115" w:line="195" w:lineRule="auto"/>
                    <w:ind w:left="116"/>
                    <w:jc w:val="center"/>
                    <w:rPr>
                      <w:rFonts w:eastAsia="Times New Roman"/>
                      <w:szCs w:val="21"/>
                      <w:highlight w:val="none"/>
                    </w:rPr>
                  </w:pPr>
                </w:p>
              </w:tc>
            </w:tr>
            <w:tr w14:paraId="30D69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3" w:type="dxa"/>
                  <w:tcBorders>
                    <w:top w:val="single" w:color="auto" w:sz="4" w:space="0"/>
                    <w:left w:val="single" w:color="auto" w:sz="4" w:space="0"/>
                    <w:bottom w:val="single" w:color="auto" w:sz="4" w:space="0"/>
                    <w:right w:val="single" w:color="auto" w:sz="4" w:space="0"/>
                  </w:tcBorders>
                  <w:noWrap w:val="0"/>
                  <w:vAlign w:val="top"/>
                </w:tcPr>
                <w:p w14:paraId="5E02096A">
                  <w:pPr>
                    <w:spacing w:before="115" w:line="195" w:lineRule="auto"/>
                    <w:ind w:left="110"/>
                    <w:jc w:val="center"/>
                    <w:rPr>
                      <w:rFonts w:eastAsia="Times New Roman"/>
                      <w:szCs w:val="21"/>
                      <w:highlight w:val="none"/>
                    </w:rPr>
                  </w:pPr>
                  <w:r>
                    <w:rPr>
                      <w:rFonts w:eastAsia="Times New Roman"/>
                      <w:spacing w:val="3"/>
                      <w:szCs w:val="21"/>
                      <w:highlight w:val="none"/>
                    </w:rPr>
                    <w:t>COD</w:t>
                  </w:r>
                </w:p>
              </w:tc>
              <w:tc>
                <w:tcPr>
                  <w:tcW w:w="948" w:type="dxa"/>
                  <w:tcBorders>
                    <w:top w:val="single" w:color="auto" w:sz="4" w:space="0"/>
                    <w:left w:val="single" w:color="auto" w:sz="4" w:space="0"/>
                    <w:bottom w:val="single" w:color="auto" w:sz="4" w:space="0"/>
                    <w:right w:val="single" w:color="auto" w:sz="4" w:space="0"/>
                  </w:tcBorders>
                  <w:noWrap w:val="0"/>
                  <w:vAlign w:val="center"/>
                </w:tcPr>
                <w:p w14:paraId="1331C721">
                  <w:pPr>
                    <w:jc w:val="center"/>
                    <w:rPr>
                      <w:szCs w:val="21"/>
                      <w:highlight w:val="none"/>
                    </w:rPr>
                  </w:pPr>
                  <w:r>
                    <w:rPr>
                      <w:szCs w:val="21"/>
                      <w:highlight w:val="none"/>
                    </w:rPr>
                    <w:t>mg/L</w:t>
                  </w:r>
                </w:p>
              </w:tc>
              <w:tc>
                <w:tcPr>
                  <w:tcW w:w="2511" w:type="dxa"/>
                  <w:tcBorders>
                    <w:top w:val="single" w:color="auto" w:sz="4" w:space="0"/>
                    <w:left w:val="single" w:color="auto" w:sz="4" w:space="0"/>
                    <w:bottom w:val="single" w:color="auto" w:sz="4" w:space="0"/>
                    <w:right w:val="single" w:color="auto" w:sz="4" w:space="0"/>
                  </w:tcBorders>
                  <w:noWrap w:val="0"/>
                  <w:vAlign w:val="top"/>
                </w:tcPr>
                <w:p w14:paraId="3BBCF4E7">
                  <w:pPr>
                    <w:spacing w:before="115" w:line="195" w:lineRule="auto"/>
                    <w:ind w:left="116"/>
                    <w:jc w:val="center"/>
                    <w:rPr>
                      <w:rFonts w:hint="default" w:eastAsia="宋体"/>
                      <w:szCs w:val="21"/>
                      <w:highlight w:val="none"/>
                      <w:lang w:val="en-US" w:eastAsia="zh-CN"/>
                    </w:rPr>
                  </w:pPr>
                  <w:r>
                    <w:rPr>
                      <w:rFonts w:hint="eastAsia" w:eastAsia="宋体"/>
                      <w:szCs w:val="21"/>
                      <w:highlight w:val="none"/>
                      <w:lang w:val="en-US" w:eastAsia="zh-CN"/>
                    </w:rPr>
                    <w:t>100</w:t>
                  </w:r>
                </w:p>
              </w:tc>
              <w:tc>
                <w:tcPr>
                  <w:tcW w:w="2519" w:type="dxa"/>
                  <w:vMerge w:val="continue"/>
                  <w:tcBorders>
                    <w:left w:val="single" w:color="auto" w:sz="4" w:space="0"/>
                    <w:right w:val="single" w:color="auto" w:sz="4" w:space="0"/>
                  </w:tcBorders>
                  <w:noWrap w:val="0"/>
                  <w:vAlign w:val="center"/>
                </w:tcPr>
                <w:p w14:paraId="57B24419">
                  <w:pPr>
                    <w:spacing w:before="115" w:line="195" w:lineRule="auto"/>
                    <w:ind w:left="116"/>
                    <w:jc w:val="center"/>
                    <w:rPr>
                      <w:rFonts w:eastAsia="Times New Roman"/>
                      <w:szCs w:val="21"/>
                      <w:highlight w:val="none"/>
                    </w:rPr>
                  </w:pPr>
                </w:p>
              </w:tc>
            </w:tr>
            <w:tr w14:paraId="30CA2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3" w:type="dxa"/>
                  <w:tcBorders>
                    <w:top w:val="single" w:color="auto" w:sz="4" w:space="0"/>
                    <w:left w:val="single" w:color="auto" w:sz="4" w:space="0"/>
                    <w:bottom w:val="single" w:color="auto" w:sz="4" w:space="0"/>
                    <w:right w:val="single" w:color="auto" w:sz="4" w:space="0"/>
                  </w:tcBorders>
                  <w:noWrap w:val="0"/>
                  <w:vAlign w:val="top"/>
                </w:tcPr>
                <w:p w14:paraId="21E6D026">
                  <w:pPr>
                    <w:spacing w:before="117" w:line="202" w:lineRule="auto"/>
                    <w:ind w:left="106"/>
                    <w:jc w:val="center"/>
                    <w:rPr>
                      <w:rFonts w:eastAsia="Times New Roman"/>
                      <w:szCs w:val="21"/>
                      <w:highlight w:val="none"/>
                    </w:rPr>
                  </w:pPr>
                  <w:r>
                    <w:rPr>
                      <w:rFonts w:eastAsia="Times New Roman"/>
                      <w:spacing w:val="5"/>
                      <w:szCs w:val="21"/>
                      <w:highlight w:val="none"/>
                    </w:rPr>
                    <w:t>BOD</w:t>
                  </w:r>
                  <w:r>
                    <w:rPr>
                      <w:rFonts w:eastAsia="Times New Roman"/>
                      <w:spacing w:val="5"/>
                      <w:position w:val="-1"/>
                      <w:szCs w:val="21"/>
                      <w:highlight w:val="none"/>
                    </w:rPr>
                    <w:t>5</w:t>
                  </w:r>
                </w:p>
              </w:tc>
              <w:tc>
                <w:tcPr>
                  <w:tcW w:w="948" w:type="dxa"/>
                  <w:tcBorders>
                    <w:top w:val="single" w:color="auto" w:sz="4" w:space="0"/>
                    <w:left w:val="single" w:color="auto" w:sz="4" w:space="0"/>
                    <w:bottom w:val="single" w:color="auto" w:sz="4" w:space="0"/>
                    <w:right w:val="single" w:color="auto" w:sz="4" w:space="0"/>
                  </w:tcBorders>
                  <w:noWrap w:val="0"/>
                  <w:vAlign w:val="center"/>
                </w:tcPr>
                <w:p w14:paraId="1CD77FB9">
                  <w:pPr>
                    <w:jc w:val="center"/>
                    <w:rPr>
                      <w:szCs w:val="21"/>
                      <w:highlight w:val="none"/>
                    </w:rPr>
                  </w:pPr>
                  <w:r>
                    <w:rPr>
                      <w:szCs w:val="21"/>
                      <w:highlight w:val="none"/>
                    </w:rPr>
                    <w:t>mg/L</w:t>
                  </w:r>
                </w:p>
              </w:tc>
              <w:tc>
                <w:tcPr>
                  <w:tcW w:w="2511" w:type="dxa"/>
                  <w:tcBorders>
                    <w:top w:val="single" w:color="auto" w:sz="4" w:space="0"/>
                    <w:left w:val="single" w:color="auto" w:sz="4" w:space="0"/>
                    <w:bottom w:val="single" w:color="auto" w:sz="4" w:space="0"/>
                    <w:right w:val="single" w:color="auto" w:sz="4" w:space="0"/>
                  </w:tcBorders>
                  <w:noWrap w:val="0"/>
                  <w:vAlign w:val="top"/>
                </w:tcPr>
                <w:p w14:paraId="78056C05">
                  <w:pPr>
                    <w:spacing w:before="117" w:line="195" w:lineRule="auto"/>
                    <w:ind w:left="111"/>
                    <w:jc w:val="center"/>
                    <w:rPr>
                      <w:rFonts w:eastAsia="Times New Roman"/>
                      <w:szCs w:val="21"/>
                      <w:highlight w:val="none"/>
                    </w:rPr>
                  </w:pPr>
                  <w:r>
                    <w:rPr>
                      <w:rFonts w:eastAsia="Times New Roman"/>
                      <w:szCs w:val="21"/>
                      <w:highlight w:val="none"/>
                    </w:rPr>
                    <w:t>20</w:t>
                  </w:r>
                </w:p>
              </w:tc>
              <w:tc>
                <w:tcPr>
                  <w:tcW w:w="2519" w:type="dxa"/>
                  <w:vMerge w:val="continue"/>
                  <w:tcBorders>
                    <w:left w:val="single" w:color="auto" w:sz="4" w:space="0"/>
                    <w:right w:val="single" w:color="auto" w:sz="4" w:space="0"/>
                  </w:tcBorders>
                  <w:noWrap w:val="0"/>
                  <w:vAlign w:val="center"/>
                </w:tcPr>
                <w:p w14:paraId="46B39193">
                  <w:pPr>
                    <w:spacing w:before="117" w:line="195" w:lineRule="auto"/>
                    <w:ind w:left="111"/>
                    <w:jc w:val="center"/>
                    <w:rPr>
                      <w:rFonts w:eastAsia="Times New Roman"/>
                      <w:szCs w:val="21"/>
                      <w:highlight w:val="none"/>
                    </w:rPr>
                  </w:pPr>
                </w:p>
              </w:tc>
            </w:tr>
            <w:tr w14:paraId="4E5C5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3" w:type="dxa"/>
                  <w:tcBorders>
                    <w:top w:val="single" w:color="auto" w:sz="4" w:space="0"/>
                    <w:left w:val="single" w:color="auto" w:sz="4" w:space="0"/>
                    <w:bottom w:val="single" w:color="auto" w:sz="4" w:space="0"/>
                    <w:right w:val="single" w:color="auto" w:sz="4" w:space="0"/>
                  </w:tcBorders>
                  <w:noWrap w:val="0"/>
                  <w:vAlign w:val="top"/>
                </w:tcPr>
                <w:p w14:paraId="7A76B97F">
                  <w:pPr>
                    <w:spacing w:before="119" w:line="204" w:lineRule="auto"/>
                    <w:ind w:left="100"/>
                    <w:jc w:val="center"/>
                    <w:rPr>
                      <w:rFonts w:eastAsia="Times New Roman"/>
                      <w:szCs w:val="21"/>
                      <w:highlight w:val="none"/>
                    </w:rPr>
                  </w:pPr>
                  <w:r>
                    <w:rPr>
                      <w:rFonts w:eastAsia="Times New Roman"/>
                      <w:szCs w:val="21"/>
                      <w:highlight w:val="none"/>
                    </w:rPr>
                    <w:t>NH</w:t>
                  </w:r>
                  <w:r>
                    <w:rPr>
                      <w:rFonts w:eastAsia="Times New Roman"/>
                      <w:spacing w:val="9"/>
                      <w:szCs w:val="21"/>
                      <w:highlight w:val="none"/>
                    </w:rPr>
                    <w:t>3-N</w:t>
                  </w:r>
                </w:p>
              </w:tc>
              <w:tc>
                <w:tcPr>
                  <w:tcW w:w="948" w:type="dxa"/>
                  <w:tcBorders>
                    <w:top w:val="single" w:color="auto" w:sz="4" w:space="0"/>
                    <w:left w:val="single" w:color="auto" w:sz="4" w:space="0"/>
                    <w:bottom w:val="single" w:color="auto" w:sz="4" w:space="0"/>
                    <w:right w:val="single" w:color="auto" w:sz="4" w:space="0"/>
                  </w:tcBorders>
                  <w:noWrap w:val="0"/>
                  <w:vAlign w:val="center"/>
                </w:tcPr>
                <w:p w14:paraId="359C5315">
                  <w:pPr>
                    <w:jc w:val="center"/>
                    <w:rPr>
                      <w:szCs w:val="21"/>
                      <w:highlight w:val="none"/>
                    </w:rPr>
                  </w:pPr>
                  <w:r>
                    <w:rPr>
                      <w:szCs w:val="21"/>
                      <w:highlight w:val="none"/>
                    </w:rPr>
                    <w:t>mg/L</w:t>
                  </w:r>
                </w:p>
              </w:tc>
              <w:tc>
                <w:tcPr>
                  <w:tcW w:w="2511" w:type="dxa"/>
                  <w:tcBorders>
                    <w:top w:val="single" w:color="auto" w:sz="4" w:space="0"/>
                    <w:left w:val="single" w:color="auto" w:sz="4" w:space="0"/>
                    <w:bottom w:val="single" w:color="auto" w:sz="4" w:space="0"/>
                    <w:right w:val="single" w:color="auto" w:sz="4" w:space="0"/>
                  </w:tcBorders>
                  <w:noWrap w:val="0"/>
                  <w:vAlign w:val="top"/>
                </w:tcPr>
                <w:p w14:paraId="4554188C">
                  <w:pPr>
                    <w:spacing w:before="116" w:line="195" w:lineRule="auto"/>
                    <w:ind w:left="132"/>
                    <w:jc w:val="center"/>
                    <w:rPr>
                      <w:rFonts w:eastAsia="Times New Roman"/>
                      <w:szCs w:val="21"/>
                      <w:highlight w:val="none"/>
                    </w:rPr>
                  </w:pPr>
                  <w:r>
                    <w:rPr>
                      <w:rFonts w:eastAsia="Times New Roman"/>
                      <w:szCs w:val="21"/>
                      <w:highlight w:val="none"/>
                    </w:rPr>
                    <w:t>15</w:t>
                  </w:r>
                </w:p>
              </w:tc>
              <w:tc>
                <w:tcPr>
                  <w:tcW w:w="2519" w:type="dxa"/>
                  <w:vMerge w:val="continue"/>
                  <w:tcBorders>
                    <w:left w:val="single" w:color="auto" w:sz="4" w:space="0"/>
                    <w:right w:val="single" w:color="auto" w:sz="4" w:space="0"/>
                  </w:tcBorders>
                  <w:noWrap w:val="0"/>
                  <w:vAlign w:val="top"/>
                </w:tcPr>
                <w:p w14:paraId="3A571E34">
                  <w:pPr>
                    <w:spacing w:before="116" w:line="195" w:lineRule="auto"/>
                    <w:ind w:left="132"/>
                    <w:jc w:val="center"/>
                    <w:rPr>
                      <w:szCs w:val="21"/>
                      <w:highlight w:val="none"/>
                      <w:shd w:val="clear" w:color="auto" w:fill="FFFFFF"/>
                    </w:rPr>
                  </w:pPr>
                </w:p>
              </w:tc>
            </w:tr>
          </w:tbl>
          <w:p w14:paraId="35F4575F">
            <w:pPr>
              <w:spacing w:line="360" w:lineRule="auto"/>
              <w:ind w:firstLine="482" w:firstLineChars="200"/>
              <w:rPr>
                <w:b/>
                <w:bCs/>
                <w:color w:val="auto"/>
                <w:sz w:val="24"/>
                <w:highlight w:val="none"/>
              </w:rPr>
            </w:pPr>
            <w:r>
              <w:rPr>
                <w:b/>
                <w:bCs/>
                <w:color w:val="auto"/>
                <w:sz w:val="24"/>
                <w:highlight w:val="none"/>
              </w:rPr>
              <w:t>2、废气</w:t>
            </w:r>
          </w:p>
          <w:p w14:paraId="796EE098">
            <w:pPr>
              <w:pStyle w:val="26"/>
              <w:keepNext w:val="0"/>
              <w:keepLines w:val="0"/>
              <w:widowControl/>
              <w:suppressLineNumbers w:val="0"/>
              <w:shd w:val="clear" w:fill="FFFFFF"/>
              <w:spacing w:before="240" w:beforeAutospacing="0" w:after="240" w:afterAutospacing="0" w:line="360" w:lineRule="auto"/>
              <w:ind w:left="0" w:right="0" w:firstLine="480" w:firstLineChars="200"/>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本项目施工期大气污染物排放标准按污染源性质分别执行：</w:t>
            </w:r>
          </w:p>
          <w:p w14:paraId="73D88E3E">
            <w:pPr>
              <w:pStyle w:val="26"/>
              <w:keepNext w:val="0"/>
              <w:keepLines w:val="0"/>
              <w:widowControl/>
              <w:suppressLineNumbers w:val="0"/>
              <w:shd w:val="clear" w:fill="FFFFFF"/>
              <w:spacing w:before="240" w:beforeAutospacing="0" w:after="240" w:afterAutospacing="0" w:line="360" w:lineRule="auto"/>
              <w:ind w:left="0" w:right="0" w:firstLine="480" w:firstLineChars="200"/>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cs="Times New Roman"/>
                <w:color w:val="auto"/>
                <w:kern w:val="0"/>
                <w:sz w:val="24"/>
                <w:szCs w:val="24"/>
                <w:highlight w:val="none"/>
                <w:lang w:val="en-US" w:eastAsia="zh-CN" w:bidi="ar"/>
              </w:rPr>
              <w:t>（1）</w:t>
            </w:r>
            <w:r>
              <w:rPr>
                <w:rFonts w:hint="default" w:ascii="Times New Roman" w:hAnsi="Times New Roman" w:eastAsia="宋体" w:cs="Times New Roman"/>
                <w:color w:val="auto"/>
                <w:kern w:val="0"/>
                <w:sz w:val="24"/>
                <w:szCs w:val="24"/>
                <w:highlight w:val="none"/>
                <w:lang w:val="en-US" w:eastAsia="zh-CN" w:bidi="ar"/>
              </w:rPr>
              <w:t>水泥储罐粉尘：项目水泥采用散装水泥，储存于密闭筒仓，水泥仓呼吸口颗粒物排放执行安徽省《水泥工业大气污染物排放标准》（DB34/3576—2020）表1中“散装水泥中转站及水泥制品生产—水泥仓及其他通风生产设备”限值，有组织颗粒物排放浓度限值为10 mg/m³；无组织颗粒物监控浓度限值为0.5 mg/m³。</w:t>
            </w:r>
          </w:p>
          <w:p w14:paraId="511F21B8">
            <w:pPr>
              <w:pStyle w:val="26"/>
              <w:keepNext w:val="0"/>
              <w:keepLines w:val="0"/>
              <w:widowControl/>
              <w:suppressLineNumbers w:val="0"/>
              <w:shd w:val="clear" w:fill="FFFFFF"/>
              <w:spacing w:before="240" w:beforeAutospacing="0" w:after="240" w:afterAutospacing="0" w:line="360" w:lineRule="auto"/>
              <w:ind w:left="0" w:right="0" w:firstLine="480" w:firstLineChars="200"/>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2）粉煤灰储罐粉尘：粉煤灰储存于密闭筒仓，不属于水泥生产设施，不适用DB34/3576—2020。其仓顶呼吸口颗粒物有组织排放执行《大气污染物综合排放标准》（GB16297—1996）表2中“其他”颗粒物排放限值，排放浓度限值为120 mg/m³；无组织颗粒物周界外浓度最高点限值为1.0 mg/m³。</w:t>
            </w:r>
          </w:p>
          <w:p w14:paraId="11EEF5A4">
            <w:pPr>
              <w:pStyle w:val="26"/>
              <w:keepNext w:val="0"/>
              <w:keepLines w:val="0"/>
              <w:widowControl/>
              <w:suppressLineNumbers w:val="0"/>
              <w:shd w:val="clear" w:fill="FFFFFF"/>
              <w:spacing w:before="240" w:beforeAutospacing="0" w:after="0" w:afterAutospacing="0" w:line="360" w:lineRule="auto"/>
              <w:ind w:left="0" w:right="0" w:firstLine="480" w:firstLineChars="200"/>
              <w:rPr>
                <w:rFonts w:hint="eastAsia"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（3）施工扬尘执行安徽省《施工场地颗粒物排放标准》（DB34/4811—2024）中标准限值；其他无组织废气排放执行GB16297—1996表2无组织排放监控浓度限值。</w:t>
            </w:r>
          </w:p>
          <w:p w14:paraId="467753F4">
            <w:pPr>
              <w:spacing w:line="360" w:lineRule="auto"/>
              <w:ind w:firstLine="480" w:firstLineChars="200"/>
              <w:rPr>
                <w:rFonts w:ascii="Times New Roman" w:hAnsi="Times New Roman" w:eastAsia="宋体" w:cs="Times New Roman"/>
                <w:color w:val="auto"/>
                <w:kern w:val="0"/>
                <w:sz w:val="24"/>
                <w:szCs w:val="24"/>
                <w:highlight w:val="none"/>
                <w:lang w:val="en-US" w:eastAsia="zh-CN" w:bidi="ar"/>
              </w:rPr>
            </w:pPr>
            <w:r>
              <w:rPr>
                <w:rFonts w:ascii="Times New Roman" w:hAnsi="Times New Roman" w:eastAsia="宋体" w:cs="Times New Roman"/>
                <w:color w:val="auto"/>
                <w:kern w:val="0"/>
                <w:sz w:val="24"/>
                <w:szCs w:val="24"/>
                <w:highlight w:val="none"/>
                <w:lang w:val="en-US" w:eastAsia="zh-CN" w:bidi="ar"/>
              </w:rPr>
              <w:t>具体标准值见下表。</w:t>
            </w:r>
          </w:p>
          <w:p w14:paraId="4F4AB87E">
            <w:pPr>
              <w:spacing w:line="240" w:lineRule="atLeast"/>
              <w:jc w:val="center"/>
              <w:rPr>
                <w:rFonts w:eastAsia="黑体"/>
                <w:color w:val="auto"/>
                <w:szCs w:val="20"/>
                <w:highlight w:val="none"/>
              </w:rPr>
            </w:pPr>
            <w:r>
              <w:rPr>
                <w:rFonts w:eastAsia="黑体"/>
                <w:color w:val="auto"/>
                <w:szCs w:val="20"/>
                <w:highlight w:val="none"/>
              </w:rPr>
              <w:t>表3-</w:t>
            </w:r>
            <w:r>
              <w:rPr>
                <w:rFonts w:hint="eastAsia" w:eastAsia="黑体"/>
                <w:color w:val="auto"/>
                <w:szCs w:val="20"/>
                <w:highlight w:val="none"/>
                <w:lang w:val="en-US" w:eastAsia="zh-CN"/>
              </w:rPr>
              <w:t>8</w:t>
            </w:r>
            <w:r>
              <w:rPr>
                <w:rFonts w:eastAsia="黑体"/>
                <w:color w:val="auto"/>
                <w:szCs w:val="20"/>
                <w:highlight w:val="none"/>
              </w:rPr>
              <w:t xml:space="preserve">  废气排放执行标准</w:t>
            </w:r>
          </w:p>
          <w:tbl>
            <w:tblPr>
              <w:tblStyle w:val="2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3"/>
              <w:gridCol w:w="2674"/>
              <w:gridCol w:w="1149"/>
              <w:gridCol w:w="2155"/>
            </w:tblGrid>
            <w:tr w14:paraId="388AD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3" w:type="pct"/>
                  <w:vMerge w:val="restart"/>
                  <w:noWrap w:val="0"/>
                  <w:vAlign w:val="center"/>
                </w:tcPr>
                <w:p w14:paraId="0627AD2E">
                  <w:pPr>
                    <w:jc w:val="center"/>
                    <w:rPr>
                      <w:b/>
                      <w:bCs/>
                      <w:color w:val="auto"/>
                      <w:szCs w:val="21"/>
                      <w:highlight w:val="none"/>
                    </w:rPr>
                  </w:pPr>
                  <w:r>
                    <w:rPr>
                      <w:b/>
                      <w:bCs/>
                      <w:color w:val="auto"/>
                      <w:szCs w:val="21"/>
                      <w:highlight w:val="none"/>
                    </w:rPr>
                    <w:t>污染物</w:t>
                  </w:r>
                </w:p>
              </w:tc>
              <w:tc>
                <w:tcPr>
                  <w:tcW w:w="2382" w:type="pct"/>
                  <w:gridSpan w:val="2"/>
                  <w:noWrap w:val="0"/>
                  <w:vAlign w:val="center"/>
                </w:tcPr>
                <w:p w14:paraId="3668018A">
                  <w:pPr>
                    <w:jc w:val="center"/>
                    <w:rPr>
                      <w:b/>
                      <w:bCs/>
                      <w:color w:val="auto"/>
                      <w:szCs w:val="21"/>
                      <w:highlight w:val="none"/>
                    </w:rPr>
                  </w:pPr>
                  <w:r>
                    <w:rPr>
                      <w:b/>
                      <w:bCs/>
                      <w:color w:val="auto"/>
                      <w:szCs w:val="21"/>
                      <w:highlight w:val="none"/>
                    </w:rPr>
                    <w:t>无组织排放监控浓度限值（mg/m</w:t>
                  </w:r>
                  <w:r>
                    <w:rPr>
                      <w:b/>
                      <w:bCs/>
                      <w:color w:val="auto"/>
                      <w:szCs w:val="21"/>
                      <w:highlight w:val="none"/>
                      <w:vertAlign w:val="superscript"/>
                    </w:rPr>
                    <w:t>3</w:t>
                  </w:r>
                  <w:r>
                    <w:rPr>
                      <w:b/>
                      <w:bCs/>
                      <w:color w:val="auto"/>
                      <w:szCs w:val="21"/>
                      <w:highlight w:val="none"/>
                    </w:rPr>
                    <w:t>）</w:t>
                  </w:r>
                </w:p>
              </w:tc>
              <w:tc>
                <w:tcPr>
                  <w:tcW w:w="1343" w:type="pct"/>
                  <w:vMerge w:val="restart"/>
                  <w:noWrap w:val="0"/>
                  <w:vAlign w:val="center"/>
                </w:tcPr>
                <w:p w14:paraId="35396F36">
                  <w:pPr>
                    <w:jc w:val="center"/>
                    <w:rPr>
                      <w:b/>
                      <w:color w:val="auto"/>
                      <w:szCs w:val="21"/>
                      <w:highlight w:val="none"/>
                    </w:rPr>
                  </w:pPr>
                  <w:r>
                    <w:rPr>
                      <w:b/>
                      <w:color w:val="auto"/>
                      <w:szCs w:val="21"/>
                      <w:highlight w:val="none"/>
                    </w:rPr>
                    <w:t>备注</w:t>
                  </w:r>
                </w:p>
              </w:tc>
            </w:tr>
            <w:tr w14:paraId="4400A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3" w:type="pct"/>
                  <w:vMerge w:val="continue"/>
                  <w:noWrap w:val="0"/>
                  <w:vAlign w:val="center"/>
                </w:tcPr>
                <w:p w14:paraId="76396AFE">
                  <w:pPr>
                    <w:jc w:val="center"/>
                    <w:rPr>
                      <w:b/>
                      <w:color w:val="auto"/>
                      <w:szCs w:val="21"/>
                      <w:highlight w:val="none"/>
                    </w:rPr>
                  </w:pPr>
                </w:p>
              </w:tc>
              <w:tc>
                <w:tcPr>
                  <w:tcW w:w="1666" w:type="pct"/>
                  <w:noWrap w:val="0"/>
                  <w:vAlign w:val="center"/>
                </w:tcPr>
                <w:p w14:paraId="43A83221">
                  <w:pPr>
                    <w:jc w:val="center"/>
                    <w:rPr>
                      <w:b/>
                      <w:bCs/>
                      <w:color w:val="auto"/>
                      <w:szCs w:val="21"/>
                      <w:highlight w:val="none"/>
                    </w:rPr>
                  </w:pPr>
                  <w:r>
                    <w:rPr>
                      <w:b/>
                      <w:bCs/>
                      <w:color w:val="auto"/>
                      <w:szCs w:val="21"/>
                      <w:highlight w:val="none"/>
                    </w:rPr>
                    <w:t>监控点</w:t>
                  </w:r>
                </w:p>
              </w:tc>
              <w:tc>
                <w:tcPr>
                  <w:tcW w:w="716" w:type="pct"/>
                  <w:noWrap w:val="0"/>
                  <w:vAlign w:val="center"/>
                </w:tcPr>
                <w:p w14:paraId="58FDFA9B">
                  <w:pPr>
                    <w:jc w:val="center"/>
                    <w:rPr>
                      <w:b/>
                      <w:bCs/>
                      <w:color w:val="auto"/>
                      <w:szCs w:val="21"/>
                      <w:highlight w:val="none"/>
                    </w:rPr>
                  </w:pPr>
                  <w:r>
                    <w:rPr>
                      <w:b/>
                      <w:bCs/>
                      <w:color w:val="auto"/>
                      <w:szCs w:val="21"/>
                      <w:highlight w:val="none"/>
                    </w:rPr>
                    <w:t>浓度</w:t>
                  </w:r>
                </w:p>
              </w:tc>
              <w:tc>
                <w:tcPr>
                  <w:tcW w:w="1343" w:type="pct"/>
                  <w:vMerge w:val="continue"/>
                  <w:noWrap w:val="0"/>
                  <w:vAlign w:val="center"/>
                </w:tcPr>
                <w:p w14:paraId="2812FCAC">
                  <w:pPr>
                    <w:jc w:val="center"/>
                    <w:rPr>
                      <w:color w:val="auto"/>
                      <w:szCs w:val="21"/>
                      <w:highlight w:val="none"/>
                    </w:rPr>
                  </w:pPr>
                </w:p>
              </w:tc>
            </w:tr>
            <w:tr w14:paraId="2AC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3" w:type="pct"/>
                  <w:noWrap w:val="0"/>
                  <w:vAlign w:val="center"/>
                </w:tcPr>
                <w:p w14:paraId="573C237A">
                  <w:pPr>
                    <w:jc w:val="center"/>
                    <w:rPr>
                      <w:rFonts w:hint="eastAsia"/>
                      <w:color w:val="auto"/>
                      <w:szCs w:val="21"/>
                      <w:highlight w:val="none"/>
                      <w:lang w:val="en-US" w:eastAsia="zh-CN"/>
                    </w:rPr>
                  </w:pPr>
                  <w:r>
                    <w:rPr>
                      <w:rFonts w:hint="eastAsia"/>
                      <w:color w:val="auto"/>
                      <w:szCs w:val="21"/>
                      <w:highlight w:val="none"/>
                      <w:lang w:val="en-US" w:eastAsia="zh-CN"/>
                    </w:rPr>
                    <w:t>颗粒物</w:t>
                  </w:r>
                </w:p>
                <w:p w14:paraId="69A4F2C4">
                  <w:pPr>
                    <w:jc w:val="center"/>
                    <w:rPr>
                      <w:rFonts w:hint="default"/>
                      <w:lang w:val="en-US" w:eastAsia="zh-CN"/>
                    </w:rPr>
                  </w:pPr>
                  <w:r>
                    <w:rPr>
                      <w:rFonts w:hint="eastAsia"/>
                      <w:color w:val="auto"/>
                      <w:szCs w:val="21"/>
                      <w:highlight w:val="none"/>
                      <w:lang w:val="en-US" w:eastAsia="zh-CN"/>
                    </w:rPr>
                    <w:t>（水泥储罐粉尘）</w:t>
                  </w:r>
                </w:p>
              </w:tc>
              <w:tc>
                <w:tcPr>
                  <w:tcW w:w="1666" w:type="pct"/>
                  <w:noWrap w:val="0"/>
                  <w:vAlign w:val="center"/>
                </w:tcPr>
                <w:p w14:paraId="7BC72071">
                  <w:pPr>
                    <w:jc w:val="center"/>
                    <w:rPr>
                      <w:color w:val="auto"/>
                      <w:szCs w:val="21"/>
                      <w:highlight w:val="none"/>
                    </w:rPr>
                  </w:pPr>
                  <w:r>
                    <w:rPr>
                      <w:color w:val="auto"/>
                      <w:szCs w:val="21"/>
                      <w:highlight w:val="none"/>
                    </w:rPr>
                    <w:t>监控点与参照点TSP 1小时浓度值的差值</w:t>
                  </w:r>
                </w:p>
              </w:tc>
              <w:tc>
                <w:tcPr>
                  <w:tcW w:w="716" w:type="pct"/>
                  <w:noWrap w:val="0"/>
                  <w:vAlign w:val="center"/>
                </w:tcPr>
                <w:p w14:paraId="44A84DEB">
                  <w:pPr>
                    <w:jc w:val="center"/>
                    <w:rPr>
                      <w:rFonts w:hint="default" w:eastAsia="宋体"/>
                      <w:color w:val="auto"/>
                      <w:szCs w:val="21"/>
                      <w:highlight w:val="none"/>
                      <w:lang w:val="en-US" w:eastAsia="zh-CN"/>
                    </w:rPr>
                  </w:pPr>
                  <w:r>
                    <w:rPr>
                      <w:rFonts w:hint="eastAsia"/>
                      <w:color w:val="auto"/>
                      <w:szCs w:val="21"/>
                      <w:highlight w:val="none"/>
                      <w:lang w:val="en-US" w:eastAsia="zh-CN"/>
                    </w:rPr>
                    <w:t>0.5</w:t>
                  </w:r>
                </w:p>
              </w:tc>
              <w:tc>
                <w:tcPr>
                  <w:tcW w:w="1343" w:type="pct"/>
                  <w:noWrap w:val="0"/>
                  <w:vAlign w:val="center"/>
                </w:tcPr>
                <w:p w14:paraId="37D4C210">
                  <w:pPr>
                    <w:jc w:val="center"/>
                    <w:rPr>
                      <w:color w:val="auto"/>
                      <w:szCs w:val="21"/>
                      <w:highlight w:val="none"/>
                    </w:rPr>
                  </w:pPr>
                  <w:r>
                    <w:rPr>
                      <w:color w:val="auto"/>
                      <w:szCs w:val="21"/>
                      <w:highlight w:val="none"/>
                    </w:rPr>
                    <w:t>《水泥工业大气污染物排放标准》（DB34/3576-2020）中大气污染物排放限值</w:t>
                  </w:r>
                </w:p>
              </w:tc>
            </w:tr>
            <w:tr w14:paraId="59C4E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3" w:type="pct"/>
                  <w:noWrap w:val="0"/>
                  <w:vAlign w:val="center"/>
                </w:tcPr>
                <w:p w14:paraId="7E46E29D">
                  <w:pPr>
                    <w:jc w:val="center"/>
                    <w:rPr>
                      <w:color w:val="auto"/>
                      <w:szCs w:val="21"/>
                      <w:highlight w:val="none"/>
                    </w:rPr>
                  </w:pPr>
                  <w:r>
                    <w:rPr>
                      <w:color w:val="auto"/>
                      <w:szCs w:val="21"/>
                      <w:highlight w:val="none"/>
                    </w:rPr>
                    <w:t>颗粒物</w:t>
                  </w:r>
                </w:p>
                <w:p w14:paraId="40BC6F29">
                  <w:pPr>
                    <w:jc w:val="center"/>
                    <w:rPr>
                      <w:b/>
                      <w:color w:val="auto"/>
                      <w:szCs w:val="21"/>
                      <w:highlight w:val="none"/>
                    </w:rPr>
                  </w:pPr>
                  <w:r>
                    <w:rPr>
                      <w:color w:val="auto"/>
                      <w:szCs w:val="21"/>
                      <w:highlight w:val="none"/>
                    </w:rPr>
                    <w:t>（</w:t>
                  </w:r>
                  <w:r>
                    <w:rPr>
                      <w:rFonts w:hint="eastAsia"/>
                      <w:color w:val="auto"/>
                      <w:szCs w:val="21"/>
                      <w:highlight w:val="none"/>
                      <w:lang w:val="en-US" w:eastAsia="zh-CN"/>
                    </w:rPr>
                    <w:t>粉煤灰</w:t>
                  </w:r>
                  <w:r>
                    <w:rPr>
                      <w:color w:val="auto"/>
                      <w:szCs w:val="21"/>
                      <w:highlight w:val="none"/>
                    </w:rPr>
                    <w:t>储罐粉尘）</w:t>
                  </w:r>
                </w:p>
              </w:tc>
              <w:tc>
                <w:tcPr>
                  <w:tcW w:w="1666" w:type="pct"/>
                  <w:noWrap w:val="0"/>
                  <w:vAlign w:val="center"/>
                </w:tcPr>
                <w:p w14:paraId="106675D7">
                  <w:pPr>
                    <w:jc w:val="center"/>
                    <w:rPr>
                      <w:color w:val="auto"/>
                      <w:szCs w:val="21"/>
                      <w:highlight w:val="none"/>
                    </w:rPr>
                  </w:pPr>
                  <w:r>
                    <w:rPr>
                      <w:color w:val="auto"/>
                      <w:szCs w:val="21"/>
                      <w:highlight w:val="none"/>
                    </w:rPr>
                    <w:t>监控点与参照点TSP 1小时浓度值的差值</w:t>
                  </w:r>
                </w:p>
              </w:tc>
              <w:tc>
                <w:tcPr>
                  <w:tcW w:w="716" w:type="pct"/>
                  <w:noWrap w:val="0"/>
                  <w:vAlign w:val="center"/>
                </w:tcPr>
                <w:p w14:paraId="1F05BDDD">
                  <w:pPr>
                    <w:jc w:val="center"/>
                    <w:rPr>
                      <w:rFonts w:hint="default" w:eastAsia="宋体"/>
                      <w:color w:val="auto"/>
                      <w:szCs w:val="21"/>
                      <w:highlight w:val="none"/>
                      <w:lang w:val="en-US" w:eastAsia="zh-CN"/>
                    </w:rPr>
                  </w:pPr>
                  <w:r>
                    <w:rPr>
                      <w:rFonts w:hint="eastAsia"/>
                      <w:color w:val="auto"/>
                      <w:szCs w:val="21"/>
                      <w:highlight w:val="none"/>
                      <w:lang w:val="en-US" w:eastAsia="zh-CN"/>
                    </w:rPr>
                    <w:t>1.0</w:t>
                  </w:r>
                </w:p>
              </w:tc>
              <w:tc>
                <w:tcPr>
                  <w:tcW w:w="1343" w:type="pct"/>
                  <w:noWrap w:val="0"/>
                  <w:vAlign w:val="center"/>
                </w:tcPr>
                <w:p w14:paraId="62FBBCE9">
                  <w:pPr>
                    <w:jc w:val="center"/>
                    <w:rPr>
                      <w:rFonts w:hint="default"/>
                      <w:color w:val="auto"/>
                      <w:szCs w:val="21"/>
                      <w:highlight w:val="none"/>
                      <w:lang w:val="en-US"/>
                    </w:rPr>
                  </w:pPr>
                  <w:r>
                    <w:rPr>
                      <w:rFonts w:hint="default"/>
                      <w:color w:val="auto"/>
                      <w:szCs w:val="21"/>
                      <w:highlight w:val="none"/>
                      <w:lang w:val="en-US" w:eastAsia="zh-CN"/>
                    </w:rPr>
                    <w:t>《大气污染物综合排放标准》（GB16297—1996）</w:t>
                  </w:r>
                  <w:r>
                    <w:rPr>
                      <w:rFonts w:hint="eastAsia"/>
                      <w:color w:val="auto"/>
                      <w:szCs w:val="21"/>
                      <w:highlight w:val="none"/>
                      <w:lang w:val="en-US" w:eastAsia="zh-CN"/>
                    </w:rPr>
                    <w:t>中颗粒物排放限值</w:t>
                  </w:r>
                </w:p>
              </w:tc>
            </w:tr>
            <w:tr w14:paraId="6E861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3" w:type="pct"/>
                  <w:noWrap w:val="0"/>
                  <w:vAlign w:val="center"/>
                </w:tcPr>
                <w:p w14:paraId="4215AF11">
                  <w:pPr>
                    <w:jc w:val="center"/>
                    <w:rPr>
                      <w:color w:val="auto"/>
                      <w:szCs w:val="21"/>
                      <w:highlight w:val="none"/>
                    </w:rPr>
                  </w:pPr>
                  <w:r>
                    <w:rPr>
                      <w:color w:val="auto"/>
                      <w:szCs w:val="21"/>
                      <w:highlight w:val="none"/>
                    </w:rPr>
                    <w:t>SO</w:t>
                  </w:r>
                  <w:r>
                    <w:rPr>
                      <w:color w:val="auto"/>
                      <w:szCs w:val="21"/>
                      <w:highlight w:val="none"/>
                      <w:vertAlign w:val="subscript"/>
                    </w:rPr>
                    <w:t>2</w:t>
                  </w:r>
                </w:p>
              </w:tc>
              <w:tc>
                <w:tcPr>
                  <w:tcW w:w="1666" w:type="pct"/>
                  <w:vMerge w:val="restart"/>
                  <w:noWrap w:val="0"/>
                  <w:vAlign w:val="center"/>
                </w:tcPr>
                <w:p w14:paraId="302E897B">
                  <w:pPr>
                    <w:spacing w:line="400" w:lineRule="exact"/>
                    <w:jc w:val="center"/>
                    <w:rPr>
                      <w:bCs/>
                      <w:color w:val="auto"/>
                      <w:szCs w:val="21"/>
                      <w:highlight w:val="none"/>
                    </w:rPr>
                  </w:pPr>
                  <w:r>
                    <w:rPr>
                      <w:color w:val="auto"/>
                      <w:szCs w:val="21"/>
                      <w:highlight w:val="none"/>
                    </w:rPr>
                    <w:t>周界外浓度最高点</w:t>
                  </w:r>
                </w:p>
              </w:tc>
              <w:tc>
                <w:tcPr>
                  <w:tcW w:w="716" w:type="pct"/>
                  <w:noWrap w:val="0"/>
                  <w:vAlign w:val="center"/>
                </w:tcPr>
                <w:p w14:paraId="2D539947">
                  <w:pPr>
                    <w:jc w:val="center"/>
                    <w:rPr>
                      <w:color w:val="auto"/>
                      <w:szCs w:val="21"/>
                      <w:highlight w:val="none"/>
                    </w:rPr>
                  </w:pPr>
                  <w:r>
                    <w:rPr>
                      <w:color w:val="auto"/>
                      <w:szCs w:val="21"/>
                      <w:highlight w:val="none"/>
                    </w:rPr>
                    <w:t>0.40</w:t>
                  </w:r>
                </w:p>
              </w:tc>
              <w:tc>
                <w:tcPr>
                  <w:tcW w:w="1343" w:type="pct"/>
                  <w:vMerge w:val="restart"/>
                  <w:noWrap w:val="0"/>
                  <w:vAlign w:val="center"/>
                </w:tcPr>
                <w:p w14:paraId="4D92D8DA">
                  <w:pPr>
                    <w:jc w:val="center"/>
                    <w:rPr>
                      <w:color w:val="auto"/>
                      <w:szCs w:val="21"/>
                      <w:highlight w:val="none"/>
                    </w:rPr>
                  </w:pPr>
                  <w:r>
                    <w:rPr>
                      <w:color w:val="auto"/>
                      <w:szCs w:val="21"/>
                      <w:highlight w:val="none"/>
                    </w:rPr>
                    <w:t>《大气污染物综合排放标准》（GB16297-1996）</w:t>
                  </w:r>
                </w:p>
              </w:tc>
            </w:tr>
            <w:tr w14:paraId="28C29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3" w:type="pct"/>
                  <w:noWrap w:val="0"/>
                  <w:vAlign w:val="center"/>
                </w:tcPr>
                <w:p w14:paraId="3DD7A2D2">
                  <w:pPr>
                    <w:jc w:val="center"/>
                    <w:rPr>
                      <w:color w:val="auto"/>
                      <w:szCs w:val="21"/>
                      <w:highlight w:val="none"/>
                      <w:vertAlign w:val="subscript"/>
                    </w:rPr>
                  </w:pPr>
                  <w:r>
                    <w:rPr>
                      <w:color w:val="auto"/>
                      <w:szCs w:val="21"/>
                      <w:highlight w:val="none"/>
                    </w:rPr>
                    <w:t>NO</w:t>
                  </w:r>
                  <w:r>
                    <w:rPr>
                      <w:color w:val="auto"/>
                      <w:szCs w:val="21"/>
                      <w:highlight w:val="none"/>
                      <w:vertAlign w:val="subscript"/>
                    </w:rPr>
                    <w:t>x</w:t>
                  </w:r>
                </w:p>
              </w:tc>
              <w:tc>
                <w:tcPr>
                  <w:tcW w:w="1666" w:type="pct"/>
                  <w:vMerge w:val="continue"/>
                  <w:noWrap w:val="0"/>
                  <w:vAlign w:val="center"/>
                </w:tcPr>
                <w:p w14:paraId="0D7A546B">
                  <w:pPr>
                    <w:jc w:val="center"/>
                    <w:rPr>
                      <w:color w:val="auto"/>
                      <w:szCs w:val="21"/>
                      <w:highlight w:val="none"/>
                    </w:rPr>
                  </w:pPr>
                </w:p>
              </w:tc>
              <w:tc>
                <w:tcPr>
                  <w:tcW w:w="716" w:type="pct"/>
                  <w:noWrap w:val="0"/>
                  <w:vAlign w:val="center"/>
                </w:tcPr>
                <w:p w14:paraId="0599B3A7">
                  <w:pPr>
                    <w:jc w:val="center"/>
                    <w:rPr>
                      <w:color w:val="auto"/>
                      <w:szCs w:val="21"/>
                      <w:highlight w:val="none"/>
                    </w:rPr>
                  </w:pPr>
                  <w:r>
                    <w:rPr>
                      <w:color w:val="auto"/>
                      <w:szCs w:val="21"/>
                      <w:highlight w:val="none"/>
                    </w:rPr>
                    <w:t>0.12</w:t>
                  </w:r>
                </w:p>
              </w:tc>
              <w:tc>
                <w:tcPr>
                  <w:tcW w:w="1343" w:type="pct"/>
                  <w:vMerge w:val="continue"/>
                  <w:noWrap w:val="0"/>
                  <w:vAlign w:val="center"/>
                </w:tcPr>
                <w:p w14:paraId="088DAB17">
                  <w:pPr>
                    <w:jc w:val="center"/>
                    <w:rPr>
                      <w:color w:val="auto"/>
                      <w:szCs w:val="21"/>
                      <w:highlight w:val="none"/>
                    </w:rPr>
                  </w:pPr>
                </w:p>
              </w:tc>
            </w:tr>
          </w:tbl>
          <w:p w14:paraId="6550C600">
            <w:pPr>
              <w:spacing w:line="240" w:lineRule="atLeast"/>
              <w:jc w:val="center"/>
              <w:rPr>
                <w:rFonts w:eastAsia="黑体"/>
                <w:color w:val="auto"/>
                <w:szCs w:val="20"/>
                <w:highlight w:val="none"/>
              </w:rPr>
            </w:pPr>
            <w:r>
              <w:rPr>
                <w:rFonts w:eastAsia="黑体"/>
                <w:color w:val="auto"/>
                <w:szCs w:val="20"/>
                <w:highlight w:val="none"/>
              </w:rPr>
              <w:t>表3-</w:t>
            </w:r>
            <w:r>
              <w:rPr>
                <w:rFonts w:hint="eastAsia" w:eastAsia="黑体"/>
                <w:color w:val="auto"/>
                <w:szCs w:val="20"/>
                <w:highlight w:val="none"/>
                <w:lang w:val="en-US" w:eastAsia="zh-CN"/>
              </w:rPr>
              <w:t>9</w:t>
            </w:r>
            <w:r>
              <w:rPr>
                <w:rFonts w:eastAsia="黑体"/>
                <w:color w:val="auto"/>
                <w:szCs w:val="20"/>
                <w:highlight w:val="none"/>
              </w:rPr>
              <w:t xml:space="preserve">  施工场地颗粒物排放标准</w:t>
            </w:r>
          </w:p>
          <w:tbl>
            <w:tblPr>
              <w:tblStyle w:val="2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708"/>
              <w:gridCol w:w="1486"/>
              <w:gridCol w:w="2311"/>
              <w:gridCol w:w="2522"/>
            </w:tblGrid>
            <w:tr w14:paraId="0D07E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 w:hRule="atLeast"/>
                <w:jc w:val="center"/>
              </w:trPr>
              <w:tc>
                <w:tcPr>
                  <w:tcW w:w="1883" w:type="dxa"/>
                  <w:noWrap w:val="0"/>
                  <w:vAlign w:val="center"/>
                </w:tcPr>
                <w:p w14:paraId="285C0A4C">
                  <w:pPr>
                    <w:jc w:val="center"/>
                    <w:rPr>
                      <w:snapToGrid w:val="0"/>
                      <w:color w:val="auto"/>
                      <w:highlight w:val="none"/>
                      <w:lang w:eastAsia="en-US"/>
                    </w:rPr>
                  </w:pPr>
                  <w:r>
                    <w:rPr>
                      <w:snapToGrid w:val="0"/>
                      <w:color w:val="auto"/>
                      <w:highlight w:val="none"/>
                      <w:lang w:eastAsia="en-US"/>
                    </w:rPr>
                    <w:t>控制项目</w:t>
                  </w:r>
                </w:p>
              </w:tc>
              <w:tc>
                <w:tcPr>
                  <w:tcW w:w="1608" w:type="dxa"/>
                  <w:noWrap w:val="0"/>
                  <w:vAlign w:val="center"/>
                </w:tcPr>
                <w:p w14:paraId="4DC64DA8">
                  <w:pPr>
                    <w:jc w:val="center"/>
                    <w:rPr>
                      <w:snapToGrid w:val="0"/>
                      <w:color w:val="auto"/>
                      <w:highlight w:val="none"/>
                      <w:lang w:eastAsia="en-US"/>
                    </w:rPr>
                  </w:pPr>
                  <w:r>
                    <w:rPr>
                      <w:snapToGrid w:val="0"/>
                      <w:color w:val="auto"/>
                      <w:highlight w:val="none"/>
                      <w:lang w:eastAsia="en-US"/>
                    </w:rPr>
                    <w:t>单位</w:t>
                  </w:r>
                </w:p>
              </w:tc>
              <w:tc>
                <w:tcPr>
                  <w:tcW w:w="2557" w:type="dxa"/>
                  <w:noWrap w:val="0"/>
                  <w:vAlign w:val="center"/>
                </w:tcPr>
                <w:p w14:paraId="6EDD2D4F">
                  <w:pPr>
                    <w:jc w:val="center"/>
                    <w:rPr>
                      <w:snapToGrid w:val="0"/>
                      <w:color w:val="auto"/>
                      <w:highlight w:val="none"/>
                      <w:lang w:eastAsia="en-US"/>
                    </w:rPr>
                  </w:pPr>
                  <w:r>
                    <w:rPr>
                      <w:snapToGrid w:val="0"/>
                      <w:color w:val="auto"/>
                      <w:highlight w:val="none"/>
                      <w:lang w:eastAsia="en-US"/>
                    </w:rPr>
                    <w:t>监测点浓度限值</w:t>
                  </w:r>
                </w:p>
              </w:tc>
              <w:tc>
                <w:tcPr>
                  <w:tcW w:w="2822" w:type="dxa"/>
                  <w:noWrap w:val="0"/>
                  <w:vAlign w:val="center"/>
                </w:tcPr>
                <w:p w14:paraId="4C23EBC1">
                  <w:pPr>
                    <w:jc w:val="center"/>
                    <w:rPr>
                      <w:snapToGrid w:val="0"/>
                      <w:color w:val="auto"/>
                      <w:highlight w:val="none"/>
                      <w:lang w:eastAsia="en-US"/>
                    </w:rPr>
                  </w:pPr>
                  <w:r>
                    <w:rPr>
                      <w:snapToGrid w:val="0"/>
                      <w:color w:val="auto"/>
                      <w:highlight w:val="none"/>
                      <w:lang w:eastAsia="en-US"/>
                    </w:rPr>
                    <w:t>达标判定依据</w:t>
                  </w:r>
                </w:p>
              </w:tc>
            </w:tr>
            <w:tr w14:paraId="5E5F7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jc w:val="center"/>
              </w:trPr>
              <w:tc>
                <w:tcPr>
                  <w:tcW w:w="1883" w:type="dxa"/>
                  <w:vMerge w:val="restart"/>
                  <w:noWrap w:val="0"/>
                  <w:vAlign w:val="center"/>
                </w:tcPr>
                <w:p w14:paraId="60241E95">
                  <w:pPr>
                    <w:jc w:val="center"/>
                    <w:rPr>
                      <w:snapToGrid w:val="0"/>
                      <w:color w:val="auto"/>
                      <w:highlight w:val="none"/>
                      <w:lang w:eastAsia="en-US"/>
                    </w:rPr>
                  </w:pPr>
                  <w:r>
                    <w:rPr>
                      <w:snapToGrid w:val="0"/>
                      <w:color w:val="auto"/>
                      <w:highlight w:val="none"/>
                      <w:lang w:eastAsia="en-US"/>
                    </w:rPr>
                    <w:t>TSP</w:t>
                  </w:r>
                </w:p>
              </w:tc>
              <w:tc>
                <w:tcPr>
                  <w:tcW w:w="1608" w:type="dxa"/>
                  <w:vMerge w:val="restart"/>
                  <w:noWrap w:val="0"/>
                  <w:vAlign w:val="center"/>
                </w:tcPr>
                <w:p w14:paraId="4D5628FF">
                  <w:pPr>
                    <w:jc w:val="center"/>
                    <w:rPr>
                      <w:snapToGrid w:val="0"/>
                      <w:color w:val="auto"/>
                      <w:highlight w:val="none"/>
                      <w:lang w:eastAsia="en-US"/>
                    </w:rPr>
                  </w:pPr>
                  <w:r>
                    <w:rPr>
                      <w:snapToGrid w:val="0"/>
                      <w:color w:val="auto"/>
                      <w:highlight w:val="none"/>
                      <w:lang w:eastAsia="en-US"/>
                    </w:rPr>
                    <w:t>μg/</w:t>
                  </w:r>
                  <w:r>
                    <w:rPr>
                      <w:rFonts w:hint="eastAsia"/>
                      <w:snapToGrid w:val="0"/>
                      <w:color w:val="auto"/>
                      <w:highlight w:val="none"/>
                    </w:rPr>
                    <w:t>m³</w:t>
                  </w:r>
                </w:p>
              </w:tc>
              <w:tc>
                <w:tcPr>
                  <w:tcW w:w="2557" w:type="dxa"/>
                  <w:noWrap w:val="0"/>
                  <w:vAlign w:val="center"/>
                </w:tcPr>
                <w:p w14:paraId="61CF3D96">
                  <w:pPr>
                    <w:jc w:val="center"/>
                    <w:rPr>
                      <w:snapToGrid w:val="0"/>
                      <w:color w:val="auto"/>
                      <w:highlight w:val="none"/>
                      <w:lang w:eastAsia="en-US"/>
                    </w:rPr>
                  </w:pPr>
                  <w:r>
                    <w:rPr>
                      <w:snapToGrid w:val="0"/>
                      <w:color w:val="auto"/>
                      <w:highlight w:val="none"/>
                      <w:lang w:eastAsia="en-US"/>
                    </w:rPr>
                    <w:t>1000</w:t>
                  </w:r>
                </w:p>
              </w:tc>
              <w:tc>
                <w:tcPr>
                  <w:tcW w:w="2822" w:type="dxa"/>
                  <w:noWrap w:val="0"/>
                  <w:vAlign w:val="center"/>
                </w:tcPr>
                <w:p w14:paraId="2B81F48A">
                  <w:pPr>
                    <w:jc w:val="center"/>
                    <w:rPr>
                      <w:snapToGrid w:val="0"/>
                      <w:color w:val="auto"/>
                      <w:highlight w:val="none"/>
                      <w:lang w:eastAsia="en-US"/>
                    </w:rPr>
                  </w:pPr>
                  <w:r>
                    <w:rPr>
                      <w:snapToGrid w:val="0"/>
                      <w:color w:val="auto"/>
                      <w:highlight w:val="none"/>
                      <w:lang w:eastAsia="en-US"/>
                    </w:rPr>
                    <w:t>超标次数≤1次/日</w:t>
                  </w:r>
                </w:p>
              </w:tc>
            </w:tr>
            <w:tr w14:paraId="5DE67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jc w:val="center"/>
              </w:trPr>
              <w:tc>
                <w:tcPr>
                  <w:tcW w:w="1883" w:type="dxa"/>
                  <w:vMerge w:val="continue"/>
                  <w:noWrap w:val="0"/>
                  <w:vAlign w:val="center"/>
                </w:tcPr>
                <w:p w14:paraId="7D1DB0AB">
                  <w:pPr>
                    <w:jc w:val="center"/>
                    <w:rPr>
                      <w:snapToGrid w:val="0"/>
                      <w:color w:val="auto"/>
                      <w:highlight w:val="none"/>
                      <w:lang w:eastAsia="en-US"/>
                    </w:rPr>
                  </w:pPr>
                </w:p>
              </w:tc>
              <w:tc>
                <w:tcPr>
                  <w:tcW w:w="1608" w:type="dxa"/>
                  <w:vMerge w:val="continue"/>
                  <w:noWrap w:val="0"/>
                  <w:vAlign w:val="center"/>
                </w:tcPr>
                <w:p w14:paraId="77FD250E">
                  <w:pPr>
                    <w:jc w:val="center"/>
                    <w:rPr>
                      <w:snapToGrid w:val="0"/>
                      <w:color w:val="auto"/>
                      <w:highlight w:val="none"/>
                      <w:lang w:eastAsia="en-US"/>
                    </w:rPr>
                  </w:pPr>
                </w:p>
              </w:tc>
              <w:tc>
                <w:tcPr>
                  <w:tcW w:w="2557" w:type="dxa"/>
                  <w:noWrap w:val="0"/>
                  <w:vAlign w:val="center"/>
                </w:tcPr>
                <w:p w14:paraId="0B0752A1">
                  <w:pPr>
                    <w:jc w:val="center"/>
                    <w:rPr>
                      <w:snapToGrid w:val="0"/>
                      <w:color w:val="auto"/>
                      <w:highlight w:val="none"/>
                      <w:lang w:eastAsia="en-US"/>
                    </w:rPr>
                  </w:pPr>
                  <w:r>
                    <w:rPr>
                      <w:snapToGrid w:val="0"/>
                      <w:color w:val="auto"/>
                      <w:highlight w:val="none"/>
                      <w:lang w:eastAsia="en-US"/>
                    </w:rPr>
                    <w:t>500</w:t>
                  </w:r>
                </w:p>
              </w:tc>
              <w:tc>
                <w:tcPr>
                  <w:tcW w:w="2822" w:type="dxa"/>
                  <w:noWrap w:val="0"/>
                  <w:vAlign w:val="center"/>
                </w:tcPr>
                <w:p w14:paraId="19F232AD">
                  <w:pPr>
                    <w:jc w:val="center"/>
                    <w:rPr>
                      <w:snapToGrid w:val="0"/>
                      <w:color w:val="auto"/>
                      <w:highlight w:val="none"/>
                      <w:lang w:eastAsia="en-US"/>
                    </w:rPr>
                  </w:pPr>
                  <w:r>
                    <w:rPr>
                      <w:snapToGrid w:val="0"/>
                      <w:color w:val="auto"/>
                      <w:highlight w:val="none"/>
                      <w:lang w:eastAsia="en-US"/>
                    </w:rPr>
                    <w:t>超标次数≤6次/日</w:t>
                  </w:r>
                </w:p>
              </w:tc>
            </w:tr>
            <w:tr w14:paraId="5EB2F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9" w:hRule="atLeast"/>
                <w:jc w:val="center"/>
              </w:trPr>
              <w:tc>
                <w:tcPr>
                  <w:tcW w:w="8870" w:type="dxa"/>
                  <w:gridSpan w:val="4"/>
                  <w:noWrap w:val="0"/>
                  <w:vAlign w:val="center"/>
                </w:tcPr>
                <w:p w14:paraId="26753570">
                  <w:pPr>
                    <w:ind w:firstLine="420" w:firstLineChars="200"/>
                    <w:rPr>
                      <w:snapToGrid w:val="0"/>
                      <w:color w:val="auto"/>
                      <w:highlight w:val="none"/>
                    </w:rPr>
                  </w:pPr>
                  <w:r>
                    <w:rPr>
                      <w:snapToGrid w:val="0"/>
                      <w:color w:val="auto"/>
                      <w:highlight w:val="none"/>
                    </w:rPr>
                    <w:t>任一监测点自整时起依次顺延15分钟的TSP浓度平均值不得超过的限值。超标次数指一个日历日96个TSP 15分 钟浓度平均值超过监测点浓度限值的次数。</w:t>
                  </w:r>
                </w:p>
                <w:p w14:paraId="069F8F56">
                  <w:pPr>
                    <w:ind w:firstLine="420" w:firstLineChars="200"/>
                    <w:rPr>
                      <w:snapToGrid w:val="0"/>
                      <w:color w:val="auto"/>
                      <w:highlight w:val="none"/>
                    </w:rPr>
                  </w:pPr>
                  <w:r>
                    <w:rPr>
                      <w:snapToGrid w:val="0"/>
                      <w:color w:val="auto"/>
                      <w:highlight w:val="none"/>
                    </w:rPr>
                    <w:t>根据HJ633判定设区市AQI在200～300之间且首要污染物为PM</w:t>
                  </w:r>
                  <w:r>
                    <w:rPr>
                      <w:snapToGrid w:val="0"/>
                      <w:color w:val="auto"/>
                      <w:highlight w:val="none"/>
                      <w:vertAlign w:val="subscript"/>
                    </w:rPr>
                    <w:t>10</w:t>
                  </w:r>
                  <w:r>
                    <w:rPr>
                      <w:snapToGrid w:val="0"/>
                      <w:color w:val="auto"/>
                      <w:highlight w:val="none"/>
                    </w:rPr>
                    <w:t>或PM</w:t>
                  </w:r>
                  <w:r>
                    <w:rPr>
                      <w:snapToGrid w:val="0"/>
                      <w:color w:val="auto"/>
                      <w:highlight w:val="none"/>
                      <w:vertAlign w:val="subscript"/>
                    </w:rPr>
                    <w:t>2.5</w:t>
                  </w:r>
                  <w:r>
                    <w:rPr>
                      <w:snapToGrid w:val="0"/>
                      <w:color w:val="auto"/>
                      <w:highlight w:val="none"/>
                    </w:rPr>
                    <w:t>；时，TSP实测值扣除200</w:t>
                  </w:r>
                  <w:r>
                    <w:rPr>
                      <w:snapToGrid w:val="0"/>
                      <w:color w:val="auto"/>
                      <w:highlight w:val="none"/>
                      <w:lang w:eastAsia="en-US"/>
                    </w:rPr>
                    <w:t>μ</w:t>
                  </w:r>
                  <w:r>
                    <w:rPr>
                      <w:snapToGrid w:val="0"/>
                      <w:color w:val="auto"/>
                      <w:highlight w:val="none"/>
                    </w:rPr>
                    <w:t>g/m³后再进行评价。</w:t>
                  </w:r>
                </w:p>
              </w:tc>
            </w:tr>
          </w:tbl>
          <w:p w14:paraId="6881C5F0">
            <w:pPr>
              <w:spacing w:line="360" w:lineRule="auto"/>
              <w:ind w:firstLine="482" w:firstLineChars="200"/>
              <w:rPr>
                <w:b/>
                <w:bCs/>
                <w:color w:val="auto"/>
                <w:sz w:val="24"/>
                <w:highlight w:val="none"/>
              </w:rPr>
            </w:pPr>
            <w:r>
              <w:rPr>
                <w:b/>
                <w:bCs/>
                <w:color w:val="auto"/>
                <w:sz w:val="24"/>
                <w:highlight w:val="none"/>
              </w:rPr>
              <w:t>3、噪声</w:t>
            </w:r>
          </w:p>
          <w:p w14:paraId="571189BB">
            <w:pPr>
              <w:spacing w:line="360" w:lineRule="auto"/>
              <w:ind w:firstLine="480" w:firstLineChars="200"/>
              <w:rPr>
                <w:color w:val="auto"/>
                <w:sz w:val="24"/>
                <w:highlight w:val="none"/>
              </w:rPr>
            </w:pPr>
            <w:r>
              <w:rPr>
                <w:color w:val="auto"/>
                <w:sz w:val="24"/>
                <w:highlight w:val="none"/>
              </w:rPr>
              <w:t>施工期噪声执行《建筑施工噪声排放标准》（GB 12523-2025）中标准限值，具体标准见下表：</w:t>
            </w:r>
          </w:p>
          <w:p w14:paraId="7525B577">
            <w:pPr>
              <w:spacing w:line="240" w:lineRule="atLeast"/>
              <w:jc w:val="center"/>
              <w:rPr>
                <w:rFonts w:eastAsia="黑体"/>
                <w:color w:val="auto"/>
                <w:szCs w:val="20"/>
                <w:highlight w:val="none"/>
              </w:rPr>
            </w:pPr>
            <w:r>
              <w:rPr>
                <w:rFonts w:eastAsia="黑体"/>
                <w:color w:val="auto"/>
                <w:szCs w:val="20"/>
                <w:highlight w:val="none"/>
              </w:rPr>
              <w:t>表3-1</w:t>
            </w:r>
            <w:r>
              <w:rPr>
                <w:rFonts w:hint="eastAsia" w:eastAsia="黑体"/>
                <w:color w:val="auto"/>
                <w:szCs w:val="20"/>
                <w:highlight w:val="none"/>
                <w:lang w:val="en-US" w:eastAsia="zh-CN"/>
              </w:rPr>
              <w:t>0</w:t>
            </w:r>
            <w:r>
              <w:rPr>
                <w:rFonts w:eastAsia="黑体"/>
                <w:color w:val="auto"/>
                <w:szCs w:val="20"/>
                <w:highlight w:val="none"/>
              </w:rPr>
              <w:t xml:space="preserve">  施工期场界噪声排放标准  单位：dB(A)</w:t>
            </w:r>
          </w:p>
          <w:tbl>
            <w:tblPr>
              <w:tblStyle w:val="29"/>
              <w:tblW w:w="4997"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4211"/>
              <w:gridCol w:w="1726"/>
              <w:gridCol w:w="2080"/>
            </w:tblGrid>
            <w:tr w14:paraId="2693B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2625" w:type="pct"/>
                  <w:noWrap w:val="0"/>
                  <w:vAlign w:val="center"/>
                </w:tcPr>
                <w:p w14:paraId="780C6368">
                  <w:pPr>
                    <w:jc w:val="center"/>
                    <w:rPr>
                      <w:bCs/>
                      <w:color w:val="auto"/>
                      <w:szCs w:val="21"/>
                      <w:highlight w:val="none"/>
                    </w:rPr>
                  </w:pPr>
                  <w:r>
                    <w:rPr>
                      <w:bCs/>
                      <w:color w:val="auto"/>
                      <w:szCs w:val="21"/>
                      <w:highlight w:val="none"/>
                    </w:rPr>
                    <w:t>标准类别</w:t>
                  </w:r>
                </w:p>
              </w:tc>
              <w:tc>
                <w:tcPr>
                  <w:tcW w:w="1076" w:type="pct"/>
                  <w:noWrap w:val="0"/>
                  <w:vAlign w:val="center"/>
                </w:tcPr>
                <w:p w14:paraId="27166FD3">
                  <w:pPr>
                    <w:jc w:val="center"/>
                    <w:rPr>
                      <w:bCs/>
                      <w:color w:val="auto"/>
                      <w:szCs w:val="21"/>
                      <w:highlight w:val="none"/>
                    </w:rPr>
                  </w:pPr>
                  <w:r>
                    <w:rPr>
                      <w:bCs/>
                      <w:color w:val="auto"/>
                      <w:szCs w:val="21"/>
                      <w:highlight w:val="none"/>
                    </w:rPr>
                    <w:t>昼间</w:t>
                  </w:r>
                </w:p>
              </w:tc>
              <w:tc>
                <w:tcPr>
                  <w:tcW w:w="1297" w:type="pct"/>
                  <w:noWrap w:val="0"/>
                  <w:vAlign w:val="center"/>
                </w:tcPr>
                <w:p w14:paraId="39E03DF8">
                  <w:pPr>
                    <w:jc w:val="center"/>
                    <w:rPr>
                      <w:bCs/>
                      <w:color w:val="auto"/>
                      <w:szCs w:val="21"/>
                      <w:highlight w:val="none"/>
                    </w:rPr>
                  </w:pPr>
                  <w:r>
                    <w:rPr>
                      <w:bCs/>
                      <w:color w:val="auto"/>
                      <w:szCs w:val="21"/>
                      <w:highlight w:val="none"/>
                    </w:rPr>
                    <w:t>夜间</w:t>
                  </w:r>
                </w:p>
              </w:tc>
            </w:tr>
            <w:tr w14:paraId="318EB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2625" w:type="pct"/>
                  <w:noWrap w:val="0"/>
                  <w:vAlign w:val="center"/>
                </w:tcPr>
                <w:p w14:paraId="0E5486B2">
                  <w:pPr>
                    <w:jc w:val="center"/>
                    <w:rPr>
                      <w:color w:val="auto"/>
                      <w:highlight w:val="none"/>
                    </w:rPr>
                  </w:pPr>
                  <w:r>
                    <w:rPr>
                      <w:bCs/>
                      <w:color w:val="auto"/>
                      <w:szCs w:val="21"/>
                      <w:highlight w:val="none"/>
                    </w:rPr>
                    <w:t>《建筑施工噪声排放标准》(GB12523-2025)</w:t>
                  </w:r>
                </w:p>
              </w:tc>
              <w:tc>
                <w:tcPr>
                  <w:tcW w:w="1076" w:type="pct"/>
                  <w:noWrap w:val="0"/>
                  <w:vAlign w:val="center"/>
                </w:tcPr>
                <w:p w14:paraId="7D307E1A">
                  <w:pPr>
                    <w:jc w:val="center"/>
                    <w:rPr>
                      <w:bCs/>
                      <w:color w:val="auto"/>
                      <w:szCs w:val="21"/>
                      <w:highlight w:val="none"/>
                    </w:rPr>
                  </w:pPr>
                  <w:r>
                    <w:rPr>
                      <w:bCs/>
                      <w:color w:val="auto"/>
                      <w:szCs w:val="21"/>
                      <w:highlight w:val="none"/>
                    </w:rPr>
                    <w:t>70</w:t>
                  </w:r>
                </w:p>
              </w:tc>
              <w:tc>
                <w:tcPr>
                  <w:tcW w:w="1297" w:type="pct"/>
                  <w:noWrap w:val="0"/>
                  <w:vAlign w:val="center"/>
                </w:tcPr>
                <w:p w14:paraId="2B8F7AD5">
                  <w:pPr>
                    <w:jc w:val="center"/>
                    <w:rPr>
                      <w:bCs/>
                      <w:color w:val="auto"/>
                      <w:szCs w:val="21"/>
                      <w:highlight w:val="none"/>
                    </w:rPr>
                  </w:pPr>
                  <w:r>
                    <w:rPr>
                      <w:bCs/>
                      <w:color w:val="auto"/>
                      <w:szCs w:val="21"/>
                      <w:highlight w:val="none"/>
                    </w:rPr>
                    <w:t>55</w:t>
                  </w:r>
                </w:p>
              </w:tc>
            </w:tr>
          </w:tbl>
          <w:p w14:paraId="33CDFEE3">
            <w:pPr>
              <w:spacing w:line="360" w:lineRule="auto"/>
              <w:ind w:firstLine="482" w:firstLineChars="200"/>
              <w:rPr>
                <w:b/>
                <w:bCs/>
                <w:color w:val="auto"/>
                <w:sz w:val="24"/>
                <w:highlight w:val="none"/>
              </w:rPr>
            </w:pPr>
            <w:r>
              <w:rPr>
                <w:b/>
                <w:bCs/>
                <w:color w:val="auto"/>
                <w:sz w:val="24"/>
                <w:highlight w:val="none"/>
              </w:rPr>
              <w:t>4、固体废物</w:t>
            </w:r>
          </w:p>
          <w:p w14:paraId="19CBD355">
            <w:pPr>
              <w:spacing w:line="360" w:lineRule="auto"/>
              <w:ind w:firstLine="480" w:firstLineChars="200"/>
              <w:rPr>
                <w:color w:val="auto"/>
                <w:sz w:val="24"/>
                <w:highlight w:val="none"/>
              </w:rPr>
            </w:pPr>
            <w:r>
              <w:rPr>
                <w:color w:val="auto"/>
                <w:kern w:val="0"/>
                <w:sz w:val="24"/>
                <w:highlight w:val="none"/>
              </w:rPr>
              <w:t>一般工业固废参照执行《一般工业固体废物贮存和填埋污染控制标准》（GB 18599-2020），危险废物处理处置执行《危险废物贮存污染控制标准》（GB18597-2023）要求</w:t>
            </w:r>
            <w:r>
              <w:rPr>
                <w:color w:val="auto"/>
                <w:sz w:val="24"/>
                <w:highlight w:val="none"/>
              </w:rPr>
              <w:t>。</w:t>
            </w:r>
          </w:p>
          <w:p w14:paraId="19CD1A99">
            <w:pPr>
              <w:spacing w:line="360" w:lineRule="auto"/>
              <w:ind w:firstLine="480" w:firstLineChars="200"/>
              <w:rPr>
                <w:color w:val="auto"/>
                <w:sz w:val="24"/>
                <w:highlight w:val="none"/>
              </w:rPr>
            </w:pPr>
          </w:p>
          <w:p w14:paraId="4499A1DB">
            <w:pPr>
              <w:spacing w:line="360" w:lineRule="auto"/>
              <w:ind w:firstLine="480" w:firstLineChars="200"/>
              <w:rPr>
                <w:color w:val="auto"/>
                <w:sz w:val="24"/>
                <w:highlight w:val="none"/>
              </w:rPr>
            </w:pPr>
          </w:p>
          <w:p w14:paraId="5891439B">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宋体" w:cs="Times New Roman"/>
                <w:color w:val="FF0000"/>
                <w:sz w:val="24"/>
                <w:szCs w:val="24"/>
                <w:highlight w:val="none"/>
              </w:rPr>
            </w:pPr>
          </w:p>
        </w:tc>
      </w:tr>
      <w:tr w14:paraId="1C4924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904" w:type="dxa"/>
            <w:vAlign w:val="center"/>
          </w:tcPr>
          <w:p w14:paraId="32DC4955">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其他</w:t>
            </w:r>
          </w:p>
        </w:tc>
        <w:tc>
          <w:tcPr>
            <w:tcW w:w="8253" w:type="dxa"/>
            <w:vAlign w:val="center"/>
          </w:tcPr>
          <w:p w14:paraId="73E2738F">
            <w:pPr>
              <w:pStyle w:val="52"/>
              <w:adjustRightInd/>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本项目为M7472固体矿产地质勘查，不涉及开采工程，不涉及营运期相关内容，施工期废气主要为汽车尾气、扬尘，无废水排放，因此无需申请总量控制指标。</w:t>
            </w:r>
          </w:p>
          <w:p w14:paraId="21C934F4">
            <w:pPr>
              <w:pStyle w:val="52"/>
              <w:adjustRightInd/>
              <w:spacing w:line="360" w:lineRule="auto"/>
              <w:ind w:firstLine="480" w:firstLineChars="200"/>
              <w:rPr>
                <w:rFonts w:ascii="Times New Roman" w:hAnsi="Times New Roman"/>
                <w:color w:val="auto"/>
                <w:szCs w:val="21"/>
                <w:highlight w:val="none"/>
              </w:rPr>
            </w:pPr>
          </w:p>
          <w:p w14:paraId="2255C3A5">
            <w:pPr>
              <w:keepNext w:val="0"/>
              <w:keepLines w:val="0"/>
              <w:pageBreakBefore w:val="0"/>
              <w:widowControl w:val="0"/>
              <w:kinsoku/>
              <w:wordWrap/>
              <w:overflowPunct/>
              <w:topLinePunct w:val="0"/>
              <w:autoSpaceDE/>
              <w:autoSpaceDN/>
              <w:bidi w:val="0"/>
              <w:adjustRightInd/>
              <w:snapToGrid/>
              <w:spacing w:line="240" w:lineRule="atLeast"/>
              <w:ind w:firstLine="420" w:firstLineChars="200"/>
              <w:textAlignment w:val="auto"/>
              <w:rPr>
                <w:rFonts w:hint="default" w:ascii="Times New Roman" w:hAnsi="Times New Roman" w:eastAsia="宋体" w:cs="Times New Roman"/>
                <w:kern w:val="0"/>
                <w:szCs w:val="21"/>
                <w:highlight w:val="none"/>
              </w:rPr>
            </w:pPr>
          </w:p>
          <w:p w14:paraId="5B7F789F">
            <w:pPr>
              <w:keepNext w:val="0"/>
              <w:keepLines w:val="0"/>
              <w:pageBreakBefore w:val="0"/>
              <w:widowControl w:val="0"/>
              <w:kinsoku/>
              <w:wordWrap/>
              <w:overflowPunct/>
              <w:topLinePunct w:val="0"/>
              <w:autoSpaceDE/>
              <w:autoSpaceDN/>
              <w:bidi w:val="0"/>
              <w:adjustRightInd/>
              <w:snapToGrid/>
              <w:spacing w:line="240" w:lineRule="atLeast"/>
              <w:ind w:firstLine="420" w:firstLineChars="200"/>
              <w:textAlignment w:val="auto"/>
              <w:rPr>
                <w:rFonts w:hint="default" w:ascii="Times New Roman" w:hAnsi="Times New Roman" w:eastAsia="宋体" w:cs="Times New Roman"/>
                <w:kern w:val="0"/>
                <w:szCs w:val="21"/>
                <w:highlight w:val="none"/>
              </w:rPr>
            </w:pPr>
          </w:p>
          <w:p w14:paraId="3CCCAD70">
            <w:pPr>
              <w:keepNext w:val="0"/>
              <w:keepLines w:val="0"/>
              <w:pageBreakBefore w:val="0"/>
              <w:widowControl w:val="0"/>
              <w:kinsoku/>
              <w:wordWrap/>
              <w:overflowPunct/>
              <w:topLinePunct w:val="0"/>
              <w:autoSpaceDE/>
              <w:autoSpaceDN/>
              <w:bidi w:val="0"/>
              <w:adjustRightInd/>
              <w:snapToGrid/>
              <w:spacing w:line="240" w:lineRule="atLeast"/>
              <w:ind w:firstLine="420" w:firstLineChars="200"/>
              <w:textAlignment w:val="auto"/>
              <w:rPr>
                <w:rFonts w:hint="default" w:ascii="Times New Roman" w:hAnsi="Times New Roman" w:eastAsia="宋体" w:cs="Times New Roman"/>
                <w:kern w:val="0"/>
                <w:szCs w:val="21"/>
                <w:highlight w:val="none"/>
              </w:rPr>
            </w:pPr>
          </w:p>
          <w:p w14:paraId="3706C408">
            <w:pPr>
              <w:keepNext w:val="0"/>
              <w:keepLines w:val="0"/>
              <w:pageBreakBefore w:val="0"/>
              <w:widowControl w:val="0"/>
              <w:kinsoku/>
              <w:wordWrap/>
              <w:overflowPunct/>
              <w:topLinePunct w:val="0"/>
              <w:autoSpaceDE/>
              <w:autoSpaceDN/>
              <w:bidi w:val="0"/>
              <w:adjustRightInd/>
              <w:snapToGrid/>
              <w:spacing w:line="240" w:lineRule="atLeast"/>
              <w:ind w:firstLine="420" w:firstLineChars="200"/>
              <w:textAlignment w:val="auto"/>
              <w:rPr>
                <w:rFonts w:hint="default" w:ascii="Times New Roman" w:hAnsi="Times New Roman" w:eastAsia="宋体" w:cs="Times New Roman"/>
                <w:kern w:val="0"/>
                <w:szCs w:val="21"/>
                <w:highlight w:val="none"/>
              </w:rPr>
            </w:pPr>
          </w:p>
          <w:p w14:paraId="0A75AF31">
            <w:pPr>
              <w:keepNext w:val="0"/>
              <w:keepLines w:val="0"/>
              <w:pageBreakBefore w:val="0"/>
              <w:widowControl w:val="0"/>
              <w:kinsoku/>
              <w:wordWrap/>
              <w:overflowPunct/>
              <w:topLinePunct w:val="0"/>
              <w:autoSpaceDE/>
              <w:autoSpaceDN/>
              <w:bidi w:val="0"/>
              <w:adjustRightInd/>
              <w:snapToGrid/>
              <w:spacing w:line="240" w:lineRule="atLeast"/>
              <w:ind w:firstLine="420" w:firstLineChars="200"/>
              <w:textAlignment w:val="auto"/>
              <w:rPr>
                <w:rFonts w:hint="default" w:ascii="Times New Roman" w:hAnsi="Times New Roman" w:eastAsia="宋体" w:cs="Times New Roman"/>
                <w:kern w:val="0"/>
                <w:szCs w:val="21"/>
                <w:highlight w:val="none"/>
              </w:rPr>
            </w:pPr>
          </w:p>
          <w:p w14:paraId="2A904D6C">
            <w:pPr>
              <w:keepNext w:val="0"/>
              <w:keepLines w:val="0"/>
              <w:pageBreakBefore w:val="0"/>
              <w:widowControl w:val="0"/>
              <w:kinsoku/>
              <w:wordWrap/>
              <w:overflowPunct/>
              <w:topLinePunct w:val="0"/>
              <w:autoSpaceDE/>
              <w:autoSpaceDN/>
              <w:bidi w:val="0"/>
              <w:adjustRightInd/>
              <w:snapToGrid/>
              <w:spacing w:line="240" w:lineRule="atLeast"/>
              <w:ind w:firstLine="420" w:firstLineChars="200"/>
              <w:textAlignment w:val="auto"/>
              <w:rPr>
                <w:rFonts w:hint="default" w:ascii="Times New Roman" w:hAnsi="Times New Roman" w:eastAsia="宋体" w:cs="Times New Roman"/>
                <w:kern w:val="0"/>
                <w:szCs w:val="21"/>
                <w:highlight w:val="none"/>
              </w:rPr>
            </w:pPr>
          </w:p>
          <w:p w14:paraId="67C83F85">
            <w:pPr>
              <w:keepNext w:val="0"/>
              <w:keepLines w:val="0"/>
              <w:pageBreakBefore w:val="0"/>
              <w:widowControl w:val="0"/>
              <w:kinsoku/>
              <w:wordWrap/>
              <w:overflowPunct/>
              <w:topLinePunct w:val="0"/>
              <w:autoSpaceDE/>
              <w:autoSpaceDN/>
              <w:bidi w:val="0"/>
              <w:adjustRightInd/>
              <w:snapToGrid/>
              <w:spacing w:line="240" w:lineRule="atLeast"/>
              <w:ind w:firstLine="420" w:firstLineChars="200"/>
              <w:textAlignment w:val="auto"/>
              <w:rPr>
                <w:rFonts w:hint="default" w:ascii="Times New Roman" w:hAnsi="Times New Roman" w:eastAsia="宋体" w:cs="Times New Roman"/>
                <w:kern w:val="0"/>
                <w:szCs w:val="21"/>
                <w:highlight w:val="none"/>
              </w:rPr>
            </w:pPr>
          </w:p>
          <w:p w14:paraId="64D82B69">
            <w:pPr>
              <w:keepNext w:val="0"/>
              <w:keepLines w:val="0"/>
              <w:pageBreakBefore w:val="0"/>
              <w:widowControl w:val="0"/>
              <w:kinsoku/>
              <w:wordWrap/>
              <w:overflowPunct/>
              <w:topLinePunct w:val="0"/>
              <w:autoSpaceDE/>
              <w:autoSpaceDN/>
              <w:bidi w:val="0"/>
              <w:adjustRightInd/>
              <w:snapToGrid/>
              <w:spacing w:line="240" w:lineRule="atLeast"/>
              <w:ind w:firstLine="420" w:firstLineChars="200"/>
              <w:textAlignment w:val="auto"/>
              <w:rPr>
                <w:rFonts w:hint="default" w:ascii="Times New Roman" w:hAnsi="Times New Roman" w:eastAsia="宋体" w:cs="Times New Roman"/>
                <w:kern w:val="0"/>
                <w:szCs w:val="21"/>
                <w:highlight w:val="none"/>
              </w:rPr>
            </w:pPr>
          </w:p>
          <w:p w14:paraId="33433F6E">
            <w:pPr>
              <w:keepNext w:val="0"/>
              <w:keepLines w:val="0"/>
              <w:pageBreakBefore w:val="0"/>
              <w:widowControl w:val="0"/>
              <w:kinsoku/>
              <w:wordWrap/>
              <w:overflowPunct/>
              <w:topLinePunct w:val="0"/>
              <w:autoSpaceDE/>
              <w:autoSpaceDN/>
              <w:bidi w:val="0"/>
              <w:adjustRightInd/>
              <w:snapToGrid/>
              <w:spacing w:line="240" w:lineRule="atLeast"/>
              <w:ind w:firstLine="420" w:firstLineChars="200"/>
              <w:textAlignment w:val="auto"/>
              <w:rPr>
                <w:rFonts w:hint="default" w:ascii="Times New Roman" w:hAnsi="Times New Roman" w:eastAsia="宋体" w:cs="Times New Roman"/>
                <w:kern w:val="0"/>
                <w:szCs w:val="21"/>
                <w:highlight w:val="none"/>
              </w:rPr>
            </w:pPr>
          </w:p>
          <w:p w14:paraId="61E35D15">
            <w:pPr>
              <w:keepNext w:val="0"/>
              <w:keepLines w:val="0"/>
              <w:pageBreakBefore w:val="0"/>
              <w:widowControl w:val="0"/>
              <w:kinsoku/>
              <w:wordWrap/>
              <w:overflowPunct/>
              <w:topLinePunct w:val="0"/>
              <w:autoSpaceDE/>
              <w:autoSpaceDN/>
              <w:bidi w:val="0"/>
              <w:adjustRightInd/>
              <w:snapToGrid/>
              <w:spacing w:line="240" w:lineRule="atLeast"/>
              <w:ind w:firstLine="420" w:firstLineChars="200"/>
              <w:textAlignment w:val="auto"/>
              <w:rPr>
                <w:rFonts w:hint="default" w:ascii="Times New Roman" w:hAnsi="Times New Roman" w:eastAsia="宋体" w:cs="Times New Roman"/>
                <w:kern w:val="0"/>
                <w:szCs w:val="21"/>
                <w:highlight w:val="none"/>
              </w:rPr>
            </w:pPr>
          </w:p>
          <w:p w14:paraId="663EF296">
            <w:pPr>
              <w:keepNext w:val="0"/>
              <w:keepLines w:val="0"/>
              <w:pageBreakBefore w:val="0"/>
              <w:widowControl w:val="0"/>
              <w:kinsoku/>
              <w:wordWrap/>
              <w:overflowPunct/>
              <w:topLinePunct w:val="0"/>
              <w:autoSpaceDE/>
              <w:autoSpaceDN/>
              <w:bidi w:val="0"/>
              <w:adjustRightInd/>
              <w:snapToGrid/>
              <w:spacing w:line="240" w:lineRule="atLeast"/>
              <w:ind w:firstLine="420" w:firstLineChars="200"/>
              <w:textAlignment w:val="auto"/>
              <w:rPr>
                <w:rFonts w:hint="default" w:ascii="Times New Roman" w:hAnsi="Times New Roman" w:eastAsia="宋体" w:cs="Times New Roman"/>
                <w:kern w:val="0"/>
                <w:szCs w:val="21"/>
                <w:highlight w:val="none"/>
              </w:rPr>
            </w:pPr>
          </w:p>
          <w:p w14:paraId="0F64E88D">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宋体" w:cs="Times New Roman"/>
                <w:kern w:val="0"/>
                <w:szCs w:val="21"/>
                <w:highlight w:val="none"/>
              </w:rPr>
            </w:pPr>
          </w:p>
        </w:tc>
      </w:tr>
    </w:tbl>
    <w:p w14:paraId="100F185D">
      <w:pPr>
        <w:pStyle w:val="26"/>
        <w:jc w:val="center"/>
        <w:outlineLvl w:val="0"/>
        <w:rPr>
          <w:rFonts w:ascii="Times New Roman" w:hAnsi="Times New Roman" w:eastAsia="黑体"/>
          <w:snapToGrid w:val="0"/>
          <w:color w:val="auto"/>
          <w:sz w:val="30"/>
          <w:szCs w:val="30"/>
          <w:highlight w:val="none"/>
        </w:rPr>
      </w:pPr>
      <w:r>
        <w:rPr>
          <w:rFonts w:ascii="Times New Roman" w:hAnsi="Times New Roman" w:eastAsia="黑体"/>
          <w:snapToGrid w:val="0"/>
          <w:color w:val="auto"/>
          <w:kern w:val="2"/>
          <w:sz w:val="36"/>
          <w:szCs w:val="36"/>
          <w:highlight w:val="none"/>
        </w:rPr>
        <w:br w:type="page"/>
      </w:r>
      <w:r>
        <w:rPr>
          <w:rFonts w:ascii="Times New Roman" w:hAnsi="Times New Roman" w:eastAsia="黑体"/>
          <w:snapToGrid w:val="0"/>
          <w:color w:val="auto"/>
          <w:sz w:val="30"/>
          <w:szCs w:val="30"/>
          <w:highlight w:val="none"/>
        </w:rPr>
        <w:t>四、生态环境影响分析</w:t>
      </w:r>
    </w:p>
    <w:tbl>
      <w:tblPr>
        <w:tblStyle w:val="29"/>
        <w:tblW w:w="524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42"/>
        <w:gridCol w:w="8405"/>
      </w:tblGrid>
      <w:tr w14:paraId="3C7DB7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9" w:type="pct"/>
            <w:noWrap w:val="0"/>
            <w:tcMar>
              <w:left w:w="28" w:type="dxa"/>
              <w:right w:w="28" w:type="dxa"/>
            </w:tcMar>
            <w:vAlign w:val="center"/>
          </w:tcPr>
          <w:p w14:paraId="104546E4">
            <w:pPr>
              <w:pStyle w:val="26"/>
              <w:adjustRightInd w:val="0"/>
              <w:snapToGrid w:val="0"/>
              <w:spacing w:before="0" w:beforeAutospacing="0" w:after="0" w:afterAutospacing="0"/>
              <w:jc w:val="center"/>
              <w:rPr>
                <w:rFonts w:ascii="Times New Roman" w:hAnsi="Times New Roman"/>
                <w:bCs/>
                <w:color w:val="auto"/>
                <w:kern w:val="2"/>
                <w:sz w:val="21"/>
                <w:szCs w:val="21"/>
                <w:highlight w:val="none"/>
              </w:rPr>
            </w:pPr>
            <w:bookmarkStart w:id="17" w:name="_Hlk49796138"/>
            <w:r>
              <w:rPr>
                <w:rFonts w:ascii="Times New Roman" w:hAnsi="Times New Roman"/>
                <w:bCs/>
                <w:color w:val="auto"/>
                <w:spacing w:val="10"/>
                <w:kern w:val="2"/>
                <w:szCs w:val="24"/>
                <w:highlight w:val="none"/>
              </w:rPr>
              <w:t>施工期生态环境影响分析</w:t>
            </w:r>
            <w:bookmarkEnd w:id="17"/>
          </w:p>
        </w:tc>
        <w:tc>
          <w:tcPr>
            <w:tcW w:w="4750" w:type="pct"/>
            <w:noWrap w:val="0"/>
            <w:vAlign w:val="top"/>
          </w:tcPr>
          <w:p w14:paraId="039B874E">
            <w:pPr>
              <w:widowControl/>
              <w:spacing w:line="360" w:lineRule="auto"/>
              <w:ind w:firstLine="482" w:firstLineChars="200"/>
              <w:rPr>
                <w:b/>
                <w:bCs/>
                <w:color w:val="auto"/>
                <w:sz w:val="24"/>
                <w:highlight w:val="none"/>
              </w:rPr>
            </w:pPr>
            <w:r>
              <w:rPr>
                <w:b/>
                <w:bCs/>
                <w:color w:val="auto"/>
                <w:sz w:val="24"/>
                <w:highlight w:val="none"/>
              </w:rPr>
              <w:t>（一）施工期生态环境影响分析</w:t>
            </w:r>
          </w:p>
          <w:p w14:paraId="28AF86AC">
            <w:pPr>
              <w:spacing w:line="360" w:lineRule="auto"/>
              <w:ind w:firstLine="484" w:firstLineChars="202"/>
              <w:rPr>
                <w:bCs/>
                <w:color w:val="auto"/>
                <w:sz w:val="24"/>
                <w:highlight w:val="none"/>
              </w:rPr>
            </w:pPr>
            <w:r>
              <w:rPr>
                <w:bCs/>
                <w:color w:val="auto"/>
                <w:sz w:val="24"/>
                <w:highlight w:val="none"/>
              </w:rPr>
              <w:t>1、项目占地对区域土地利用影响分析</w:t>
            </w:r>
          </w:p>
          <w:p w14:paraId="1AF22C7E">
            <w:pPr>
              <w:spacing w:line="360" w:lineRule="auto"/>
              <w:ind w:firstLine="484" w:firstLineChars="202"/>
              <w:rPr>
                <w:color w:val="auto"/>
                <w:sz w:val="24"/>
                <w:highlight w:val="none"/>
              </w:rPr>
            </w:pPr>
            <w:r>
              <w:rPr>
                <w:color w:val="auto"/>
                <w:sz w:val="24"/>
                <w:highlight w:val="none"/>
              </w:rPr>
              <w:t>本项目施工总占地面积</w:t>
            </w:r>
            <w:r>
              <w:rPr>
                <w:rFonts w:hint="eastAsia"/>
                <w:color w:val="auto"/>
                <w:sz w:val="24"/>
                <w:highlight w:val="none"/>
                <w:lang w:val="en-US" w:eastAsia="zh-CN"/>
              </w:rPr>
              <w:t>9379</w:t>
            </w:r>
            <w:r>
              <w:rPr>
                <w:color w:val="auto"/>
                <w:sz w:val="24"/>
                <w:highlight w:val="none"/>
              </w:rPr>
              <w:t>平方米，为安徽省淮南市</w:t>
            </w:r>
            <w:r>
              <w:rPr>
                <w:rFonts w:hint="eastAsia"/>
                <w:color w:val="auto"/>
                <w:sz w:val="24"/>
                <w:highlight w:val="none"/>
                <w:lang w:val="en-US" w:eastAsia="zh-CN"/>
              </w:rPr>
              <w:t>凤台县新集镇王集村，安徽省淮南市新集一矿3608(6)采区东翼</w:t>
            </w:r>
            <w:r>
              <w:rPr>
                <w:color w:val="auto"/>
                <w:sz w:val="24"/>
                <w:highlight w:val="none"/>
              </w:rPr>
              <w:t>，</w:t>
            </w:r>
            <w:r>
              <w:rPr>
                <w:rFonts w:hint="eastAsia"/>
                <w:color w:val="auto"/>
                <w:sz w:val="24"/>
                <w:highlight w:val="none"/>
              </w:rPr>
              <w:t>项目临时用地占用农用地</w:t>
            </w:r>
            <w:r>
              <w:rPr>
                <w:rFonts w:hint="eastAsia"/>
                <w:color w:val="auto"/>
                <w:sz w:val="24"/>
                <w:highlight w:val="none"/>
                <w:lang w:val="en-US" w:eastAsia="zh-CN"/>
              </w:rPr>
              <w:t>0.1531</w:t>
            </w:r>
            <w:r>
              <w:rPr>
                <w:rFonts w:hint="eastAsia"/>
                <w:color w:val="auto"/>
                <w:sz w:val="24"/>
                <w:highlight w:val="none"/>
              </w:rPr>
              <w:t>公顷(耕地</w:t>
            </w:r>
            <w:r>
              <w:rPr>
                <w:rFonts w:hint="eastAsia"/>
                <w:color w:val="auto"/>
                <w:sz w:val="24"/>
                <w:highlight w:val="none"/>
                <w:lang w:val="en-US" w:eastAsia="zh-CN"/>
              </w:rPr>
              <w:t>0.1304</w:t>
            </w:r>
            <w:r>
              <w:rPr>
                <w:rFonts w:hint="eastAsia"/>
                <w:color w:val="auto"/>
                <w:sz w:val="24"/>
                <w:highlight w:val="none"/>
              </w:rPr>
              <w:t>公顷，占用已划定永久基本农田</w:t>
            </w:r>
            <w:r>
              <w:rPr>
                <w:rFonts w:hint="eastAsia"/>
                <w:color w:val="auto"/>
                <w:sz w:val="24"/>
                <w:highlight w:val="none"/>
                <w:lang w:val="en-US" w:eastAsia="zh-CN"/>
              </w:rPr>
              <w:t>0.0845</w:t>
            </w:r>
            <w:r>
              <w:rPr>
                <w:rFonts w:hint="eastAsia"/>
                <w:color w:val="auto"/>
                <w:sz w:val="24"/>
                <w:highlight w:val="none"/>
              </w:rPr>
              <w:t>公顷，不涉及生态保护红线。</w:t>
            </w:r>
          </w:p>
          <w:p w14:paraId="5497B4CE">
            <w:pPr>
              <w:spacing w:line="360" w:lineRule="auto"/>
              <w:ind w:firstLine="484" w:firstLineChars="202"/>
              <w:rPr>
                <w:bCs/>
                <w:color w:val="auto"/>
                <w:sz w:val="24"/>
                <w:highlight w:val="none"/>
              </w:rPr>
            </w:pPr>
            <w:r>
              <w:rPr>
                <w:bCs/>
                <w:color w:val="auto"/>
                <w:sz w:val="24"/>
                <w:highlight w:val="none"/>
              </w:rPr>
              <w:t>根据本项目设计文件，施工完成后建设单位将在较短时间内进行土地复垦，恢复区域原貌，项目施工占用期间对区域土地利用格局造成轻微影响，对农业生产的直接影响主要体现为因临时占用农用地而造成经济作物减产，对于临时占地造成的农作物减产，除应对耕种农户进行经济补偿外，工程开工前，应先剥离占地范围内表土，独立堆存并做好水保措施；在施工结束后，按照土地复垦方案对临时占地进行复垦，进行必要的土壤抚育，多使用有机肥，恢复临时占用耕地的生产力。</w:t>
            </w:r>
          </w:p>
          <w:p w14:paraId="24EBBFF7">
            <w:pPr>
              <w:spacing w:line="360" w:lineRule="auto"/>
              <w:ind w:firstLine="484" w:firstLineChars="202"/>
              <w:rPr>
                <w:bCs/>
                <w:color w:val="auto"/>
                <w:sz w:val="24"/>
                <w:highlight w:val="none"/>
              </w:rPr>
            </w:pPr>
            <w:r>
              <w:rPr>
                <w:bCs/>
                <w:color w:val="auto"/>
                <w:sz w:val="24"/>
                <w:highlight w:val="none"/>
              </w:rPr>
              <w:t>2、对农作物的影响</w:t>
            </w:r>
          </w:p>
          <w:p w14:paraId="39DA9F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bCs/>
                <w:color w:val="auto"/>
                <w:sz w:val="24"/>
                <w:highlight w:val="none"/>
              </w:rPr>
            </w:pPr>
            <w:r>
              <w:rPr>
                <w:rFonts w:hint="default"/>
                <w:bCs/>
                <w:color w:val="auto"/>
                <w:sz w:val="24"/>
                <w:highlight w:val="none"/>
              </w:rPr>
              <w:t>项目已对耕地占用进行经济补偿，施工期对农业生产的影响总体较小且可控</w:t>
            </w:r>
            <w:r>
              <w:rPr>
                <w:rFonts w:hint="eastAsia"/>
                <w:bCs/>
                <w:color w:val="auto"/>
                <w:sz w:val="24"/>
                <w:highlight w:val="none"/>
                <w:lang w:eastAsia="zh-CN"/>
              </w:rPr>
              <w:t>。</w:t>
            </w:r>
            <w:r>
              <w:rPr>
                <w:bCs/>
                <w:color w:val="auto"/>
                <w:sz w:val="24"/>
                <w:highlight w:val="none"/>
              </w:rPr>
              <w:t>项目</w:t>
            </w:r>
            <w:r>
              <w:rPr>
                <w:rFonts w:hint="eastAsia"/>
                <w:bCs/>
                <w:color w:val="auto"/>
                <w:sz w:val="24"/>
                <w:highlight w:val="none"/>
                <w:lang w:val="en-US" w:eastAsia="zh-CN"/>
              </w:rPr>
              <w:t>临时用地占用部分</w:t>
            </w:r>
            <w:r>
              <w:rPr>
                <w:bCs/>
                <w:color w:val="auto"/>
                <w:sz w:val="24"/>
                <w:highlight w:val="none"/>
              </w:rPr>
              <w:t>农用地，种植季节性农作物水稻。项目对农作物的影响主要表现因临时占用农用地造成经济作物减产，临时占地对农田的破坏，使被开挖地段的土壤耕作层发生破坏，导致耕地质量下降，主要可能耽误农作物生产，但这种影响是临时的，在施工结束后土地复垦完成后即可恢复生产。</w:t>
            </w:r>
          </w:p>
          <w:p w14:paraId="403DD0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lang w:bidi="ar"/>
              </w:rPr>
              <w:t>工程施工占地不可避免的对地表产生扰动，进而对地表植物资源产生影响。</w:t>
            </w:r>
            <w:r>
              <w:rPr>
                <w:rFonts w:hint="default" w:ascii="Times New Roman" w:hAnsi="Times New Roman" w:cs="Times New Roman"/>
                <w:color w:val="auto"/>
                <w:kern w:val="0"/>
                <w:sz w:val="24"/>
                <w:highlight w:val="none"/>
              </w:rPr>
              <w:t>本项目将扰动农用地</w:t>
            </w:r>
            <w:r>
              <w:rPr>
                <w:rFonts w:hint="eastAsia" w:cs="Times New Roman"/>
                <w:color w:val="auto"/>
                <w:kern w:val="0"/>
                <w:sz w:val="24"/>
                <w:highlight w:val="none"/>
                <w:lang w:val="en-US" w:eastAsia="zh-CN"/>
              </w:rPr>
              <w:t>0.1531</w:t>
            </w:r>
            <w:r>
              <w:rPr>
                <w:rFonts w:hint="default" w:ascii="Times New Roman" w:hAnsi="Times New Roman" w:cs="Times New Roman"/>
                <w:color w:val="auto"/>
                <w:kern w:val="0"/>
                <w:sz w:val="24"/>
                <w:highlight w:val="none"/>
              </w:rPr>
              <w:t>hm</w:t>
            </w:r>
            <w:r>
              <w:rPr>
                <w:rFonts w:hint="default" w:ascii="Times New Roman" w:hAnsi="Times New Roman" w:cs="Times New Roman"/>
                <w:color w:val="auto"/>
                <w:kern w:val="0"/>
                <w:sz w:val="24"/>
                <w:highlight w:val="none"/>
                <w:vertAlign w:val="superscript"/>
              </w:rPr>
              <w:t>2</w:t>
            </w:r>
            <w:r>
              <w:rPr>
                <w:rFonts w:hint="default" w:ascii="Times New Roman" w:hAnsi="Times New Roman" w:cs="Times New Roman"/>
                <w:color w:val="auto"/>
                <w:kern w:val="0"/>
                <w:sz w:val="24"/>
                <w:highlight w:val="none"/>
              </w:rPr>
              <w:t>，本项目临时工程占地导致的植物生物量损失按下式计算。具体计算结果见下表。</w:t>
            </w:r>
          </w:p>
          <w:p w14:paraId="1E7911FB">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drawing>
                <wp:inline distT="0" distB="0" distL="114300" distR="114300">
                  <wp:extent cx="1266825" cy="351155"/>
                  <wp:effectExtent l="0" t="0" r="13335" b="14605"/>
                  <wp:docPr id="3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5"/>
                          <pic:cNvPicPr>
                            <a:picLocks noChangeAspect="1"/>
                          </pic:cNvPicPr>
                        </pic:nvPicPr>
                        <pic:blipFill>
                          <a:blip r:embed="rId20"/>
                          <a:stretch>
                            <a:fillRect/>
                          </a:stretch>
                        </pic:blipFill>
                        <pic:spPr>
                          <a:xfrm>
                            <a:off x="0" y="0"/>
                            <a:ext cx="1266825" cy="351155"/>
                          </a:xfrm>
                          <a:prstGeom prst="rect">
                            <a:avLst/>
                          </a:prstGeom>
                          <a:noFill/>
                          <a:ln>
                            <a:noFill/>
                          </a:ln>
                        </pic:spPr>
                      </pic:pic>
                    </a:graphicData>
                  </a:graphic>
                </wp:inline>
              </w:drawing>
            </w:r>
          </w:p>
          <w:p w14:paraId="00530AE4">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0" w:firstLineChars="0"/>
              <w:jc w:val="center"/>
              <w:textAlignment w:val="auto"/>
              <w:rPr>
                <w:rFonts w:hint="default" w:ascii="Times New Roman" w:hAnsi="Times New Roman" w:eastAsia="黑体" w:cs="Times New Roman"/>
                <w:b w:val="0"/>
                <w:bCs/>
                <w:color w:val="auto"/>
                <w:kern w:val="0"/>
                <w:szCs w:val="21"/>
                <w:highlight w:val="none"/>
              </w:rPr>
            </w:pPr>
            <w:r>
              <w:rPr>
                <w:rFonts w:hint="default" w:ascii="Times New Roman" w:hAnsi="Times New Roman" w:eastAsia="黑体" w:cs="Times New Roman"/>
                <w:b w:val="0"/>
                <w:bCs/>
                <w:color w:val="auto"/>
                <w:kern w:val="0"/>
                <w:szCs w:val="21"/>
                <w:highlight w:val="none"/>
              </w:rPr>
              <w:t>表4-</w:t>
            </w:r>
            <w:r>
              <w:rPr>
                <w:rFonts w:hint="eastAsia" w:ascii="Times New Roman" w:hAnsi="Times New Roman" w:eastAsia="黑体" w:cs="Times New Roman"/>
                <w:b w:val="0"/>
                <w:bCs/>
                <w:color w:val="auto"/>
                <w:kern w:val="0"/>
                <w:szCs w:val="21"/>
                <w:highlight w:val="none"/>
                <w:lang w:val="en-US" w:eastAsia="zh-CN"/>
              </w:rPr>
              <w:t>1</w:t>
            </w:r>
            <w:r>
              <w:rPr>
                <w:rFonts w:hint="default" w:ascii="Times New Roman" w:hAnsi="Times New Roman" w:eastAsia="黑体" w:cs="Times New Roman"/>
                <w:b w:val="0"/>
                <w:bCs/>
                <w:color w:val="auto"/>
                <w:kern w:val="0"/>
                <w:szCs w:val="21"/>
                <w:highlight w:val="none"/>
              </w:rPr>
              <w:t xml:space="preserve"> </w:t>
            </w:r>
            <w:r>
              <w:rPr>
                <w:rFonts w:hint="default" w:ascii="Times New Roman" w:hAnsi="Times New Roman" w:eastAsia="黑体" w:cs="Times New Roman"/>
                <w:b w:val="0"/>
                <w:bCs/>
                <w:color w:val="auto"/>
                <w:kern w:val="0"/>
                <w:szCs w:val="21"/>
                <w:highlight w:val="none"/>
                <w:lang w:val="en-US" w:eastAsia="zh-CN"/>
              </w:rPr>
              <w:t xml:space="preserve"> </w:t>
            </w:r>
            <w:r>
              <w:rPr>
                <w:rFonts w:hint="default" w:ascii="Times New Roman" w:hAnsi="Times New Roman" w:eastAsia="黑体" w:cs="Times New Roman"/>
                <w:b w:val="0"/>
                <w:bCs/>
                <w:color w:val="auto"/>
                <w:kern w:val="0"/>
                <w:szCs w:val="21"/>
                <w:highlight w:val="none"/>
              </w:rPr>
              <w:t>工程占地生物量损失表</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9"/>
              <w:gridCol w:w="1141"/>
              <w:gridCol w:w="1832"/>
              <w:gridCol w:w="2614"/>
              <w:gridCol w:w="1453"/>
            </w:tblGrid>
            <w:tr w14:paraId="1B969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4" w:type="dxa"/>
                  <w:tcBorders>
                    <w:tl2br w:val="nil"/>
                    <w:tr2bl w:val="nil"/>
                  </w:tcBorders>
                  <w:noWrap w:val="0"/>
                  <w:vAlign w:val="center"/>
                </w:tcPr>
                <w:p w14:paraId="4BDC21C4">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tLeast"/>
                    <w:ind w:left="0" w:right="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地区</w:t>
                  </w:r>
                </w:p>
              </w:tc>
              <w:tc>
                <w:tcPr>
                  <w:tcW w:w="1085" w:type="dxa"/>
                  <w:tcBorders>
                    <w:tl2br w:val="nil"/>
                    <w:tr2bl w:val="nil"/>
                  </w:tcBorders>
                  <w:noWrap w:val="0"/>
                  <w:vAlign w:val="center"/>
                </w:tcPr>
                <w:p w14:paraId="18CA35C2">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tLeast"/>
                    <w:ind w:left="0" w:right="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用地类型</w:t>
                  </w:r>
                </w:p>
              </w:tc>
              <w:tc>
                <w:tcPr>
                  <w:tcW w:w="1740" w:type="dxa"/>
                  <w:tcBorders>
                    <w:tl2br w:val="nil"/>
                    <w:tr2bl w:val="nil"/>
                  </w:tcBorders>
                  <w:noWrap w:val="0"/>
                  <w:vAlign w:val="center"/>
                </w:tcPr>
                <w:p w14:paraId="35221B6E">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tLeast"/>
                    <w:ind w:left="0" w:right="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占地面积（ha）</w:t>
                  </w:r>
                </w:p>
              </w:tc>
              <w:tc>
                <w:tcPr>
                  <w:tcW w:w="2483" w:type="dxa"/>
                  <w:tcBorders>
                    <w:tl2br w:val="nil"/>
                    <w:tr2bl w:val="nil"/>
                  </w:tcBorders>
                  <w:noWrap w:val="0"/>
                  <w:vAlign w:val="center"/>
                </w:tcPr>
                <w:p w14:paraId="66829F45">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tLeast"/>
                    <w:ind w:left="0" w:right="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单位面积生物量（t/ha）</w:t>
                  </w:r>
                </w:p>
              </w:tc>
              <w:tc>
                <w:tcPr>
                  <w:tcW w:w="1381" w:type="dxa"/>
                  <w:tcBorders>
                    <w:tl2br w:val="nil"/>
                    <w:tr2bl w:val="nil"/>
                  </w:tcBorders>
                  <w:noWrap w:val="0"/>
                  <w:vAlign w:val="center"/>
                </w:tcPr>
                <w:p w14:paraId="714DC2F6">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tLeast"/>
                    <w:ind w:left="0" w:right="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损失量（t）</w:t>
                  </w:r>
                </w:p>
              </w:tc>
            </w:tr>
            <w:tr w14:paraId="144F1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84" w:type="dxa"/>
                  <w:tcBorders>
                    <w:tl2br w:val="nil"/>
                    <w:tr2bl w:val="nil"/>
                  </w:tcBorders>
                  <w:noWrap w:val="0"/>
                  <w:vAlign w:val="center"/>
                </w:tcPr>
                <w:p w14:paraId="5B223AE4">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tLeast"/>
                    <w:ind w:left="0" w:right="0"/>
                    <w:jc w:val="center"/>
                    <w:textAlignment w:val="auto"/>
                    <w:rPr>
                      <w:rFonts w:hint="default" w:ascii="Times New Roman" w:hAnsi="Times New Roman" w:cs="Times New Roman"/>
                      <w:color w:val="auto"/>
                      <w:kern w:val="0"/>
                      <w:szCs w:val="21"/>
                      <w:highlight w:val="none"/>
                    </w:rPr>
                  </w:pPr>
                  <w:r>
                    <w:rPr>
                      <w:rFonts w:hint="eastAsia" w:cs="Times New Roman"/>
                      <w:color w:val="auto"/>
                      <w:kern w:val="0"/>
                      <w:szCs w:val="21"/>
                      <w:highlight w:val="none"/>
                      <w:lang w:val="en-US" w:eastAsia="zh-CN"/>
                    </w:rPr>
                    <w:t>1</w:t>
                  </w:r>
                  <w:r>
                    <w:rPr>
                      <w:rFonts w:hint="eastAsia" w:ascii="Times New Roman" w:hAnsi="Times New Roman" w:cs="Times New Roman"/>
                      <w:color w:val="auto"/>
                      <w:kern w:val="0"/>
                      <w:szCs w:val="21"/>
                      <w:highlight w:val="none"/>
                      <w:lang w:val="en-US" w:eastAsia="zh-CN"/>
                    </w:rPr>
                    <w:t>1</w:t>
                  </w:r>
                  <w:r>
                    <w:rPr>
                      <w:rFonts w:hint="default" w:ascii="Times New Roman" w:hAnsi="Times New Roman" w:cs="Times New Roman"/>
                      <w:color w:val="auto"/>
                      <w:kern w:val="0"/>
                      <w:szCs w:val="21"/>
                      <w:highlight w:val="none"/>
                    </w:rPr>
                    <w:t>个井场</w:t>
                  </w:r>
                </w:p>
              </w:tc>
              <w:tc>
                <w:tcPr>
                  <w:tcW w:w="1085" w:type="dxa"/>
                  <w:tcBorders>
                    <w:tl2br w:val="nil"/>
                    <w:tr2bl w:val="nil"/>
                  </w:tcBorders>
                  <w:noWrap w:val="0"/>
                  <w:vAlign w:val="center"/>
                </w:tcPr>
                <w:p w14:paraId="7E759224">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tLeast"/>
                    <w:ind w:left="0" w:right="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农用地</w:t>
                  </w:r>
                </w:p>
              </w:tc>
              <w:tc>
                <w:tcPr>
                  <w:tcW w:w="1740" w:type="dxa"/>
                  <w:tcBorders>
                    <w:tl2br w:val="nil"/>
                    <w:tr2bl w:val="nil"/>
                  </w:tcBorders>
                  <w:noWrap w:val="0"/>
                  <w:vAlign w:val="center"/>
                </w:tcPr>
                <w:p w14:paraId="61152DC9">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tLeast"/>
                    <w:ind w:left="0" w:right="0"/>
                    <w:jc w:val="center"/>
                    <w:textAlignment w:val="auto"/>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0.1531</w:t>
                  </w:r>
                </w:p>
              </w:tc>
              <w:tc>
                <w:tcPr>
                  <w:tcW w:w="2483" w:type="dxa"/>
                  <w:tcBorders>
                    <w:tl2br w:val="nil"/>
                    <w:tr2bl w:val="nil"/>
                  </w:tcBorders>
                  <w:noWrap w:val="0"/>
                  <w:vAlign w:val="center"/>
                </w:tcPr>
                <w:p w14:paraId="0CD03868">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tLeast"/>
                    <w:ind w:left="0" w:right="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14.6</w:t>
                  </w:r>
                </w:p>
              </w:tc>
              <w:tc>
                <w:tcPr>
                  <w:tcW w:w="1381" w:type="dxa"/>
                  <w:tcBorders>
                    <w:tl2br w:val="nil"/>
                    <w:tr2bl w:val="nil"/>
                  </w:tcBorders>
                  <w:noWrap w:val="0"/>
                  <w:vAlign w:val="center"/>
                </w:tcPr>
                <w:p w14:paraId="09FC967D">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tLeast"/>
                    <w:ind w:left="0" w:right="0"/>
                    <w:jc w:val="center"/>
                    <w:textAlignment w:val="auto"/>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2.235</w:t>
                  </w:r>
                </w:p>
              </w:tc>
            </w:tr>
            <w:tr w14:paraId="1E4BF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69" w:type="dxa"/>
                  <w:gridSpan w:val="2"/>
                  <w:tcBorders>
                    <w:tl2br w:val="nil"/>
                    <w:tr2bl w:val="nil"/>
                  </w:tcBorders>
                  <w:noWrap w:val="0"/>
                  <w:vAlign w:val="center"/>
                </w:tcPr>
                <w:p w14:paraId="0E5C42C9">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tLeast"/>
                    <w:ind w:left="0" w:right="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合计</w:t>
                  </w:r>
                </w:p>
              </w:tc>
              <w:tc>
                <w:tcPr>
                  <w:tcW w:w="1740" w:type="dxa"/>
                  <w:tcBorders>
                    <w:tl2br w:val="nil"/>
                    <w:tr2bl w:val="nil"/>
                  </w:tcBorders>
                  <w:noWrap w:val="0"/>
                  <w:vAlign w:val="center"/>
                </w:tcPr>
                <w:p w14:paraId="6C7E3072">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tLeast"/>
                    <w:ind w:left="0" w:right="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w:t>
                  </w:r>
                </w:p>
              </w:tc>
              <w:tc>
                <w:tcPr>
                  <w:tcW w:w="2483" w:type="dxa"/>
                  <w:tcBorders>
                    <w:tl2br w:val="nil"/>
                    <w:tr2bl w:val="nil"/>
                  </w:tcBorders>
                  <w:noWrap w:val="0"/>
                  <w:vAlign w:val="center"/>
                </w:tcPr>
                <w:p w14:paraId="143DD421">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tLeast"/>
                    <w:ind w:left="0" w:right="0"/>
                    <w:jc w:val="center"/>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w:t>
                  </w:r>
                </w:p>
              </w:tc>
              <w:tc>
                <w:tcPr>
                  <w:tcW w:w="1381" w:type="dxa"/>
                  <w:tcBorders>
                    <w:tl2br w:val="nil"/>
                    <w:tr2bl w:val="nil"/>
                  </w:tcBorders>
                  <w:noWrap w:val="0"/>
                  <w:vAlign w:val="center"/>
                </w:tcPr>
                <w:p w14:paraId="6567EA0F">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tLeast"/>
                    <w:ind w:left="0" w:right="0"/>
                    <w:jc w:val="center"/>
                    <w:textAlignment w:val="auto"/>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2.235</w:t>
                  </w:r>
                </w:p>
              </w:tc>
            </w:tr>
          </w:tbl>
          <w:p w14:paraId="626AB50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注：农用地生物量参照《冬小麦生物量和产量的AquaCrop模型预测》（2011年）。</w:t>
            </w:r>
          </w:p>
          <w:p w14:paraId="25274B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由上表分析可知，施工期项目工程占地导致植物生物量损失约</w:t>
            </w:r>
            <w:r>
              <w:rPr>
                <w:rFonts w:hint="eastAsia" w:cs="Times New Roman"/>
                <w:bCs/>
                <w:color w:val="auto"/>
                <w:sz w:val="24"/>
                <w:highlight w:val="none"/>
                <w:lang w:val="en-US" w:eastAsia="zh-CN"/>
              </w:rPr>
              <w:t>2.235</w:t>
            </w:r>
            <w:r>
              <w:rPr>
                <w:rFonts w:hint="default" w:ascii="Times New Roman" w:hAnsi="Times New Roman" w:eastAsia="宋体" w:cs="Times New Roman"/>
                <w:bCs/>
                <w:color w:val="auto"/>
                <w:sz w:val="24"/>
                <w:highlight w:val="none"/>
              </w:rPr>
              <w:t>t。本项目占地对项目区植被生物量的影响主要表现为农用地生物量损失。</w:t>
            </w:r>
          </w:p>
          <w:p w14:paraId="419655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bCs/>
                <w:color w:val="auto"/>
                <w:sz w:val="24"/>
                <w:highlight w:val="none"/>
              </w:rPr>
            </w:pPr>
            <w:r>
              <w:rPr>
                <w:bCs/>
                <w:color w:val="auto"/>
                <w:sz w:val="24"/>
                <w:highlight w:val="none"/>
              </w:rPr>
              <w:t>本次环评要求施工单位对临时占地除在施工过程中采取措施减少对农田破坏外，在施工结束后，一定要负责农田质量的恢复，除补偿因临时占地对农田产量的直接损失外，还将考虑施工结束后因土壤结构破坏、养分流失而造成的影响，对农作物产量的间接损失以及土壤恢复进行补偿，以用于耕作层土恢复。在恢复期对土壤进行熟化和培肥，切实做好耕地质量调查及监测工作，及时掌握耕地质量变化状况，直至恢复到原来的生产力水平。</w:t>
            </w:r>
          </w:p>
          <w:p w14:paraId="01E82024">
            <w:pPr>
              <w:spacing w:line="360" w:lineRule="auto"/>
              <w:ind w:firstLine="484" w:firstLineChars="202"/>
              <w:rPr>
                <w:bCs/>
                <w:color w:val="auto"/>
                <w:sz w:val="24"/>
                <w:highlight w:val="none"/>
              </w:rPr>
            </w:pPr>
            <w:r>
              <w:rPr>
                <w:bCs/>
                <w:color w:val="auto"/>
                <w:sz w:val="24"/>
                <w:highlight w:val="none"/>
              </w:rPr>
              <w:t>3、对土壤的影响</w:t>
            </w:r>
          </w:p>
          <w:p w14:paraId="6B228773">
            <w:pPr>
              <w:spacing w:line="360" w:lineRule="auto"/>
              <w:ind w:firstLine="484" w:firstLineChars="202"/>
              <w:rPr>
                <w:bCs/>
                <w:color w:val="auto"/>
                <w:sz w:val="24"/>
                <w:highlight w:val="none"/>
              </w:rPr>
            </w:pPr>
            <w:r>
              <w:rPr>
                <w:bCs/>
                <w:color w:val="auto"/>
                <w:sz w:val="24"/>
                <w:highlight w:val="none"/>
              </w:rPr>
              <w:t>工程对土壤的影响主要为工程施工对土壤质地性状的影响，施工开挖对土壤结构的破坏。项目施工前期对场地表土进行剥离，并集中临时堆放，钻井结束后用于场地复垦回填用土。本项目施工工期短，施工完成后即对场地进行土地复垦，恢复场地原有功能，因此项目施工对场地土壤结构性状影响很小。</w:t>
            </w:r>
          </w:p>
          <w:p w14:paraId="64923B1F">
            <w:pPr>
              <w:spacing w:line="360" w:lineRule="auto"/>
              <w:ind w:firstLine="484" w:firstLineChars="202"/>
              <w:rPr>
                <w:bCs/>
                <w:color w:val="auto"/>
                <w:sz w:val="24"/>
                <w:highlight w:val="none"/>
              </w:rPr>
            </w:pPr>
            <w:r>
              <w:rPr>
                <w:bCs/>
                <w:color w:val="auto"/>
                <w:sz w:val="24"/>
                <w:highlight w:val="none"/>
              </w:rPr>
              <w:t>4、对野生动物影响分析</w:t>
            </w:r>
          </w:p>
          <w:p w14:paraId="0B79D314">
            <w:pPr>
              <w:spacing w:line="360" w:lineRule="auto"/>
              <w:ind w:firstLine="484" w:firstLineChars="202"/>
              <w:rPr>
                <w:bCs/>
                <w:color w:val="auto"/>
                <w:sz w:val="24"/>
                <w:highlight w:val="none"/>
              </w:rPr>
            </w:pPr>
            <w:r>
              <w:rPr>
                <w:bCs/>
                <w:color w:val="auto"/>
                <w:sz w:val="24"/>
                <w:highlight w:val="none"/>
              </w:rPr>
              <w:t>本工程占地面积内无大型哺乳动物，小型动物多为鼠、兔类，预计工程施工时，由于人类活动的增加，可能会造成动物数量将减少。新景观的出现可能对本区鸟类活动有一定的影响，对井场附近鸟类的繁殖、栖息和觅食产生少量干扰，可能会有少量鸟类由于生境的改变而外迁，造成项目区域内鸟类数量短时间减少，但本项目施工时间段，施工完成后即拆除场地设备，恢复区域原貌，因此项目施工不会对当地野生动物产生较大影响。</w:t>
            </w:r>
          </w:p>
          <w:p w14:paraId="62B078FB">
            <w:pPr>
              <w:spacing w:line="360" w:lineRule="auto"/>
              <w:ind w:firstLine="480" w:firstLineChars="200"/>
              <w:rPr>
                <w:bCs/>
                <w:color w:val="auto"/>
                <w:sz w:val="24"/>
                <w:highlight w:val="none"/>
              </w:rPr>
            </w:pPr>
            <w:r>
              <w:rPr>
                <w:bCs/>
                <w:color w:val="auto"/>
                <w:sz w:val="24"/>
                <w:highlight w:val="none"/>
              </w:rPr>
              <w:t>5、对水土流失影响分析</w:t>
            </w:r>
          </w:p>
          <w:p w14:paraId="536C488D">
            <w:pPr>
              <w:spacing w:line="360" w:lineRule="auto"/>
              <w:ind w:firstLine="484" w:firstLineChars="202"/>
              <w:rPr>
                <w:bCs/>
                <w:color w:val="auto"/>
                <w:sz w:val="24"/>
                <w:highlight w:val="none"/>
              </w:rPr>
            </w:pPr>
            <w:r>
              <w:rPr>
                <w:bCs/>
                <w:color w:val="auto"/>
                <w:sz w:val="24"/>
                <w:highlight w:val="none"/>
              </w:rPr>
              <w:t>项目区土壤疏松，土壤侵蚀特征为：以风力侵蚀为主，兼有季节性水力侵蚀。施工活动对地形地貌、地表组成物质和植被产生扰动、破坏或再塑，使其失去原有的固土防冲能力，造成新的水土流失。</w:t>
            </w:r>
          </w:p>
          <w:p w14:paraId="4F108C47">
            <w:pPr>
              <w:pStyle w:val="10"/>
              <w:spacing w:line="360" w:lineRule="auto"/>
              <w:ind w:firstLine="480" w:firstLineChars="200"/>
              <w:jc w:val="both"/>
              <w:rPr>
                <w:color w:val="auto"/>
                <w:szCs w:val="24"/>
                <w:highlight w:val="none"/>
                <w:lang w:val="en-US" w:eastAsia="zh-CN"/>
              </w:rPr>
            </w:pPr>
            <w:r>
              <w:rPr>
                <w:color w:val="auto"/>
                <w:szCs w:val="24"/>
                <w:highlight w:val="none"/>
                <w:lang w:val="en-US" w:eastAsia="zh-CN"/>
              </w:rPr>
              <w:t>（1）水土流失</w:t>
            </w:r>
          </w:p>
          <w:p w14:paraId="351193F6">
            <w:pPr>
              <w:pStyle w:val="10"/>
              <w:spacing w:line="360" w:lineRule="auto"/>
              <w:ind w:firstLine="480" w:firstLineChars="200"/>
              <w:jc w:val="both"/>
              <w:rPr>
                <w:color w:val="auto"/>
                <w:szCs w:val="24"/>
                <w:highlight w:val="none"/>
                <w:lang w:val="en-US" w:eastAsia="zh-CN"/>
              </w:rPr>
            </w:pPr>
            <w:r>
              <w:rPr>
                <w:color w:val="auto"/>
                <w:szCs w:val="24"/>
                <w:highlight w:val="none"/>
                <w:lang w:val="en-US" w:eastAsia="zh-CN"/>
              </w:rPr>
              <w:t>施工期间，土石方的搬运工程量较大，可能造成的水土流失量也较大。因此，工程施工期是本工程水土流失最严重的时期，也是本工程水土流失的防治重点。而在工程运行期间，只要处理好弃土场各项水土保持措施充分发挥作用，就不会产生大的水土流失。</w:t>
            </w:r>
          </w:p>
          <w:p w14:paraId="5E56110A">
            <w:pPr>
              <w:pStyle w:val="10"/>
              <w:spacing w:line="360" w:lineRule="auto"/>
              <w:ind w:firstLine="480" w:firstLineChars="200"/>
              <w:jc w:val="both"/>
              <w:rPr>
                <w:rFonts w:ascii="宋体" w:hAnsi="宋体"/>
                <w:color w:val="auto"/>
                <w:szCs w:val="24"/>
                <w:highlight w:val="none"/>
                <w:lang w:val="en-US" w:eastAsia="zh-CN"/>
              </w:rPr>
            </w:pPr>
            <w:r>
              <w:rPr>
                <w:rFonts w:ascii="宋体" w:hAnsi="宋体"/>
                <w:color w:val="auto"/>
                <w:szCs w:val="24"/>
                <w:highlight w:val="none"/>
                <w:lang w:val="en-US" w:eastAsia="zh-CN"/>
              </w:rPr>
              <w:t>①施工中开挖土方及时去清运，并按要求碾压密实以缩短堆置时间，如不能马上进行回填的，需堆置在堤防建设范围或堤防管理带范围内，以缩短土方的二次搬运距离，并做好临时防护措施和排水措施，使施工期间的水土流失降低到最低限度。</w:t>
            </w:r>
          </w:p>
          <w:p w14:paraId="5FDC41F0">
            <w:pPr>
              <w:pStyle w:val="10"/>
              <w:spacing w:line="360" w:lineRule="auto"/>
              <w:ind w:firstLine="480" w:firstLineChars="200"/>
              <w:jc w:val="both"/>
              <w:rPr>
                <w:rFonts w:ascii="宋体" w:hAnsi="宋体"/>
                <w:color w:val="auto"/>
                <w:szCs w:val="24"/>
                <w:highlight w:val="none"/>
                <w:lang w:val="en-US" w:eastAsia="zh-CN"/>
              </w:rPr>
            </w:pPr>
            <w:r>
              <w:rPr>
                <w:rFonts w:ascii="宋体" w:hAnsi="宋体"/>
                <w:color w:val="auto"/>
                <w:szCs w:val="24"/>
                <w:highlight w:val="none"/>
                <w:lang w:val="en-US" w:eastAsia="zh-CN"/>
              </w:rPr>
              <w:t>②本工程开挖土方直接用于堤身回填，边开挖边回填。雨季施工时，雨水的冲刷，容易产生水土流失。</w:t>
            </w:r>
          </w:p>
          <w:p w14:paraId="51022EBA">
            <w:pPr>
              <w:pStyle w:val="10"/>
              <w:spacing w:line="360" w:lineRule="auto"/>
              <w:ind w:firstLine="480" w:firstLineChars="200"/>
              <w:jc w:val="both"/>
              <w:rPr>
                <w:rFonts w:ascii="宋体" w:hAnsi="宋体"/>
                <w:color w:val="auto"/>
                <w:szCs w:val="24"/>
                <w:highlight w:val="none"/>
                <w:lang w:val="en-US" w:eastAsia="zh-CN"/>
              </w:rPr>
            </w:pPr>
            <w:r>
              <w:rPr>
                <w:rFonts w:ascii="宋体" w:hAnsi="宋体"/>
                <w:color w:val="auto"/>
                <w:szCs w:val="24"/>
                <w:highlight w:val="none"/>
                <w:lang w:val="en-US" w:eastAsia="zh-CN"/>
              </w:rPr>
              <w:t>③施工设计：为减少水土流失，保护土壤、植被，美化环境，防止水土流失，须进行必要的绿化。主体工程结束后，堤防斜坡植草，以达到固士、保水的目的，防止水土流失。</w:t>
            </w:r>
          </w:p>
          <w:p w14:paraId="5A7DAE9D">
            <w:pPr>
              <w:spacing w:line="360" w:lineRule="auto"/>
              <w:ind w:firstLine="484" w:firstLineChars="202"/>
              <w:rPr>
                <w:rFonts w:hint="eastAsia"/>
                <w:bCs/>
                <w:sz w:val="24"/>
                <w:highlight w:val="none"/>
              </w:rPr>
            </w:pPr>
            <w:r>
              <w:rPr>
                <w:rFonts w:hint="eastAsia"/>
                <w:bCs/>
                <w:sz w:val="24"/>
                <w:highlight w:val="none"/>
              </w:rPr>
              <w:t>（</w:t>
            </w:r>
            <w:r>
              <w:rPr>
                <w:rFonts w:hint="eastAsia"/>
                <w:bCs/>
                <w:sz w:val="24"/>
                <w:highlight w:val="none"/>
                <w:lang w:val="en-US" w:eastAsia="zh-CN"/>
              </w:rPr>
              <w:t>2</w:t>
            </w:r>
            <w:r>
              <w:rPr>
                <w:rFonts w:hint="eastAsia"/>
                <w:bCs/>
                <w:sz w:val="24"/>
                <w:highlight w:val="none"/>
              </w:rPr>
              <w:t>）表土剥离</w:t>
            </w:r>
          </w:p>
          <w:p w14:paraId="78C8B8AC">
            <w:pPr>
              <w:spacing w:line="360" w:lineRule="auto"/>
              <w:ind w:firstLine="484" w:firstLineChars="202"/>
              <w:rPr>
                <w:rFonts w:hint="eastAsia"/>
                <w:bCs/>
                <w:sz w:val="24"/>
                <w:highlight w:val="none"/>
              </w:rPr>
            </w:pPr>
            <w:r>
              <w:rPr>
                <w:rFonts w:hint="eastAsia"/>
                <w:bCs/>
                <w:sz w:val="24"/>
                <w:highlight w:val="none"/>
              </w:rPr>
              <w:t>所有临时用地在使用前必须进行表土剥离，设计表土剥离厚度为0.3m。剥离表土用于复垦覆土。临时用地占用前主要用地类型</w:t>
            </w:r>
            <w:r>
              <w:rPr>
                <w:rFonts w:hint="eastAsia"/>
                <w:bCs/>
                <w:sz w:val="24"/>
                <w:highlight w:val="none"/>
                <w:lang w:val="en-US" w:eastAsia="zh-CN"/>
              </w:rPr>
              <w:t>为建设用地和农用地</w:t>
            </w:r>
            <w:r>
              <w:rPr>
                <w:rFonts w:hint="eastAsia"/>
                <w:bCs/>
                <w:sz w:val="24"/>
                <w:highlight w:val="none"/>
              </w:rPr>
              <w:t>，复垦方向也主要为耕地，为保障复垦质量，同时考虑施工机械施工的可行性和便利性，表土剥离后通过机械运输，集中堆存，为防治堆放期表土产生水土流失，影响土壤肥力，周围设置袋装土临时拦挡，设计为梯形断面。</w:t>
            </w:r>
          </w:p>
          <w:p w14:paraId="2C51728A">
            <w:pPr>
              <w:spacing w:line="360" w:lineRule="auto"/>
              <w:ind w:firstLine="484" w:firstLineChars="202"/>
              <w:rPr>
                <w:rFonts w:hint="eastAsia"/>
                <w:bCs/>
                <w:color w:val="auto"/>
                <w:sz w:val="24"/>
                <w:highlight w:val="none"/>
              </w:rPr>
            </w:pPr>
            <w:r>
              <w:rPr>
                <w:rFonts w:hint="eastAsia"/>
                <w:bCs/>
                <w:color w:val="auto"/>
                <w:sz w:val="24"/>
                <w:highlight w:val="none"/>
                <w:lang w:eastAsia="zh-CN"/>
              </w:rPr>
              <w:t>（</w:t>
            </w:r>
            <w:r>
              <w:rPr>
                <w:rFonts w:hint="eastAsia"/>
                <w:bCs/>
                <w:color w:val="auto"/>
                <w:sz w:val="24"/>
                <w:highlight w:val="none"/>
                <w:lang w:val="en-US" w:eastAsia="zh-CN"/>
              </w:rPr>
              <w:t>3</w:t>
            </w:r>
            <w:r>
              <w:rPr>
                <w:rFonts w:hint="eastAsia"/>
                <w:bCs/>
                <w:color w:val="auto"/>
                <w:sz w:val="24"/>
                <w:highlight w:val="none"/>
                <w:lang w:eastAsia="zh-CN"/>
              </w:rPr>
              <w:t>）</w:t>
            </w:r>
            <w:r>
              <w:rPr>
                <w:rFonts w:hint="eastAsia"/>
                <w:bCs/>
                <w:color w:val="auto"/>
                <w:sz w:val="24"/>
                <w:highlight w:val="none"/>
              </w:rPr>
              <w:t>表土防护</w:t>
            </w:r>
          </w:p>
          <w:p w14:paraId="6FE32F90">
            <w:pPr>
              <w:spacing w:line="360" w:lineRule="auto"/>
              <w:ind w:firstLine="484" w:firstLineChars="202"/>
              <w:rPr>
                <w:rFonts w:hint="eastAsia"/>
                <w:bCs/>
                <w:color w:val="auto"/>
                <w:sz w:val="24"/>
                <w:highlight w:val="none"/>
              </w:rPr>
            </w:pPr>
            <w:r>
              <w:rPr>
                <w:rFonts w:hint="eastAsia"/>
                <w:bCs/>
                <w:color w:val="auto"/>
                <w:sz w:val="24"/>
                <w:highlight w:val="none"/>
              </w:rPr>
              <w:t>首先，在其四周用2m高的草袋防护，编织袋所装可直接采用剥离表土；其次，为减小降雨对表土的冲刷作用，减少表土流失量，在表土堆积过程中应尽量压实，并在表面覆盖土工布；再次，应在其临时表土堆放周边修建临时排水沟，以阻挡周边雨水，排水沟断面根据当地暴雨特征值与汇流面积计算后选用底宽0.3m、口宽0.9m、深0.3m的梯形断面，防止地表径流对其产生的影响；最后，在施工后期，拆除编织土袋尽快将表土用于覆土，尽可能减少堆放时间。</w:t>
            </w:r>
          </w:p>
          <w:p w14:paraId="1937A6E9">
            <w:pPr>
              <w:spacing w:line="360" w:lineRule="auto"/>
              <w:ind w:firstLine="484" w:firstLineChars="202"/>
              <w:rPr>
                <w:bCs/>
                <w:color w:val="auto"/>
                <w:sz w:val="24"/>
                <w:highlight w:val="none"/>
              </w:rPr>
            </w:pPr>
            <w:r>
              <w:rPr>
                <w:bCs/>
                <w:color w:val="auto"/>
                <w:kern w:val="0"/>
                <w:sz w:val="24"/>
                <w:highlight w:val="none"/>
              </w:rPr>
              <w:t>本项目开挖</w:t>
            </w:r>
            <w:r>
              <w:rPr>
                <w:bCs/>
                <w:color w:val="auto"/>
                <w:sz w:val="24"/>
                <w:highlight w:val="none"/>
              </w:rPr>
              <w:t>土方</w:t>
            </w:r>
            <w:r>
              <w:rPr>
                <w:color w:val="auto"/>
                <w:sz w:val="24"/>
                <w:highlight w:val="none"/>
              </w:rPr>
              <w:t>堆在专门的堆放区域</w:t>
            </w:r>
            <w:r>
              <w:rPr>
                <w:color w:val="auto"/>
                <w:kern w:val="0"/>
                <w:sz w:val="24"/>
                <w:highlight w:val="none"/>
              </w:rPr>
              <w:t>。</w:t>
            </w:r>
            <w:r>
              <w:rPr>
                <w:color w:val="auto"/>
                <w:sz w:val="24"/>
                <w:highlight w:val="none"/>
              </w:rPr>
              <w:t>同时本项目已编制完成复垦方案并取得批复，施工结束后按照复垦方案对临时占地及时进行复垦，恢复原有生态环境功能。采取以上措施</w:t>
            </w:r>
            <w:r>
              <w:rPr>
                <w:bCs/>
                <w:color w:val="auto"/>
                <w:sz w:val="24"/>
                <w:highlight w:val="none"/>
                <w:lang w:bidi="en-US"/>
              </w:rPr>
              <w:t>可以最大程度减轻水土流失的影响。</w:t>
            </w:r>
          </w:p>
          <w:p w14:paraId="1901B091">
            <w:pPr>
              <w:spacing w:line="360" w:lineRule="auto"/>
              <w:ind w:firstLine="484" w:firstLineChars="202"/>
              <w:rPr>
                <w:bCs/>
                <w:color w:val="auto"/>
                <w:sz w:val="24"/>
                <w:highlight w:val="none"/>
              </w:rPr>
            </w:pPr>
            <w:r>
              <w:rPr>
                <w:bCs/>
                <w:color w:val="auto"/>
                <w:sz w:val="24"/>
                <w:highlight w:val="none"/>
              </w:rPr>
              <w:t>6、对景观的影响评价</w:t>
            </w:r>
          </w:p>
          <w:p w14:paraId="06FC97E9">
            <w:pPr>
              <w:spacing w:line="360" w:lineRule="auto"/>
              <w:ind w:firstLine="484" w:firstLineChars="202"/>
              <w:rPr>
                <w:b/>
                <w:bCs/>
                <w:color w:val="auto"/>
                <w:sz w:val="24"/>
                <w:highlight w:val="none"/>
              </w:rPr>
            </w:pPr>
            <w:r>
              <w:rPr>
                <w:bCs/>
                <w:color w:val="auto"/>
                <w:sz w:val="24"/>
                <w:highlight w:val="none"/>
              </w:rPr>
              <w:t>项目施工期各种车辆行驶及井场设备搭建，使景观的基本构成要素廊道的数量增加，影响生态系统中的能流、物流的流动，对植物物种传播和动物的迁徙有一定的影响。施工活动会形成新的堆土、钻探场等人工建筑景观、改变原有的景观，造成视觉干扰。但这一影响随施工作业的完成而结束。针对本项目，从环境保护角度来讲，施工工程对整个景观的影响是可接受。</w:t>
            </w:r>
          </w:p>
          <w:p w14:paraId="283F08E0">
            <w:pPr>
              <w:widowControl/>
              <w:spacing w:line="360" w:lineRule="auto"/>
              <w:ind w:firstLine="482" w:firstLineChars="200"/>
              <w:rPr>
                <w:b/>
                <w:bCs/>
                <w:color w:val="auto"/>
                <w:sz w:val="24"/>
                <w:highlight w:val="none"/>
              </w:rPr>
            </w:pPr>
            <w:r>
              <w:rPr>
                <w:b/>
                <w:bCs/>
                <w:color w:val="auto"/>
                <w:sz w:val="24"/>
                <w:highlight w:val="none"/>
              </w:rPr>
              <w:t>（二）其他环境要素影响分析</w:t>
            </w:r>
          </w:p>
          <w:p w14:paraId="2F5F4382">
            <w:pPr>
              <w:numPr>
                <w:ilvl w:val="0"/>
                <w:numId w:val="5"/>
              </w:numPr>
              <w:spacing w:line="360" w:lineRule="auto"/>
              <w:ind w:firstLine="482" w:firstLineChars="200"/>
              <w:rPr>
                <w:b/>
                <w:bCs/>
                <w:color w:val="auto"/>
                <w:sz w:val="24"/>
                <w:highlight w:val="none"/>
              </w:rPr>
            </w:pPr>
            <w:r>
              <w:rPr>
                <w:b/>
                <w:bCs/>
                <w:color w:val="auto"/>
                <w:sz w:val="24"/>
                <w:highlight w:val="none"/>
              </w:rPr>
              <w:t>地表水环境影响分析</w:t>
            </w:r>
          </w:p>
          <w:p w14:paraId="417D718C">
            <w:pPr>
              <w:spacing w:line="360" w:lineRule="auto"/>
              <w:ind w:firstLine="480" w:firstLineChars="200"/>
              <w:rPr>
                <w:rFonts w:ascii="Times New Roman" w:hAnsi="Times New Roman" w:eastAsia="宋体" w:cs="Times New Roman"/>
                <w:color w:val="auto"/>
                <w:sz w:val="24"/>
                <w:highlight w:val="none"/>
              </w:rPr>
            </w:pPr>
            <w:r>
              <w:rPr>
                <w:bCs/>
                <w:color w:val="auto"/>
                <w:sz w:val="24"/>
                <w:highlight w:val="none"/>
              </w:rPr>
              <w:t>本项目</w:t>
            </w:r>
            <w:r>
              <w:rPr>
                <w:rFonts w:ascii="Times New Roman" w:hAnsi="Times New Roman" w:eastAsia="宋体" w:cs="Times New Roman"/>
                <w:color w:val="auto"/>
                <w:sz w:val="24"/>
                <w:highlight w:val="none"/>
              </w:rPr>
              <w:t>拟设</w:t>
            </w:r>
            <w:r>
              <w:rPr>
                <w:rFonts w:hint="eastAsia" w:cs="Times New Roman"/>
                <w:color w:val="auto"/>
                <w:sz w:val="24"/>
                <w:highlight w:val="none"/>
                <w:lang w:val="en-US" w:eastAsia="zh-CN"/>
              </w:rPr>
              <w:t>1个注浆站、</w:t>
            </w:r>
            <w:r>
              <w:rPr>
                <w:rFonts w:ascii="Segoe UI" w:hAnsi="Segoe UI" w:eastAsia="Segoe UI" w:cs="Segoe UI"/>
                <w:i w:val="0"/>
                <w:iCs w:val="0"/>
                <w:caps w:val="0"/>
                <w:color w:val="0F1115"/>
                <w:spacing w:val="0"/>
                <w:sz w:val="22"/>
                <w:szCs w:val="22"/>
                <w:shd w:val="clear" w:fill="FFFFFF"/>
              </w:rPr>
              <w:t>8条输浆管道</w:t>
            </w:r>
            <w:r>
              <w:rPr>
                <w:rFonts w:hint="eastAsia" w:ascii="Segoe UI" w:hAnsi="Segoe UI" w:eastAsia="宋体" w:cs="Segoe UI"/>
                <w:i w:val="0"/>
                <w:iCs w:val="0"/>
                <w:caps w:val="0"/>
                <w:color w:val="0F1115"/>
                <w:spacing w:val="0"/>
                <w:sz w:val="22"/>
                <w:szCs w:val="22"/>
                <w:shd w:val="clear" w:fill="FFFFFF"/>
                <w:lang w:eastAsia="zh-CN"/>
              </w:rPr>
              <w:t>、</w:t>
            </w:r>
            <w:r>
              <w:rPr>
                <w:rFonts w:hint="eastAsia" w:cs="Times New Roman"/>
                <w:color w:val="auto"/>
                <w:sz w:val="24"/>
                <w:highlight w:val="none"/>
                <w:lang w:val="en-US" w:eastAsia="zh-CN"/>
              </w:rPr>
              <w:t>11</w:t>
            </w:r>
            <w:r>
              <w:rPr>
                <w:rFonts w:ascii="Times New Roman" w:hAnsi="Times New Roman" w:eastAsia="宋体" w:cs="Times New Roman"/>
                <w:color w:val="auto"/>
                <w:sz w:val="24"/>
                <w:highlight w:val="none"/>
              </w:rPr>
              <w:t>处钻孔，项目施工期为</w:t>
            </w:r>
            <w:r>
              <w:rPr>
                <w:rFonts w:hint="eastAsia" w:cs="Times New Roman"/>
                <w:color w:val="auto"/>
                <w:sz w:val="24"/>
                <w:highlight w:val="none"/>
                <w:lang w:val="en-US" w:eastAsia="zh-CN"/>
              </w:rPr>
              <w:t>365</w:t>
            </w:r>
            <w:r>
              <w:rPr>
                <w:rFonts w:ascii="Times New Roman" w:hAnsi="Times New Roman" w:eastAsia="宋体" w:cs="Times New Roman"/>
                <w:color w:val="auto"/>
                <w:sz w:val="24"/>
                <w:highlight w:val="none"/>
              </w:rPr>
              <w:t>天，项目定员</w:t>
            </w:r>
            <w:r>
              <w:rPr>
                <w:rFonts w:hint="eastAsia" w:cs="Times New Roman"/>
                <w:color w:val="auto"/>
                <w:sz w:val="24"/>
                <w:highlight w:val="none"/>
                <w:lang w:val="en-US" w:eastAsia="zh-CN"/>
              </w:rPr>
              <w:t>20</w:t>
            </w:r>
            <w:r>
              <w:rPr>
                <w:rFonts w:ascii="Times New Roman" w:hAnsi="Times New Roman" w:eastAsia="宋体" w:cs="Times New Roman"/>
                <w:color w:val="auto"/>
                <w:sz w:val="24"/>
                <w:highlight w:val="none"/>
              </w:rPr>
              <w:t>人。项目无钻井废水外排，生活污水经化粪池预处理后定期委托第三方使用吸污车运送至</w:t>
            </w:r>
            <w:r>
              <w:rPr>
                <w:rFonts w:hint="eastAsia" w:ascii="Times New Roman" w:hAnsi="Times New Roman" w:eastAsia="宋体" w:cs="Times New Roman"/>
                <w:color w:val="auto"/>
                <w:sz w:val="24"/>
                <w:highlight w:val="none"/>
              </w:rPr>
              <w:t>新集</w:t>
            </w:r>
            <w:r>
              <w:rPr>
                <w:rFonts w:hint="eastAsia" w:cs="Times New Roman"/>
                <w:color w:val="auto"/>
                <w:sz w:val="24"/>
                <w:highlight w:val="none"/>
                <w:lang w:val="en-US" w:eastAsia="zh-CN"/>
              </w:rPr>
              <w:t>一</w:t>
            </w:r>
            <w:r>
              <w:rPr>
                <w:rFonts w:hint="eastAsia" w:ascii="Times New Roman" w:hAnsi="Times New Roman" w:eastAsia="宋体" w:cs="Times New Roman"/>
                <w:color w:val="auto"/>
                <w:sz w:val="24"/>
                <w:highlight w:val="none"/>
              </w:rPr>
              <w:t>矿</w:t>
            </w:r>
            <w:r>
              <w:rPr>
                <w:rFonts w:ascii="Times New Roman" w:hAnsi="Times New Roman" w:eastAsia="宋体" w:cs="Times New Roman"/>
                <w:color w:val="auto"/>
                <w:sz w:val="24"/>
                <w:highlight w:val="none"/>
              </w:rPr>
              <w:t>现有生活污水处理站进行处理。车辆冲洗废水经沉淀池处理后循环利用，不外排。施工活动的主要环境影响为废气、废水、噪声以及固体废物。</w:t>
            </w:r>
          </w:p>
          <w:p w14:paraId="69819AA9">
            <w:pPr>
              <w:spacing w:line="360" w:lineRule="auto"/>
              <w:ind w:firstLine="480" w:firstLineChars="200"/>
              <w:rPr>
                <w:color w:val="auto"/>
                <w:sz w:val="24"/>
                <w:highlight w:val="none"/>
              </w:rPr>
            </w:pPr>
            <w:r>
              <w:rPr>
                <w:rFonts w:ascii="Times New Roman" w:hAnsi="Times New Roman" w:eastAsia="宋体" w:cs="Times New Roman"/>
                <w:color w:val="auto"/>
                <w:sz w:val="24"/>
                <w:highlight w:val="none"/>
              </w:rPr>
              <w:t>项目地位于</w:t>
            </w:r>
            <w:r>
              <w:rPr>
                <w:rFonts w:hint="eastAsia" w:ascii="Times New Roman" w:hAnsi="Times New Roman" w:eastAsia="宋体" w:cs="Times New Roman"/>
                <w:color w:val="auto"/>
                <w:sz w:val="24"/>
                <w:highlight w:val="none"/>
              </w:rPr>
              <w:t>安徽省淮南市凤台县新集镇王集村，安徽省淮南市新集一矿3608(6)采区东翼</w:t>
            </w:r>
            <w:r>
              <w:rPr>
                <w:rFonts w:ascii="Times New Roman" w:hAnsi="Times New Roman" w:eastAsia="宋体" w:cs="Times New Roman"/>
                <w:color w:val="auto"/>
                <w:sz w:val="24"/>
                <w:highlight w:val="none"/>
              </w:rPr>
              <w:t>，不在安徽省生态功能重要性评估区域和安</w:t>
            </w:r>
            <w:r>
              <w:rPr>
                <w:color w:val="auto"/>
                <w:sz w:val="24"/>
                <w:highlight w:val="none"/>
              </w:rPr>
              <w:t>徽省生态环境敏感性评估区域范围内，经现场勘察，项目地原为</w:t>
            </w:r>
            <w:r>
              <w:rPr>
                <w:rFonts w:hint="eastAsia"/>
                <w:color w:val="auto"/>
                <w:sz w:val="24"/>
                <w:highlight w:val="none"/>
                <w:lang w:val="en-US" w:eastAsia="zh-CN"/>
              </w:rPr>
              <w:t>建设用地和农用地</w:t>
            </w:r>
            <w:r>
              <w:rPr>
                <w:color w:val="auto"/>
                <w:sz w:val="24"/>
                <w:highlight w:val="none"/>
              </w:rPr>
              <w:t>。项目用地为临时用地，已取得临时用地手续，用地合法。</w:t>
            </w:r>
          </w:p>
          <w:p w14:paraId="293AA75D">
            <w:pPr>
              <w:spacing w:line="360" w:lineRule="auto"/>
              <w:ind w:firstLine="480" w:firstLineChars="200"/>
              <w:rPr>
                <w:color w:val="auto"/>
                <w:sz w:val="24"/>
                <w:highlight w:val="none"/>
              </w:rPr>
            </w:pPr>
            <w:r>
              <w:rPr>
                <w:color w:val="auto"/>
                <w:sz w:val="24"/>
                <w:highlight w:val="none"/>
              </w:rPr>
              <w:t>本项目主要用水为钻井用水、注浆用水</w:t>
            </w:r>
            <w:r>
              <w:rPr>
                <w:rFonts w:hint="eastAsia"/>
                <w:color w:val="auto"/>
                <w:sz w:val="24"/>
                <w:highlight w:val="none"/>
              </w:rPr>
              <w:t>、洒水抑尘用水、洗车用水</w:t>
            </w:r>
            <w:r>
              <w:rPr>
                <w:color w:val="auto"/>
                <w:sz w:val="24"/>
                <w:highlight w:val="none"/>
              </w:rPr>
              <w:t>和生活用水。</w:t>
            </w:r>
            <w:r>
              <w:rPr>
                <w:sz w:val="24"/>
                <w:highlight w:val="none"/>
              </w:rPr>
              <w:t>施工用水依托</w:t>
            </w:r>
            <w:r>
              <w:rPr>
                <w:rFonts w:hint="eastAsia"/>
                <w:sz w:val="24"/>
                <w:highlight w:val="none"/>
                <w:lang w:val="en-US" w:eastAsia="zh-CN"/>
              </w:rPr>
              <w:t>附近村庄供水设施</w:t>
            </w:r>
            <w:r>
              <w:rPr>
                <w:sz w:val="24"/>
                <w:highlight w:val="none"/>
              </w:rPr>
              <w:t>提供。</w:t>
            </w:r>
          </w:p>
          <w:p w14:paraId="7E6CAE14">
            <w:pPr>
              <w:spacing w:line="360" w:lineRule="auto"/>
              <w:ind w:firstLine="480" w:firstLineChars="200"/>
              <w:rPr>
                <w:sz w:val="24"/>
                <w:highlight w:val="none"/>
              </w:rPr>
            </w:pPr>
            <w:r>
              <w:rPr>
                <w:color w:val="auto"/>
                <w:sz w:val="24"/>
                <w:highlight w:val="none"/>
              </w:rPr>
              <w:t>（</w:t>
            </w:r>
            <w:r>
              <w:rPr>
                <w:rFonts w:hint="eastAsia"/>
                <w:color w:val="auto"/>
                <w:sz w:val="24"/>
                <w:highlight w:val="none"/>
                <w:lang w:val="en-US" w:eastAsia="zh-CN"/>
              </w:rPr>
              <w:t>1</w:t>
            </w:r>
            <w:r>
              <w:rPr>
                <w:color w:val="auto"/>
                <w:sz w:val="24"/>
                <w:highlight w:val="none"/>
              </w:rPr>
              <w:t>）</w:t>
            </w:r>
            <w:r>
              <w:rPr>
                <w:sz w:val="24"/>
                <w:highlight w:val="none"/>
              </w:rPr>
              <w:t>生活污水依托</w:t>
            </w:r>
            <w:r>
              <w:rPr>
                <w:rFonts w:hint="eastAsia"/>
                <w:sz w:val="24"/>
                <w:highlight w:val="none"/>
              </w:rPr>
              <w:t>新集</w:t>
            </w:r>
            <w:r>
              <w:rPr>
                <w:rFonts w:hint="eastAsia"/>
                <w:sz w:val="24"/>
                <w:highlight w:val="none"/>
                <w:lang w:val="en-US" w:eastAsia="zh-CN"/>
              </w:rPr>
              <w:t>一</w:t>
            </w:r>
            <w:r>
              <w:rPr>
                <w:rFonts w:hint="eastAsia"/>
                <w:sz w:val="24"/>
                <w:highlight w:val="none"/>
              </w:rPr>
              <w:t>矿</w:t>
            </w:r>
            <w:r>
              <w:rPr>
                <w:sz w:val="24"/>
                <w:highlight w:val="none"/>
              </w:rPr>
              <w:t>污水处理站可行性分析</w:t>
            </w:r>
          </w:p>
          <w:p w14:paraId="61B9028B">
            <w:pPr>
              <w:spacing w:line="360" w:lineRule="auto"/>
              <w:ind w:firstLine="480" w:firstLineChars="200"/>
              <w:rPr>
                <w:rFonts w:ascii="Times New Roman" w:hAnsi="Times New Roman" w:eastAsia="宋体" w:cs="Times New Roman"/>
                <w:color w:val="auto"/>
                <w:sz w:val="24"/>
                <w:highlight w:val="none"/>
              </w:rPr>
            </w:pPr>
            <w:r>
              <w:rPr>
                <w:bCs/>
                <w:sz w:val="24"/>
                <w:highlight w:val="none"/>
              </w:rPr>
              <w:t>项目废水为生活污水，废水产生量相对较少，废水水质简单。</w:t>
            </w:r>
            <w:r>
              <w:rPr>
                <w:sz w:val="24"/>
                <w:szCs w:val="28"/>
                <w:highlight w:val="none"/>
              </w:rPr>
              <w:t>施工期废水依托</w:t>
            </w:r>
            <w:r>
              <w:rPr>
                <w:rFonts w:hint="eastAsia"/>
                <w:spacing w:val="-3"/>
                <w:sz w:val="24"/>
                <w:highlight w:val="none"/>
              </w:rPr>
              <w:t>新集</w:t>
            </w:r>
            <w:r>
              <w:rPr>
                <w:rFonts w:hint="eastAsia"/>
                <w:spacing w:val="-3"/>
                <w:sz w:val="24"/>
                <w:highlight w:val="none"/>
                <w:lang w:val="en-US" w:eastAsia="zh-CN"/>
              </w:rPr>
              <w:t>一</w:t>
            </w:r>
            <w:r>
              <w:rPr>
                <w:rFonts w:hint="eastAsia"/>
                <w:spacing w:val="-3"/>
                <w:sz w:val="24"/>
                <w:highlight w:val="none"/>
              </w:rPr>
              <w:t>矿</w:t>
            </w:r>
            <w:r>
              <w:rPr>
                <w:sz w:val="24"/>
                <w:szCs w:val="28"/>
                <w:highlight w:val="none"/>
              </w:rPr>
              <w:t>工业场地现有污水处理站处理</w:t>
            </w:r>
            <w:r>
              <w:rPr>
                <w:rFonts w:hint="eastAsia"/>
                <w:sz w:val="24"/>
                <w:szCs w:val="28"/>
                <w:highlight w:val="none"/>
              </w:rPr>
              <w:t>。</w:t>
            </w:r>
            <w:r>
              <w:rPr>
                <w:sz w:val="24"/>
                <w:highlight w:val="none"/>
              </w:rPr>
              <w:t>生活污水经化粪池预处理后定期委托第三方使</w:t>
            </w:r>
            <w:r>
              <w:rPr>
                <w:rFonts w:ascii="Times New Roman" w:hAnsi="Times New Roman" w:eastAsia="宋体" w:cs="Times New Roman"/>
                <w:color w:val="auto"/>
                <w:sz w:val="24"/>
                <w:highlight w:val="none"/>
              </w:rPr>
              <w:t>用吸污车运送至</w:t>
            </w:r>
            <w:r>
              <w:rPr>
                <w:rFonts w:hint="eastAsia" w:ascii="Times New Roman" w:hAnsi="Times New Roman" w:eastAsia="宋体" w:cs="Times New Roman"/>
                <w:color w:val="auto"/>
                <w:sz w:val="24"/>
                <w:highlight w:val="none"/>
              </w:rPr>
              <w:t>新集</w:t>
            </w:r>
            <w:r>
              <w:rPr>
                <w:rFonts w:hint="eastAsia" w:ascii="Times New Roman" w:hAnsi="Times New Roman" w:eastAsia="宋体" w:cs="Times New Roman"/>
                <w:color w:val="auto"/>
                <w:sz w:val="24"/>
                <w:highlight w:val="none"/>
                <w:lang w:val="en-US" w:eastAsia="zh-CN"/>
              </w:rPr>
              <w:t>一</w:t>
            </w:r>
            <w:r>
              <w:rPr>
                <w:rFonts w:hint="eastAsia" w:ascii="Times New Roman" w:hAnsi="Times New Roman" w:eastAsia="宋体" w:cs="Times New Roman"/>
                <w:color w:val="auto"/>
                <w:sz w:val="24"/>
                <w:highlight w:val="none"/>
              </w:rPr>
              <w:t>矿</w:t>
            </w:r>
            <w:r>
              <w:rPr>
                <w:rFonts w:ascii="Times New Roman" w:hAnsi="Times New Roman" w:eastAsia="宋体" w:cs="Times New Roman"/>
                <w:color w:val="auto"/>
                <w:sz w:val="24"/>
                <w:highlight w:val="none"/>
              </w:rPr>
              <w:t>现有生活污水处理站进行处理达标后</w:t>
            </w:r>
            <w:r>
              <w:rPr>
                <w:rFonts w:hint="eastAsia" w:ascii="Times New Roman" w:hAnsi="Times New Roman" w:eastAsia="宋体" w:cs="Times New Roman"/>
                <w:color w:val="auto"/>
                <w:sz w:val="24"/>
                <w:highlight w:val="none"/>
              </w:rPr>
              <w:t>排入附近塌陷区水域。</w:t>
            </w:r>
          </w:p>
          <w:p w14:paraId="179564AC">
            <w:pPr>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新集</w:t>
            </w:r>
            <w:r>
              <w:rPr>
                <w:rFonts w:hint="eastAsia" w:ascii="Times New Roman" w:hAnsi="Times New Roman" w:eastAsia="宋体" w:cs="Times New Roman"/>
                <w:color w:val="auto"/>
                <w:sz w:val="24"/>
                <w:highlight w:val="none"/>
                <w:lang w:val="en-US" w:eastAsia="zh-CN"/>
              </w:rPr>
              <w:t>一</w:t>
            </w:r>
            <w:r>
              <w:rPr>
                <w:rFonts w:hint="eastAsia" w:ascii="Times New Roman" w:hAnsi="Times New Roman" w:eastAsia="宋体" w:cs="Times New Roman"/>
                <w:color w:val="auto"/>
                <w:sz w:val="24"/>
                <w:highlight w:val="none"/>
              </w:rPr>
              <w:t>矿工业场地上</w:t>
            </w:r>
            <w:r>
              <w:rPr>
                <w:rFonts w:ascii="Times New Roman" w:hAnsi="Times New Roman" w:eastAsia="宋体" w:cs="Times New Roman"/>
                <w:color w:val="auto"/>
                <w:sz w:val="24"/>
                <w:highlight w:val="none"/>
              </w:rPr>
              <w:t>内建有1座生活污水处理站，新集一矿生活污水处理站设计处理能力3000 m³/d、实际处理能力2800 m³/d，富余能力充足，处理能力匹配性良好；</w:t>
            </w:r>
            <w:r>
              <w:rPr>
                <w:rFonts w:hint="eastAsia" w:cs="Times New Roman"/>
                <w:color w:val="auto"/>
                <w:sz w:val="24"/>
                <w:highlight w:val="none"/>
                <w:lang w:val="en-US" w:eastAsia="zh-CN"/>
              </w:rPr>
              <w:t>新集一矿生活污水</w:t>
            </w:r>
            <w:r>
              <w:rPr>
                <w:rFonts w:ascii="Times New Roman" w:hAnsi="Times New Roman" w:eastAsia="宋体" w:cs="Times New Roman"/>
                <w:color w:val="auto"/>
                <w:sz w:val="24"/>
                <w:highlight w:val="none"/>
              </w:rPr>
              <w:t>污水处理站采用的氧化沟加曝气充氧工艺与本项目生活污水水质相适应，处理效果可靠</w:t>
            </w:r>
            <w:r>
              <w:rPr>
                <w:rFonts w:hint="eastAsia" w:cs="Times New Roman"/>
                <w:color w:val="auto"/>
                <w:sz w:val="24"/>
                <w:highlight w:val="none"/>
                <w:lang w:eastAsia="zh-CN"/>
              </w:rPr>
              <w:t>；</w:t>
            </w:r>
            <w:r>
              <w:rPr>
                <w:rFonts w:ascii="Times New Roman" w:hAnsi="Times New Roman" w:eastAsia="宋体" w:cs="Times New Roman"/>
                <w:color w:val="auto"/>
                <w:sz w:val="24"/>
                <w:highlight w:val="none"/>
              </w:rPr>
              <w:t>处理达标后排放满足《煤炭工业污染物排放标准》（GB20426-2006）和《污水综合排放标准》（GB8978-1996）要求，不会对周边地表水体造成不利影响；矿区现有生活污水管网覆盖范围及接入条件具备，合规性满足相关技术导则和环保要求。</w:t>
            </w:r>
          </w:p>
          <w:p w14:paraId="699D6BE1">
            <w:pPr>
              <w:spacing w:line="360" w:lineRule="auto"/>
              <w:ind w:firstLine="480" w:firstLineChars="200"/>
              <w:rPr>
                <w:rFonts w:hint="eastAsia" w:ascii="Times New Roman" w:hAnsi="Times New Roman" w:cs="Times New Roman"/>
                <w:color w:val="auto"/>
                <w:sz w:val="24"/>
                <w:highlight w:val="none"/>
                <w:lang w:eastAsia="zh-CN"/>
              </w:rPr>
            </w:pPr>
            <w:r>
              <w:rPr>
                <w:rFonts w:hint="default" w:ascii="Times New Roman" w:hAnsi="Times New Roman" w:eastAsia="宋体" w:cs="Times New Roman"/>
                <w:color w:val="auto"/>
                <w:sz w:val="24"/>
                <w:highlight w:val="none"/>
              </w:rPr>
              <w:t>项目施工期间场地员工约</w:t>
            </w:r>
            <w:r>
              <w:rPr>
                <w:rFonts w:hint="eastAsia" w:cs="Times New Roman"/>
                <w:color w:val="auto"/>
                <w:sz w:val="24"/>
                <w:highlight w:val="none"/>
                <w:lang w:val="en-US" w:eastAsia="zh-CN"/>
              </w:rPr>
              <w:t>20</w:t>
            </w:r>
            <w:r>
              <w:rPr>
                <w:rFonts w:hint="default" w:ascii="Times New Roman" w:hAnsi="Times New Roman" w:eastAsia="宋体" w:cs="Times New Roman"/>
                <w:color w:val="auto"/>
                <w:sz w:val="24"/>
                <w:highlight w:val="none"/>
              </w:rPr>
              <w:t>人，施工期</w:t>
            </w:r>
            <w:r>
              <w:rPr>
                <w:rFonts w:hint="eastAsia" w:cs="Times New Roman"/>
                <w:color w:val="auto"/>
                <w:sz w:val="24"/>
                <w:highlight w:val="none"/>
                <w:lang w:val="en-US" w:eastAsia="zh-CN"/>
              </w:rPr>
              <w:t>365</w:t>
            </w:r>
            <w:r>
              <w:rPr>
                <w:rFonts w:hint="default" w:ascii="Times New Roman" w:hAnsi="Times New Roman" w:eastAsia="宋体" w:cs="Times New Roman"/>
                <w:color w:val="auto"/>
                <w:sz w:val="24"/>
                <w:highlight w:val="none"/>
              </w:rPr>
              <w:t>天，场区</w:t>
            </w:r>
            <w:r>
              <w:rPr>
                <w:rFonts w:hint="eastAsia" w:cs="Times New Roman"/>
                <w:color w:val="auto"/>
                <w:sz w:val="24"/>
                <w:highlight w:val="none"/>
                <w:lang w:val="en-US" w:eastAsia="zh-CN"/>
              </w:rPr>
              <w:t>不</w:t>
            </w:r>
            <w:r>
              <w:rPr>
                <w:rFonts w:hint="default" w:ascii="Times New Roman" w:hAnsi="Times New Roman" w:eastAsia="宋体" w:cs="Times New Roman"/>
                <w:color w:val="auto"/>
                <w:sz w:val="24"/>
                <w:highlight w:val="none"/>
              </w:rPr>
              <w:t>设置</w:t>
            </w:r>
            <w:r>
              <w:rPr>
                <w:rFonts w:hint="eastAsia" w:ascii="Times New Roman" w:hAnsi="Times New Roman" w:eastAsia="宋体" w:cs="Times New Roman"/>
                <w:color w:val="auto"/>
                <w:sz w:val="24"/>
                <w:highlight w:val="none"/>
                <w:lang w:val="en-US" w:eastAsia="zh-CN"/>
              </w:rPr>
              <w:t>厨房</w:t>
            </w:r>
            <w:r>
              <w:rPr>
                <w:rFonts w:hint="default" w:ascii="Times New Roman" w:hAnsi="Times New Roman" w:eastAsia="宋体" w:cs="Times New Roman"/>
                <w:color w:val="auto"/>
                <w:sz w:val="24"/>
                <w:highlight w:val="none"/>
              </w:rPr>
              <w:t>，根据《安徽省行业用水定额》（DB34T679-2025），员工生活用水按60L/人·d计算，因此项目施工期生活用水量约为</w:t>
            </w:r>
            <w:r>
              <w:rPr>
                <w:rFonts w:hint="eastAsia" w:cs="Times New Roman"/>
                <w:color w:val="auto"/>
                <w:sz w:val="24"/>
                <w:highlight w:val="none"/>
                <w:lang w:val="en-US" w:eastAsia="zh-CN"/>
              </w:rPr>
              <w:t>1.2</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/d。施工期生活污水产生量按用水量的80%计，则项目生活污水产生量为</w:t>
            </w:r>
            <w:r>
              <w:rPr>
                <w:rFonts w:hint="eastAsia" w:cs="Times New Roman"/>
                <w:color w:val="auto"/>
                <w:sz w:val="24"/>
                <w:highlight w:val="none"/>
                <w:lang w:val="en-US" w:eastAsia="zh-CN"/>
              </w:rPr>
              <w:t>0.96</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/d，主要污染物为COD、SS、氨氮、BOD</w:t>
            </w:r>
            <w:r>
              <w:rPr>
                <w:rFonts w:hint="default" w:ascii="Times New Roman" w:hAnsi="Times New Roman" w:cs="Times New Roman"/>
                <w:color w:val="auto"/>
                <w:sz w:val="24"/>
                <w:highlight w:val="none"/>
                <w:vertAlign w:val="subscript"/>
              </w:rPr>
              <w:t>5</w:t>
            </w:r>
            <w:r>
              <w:rPr>
                <w:rFonts w:hint="eastAsia"/>
                <w:sz w:val="24"/>
                <w:highlight w:val="none"/>
                <w:lang w:val="en-US" w:eastAsia="zh-CN"/>
              </w:rPr>
              <w:t>。</w:t>
            </w:r>
            <w:r>
              <w:rPr>
                <w:sz w:val="24"/>
                <w:highlight w:val="none"/>
              </w:rPr>
              <w:t>生活污水经化粪池预处理后定期委托第三方使用吸污车运送至</w:t>
            </w:r>
            <w:r>
              <w:rPr>
                <w:rFonts w:hint="eastAsia"/>
                <w:sz w:val="24"/>
                <w:highlight w:val="none"/>
              </w:rPr>
              <w:t>新集</w:t>
            </w:r>
            <w:r>
              <w:rPr>
                <w:rFonts w:hint="eastAsia"/>
                <w:sz w:val="24"/>
                <w:highlight w:val="none"/>
                <w:lang w:val="en-US" w:eastAsia="zh-CN"/>
              </w:rPr>
              <w:t>一</w:t>
            </w:r>
            <w:r>
              <w:rPr>
                <w:rFonts w:hint="eastAsia"/>
                <w:sz w:val="24"/>
                <w:highlight w:val="none"/>
              </w:rPr>
              <w:t>矿</w:t>
            </w:r>
            <w:r>
              <w:rPr>
                <w:sz w:val="24"/>
                <w:highlight w:val="none"/>
              </w:rPr>
              <w:t>现有生活污水处理站进行处理。</w:t>
            </w:r>
            <w:r>
              <w:rPr>
                <w:rFonts w:hint="eastAsia" w:ascii="Times New Roman" w:hAnsi="Times New Roman" w:cs="Times New Roman"/>
                <w:color w:val="auto"/>
                <w:sz w:val="24"/>
                <w:highlight w:val="none"/>
                <w:lang w:val="en-US" w:eastAsia="zh-CN"/>
              </w:rPr>
              <w:t>汇总项目临时施工场地生活污水产生量为</w:t>
            </w:r>
            <w:r>
              <w:rPr>
                <w:rFonts w:hint="eastAsia" w:cs="Times New Roman"/>
                <w:color w:val="auto"/>
                <w:sz w:val="24"/>
                <w:highlight w:val="none"/>
                <w:lang w:val="en-US" w:eastAsia="zh-CN"/>
              </w:rPr>
              <w:t>0.96</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w:t>
            </w:r>
            <w:r>
              <w:rPr>
                <w:rFonts w:hint="eastAsia" w:ascii="Times New Roman" w:hAnsi="Times New Roman" w:cs="Times New Roman"/>
                <w:color w:val="auto"/>
                <w:sz w:val="24"/>
                <w:highlight w:val="none"/>
                <w:lang w:eastAsia="zh-CN"/>
              </w:rPr>
              <w:t>。</w:t>
            </w:r>
          </w:p>
          <w:p w14:paraId="704E1B30">
            <w:pPr>
              <w:spacing w:line="360" w:lineRule="auto"/>
              <w:ind w:firstLine="480" w:firstLineChars="200"/>
              <w:rPr>
                <w:rFonts w:hint="eastAsia"/>
                <w:color w:val="auto"/>
                <w:sz w:val="24"/>
                <w:highlight w:val="none"/>
              </w:rPr>
            </w:pPr>
            <w:r>
              <w:rPr>
                <w:sz w:val="24"/>
                <w:highlight w:val="none"/>
              </w:rPr>
              <w:t>生活污水一并经化粪池预处理后定期委托第三方使用吸污车运送至</w:t>
            </w:r>
            <w:r>
              <w:rPr>
                <w:rFonts w:hint="eastAsia"/>
                <w:sz w:val="24"/>
                <w:highlight w:val="none"/>
              </w:rPr>
              <w:t>新集</w:t>
            </w:r>
            <w:r>
              <w:rPr>
                <w:rFonts w:hint="eastAsia"/>
                <w:sz w:val="24"/>
                <w:highlight w:val="none"/>
                <w:lang w:val="en-US" w:eastAsia="zh-CN"/>
              </w:rPr>
              <w:t>一</w:t>
            </w:r>
            <w:r>
              <w:rPr>
                <w:rFonts w:hint="eastAsia"/>
                <w:sz w:val="24"/>
                <w:highlight w:val="none"/>
              </w:rPr>
              <w:t>矿</w:t>
            </w:r>
            <w:r>
              <w:rPr>
                <w:sz w:val="24"/>
                <w:highlight w:val="none"/>
              </w:rPr>
              <w:t>现有生活污水处理站进行处理。</w:t>
            </w:r>
          </w:p>
          <w:p w14:paraId="29D835E0">
            <w:pPr>
              <w:adjustRightInd w:val="0"/>
              <w:snapToGrid w:val="0"/>
              <w:spacing w:line="240" w:lineRule="atLeast"/>
              <w:jc w:val="center"/>
              <w:rPr>
                <w:rFonts w:hint="eastAsia" w:ascii="黑体" w:hAnsi="黑体" w:eastAsia="黑体" w:cs="黑体"/>
                <w:bCs/>
                <w:color w:val="auto"/>
                <w:kern w:val="0"/>
                <w:szCs w:val="21"/>
                <w:highlight w:val="none"/>
              </w:rPr>
            </w:pPr>
            <w:r>
              <w:rPr>
                <w:rFonts w:hint="eastAsia" w:ascii="黑体" w:hAnsi="黑体" w:eastAsia="黑体" w:cs="黑体"/>
                <w:bCs/>
                <w:color w:val="auto"/>
                <w:kern w:val="0"/>
                <w:szCs w:val="21"/>
                <w:highlight w:val="none"/>
              </w:rPr>
              <w:t>表4-2  项目废水产生和排放信息表</w:t>
            </w:r>
          </w:p>
          <w:tbl>
            <w:tblPr>
              <w:tblStyle w:val="29"/>
              <w:tblW w:w="787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6"/>
              <w:gridCol w:w="944"/>
              <w:gridCol w:w="950"/>
              <w:gridCol w:w="952"/>
              <w:gridCol w:w="1022"/>
              <w:gridCol w:w="911"/>
              <w:gridCol w:w="962"/>
              <w:gridCol w:w="1223"/>
            </w:tblGrid>
            <w:tr w14:paraId="3DBD15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06" w:type="dxa"/>
                  <w:vMerge w:val="restart"/>
                  <w:noWrap w:val="0"/>
                  <w:vAlign w:val="center"/>
                </w:tcPr>
                <w:p w14:paraId="323D3CCC">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废水种类</w:t>
                  </w:r>
                </w:p>
              </w:tc>
              <w:tc>
                <w:tcPr>
                  <w:tcW w:w="944" w:type="dxa"/>
                  <w:noWrap w:val="0"/>
                  <w:vAlign w:val="center"/>
                </w:tcPr>
                <w:p w14:paraId="39C2FECB">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废水量</w:t>
                  </w:r>
                </w:p>
              </w:tc>
              <w:tc>
                <w:tcPr>
                  <w:tcW w:w="950" w:type="dxa"/>
                  <w:noWrap w:val="0"/>
                  <w:vAlign w:val="center"/>
                </w:tcPr>
                <w:p w14:paraId="7093BC15">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污染物</w:t>
                  </w:r>
                </w:p>
              </w:tc>
              <w:tc>
                <w:tcPr>
                  <w:tcW w:w="1974" w:type="dxa"/>
                  <w:gridSpan w:val="2"/>
                  <w:noWrap w:val="0"/>
                  <w:vAlign w:val="center"/>
                </w:tcPr>
                <w:p w14:paraId="20CA9A24">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污染物产生情况</w:t>
                  </w:r>
                </w:p>
              </w:tc>
              <w:tc>
                <w:tcPr>
                  <w:tcW w:w="911" w:type="dxa"/>
                  <w:vMerge w:val="restart"/>
                  <w:noWrap w:val="0"/>
                  <w:vAlign w:val="center"/>
                </w:tcPr>
                <w:p w14:paraId="2DE3F1C8">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处理措施</w:t>
                  </w:r>
                </w:p>
              </w:tc>
              <w:tc>
                <w:tcPr>
                  <w:tcW w:w="2185" w:type="dxa"/>
                  <w:gridSpan w:val="2"/>
                  <w:noWrap w:val="0"/>
                  <w:vAlign w:val="center"/>
                </w:tcPr>
                <w:p w14:paraId="07979EB5">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污染物排放情况</w:t>
                  </w:r>
                </w:p>
              </w:tc>
            </w:tr>
            <w:tr w14:paraId="73E4C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06" w:type="dxa"/>
                  <w:vMerge w:val="continue"/>
                  <w:noWrap w:val="0"/>
                  <w:vAlign w:val="center"/>
                </w:tcPr>
                <w:p w14:paraId="4044A458">
                  <w:pPr>
                    <w:jc w:val="center"/>
                    <w:rPr>
                      <w:rFonts w:hint="eastAsia" w:ascii="宋体" w:hAnsi="宋体" w:cs="宋体"/>
                      <w:color w:val="auto"/>
                      <w:sz w:val="21"/>
                      <w:szCs w:val="21"/>
                      <w:highlight w:val="none"/>
                    </w:rPr>
                  </w:pPr>
                </w:p>
              </w:tc>
              <w:tc>
                <w:tcPr>
                  <w:tcW w:w="944" w:type="dxa"/>
                  <w:noWrap w:val="0"/>
                  <w:vAlign w:val="center"/>
                </w:tcPr>
                <w:p w14:paraId="0ACE6819">
                  <w:pPr>
                    <w:widowControl/>
                    <w:jc w:val="center"/>
                    <w:textAlignment w:val="center"/>
                    <w:rPr>
                      <w:color w:val="auto"/>
                      <w:sz w:val="21"/>
                      <w:szCs w:val="21"/>
                      <w:highlight w:val="none"/>
                    </w:rPr>
                  </w:pPr>
                  <w:r>
                    <w:rPr>
                      <w:color w:val="auto"/>
                      <w:kern w:val="0"/>
                      <w:sz w:val="21"/>
                      <w:szCs w:val="21"/>
                      <w:highlight w:val="none"/>
                      <w:lang w:bidi="ar"/>
                    </w:rPr>
                    <w:t>(m</w:t>
                  </w:r>
                  <w:r>
                    <w:rPr>
                      <w:color w:val="auto"/>
                      <w:kern w:val="0"/>
                      <w:sz w:val="21"/>
                      <w:szCs w:val="21"/>
                      <w:highlight w:val="none"/>
                      <w:vertAlign w:val="superscript"/>
                      <w:lang w:bidi="ar"/>
                    </w:rPr>
                    <w:t>3</w:t>
                  </w:r>
                  <w:r>
                    <w:rPr>
                      <w:color w:val="auto"/>
                      <w:kern w:val="0"/>
                      <w:sz w:val="21"/>
                      <w:szCs w:val="21"/>
                      <w:highlight w:val="none"/>
                      <w:lang w:bidi="ar"/>
                    </w:rPr>
                    <w:t>)</w:t>
                  </w:r>
                </w:p>
              </w:tc>
              <w:tc>
                <w:tcPr>
                  <w:tcW w:w="950" w:type="dxa"/>
                  <w:noWrap w:val="0"/>
                  <w:vAlign w:val="center"/>
                </w:tcPr>
                <w:p w14:paraId="66710186">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称</w:t>
                  </w:r>
                </w:p>
              </w:tc>
              <w:tc>
                <w:tcPr>
                  <w:tcW w:w="952" w:type="dxa"/>
                  <w:noWrap w:val="0"/>
                  <w:vAlign w:val="center"/>
                </w:tcPr>
                <w:p w14:paraId="0139FE67">
                  <w:pPr>
                    <w:widowControl/>
                    <w:jc w:val="center"/>
                    <w:textAlignment w:val="center"/>
                    <w:rPr>
                      <w:rFonts w:hint="eastAsia" w:ascii="宋体" w:hAnsi="宋体" w:eastAsia="宋体" w:cs="宋体"/>
                      <w:color w:val="auto"/>
                      <w:sz w:val="21"/>
                      <w:szCs w:val="21"/>
                      <w:highlight w:val="none"/>
                      <w:lang w:val="en-US" w:eastAsia="zh-CN"/>
                    </w:rPr>
                  </w:pPr>
                  <w:r>
                    <w:rPr>
                      <w:rFonts w:hint="eastAsia" w:ascii="宋体" w:hAnsi="宋体" w:cs="宋体"/>
                      <w:color w:val="auto"/>
                      <w:kern w:val="0"/>
                      <w:sz w:val="21"/>
                      <w:szCs w:val="21"/>
                      <w:highlight w:val="none"/>
                      <w:lang w:bidi="ar"/>
                    </w:rPr>
                    <w:t>浓度</w:t>
                  </w:r>
                  <w:r>
                    <w:rPr>
                      <w:color w:val="auto"/>
                      <w:kern w:val="0"/>
                      <w:sz w:val="21"/>
                      <w:szCs w:val="21"/>
                      <w:highlight w:val="none"/>
                      <w:lang w:bidi="ar"/>
                    </w:rPr>
                    <w:t>(mg/L</w:t>
                  </w:r>
                  <w:r>
                    <w:rPr>
                      <w:rFonts w:hint="eastAsia"/>
                      <w:color w:val="auto"/>
                      <w:kern w:val="0"/>
                      <w:sz w:val="21"/>
                      <w:szCs w:val="21"/>
                      <w:highlight w:val="none"/>
                      <w:lang w:val="en-US" w:eastAsia="zh-CN" w:bidi="ar"/>
                    </w:rPr>
                    <w:t>)</w:t>
                  </w:r>
                </w:p>
              </w:tc>
              <w:tc>
                <w:tcPr>
                  <w:tcW w:w="1022" w:type="dxa"/>
                  <w:noWrap w:val="0"/>
                  <w:vAlign w:val="center"/>
                </w:tcPr>
                <w:p w14:paraId="762C0A54">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产生量</w:t>
                  </w:r>
                  <w:r>
                    <w:rPr>
                      <w:color w:val="auto"/>
                      <w:kern w:val="0"/>
                      <w:sz w:val="21"/>
                      <w:szCs w:val="21"/>
                      <w:highlight w:val="none"/>
                      <w:lang w:bidi="ar"/>
                    </w:rPr>
                    <w:t>(t/a)</w:t>
                  </w:r>
                </w:p>
              </w:tc>
              <w:tc>
                <w:tcPr>
                  <w:tcW w:w="911" w:type="dxa"/>
                  <w:vMerge w:val="continue"/>
                  <w:noWrap w:val="0"/>
                  <w:vAlign w:val="center"/>
                </w:tcPr>
                <w:p w14:paraId="6C82F735">
                  <w:pPr>
                    <w:jc w:val="center"/>
                    <w:rPr>
                      <w:rFonts w:hint="eastAsia" w:ascii="宋体" w:hAnsi="宋体" w:cs="宋体"/>
                      <w:color w:val="auto"/>
                      <w:sz w:val="21"/>
                      <w:szCs w:val="21"/>
                      <w:highlight w:val="none"/>
                    </w:rPr>
                  </w:pPr>
                </w:p>
              </w:tc>
              <w:tc>
                <w:tcPr>
                  <w:tcW w:w="962" w:type="dxa"/>
                  <w:noWrap w:val="0"/>
                  <w:vAlign w:val="center"/>
                </w:tcPr>
                <w:p w14:paraId="4F5EEA61">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浓度</w:t>
                  </w:r>
                  <w:r>
                    <w:rPr>
                      <w:color w:val="auto"/>
                      <w:kern w:val="0"/>
                      <w:sz w:val="21"/>
                      <w:szCs w:val="21"/>
                      <w:highlight w:val="none"/>
                      <w:lang w:bidi="ar"/>
                    </w:rPr>
                    <w:t>(mg/L)</w:t>
                  </w:r>
                </w:p>
              </w:tc>
              <w:tc>
                <w:tcPr>
                  <w:tcW w:w="1223" w:type="dxa"/>
                  <w:noWrap w:val="0"/>
                  <w:vAlign w:val="center"/>
                </w:tcPr>
                <w:p w14:paraId="3E379C7F">
                  <w:pPr>
                    <w:widowControl/>
                    <w:jc w:val="center"/>
                    <w:textAlignment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排放量</w:t>
                  </w:r>
                  <w:r>
                    <w:rPr>
                      <w:color w:val="auto"/>
                      <w:kern w:val="0"/>
                      <w:sz w:val="21"/>
                      <w:szCs w:val="21"/>
                      <w:highlight w:val="none"/>
                      <w:lang w:bidi="ar"/>
                    </w:rPr>
                    <w:t>(t/a)</w:t>
                  </w:r>
                </w:p>
              </w:tc>
            </w:tr>
            <w:tr w14:paraId="0ACFD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06" w:type="dxa"/>
                  <w:vMerge w:val="restart"/>
                  <w:noWrap w:val="0"/>
                  <w:vAlign w:val="center"/>
                </w:tcPr>
                <w:p w14:paraId="0D33654D">
                  <w:pPr>
                    <w:widowControl/>
                    <w:jc w:val="center"/>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生活污水</w:t>
                  </w:r>
                </w:p>
              </w:tc>
              <w:tc>
                <w:tcPr>
                  <w:tcW w:w="944" w:type="dxa"/>
                  <w:vMerge w:val="restart"/>
                  <w:noWrap w:val="0"/>
                  <w:vAlign w:val="center"/>
                </w:tcPr>
                <w:p w14:paraId="710B4DFA">
                  <w:pPr>
                    <w:widowControl/>
                    <w:jc w:val="center"/>
                    <w:textAlignment w:val="center"/>
                    <w:rPr>
                      <w:rFonts w:hint="default" w:eastAsia="宋体"/>
                      <w:sz w:val="21"/>
                      <w:szCs w:val="21"/>
                      <w:highlight w:val="none"/>
                      <w:lang w:val="en-US" w:eastAsia="zh-CN"/>
                    </w:rPr>
                  </w:pPr>
                  <w:r>
                    <w:rPr>
                      <w:rFonts w:hint="eastAsia"/>
                      <w:sz w:val="21"/>
                      <w:szCs w:val="21"/>
                      <w:highlight w:val="none"/>
                      <w:lang w:val="en-US" w:eastAsia="zh-CN"/>
                    </w:rPr>
                    <w:t>438</w:t>
                  </w:r>
                </w:p>
              </w:tc>
              <w:tc>
                <w:tcPr>
                  <w:tcW w:w="950" w:type="dxa"/>
                  <w:noWrap w:val="0"/>
                  <w:vAlign w:val="center"/>
                </w:tcPr>
                <w:p w14:paraId="065A3980">
                  <w:pPr>
                    <w:widowControl/>
                    <w:jc w:val="center"/>
                    <w:textAlignment w:val="center"/>
                    <w:rPr>
                      <w:sz w:val="21"/>
                      <w:szCs w:val="21"/>
                      <w:highlight w:val="none"/>
                    </w:rPr>
                  </w:pPr>
                  <w:r>
                    <w:rPr>
                      <w:kern w:val="0"/>
                      <w:sz w:val="21"/>
                      <w:szCs w:val="21"/>
                      <w:highlight w:val="none"/>
                      <w:lang w:bidi="ar"/>
                    </w:rPr>
                    <w:t>COD</w:t>
                  </w:r>
                </w:p>
              </w:tc>
              <w:tc>
                <w:tcPr>
                  <w:tcW w:w="952" w:type="dxa"/>
                  <w:noWrap w:val="0"/>
                  <w:vAlign w:val="center"/>
                </w:tcPr>
                <w:p w14:paraId="2FCAA4C6">
                  <w:pPr>
                    <w:widowControl/>
                    <w:jc w:val="center"/>
                    <w:textAlignment w:val="center"/>
                    <w:rPr>
                      <w:sz w:val="21"/>
                      <w:szCs w:val="21"/>
                      <w:highlight w:val="none"/>
                    </w:rPr>
                  </w:pPr>
                  <w:r>
                    <w:rPr>
                      <w:kern w:val="0"/>
                      <w:sz w:val="21"/>
                      <w:szCs w:val="21"/>
                      <w:highlight w:val="none"/>
                      <w:lang w:bidi="ar"/>
                    </w:rPr>
                    <w:t>300</w:t>
                  </w:r>
                </w:p>
              </w:tc>
              <w:tc>
                <w:tcPr>
                  <w:tcW w:w="1022" w:type="dxa"/>
                  <w:noWrap w:val="0"/>
                  <w:vAlign w:val="center"/>
                </w:tcPr>
                <w:p w14:paraId="42A0D559">
                  <w:pPr>
                    <w:keepNext w:val="0"/>
                    <w:keepLines w:val="0"/>
                    <w:widowControl/>
                    <w:suppressLineNumbers w:val="0"/>
                    <w:jc w:val="center"/>
                    <w:textAlignment w:val="center"/>
                    <w:rPr>
                      <w:rFonts w:hint="default"/>
                      <w:sz w:val="21"/>
                      <w:szCs w:val="21"/>
                      <w:highlight w:val="none"/>
                      <w:lang w:val="en-US"/>
                    </w:rPr>
                  </w:pPr>
                  <w:r>
                    <w:rPr>
                      <w:rFonts w:hint="default" w:ascii="Times New Roman" w:hAnsi="Times New Roman" w:eastAsia="宋体" w:cs="Times New Roman"/>
                      <w:i w:val="0"/>
                      <w:iCs w:val="0"/>
                      <w:color w:val="000000"/>
                      <w:kern w:val="0"/>
                      <w:sz w:val="21"/>
                      <w:szCs w:val="21"/>
                      <w:highlight w:val="none"/>
                      <w:u w:val="none"/>
                      <w:lang w:val="en-US" w:eastAsia="zh-CN" w:bidi="ar"/>
                    </w:rPr>
                    <w:t>0.116</w:t>
                  </w:r>
                  <w:r>
                    <w:rPr>
                      <w:rFonts w:hint="eastAsia" w:cs="Times New Roman"/>
                      <w:i w:val="0"/>
                      <w:iCs w:val="0"/>
                      <w:color w:val="000000"/>
                      <w:kern w:val="0"/>
                      <w:sz w:val="21"/>
                      <w:szCs w:val="21"/>
                      <w:highlight w:val="none"/>
                      <w:u w:val="none"/>
                      <w:lang w:val="en-US" w:eastAsia="zh-CN" w:bidi="ar"/>
                    </w:rPr>
                    <w:t>5</w:t>
                  </w:r>
                </w:p>
              </w:tc>
              <w:tc>
                <w:tcPr>
                  <w:tcW w:w="911" w:type="dxa"/>
                  <w:vMerge w:val="restart"/>
                  <w:noWrap w:val="0"/>
                  <w:vAlign w:val="center"/>
                </w:tcPr>
                <w:p w14:paraId="4BAFEF08">
                  <w:pPr>
                    <w:widowControl/>
                    <w:jc w:val="center"/>
                    <w:textAlignment w:val="center"/>
                    <w:rPr>
                      <w:rFonts w:hint="eastAsia" w:ascii="宋体" w:hAnsi="宋体" w:cs="宋体"/>
                      <w:sz w:val="21"/>
                      <w:szCs w:val="21"/>
                      <w:highlight w:val="none"/>
                    </w:rPr>
                  </w:pPr>
                  <w:r>
                    <w:rPr>
                      <w:rFonts w:hint="eastAsia"/>
                      <w:spacing w:val="-3"/>
                      <w:sz w:val="21"/>
                      <w:szCs w:val="21"/>
                      <w:highlight w:val="none"/>
                    </w:rPr>
                    <w:t>新集</w:t>
                  </w:r>
                  <w:r>
                    <w:rPr>
                      <w:rFonts w:hint="eastAsia"/>
                      <w:spacing w:val="-3"/>
                      <w:sz w:val="21"/>
                      <w:szCs w:val="21"/>
                      <w:highlight w:val="none"/>
                      <w:lang w:val="en-US" w:eastAsia="zh-CN"/>
                    </w:rPr>
                    <w:t>一</w:t>
                  </w:r>
                  <w:r>
                    <w:rPr>
                      <w:rFonts w:hint="eastAsia"/>
                      <w:spacing w:val="-3"/>
                      <w:sz w:val="21"/>
                      <w:szCs w:val="21"/>
                      <w:highlight w:val="none"/>
                    </w:rPr>
                    <w:t>矿</w:t>
                  </w:r>
                  <w:r>
                    <w:rPr>
                      <w:rFonts w:hint="eastAsia"/>
                      <w:spacing w:val="-3"/>
                      <w:sz w:val="21"/>
                      <w:szCs w:val="21"/>
                      <w:highlight w:val="none"/>
                      <w:lang w:val="en-US" w:eastAsia="zh-CN"/>
                    </w:rPr>
                    <w:t>生活</w:t>
                  </w:r>
                  <w:r>
                    <w:rPr>
                      <w:rFonts w:hint="eastAsia" w:ascii="宋体" w:hAnsi="宋体" w:cs="宋体"/>
                      <w:kern w:val="0"/>
                      <w:sz w:val="21"/>
                      <w:szCs w:val="21"/>
                      <w:highlight w:val="none"/>
                      <w:lang w:bidi="ar"/>
                    </w:rPr>
                    <w:t>污水处理站</w:t>
                  </w:r>
                </w:p>
              </w:tc>
              <w:tc>
                <w:tcPr>
                  <w:tcW w:w="962" w:type="dxa"/>
                  <w:noWrap w:val="0"/>
                  <w:vAlign w:val="center"/>
                </w:tcPr>
                <w:p w14:paraId="5B706A59">
                  <w:pPr>
                    <w:widowControl/>
                    <w:jc w:val="center"/>
                    <w:textAlignment w:val="center"/>
                    <w:rPr>
                      <w:rFonts w:hint="default" w:eastAsia="宋体"/>
                      <w:sz w:val="21"/>
                      <w:szCs w:val="21"/>
                      <w:highlight w:val="none"/>
                      <w:lang w:val="en-US" w:eastAsia="zh-CN"/>
                    </w:rPr>
                  </w:pPr>
                  <w:r>
                    <w:rPr>
                      <w:rFonts w:hint="eastAsia"/>
                      <w:kern w:val="0"/>
                      <w:sz w:val="21"/>
                      <w:szCs w:val="21"/>
                      <w:highlight w:val="none"/>
                      <w:lang w:val="en-US" w:eastAsia="zh-CN" w:bidi="ar"/>
                    </w:rPr>
                    <w:t>100</w:t>
                  </w:r>
                </w:p>
              </w:tc>
              <w:tc>
                <w:tcPr>
                  <w:tcW w:w="1223" w:type="dxa"/>
                  <w:noWrap w:val="0"/>
                  <w:vAlign w:val="center"/>
                </w:tcPr>
                <w:p w14:paraId="3CEE6CE5">
                  <w:pPr>
                    <w:keepNext w:val="0"/>
                    <w:keepLines w:val="0"/>
                    <w:widowControl/>
                    <w:suppressLineNumbers w:val="0"/>
                    <w:jc w:val="center"/>
                    <w:textAlignment w:val="center"/>
                    <w:rPr>
                      <w:rFonts w:hint="default"/>
                      <w:sz w:val="21"/>
                      <w:szCs w:val="21"/>
                      <w:highlight w:val="none"/>
                      <w:lang w:val="en-US"/>
                    </w:rPr>
                  </w:pPr>
                  <w:r>
                    <w:rPr>
                      <w:rFonts w:hint="default" w:ascii="Times New Roman" w:hAnsi="Times New Roman" w:eastAsia="宋体" w:cs="Times New Roman"/>
                      <w:i w:val="0"/>
                      <w:iCs w:val="0"/>
                      <w:color w:val="000000"/>
                      <w:kern w:val="0"/>
                      <w:sz w:val="21"/>
                      <w:szCs w:val="21"/>
                      <w:highlight w:val="none"/>
                      <w:u w:val="none"/>
                      <w:lang w:val="en-US" w:eastAsia="zh-CN" w:bidi="ar"/>
                    </w:rPr>
                    <w:t>0.038</w:t>
                  </w:r>
                  <w:r>
                    <w:rPr>
                      <w:rFonts w:hint="eastAsia" w:cs="Times New Roman"/>
                      <w:i w:val="0"/>
                      <w:iCs w:val="0"/>
                      <w:color w:val="000000"/>
                      <w:kern w:val="0"/>
                      <w:sz w:val="21"/>
                      <w:szCs w:val="21"/>
                      <w:highlight w:val="none"/>
                      <w:u w:val="none"/>
                      <w:lang w:val="en-US" w:eastAsia="zh-CN" w:bidi="ar"/>
                    </w:rPr>
                    <w:t>8</w:t>
                  </w:r>
                </w:p>
              </w:tc>
            </w:tr>
            <w:tr w14:paraId="2783BC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 w:hRule="atLeast"/>
                <w:jc w:val="center"/>
              </w:trPr>
              <w:tc>
                <w:tcPr>
                  <w:tcW w:w="906" w:type="dxa"/>
                  <w:vMerge w:val="continue"/>
                  <w:noWrap w:val="0"/>
                  <w:vAlign w:val="center"/>
                </w:tcPr>
                <w:p w14:paraId="3F0D1AC5">
                  <w:pPr>
                    <w:jc w:val="center"/>
                    <w:rPr>
                      <w:rFonts w:hint="eastAsia" w:ascii="宋体" w:hAnsi="宋体" w:cs="宋体"/>
                      <w:sz w:val="21"/>
                      <w:szCs w:val="21"/>
                      <w:highlight w:val="none"/>
                    </w:rPr>
                  </w:pPr>
                </w:p>
              </w:tc>
              <w:tc>
                <w:tcPr>
                  <w:tcW w:w="944" w:type="dxa"/>
                  <w:vMerge w:val="continue"/>
                  <w:noWrap w:val="0"/>
                  <w:vAlign w:val="center"/>
                </w:tcPr>
                <w:p w14:paraId="51DE7F0F">
                  <w:pPr>
                    <w:widowControl/>
                    <w:jc w:val="right"/>
                    <w:textAlignment w:val="center"/>
                    <w:rPr>
                      <w:sz w:val="21"/>
                      <w:szCs w:val="21"/>
                      <w:highlight w:val="none"/>
                    </w:rPr>
                  </w:pPr>
                </w:p>
              </w:tc>
              <w:tc>
                <w:tcPr>
                  <w:tcW w:w="950" w:type="dxa"/>
                  <w:noWrap w:val="0"/>
                  <w:vAlign w:val="center"/>
                </w:tcPr>
                <w:p w14:paraId="09B620B6">
                  <w:pPr>
                    <w:widowControl/>
                    <w:jc w:val="center"/>
                    <w:textAlignment w:val="center"/>
                    <w:rPr>
                      <w:sz w:val="21"/>
                      <w:szCs w:val="21"/>
                      <w:highlight w:val="none"/>
                    </w:rPr>
                  </w:pPr>
                  <w:r>
                    <w:rPr>
                      <w:kern w:val="0"/>
                      <w:sz w:val="21"/>
                      <w:szCs w:val="21"/>
                      <w:highlight w:val="none"/>
                      <w:lang w:bidi="ar"/>
                    </w:rPr>
                    <w:t>BOD</w:t>
                  </w:r>
                  <w:r>
                    <w:rPr>
                      <w:kern w:val="0"/>
                      <w:sz w:val="21"/>
                      <w:szCs w:val="21"/>
                      <w:highlight w:val="none"/>
                      <w:vertAlign w:val="subscript"/>
                      <w:lang w:bidi="ar"/>
                    </w:rPr>
                    <w:t>5</w:t>
                  </w:r>
                </w:p>
              </w:tc>
              <w:tc>
                <w:tcPr>
                  <w:tcW w:w="952" w:type="dxa"/>
                  <w:noWrap w:val="0"/>
                  <w:vAlign w:val="center"/>
                </w:tcPr>
                <w:p w14:paraId="07C0E14A">
                  <w:pPr>
                    <w:widowControl/>
                    <w:jc w:val="center"/>
                    <w:textAlignment w:val="center"/>
                    <w:rPr>
                      <w:sz w:val="21"/>
                      <w:szCs w:val="21"/>
                      <w:highlight w:val="none"/>
                    </w:rPr>
                  </w:pPr>
                  <w:r>
                    <w:rPr>
                      <w:kern w:val="0"/>
                      <w:sz w:val="21"/>
                      <w:szCs w:val="21"/>
                      <w:highlight w:val="none"/>
                      <w:lang w:bidi="ar"/>
                    </w:rPr>
                    <w:t>150</w:t>
                  </w:r>
                </w:p>
              </w:tc>
              <w:tc>
                <w:tcPr>
                  <w:tcW w:w="1022" w:type="dxa"/>
                  <w:noWrap w:val="0"/>
                  <w:vAlign w:val="center"/>
                </w:tcPr>
                <w:p w14:paraId="347598ED">
                  <w:pPr>
                    <w:keepNext w:val="0"/>
                    <w:keepLines w:val="0"/>
                    <w:widowControl/>
                    <w:suppressLineNumbers w:val="0"/>
                    <w:jc w:val="center"/>
                    <w:textAlignment w:val="center"/>
                    <w:rPr>
                      <w:rFonts w:hint="default"/>
                      <w:sz w:val="21"/>
                      <w:szCs w:val="21"/>
                      <w:highlight w:val="none"/>
                      <w:lang w:val="en-US"/>
                    </w:rPr>
                  </w:pPr>
                  <w:r>
                    <w:rPr>
                      <w:rFonts w:hint="default" w:ascii="Times New Roman" w:hAnsi="Times New Roman" w:eastAsia="宋体" w:cs="Times New Roman"/>
                      <w:i w:val="0"/>
                      <w:iCs w:val="0"/>
                      <w:color w:val="000000"/>
                      <w:kern w:val="0"/>
                      <w:sz w:val="21"/>
                      <w:szCs w:val="21"/>
                      <w:highlight w:val="none"/>
                      <w:u w:val="none"/>
                      <w:lang w:val="en-US" w:eastAsia="zh-CN" w:bidi="ar"/>
                    </w:rPr>
                    <w:t>0.058</w:t>
                  </w:r>
                  <w:r>
                    <w:rPr>
                      <w:rFonts w:hint="eastAsia" w:cs="Times New Roman"/>
                      <w:i w:val="0"/>
                      <w:iCs w:val="0"/>
                      <w:color w:val="000000"/>
                      <w:kern w:val="0"/>
                      <w:sz w:val="21"/>
                      <w:szCs w:val="21"/>
                      <w:highlight w:val="none"/>
                      <w:u w:val="none"/>
                      <w:lang w:val="en-US" w:eastAsia="zh-CN" w:bidi="ar"/>
                    </w:rPr>
                    <w:t>2</w:t>
                  </w:r>
                </w:p>
              </w:tc>
              <w:tc>
                <w:tcPr>
                  <w:tcW w:w="911" w:type="dxa"/>
                  <w:vMerge w:val="continue"/>
                  <w:noWrap w:val="0"/>
                  <w:vAlign w:val="center"/>
                </w:tcPr>
                <w:p w14:paraId="6CA2D07C">
                  <w:pPr>
                    <w:jc w:val="center"/>
                    <w:rPr>
                      <w:rFonts w:hint="eastAsia" w:ascii="宋体" w:hAnsi="宋体" w:cs="宋体"/>
                      <w:sz w:val="21"/>
                      <w:szCs w:val="21"/>
                      <w:highlight w:val="none"/>
                    </w:rPr>
                  </w:pPr>
                </w:p>
              </w:tc>
              <w:tc>
                <w:tcPr>
                  <w:tcW w:w="962" w:type="dxa"/>
                  <w:noWrap w:val="0"/>
                  <w:vAlign w:val="center"/>
                </w:tcPr>
                <w:p w14:paraId="7C03C891">
                  <w:pPr>
                    <w:widowControl/>
                    <w:jc w:val="center"/>
                    <w:textAlignment w:val="center"/>
                    <w:rPr>
                      <w:rFonts w:hint="default" w:eastAsia="宋体"/>
                      <w:sz w:val="21"/>
                      <w:szCs w:val="21"/>
                      <w:highlight w:val="none"/>
                      <w:lang w:val="en-US" w:eastAsia="zh-CN"/>
                    </w:rPr>
                  </w:pPr>
                  <w:r>
                    <w:rPr>
                      <w:rFonts w:hint="eastAsia"/>
                      <w:kern w:val="0"/>
                      <w:sz w:val="21"/>
                      <w:szCs w:val="21"/>
                      <w:highlight w:val="none"/>
                      <w:lang w:val="en-US" w:eastAsia="zh-CN" w:bidi="ar"/>
                    </w:rPr>
                    <w:t>20</w:t>
                  </w:r>
                </w:p>
              </w:tc>
              <w:tc>
                <w:tcPr>
                  <w:tcW w:w="1223" w:type="dxa"/>
                  <w:noWrap w:val="0"/>
                  <w:vAlign w:val="center"/>
                </w:tcPr>
                <w:p w14:paraId="23BC9492">
                  <w:pPr>
                    <w:keepNext w:val="0"/>
                    <w:keepLines w:val="0"/>
                    <w:widowControl/>
                    <w:suppressLineNumbers w:val="0"/>
                    <w:jc w:val="center"/>
                    <w:textAlignment w:val="center"/>
                    <w:rPr>
                      <w:rFonts w:hint="default"/>
                      <w:sz w:val="21"/>
                      <w:szCs w:val="21"/>
                      <w:highlight w:val="none"/>
                      <w:lang w:val="en-US"/>
                    </w:rPr>
                  </w:pPr>
                  <w:r>
                    <w:rPr>
                      <w:rFonts w:hint="default" w:ascii="Times New Roman" w:hAnsi="Times New Roman" w:eastAsia="宋体" w:cs="Times New Roman"/>
                      <w:i w:val="0"/>
                      <w:iCs w:val="0"/>
                      <w:color w:val="000000"/>
                      <w:kern w:val="0"/>
                      <w:sz w:val="21"/>
                      <w:szCs w:val="21"/>
                      <w:highlight w:val="none"/>
                      <w:u w:val="none"/>
                      <w:lang w:val="en-US" w:eastAsia="zh-CN" w:bidi="ar"/>
                    </w:rPr>
                    <w:t>0.007</w:t>
                  </w:r>
                  <w:r>
                    <w:rPr>
                      <w:rFonts w:hint="eastAsia" w:cs="Times New Roman"/>
                      <w:i w:val="0"/>
                      <w:iCs w:val="0"/>
                      <w:color w:val="000000"/>
                      <w:kern w:val="0"/>
                      <w:sz w:val="21"/>
                      <w:szCs w:val="21"/>
                      <w:highlight w:val="none"/>
                      <w:u w:val="none"/>
                      <w:lang w:val="en-US" w:eastAsia="zh-CN" w:bidi="ar"/>
                    </w:rPr>
                    <w:t>7</w:t>
                  </w:r>
                </w:p>
              </w:tc>
            </w:tr>
            <w:tr w14:paraId="16128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06" w:type="dxa"/>
                  <w:vMerge w:val="continue"/>
                  <w:noWrap w:val="0"/>
                  <w:vAlign w:val="center"/>
                </w:tcPr>
                <w:p w14:paraId="394427D4">
                  <w:pPr>
                    <w:jc w:val="center"/>
                    <w:rPr>
                      <w:rFonts w:hint="eastAsia" w:ascii="宋体" w:hAnsi="宋体" w:cs="宋体"/>
                      <w:sz w:val="21"/>
                      <w:szCs w:val="21"/>
                      <w:highlight w:val="none"/>
                    </w:rPr>
                  </w:pPr>
                </w:p>
              </w:tc>
              <w:tc>
                <w:tcPr>
                  <w:tcW w:w="944" w:type="dxa"/>
                  <w:vMerge w:val="continue"/>
                  <w:noWrap w:val="0"/>
                  <w:vAlign w:val="center"/>
                </w:tcPr>
                <w:p w14:paraId="67EB4737">
                  <w:pPr>
                    <w:widowControl/>
                    <w:jc w:val="right"/>
                    <w:textAlignment w:val="center"/>
                    <w:rPr>
                      <w:sz w:val="21"/>
                      <w:szCs w:val="21"/>
                      <w:highlight w:val="none"/>
                    </w:rPr>
                  </w:pPr>
                </w:p>
              </w:tc>
              <w:tc>
                <w:tcPr>
                  <w:tcW w:w="950" w:type="dxa"/>
                  <w:noWrap w:val="0"/>
                  <w:vAlign w:val="center"/>
                </w:tcPr>
                <w:p w14:paraId="77042CCB">
                  <w:pPr>
                    <w:widowControl/>
                    <w:jc w:val="center"/>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氨氮</w:t>
                  </w:r>
                </w:p>
              </w:tc>
              <w:tc>
                <w:tcPr>
                  <w:tcW w:w="952" w:type="dxa"/>
                  <w:noWrap w:val="0"/>
                  <w:vAlign w:val="center"/>
                </w:tcPr>
                <w:p w14:paraId="7E8090E4">
                  <w:pPr>
                    <w:widowControl/>
                    <w:jc w:val="center"/>
                    <w:textAlignment w:val="center"/>
                    <w:rPr>
                      <w:sz w:val="21"/>
                      <w:szCs w:val="21"/>
                      <w:highlight w:val="none"/>
                    </w:rPr>
                  </w:pPr>
                  <w:r>
                    <w:rPr>
                      <w:kern w:val="0"/>
                      <w:sz w:val="21"/>
                      <w:szCs w:val="21"/>
                      <w:highlight w:val="none"/>
                      <w:lang w:bidi="ar"/>
                    </w:rPr>
                    <w:t>20</w:t>
                  </w:r>
                </w:p>
              </w:tc>
              <w:tc>
                <w:tcPr>
                  <w:tcW w:w="1022" w:type="dxa"/>
                  <w:noWrap w:val="0"/>
                  <w:vAlign w:val="center"/>
                </w:tcPr>
                <w:p w14:paraId="571A8AF2">
                  <w:pPr>
                    <w:keepNext w:val="0"/>
                    <w:keepLines w:val="0"/>
                    <w:widowControl/>
                    <w:suppressLineNumbers w:val="0"/>
                    <w:jc w:val="center"/>
                    <w:textAlignment w:val="center"/>
                    <w:rPr>
                      <w:rFonts w:hint="default"/>
                      <w:sz w:val="21"/>
                      <w:szCs w:val="21"/>
                      <w:highlight w:val="none"/>
                      <w:lang w:val="en-US"/>
                    </w:rPr>
                  </w:pPr>
                  <w:r>
                    <w:rPr>
                      <w:rFonts w:hint="default" w:ascii="Times New Roman" w:hAnsi="Times New Roman" w:eastAsia="宋体" w:cs="Times New Roman"/>
                      <w:i w:val="0"/>
                      <w:iCs w:val="0"/>
                      <w:color w:val="000000"/>
                      <w:kern w:val="0"/>
                      <w:sz w:val="21"/>
                      <w:szCs w:val="21"/>
                      <w:highlight w:val="none"/>
                      <w:u w:val="none"/>
                      <w:lang w:val="en-US" w:eastAsia="zh-CN" w:bidi="ar"/>
                    </w:rPr>
                    <w:t>0.007</w:t>
                  </w:r>
                  <w:r>
                    <w:rPr>
                      <w:rFonts w:hint="eastAsia" w:cs="Times New Roman"/>
                      <w:i w:val="0"/>
                      <w:iCs w:val="0"/>
                      <w:color w:val="000000"/>
                      <w:kern w:val="0"/>
                      <w:sz w:val="21"/>
                      <w:szCs w:val="21"/>
                      <w:highlight w:val="none"/>
                      <w:u w:val="none"/>
                      <w:lang w:val="en-US" w:eastAsia="zh-CN" w:bidi="ar"/>
                    </w:rPr>
                    <w:t>7</w:t>
                  </w:r>
                </w:p>
              </w:tc>
              <w:tc>
                <w:tcPr>
                  <w:tcW w:w="911" w:type="dxa"/>
                  <w:vMerge w:val="continue"/>
                  <w:noWrap w:val="0"/>
                  <w:vAlign w:val="center"/>
                </w:tcPr>
                <w:p w14:paraId="65CCEE51">
                  <w:pPr>
                    <w:jc w:val="center"/>
                    <w:rPr>
                      <w:rFonts w:hint="eastAsia" w:ascii="宋体" w:hAnsi="宋体" w:cs="宋体"/>
                      <w:sz w:val="21"/>
                      <w:szCs w:val="21"/>
                      <w:highlight w:val="none"/>
                    </w:rPr>
                  </w:pPr>
                </w:p>
              </w:tc>
              <w:tc>
                <w:tcPr>
                  <w:tcW w:w="962" w:type="dxa"/>
                  <w:noWrap w:val="0"/>
                  <w:vAlign w:val="center"/>
                </w:tcPr>
                <w:p w14:paraId="46890FA6">
                  <w:pPr>
                    <w:widowControl/>
                    <w:jc w:val="center"/>
                    <w:textAlignment w:val="center"/>
                    <w:rPr>
                      <w:sz w:val="21"/>
                      <w:szCs w:val="21"/>
                      <w:highlight w:val="none"/>
                    </w:rPr>
                  </w:pPr>
                  <w:r>
                    <w:rPr>
                      <w:rFonts w:hint="eastAsia"/>
                      <w:kern w:val="0"/>
                      <w:sz w:val="21"/>
                      <w:szCs w:val="21"/>
                      <w:highlight w:val="none"/>
                      <w:lang w:val="en-US" w:eastAsia="zh-CN" w:bidi="ar"/>
                    </w:rPr>
                    <w:t>1</w:t>
                  </w:r>
                  <w:r>
                    <w:rPr>
                      <w:kern w:val="0"/>
                      <w:sz w:val="21"/>
                      <w:szCs w:val="21"/>
                      <w:highlight w:val="none"/>
                      <w:lang w:bidi="ar"/>
                    </w:rPr>
                    <w:t>5</w:t>
                  </w:r>
                </w:p>
              </w:tc>
              <w:tc>
                <w:tcPr>
                  <w:tcW w:w="1223" w:type="dxa"/>
                  <w:noWrap w:val="0"/>
                  <w:vAlign w:val="center"/>
                </w:tcPr>
                <w:p w14:paraId="5DD6258D">
                  <w:pPr>
                    <w:keepNext w:val="0"/>
                    <w:keepLines w:val="0"/>
                    <w:widowControl/>
                    <w:suppressLineNumbers w:val="0"/>
                    <w:jc w:val="center"/>
                    <w:textAlignment w:val="center"/>
                    <w:rPr>
                      <w:rFonts w:hint="default"/>
                      <w:sz w:val="21"/>
                      <w:szCs w:val="21"/>
                      <w:highlight w:val="none"/>
                      <w:lang w:val="en-US"/>
                    </w:rPr>
                  </w:pPr>
                  <w:r>
                    <w:rPr>
                      <w:rFonts w:hint="default" w:ascii="Times New Roman" w:hAnsi="Times New Roman" w:eastAsia="宋体" w:cs="Times New Roman"/>
                      <w:i w:val="0"/>
                      <w:iCs w:val="0"/>
                      <w:color w:val="000000"/>
                      <w:kern w:val="0"/>
                      <w:sz w:val="21"/>
                      <w:szCs w:val="21"/>
                      <w:highlight w:val="none"/>
                      <w:u w:val="none"/>
                      <w:lang w:val="en-US" w:eastAsia="zh-CN" w:bidi="ar"/>
                    </w:rPr>
                    <w:t>0.005</w:t>
                  </w:r>
                  <w:r>
                    <w:rPr>
                      <w:rFonts w:hint="eastAsia" w:cs="Times New Roman"/>
                      <w:i w:val="0"/>
                      <w:iCs w:val="0"/>
                      <w:color w:val="000000"/>
                      <w:kern w:val="0"/>
                      <w:sz w:val="21"/>
                      <w:szCs w:val="21"/>
                      <w:highlight w:val="none"/>
                      <w:u w:val="none"/>
                      <w:lang w:val="en-US" w:eastAsia="zh-CN" w:bidi="ar"/>
                    </w:rPr>
                    <w:t>7</w:t>
                  </w:r>
                </w:p>
              </w:tc>
            </w:tr>
            <w:tr w14:paraId="6106A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06" w:type="dxa"/>
                  <w:vMerge w:val="continue"/>
                  <w:noWrap w:val="0"/>
                  <w:vAlign w:val="center"/>
                </w:tcPr>
                <w:p w14:paraId="77A2FEC3">
                  <w:pPr>
                    <w:jc w:val="center"/>
                    <w:rPr>
                      <w:rFonts w:hint="eastAsia" w:ascii="宋体" w:hAnsi="宋体" w:cs="宋体"/>
                      <w:sz w:val="21"/>
                      <w:szCs w:val="21"/>
                      <w:highlight w:val="none"/>
                    </w:rPr>
                  </w:pPr>
                </w:p>
              </w:tc>
              <w:tc>
                <w:tcPr>
                  <w:tcW w:w="944" w:type="dxa"/>
                  <w:vMerge w:val="continue"/>
                  <w:noWrap w:val="0"/>
                  <w:vAlign w:val="center"/>
                </w:tcPr>
                <w:p w14:paraId="094C8E5E">
                  <w:pPr>
                    <w:widowControl/>
                    <w:jc w:val="right"/>
                    <w:textAlignment w:val="center"/>
                    <w:rPr>
                      <w:sz w:val="21"/>
                      <w:szCs w:val="21"/>
                      <w:highlight w:val="none"/>
                    </w:rPr>
                  </w:pPr>
                </w:p>
              </w:tc>
              <w:tc>
                <w:tcPr>
                  <w:tcW w:w="950" w:type="dxa"/>
                  <w:noWrap w:val="0"/>
                  <w:vAlign w:val="center"/>
                </w:tcPr>
                <w:p w14:paraId="22A185C1">
                  <w:pPr>
                    <w:widowControl/>
                    <w:jc w:val="center"/>
                    <w:textAlignment w:val="center"/>
                    <w:rPr>
                      <w:rFonts w:hint="default" w:ascii="宋体" w:hAnsi="宋体" w:eastAsia="宋体" w:cs="宋体"/>
                      <w:sz w:val="21"/>
                      <w:szCs w:val="21"/>
                      <w:highlight w:val="none"/>
                      <w:lang w:val="en-US" w:eastAsia="zh-CN"/>
                    </w:rPr>
                  </w:pPr>
                  <w:r>
                    <w:rPr>
                      <w:rFonts w:hint="eastAsia" w:ascii="宋体" w:hAnsi="宋体" w:cs="宋体"/>
                      <w:kern w:val="0"/>
                      <w:sz w:val="21"/>
                      <w:szCs w:val="21"/>
                      <w:highlight w:val="none"/>
                      <w:lang w:val="en-US" w:eastAsia="zh-CN" w:bidi="ar"/>
                    </w:rPr>
                    <w:t>SS</w:t>
                  </w:r>
                </w:p>
              </w:tc>
              <w:tc>
                <w:tcPr>
                  <w:tcW w:w="952" w:type="dxa"/>
                  <w:noWrap w:val="0"/>
                  <w:vAlign w:val="center"/>
                </w:tcPr>
                <w:p w14:paraId="60BCBC2D">
                  <w:pPr>
                    <w:widowControl/>
                    <w:jc w:val="center"/>
                    <w:textAlignment w:val="center"/>
                    <w:rPr>
                      <w:sz w:val="21"/>
                      <w:szCs w:val="21"/>
                      <w:highlight w:val="none"/>
                    </w:rPr>
                  </w:pPr>
                  <w:r>
                    <w:rPr>
                      <w:rFonts w:hint="eastAsia"/>
                      <w:kern w:val="0"/>
                      <w:sz w:val="21"/>
                      <w:szCs w:val="21"/>
                      <w:highlight w:val="none"/>
                      <w:lang w:val="en-US" w:eastAsia="zh-CN" w:bidi="ar"/>
                    </w:rPr>
                    <w:t>1</w:t>
                  </w:r>
                  <w:r>
                    <w:rPr>
                      <w:kern w:val="0"/>
                      <w:sz w:val="21"/>
                      <w:szCs w:val="21"/>
                      <w:highlight w:val="none"/>
                      <w:lang w:bidi="ar"/>
                    </w:rPr>
                    <w:t>50</w:t>
                  </w:r>
                </w:p>
              </w:tc>
              <w:tc>
                <w:tcPr>
                  <w:tcW w:w="1022" w:type="dxa"/>
                  <w:noWrap w:val="0"/>
                  <w:vAlign w:val="center"/>
                </w:tcPr>
                <w:p w14:paraId="7DAE3B58">
                  <w:pPr>
                    <w:keepNext w:val="0"/>
                    <w:keepLines w:val="0"/>
                    <w:widowControl/>
                    <w:suppressLineNumbers w:val="0"/>
                    <w:jc w:val="center"/>
                    <w:textAlignment w:val="center"/>
                    <w:rPr>
                      <w:sz w:val="21"/>
                      <w:szCs w:val="21"/>
                      <w:highlight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0.058</w:t>
                  </w:r>
                  <w:r>
                    <w:rPr>
                      <w:rFonts w:hint="eastAsia" w:cs="Times New Roman"/>
                      <w:i w:val="0"/>
                      <w:iCs w:val="0"/>
                      <w:color w:val="000000"/>
                      <w:kern w:val="0"/>
                      <w:sz w:val="21"/>
                      <w:szCs w:val="21"/>
                      <w:highlight w:val="none"/>
                      <w:u w:val="none"/>
                      <w:lang w:val="en-US" w:eastAsia="zh-CN" w:bidi="ar"/>
                    </w:rPr>
                    <w:t>2</w:t>
                  </w:r>
                  <w:r>
                    <w:rPr>
                      <w:rFonts w:hint="default" w:ascii="Times New Roman" w:hAnsi="Times New Roman" w:eastAsia="宋体" w:cs="Times New Roman"/>
                      <w:i w:val="0"/>
                      <w:iCs w:val="0"/>
                      <w:color w:val="000000"/>
                      <w:kern w:val="0"/>
                      <w:sz w:val="21"/>
                      <w:szCs w:val="21"/>
                      <w:highlight w:val="none"/>
                      <w:u w:val="none"/>
                      <w:lang w:val="en-US" w:eastAsia="zh-CN" w:bidi="ar"/>
                    </w:rPr>
                    <w:t xml:space="preserve"> </w:t>
                  </w:r>
                </w:p>
              </w:tc>
              <w:tc>
                <w:tcPr>
                  <w:tcW w:w="911" w:type="dxa"/>
                  <w:vMerge w:val="continue"/>
                  <w:noWrap w:val="0"/>
                  <w:vAlign w:val="center"/>
                </w:tcPr>
                <w:p w14:paraId="0BA61C8E">
                  <w:pPr>
                    <w:jc w:val="center"/>
                    <w:rPr>
                      <w:rFonts w:hint="eastAsia" w:ascii="宋体" w:hAnsi="宋体" w:cs="宋体"/>
                      <w:sz w:val="21"/>
                      <w:szCs w:val="21"/>
                      <w:highlight w:val="none"/>
                    </w:rPr>
                  </w:pPr>
                </w:p>
              </w:tc>
              <w:tc>
                <w:tcPr>
                  <w:tcW w:w="962" w:type="dxa"/>
                  <w:noWrap w:val="0"/>
                  <w:vAlign w:val="center"/>
                </w:tcPr>
                <w:p w14:paraId="1CE58B5F">
                  <w:pPr>
                    <w:widowControl/>
                    <w:jc w:val="center"/>
                    <w:textAlignment w:val="center"/>
                    <w:rPr>
                      <w:rFonts w:hint="default" w:eastAsia="宋体"/>
                      <w:sz w:val="21"/>
                      <w:szCs w:val="21"/>
                      <w:highlight w:val="none"/>
                      <w:lang w:val="en-US" w:eastAsia="zh-CN"/>
                    </w:rPr>
                  </w:pPr>
                  <w:r>
                    <w:rPr>
                      <w:rFonts w:hint="eastAsia"/>
                      <w:kern w:val="0"/>
                      <w:sz w:val="21"/>
                      <w:szCs w:val="21"/>
                      <w:highlight w:val="none"/>
                      <w:lang w:val="en-US" w:eastAsia="zh-CN" w:bidi="ar"/>
                    </w:rPr>
                    <w:t>70</w:t>
                  </w:r>
                </w:p>
              </w:tc>
              <w:tc>
                <w:tcPr>
                  <w:tcW w:w="1223" w:type="dxa"/>
                  <w:noWrap w:val="0"/>
                  <w:vAlign w:val="center"/>
                </w:tcPr>
                <w:p w14:paraId="400FBB3C">
                  <w:pPr>
                    <w:keepNext w:val="0"/>
                    <w:keepLines w:val="0"/>
                    <w:widowControl/>
                    <w:suppressLineNumbers w:val="0"/>
                    <w:jc w:val="center"/>
                    <w:textAlignment w:val="center"/>
                    <w:rPr>
                      <w:rFonts w:hint="default"/>
                      <w:sz w:val="21"/>
                      <w:szCs w:val="21"/>
                      <w:highlight w:val="none"/>
                      <w:lang w:val="en-US"/>
                    </w:rPr>
                  </w:pPr>
                  <w:r>
                    <w:rPr>
                      <w:rFonts w:hint="default" w:ascii="Times New Roman" w:hAnsi="Times New Roman" w:eastAsia="宋体" w:cs="Times New Roman"/>
                      <w:i w:val="0"/>
                      <w:iCs w:val="0"/>
                      <w:color w:val="000000"/>
                      <w:kern w:val="0"/>
                      <w:sz w:val="21"/>
                      <w:szCs w:val="21"/>
                      <w:highlight w:val="none"/>
                      <w:u w:val="none"/>
                      <w:lang w:val="en-US" w:eastAsia="zh-CN" w:bidi="ar"/>
                    </w:rPr>
                    <w:t>0.027</w:t>
                  </w:r>
                  <w:r>
                    <w:rPr>
                      <w:rFonts w:hint="eastAsia" w:cs="Times New Roman"/>
                      <w:i w:val="0"/>
                      <w:iCs w:val="0"/>
                      <w:color w:val="000000"/>
                      <w:kern w:val="0"/>
                      <w:sz w:val="21"/>
                      <w:szCs w:val="21"/>
                      <w:highlight w:val="none"/>
                      <w:u w:val="none"/>
                      <w:lang w:val="en-US" w:eastAsia="zh-CN" w:bidi="ar"/>
                    </w:rPr>
                    <w:t>1</w:t>
                  </w:r>
                </w:p>
              </w:tc>
            </w:tr>
            <w:tr w14:paraId="15DE6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06" w:type="dxa"/>
                  <w:vMerge w:val="continue"/>
                  <w:noWrap w:val="0"/>
                  <w:vAlign w:val="center"/>
                </w:tcPr>
                <w:p w14:paraId="74FDFDBD">
                  <w:pPr>
                    <w:jc w:val="center"/>
                    <w:rPr>
                      <w:rFonts w:hint="eastAsia" w:ascii="宋体" w:hAnsi="宋体" w:cs="宋体"/>
                      <w:sz w:val="21"/>
                      <w:szCs w:val="21"/>
                      <w:highlight w:val="none"/>
                    </w:rPr>
                  </w:pPr>
                </w:p>
              </w:tc>
              <w:tc>
                <w:tcPr>
                  <w:tcW w:w="944" w:type="dxa"/>
                  <w:vMerge w:val="continue"/>
                  <w:noWrap w:val="0"/>
                  <w:vAlign w:val="center"/>
                </w:tcPr>
                <w:p w14:paraId="53DA08CD">
                  <w:pPr>
                    <w:widowControl/>
                    <w:jc w:val="right"/>
                    <w:textAlignment w:val="center"/>
                    <w:rPr>
                      <w:sz w:val="21"/>
                      <w:szCs w:val="21"/>
                      <w:highlight w:val="none"/>
                    </w:rPr>
                  </w:pPr>
                </w:p>
              </w:tc>
              <w:tc>
                <w:tcPr>
                  <w:tcW w:w="950" w:type="dxa"/>
                  <w:noWrap w:val="0"/>
                  <w:vAlign w:val="center"/>
                </w:tcPr>
                <w:p w14:paraId="71720A97">
                  <w:pPr>
                    <w:widowControl/>
                    <w:jc w:val="center"/>
                    <w:textAlignment w:val="center"/>
                    <w:rPr>
                      <w:rFonts w:hint="default" w:ascii="宋体" w:hAnsi="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总磷</w:t>
                  </w:r>
                </w:p>
              </w:tc>
              <w:tc>
                <w:tcPr>
                  <w:tcW w:w="952" w:type="dxa"/>
                  <w:noWrap w:val="0"/>
                  <w:vAlign w:val="center"/>
                </w:tcPr>
                <w:p w14:paraId="13122082">
                  <w:pPr>
                    <w:widowControl/>
                    <w:jc w:val="center"/>
                    <w:textAlignment w:val="center"/>
                    <w:rPr>
                      <w:rFonts w:hint="default"/>
                      <w:kern w:val="0"/>
                      <w:sz w:val="21"/>
                      <w:szCs w:val="21"/>
                      <w:highlight w:val="none"/>
                      <w:lang w:val="en-US" w:eastAsia="zh-CN" w:bidi="ar"/>
                    </w:rPr>
                  </w:pPr>
                  <w:r>
                    <w:rPr>
                      <w:rFonts w:hint="eastAsia"/>
                      <w:kern w:val="0"/>
                      <w:sz w:val="21"/>
                      <w:szCs w:val="21"/>
                      <w:highlight w:val="none"/>
                      <w:lang w:val="en-US" w:eastAsia="zh-CN" w:bidi="ar"/>
                    </w:rPr>
                    <w:t>20</w:t>
                  </w:r>
                </w:p>
              </w:tc>
              <w:tc>
                <w:tcPr>
                  <w:tcW w:w="1022" w:type="dxa"/>
                  <w:noWrap w:val="0"/>
                  <w:vAlign w:val="center"/>
                </w:tcPr>
                <w:p w14:paraId="1F43A59C">
                  <w:pPr>
                    <w:keepNext w:val="0"/>
                    <w:keepLines w:val="0"/>
                    <w:widowControl/>
                    <w:suppressLineNumbers w:val="0"/>
                    <w:jc w:val="center"/>
                    <w:textAlignment w:val="center"/>
                    <w:rPr>
                      <w:rFonts w:hint="default" w:cs="Times New Roman"/>
                      <w:i w:val="0"/>
                      <w:iCs w:val="0"/>
                      <w:color w:val="000000"/>
                      <w:kern w:val="0"/>
                      <w:sz w:val="21"/>
                      <w:szCs w:val="21"/>
                      <w:highlight w:val="none"/>
                      <w:u w:val="none"/>
                      <w:lang w:val="en-US" w:eastAsia="zh-CN" w:bidi="ar"/>
                    </w:rPr>
                  </w:pPr>
                  <w:r>
                    <w:rPr>
                      <w:rFonts w:hint="eastAsia" w:cs="Times New Roman"/>
                      <w:i w:val="0"/>
                      <w:iCs w:val="0"/>
                      <w:color w:val="000000"/>
                      <w:kern w:val="0"/>
                      <w:sz w:val="21"/>
                      <w:szCs w:val="21"/>
                      <w:highlight w:val="none"/>
                      <w:u w:val="none"/>
                      <w:lang w:val="en-US" w:eastAsia="zh-CN" w:bidi="ar"/>
                    </w:rPr>
                    <w:t>0.0032</w:t>
                  </w:r>
                </w:p>
              </w:tc>
              <w:tc>
                <w:tcPr>
                  <w:tcW w:w="911" w:type="dxa"/>
                  <w:vMerge w:val="continue"/>
                  <w:noWrap w:val="0"/>
                  <w:vAlign w:val="center"/>
                </w:tcPr>
                <w:p w14:paraId="75163038">
                  <w:pPr>
                    <w:jc w:val="center"/>
                    <w:rPr>
                      <w:rFonts w:hint="eastAsia" w:ascii="宋体" w:hAnsi="宋体" w:cs="宋体"/>
                      <w:sz w:val="21"/>
                      <w:szCs w:val="21"/>
                      <w:highlight w:val="none"/>
                    </w:rPr>
                  </w:pPr>
                </w:p>
              </w:tc>
              <w:tc>
                <w:tcPr>
                  <w:tcW w:w="962" w:type="dxa"/>
                  <w:noWrap w:val="0"/>
                  <w:vAlign w:val="center"/>
                </w:tcPr>
                <w:p w14:paraId="576C6DA3">
                  <w:pPr>
                    <w:widowControl/>
                    <w:jc w:val="center"/>
                    <w:textAlignment w:val="center"/>
                    <w:rPr>
                      <w:rFonts w:hint="default"/>
                      <w:kern w:val="0"/>
                      <w:sz w:val="21"/>
                      <w:szCs w:val="21"/>
                      <w:highlight w:val="none"/>
                      <w:lang w:val="en-US" w:eastAsia="zh-CN" w:bidi="ar"/>
                    </w:rPr>
                  </w:pPr>
                  <w:r>
                    <w:rPr>
                      <w:rFonts w:hint="eastAsia"/>
                      <w:kern w:val="0"/>
                      <w:sz w:val="21"/>
                      <w:szCs w:val="21"/>
                      <w:highlight w:val="none"/>
                      <w:lang w:val="en-US" w:eastAsia="zh-CN" w:bidi="ar"/>
                    </w:rPr>
                    <w:t>/</w:t>
                  </w:r>
                </w:p>
              </w:tc>
              <w:tc>
                <w:tcPr>
                  <w:tcW w:w="1223" w:type="dxa"/>
                  <w:noWrap w:val="0"/>
                  <w:vAlign w:val="center"/>
                </w:tcPr>
                <w:p w14:paraId="25FCBB1C">
                  <w:pPr>
                    <w:keepNext w:val="0"/>
                    <w:keepLines w:val="0"/>
                    <w:widowControl/>
                    <w:suppressLineNumbers w:val="0"/>
                    <w:jc w:val="center"/>
                    <w:textAlignment w:val="center"/>
                    <w:rPr>
                      <w:rFonts w:hint="default" w:cs="Times New Roman"/>
                      <w:i w:val="0"/>
                      <w:iCs w:val="0"/>
                      <w:color w:val="000000"/>
                      <w:kern w:val="0"/>
                      <w:sz w:val="21"/>
                      <w:szCs w:val="21"/>
                      <w:highlight w:val="none"/>
                      <w:u w:val="none"/>
                      <w:lang w:val="en-US" w:eastAsia="zh-CN" w:bidi="ar"/>
                    </w:rPr>
                  </w:pPr>
                  <w:r>
                    <w:rPr>
                      <w:rFonts w:hint="eastAsia" w:cs="Times New Roman"/>
                      <w:i w:val="0"/>
                      <w:iCs w:val="0"/>
                      <w:color w:val="000000"/>
                      <w:kern w:val="0"/>
                      <w:sz w:val="21"/>
                      <w:szCs w:val="21"/>
                      <w:highlight w:val="none"/>
                      <w:u w:val="none"/>
                      <w:lang w:val="en-US" w:eastAsia="zh-CN" w:bidi="ar"/>
                    </w:rPr>
                    <w:t>0.0012</w:t>
                  </w:r>
                </w:p>
              </w:tc>
            </w:tr>
            <w:tr w14:paraId="2C339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06" w:type="dxa"/>
                  <w:vMerge w:val="continue"/>
                  <w:noWrap w:val="0"/>
                  <w:vAlign w:val="center"/>
                </w:tcPr>
                <w:p w14:paraId="151A683F">
                  <w:pPr>
                    <w:jc w:val="center"/>
                    <w:rPr>
                      <w:rFonts w:hint="eastAsia" w:ascii="宋体" w:hAnsi="宋体" w:cs="宋体"/>
                      <w:sz w:val="21"/>
                      <w:szCs w:val="21"/>
                      <w:highlight w:val="none"/>
                    </w:rPr>
                  </w:pPr>
                </w:p>
              </w:tc>
              <w:tc>
                <w:tcPr>
                  <w:tcW w:w="944" w:type="dxa"/>
                  <w:vMerge w:val="continue"/>
                  <w:noWrap w:val="0"/>
                  <w:vAlign w:val="center"/>
                </w:tcPr>
                <w:p w14:paraId="1A26D1E1">
                  <w:pPr>
                    <w:widowControl/>
                    <w:jc w:val="right"/>
                    <w:textAlignment w:val="center"/>
                    <w:rPr>
                      <w:sz w:val="21"/>
                      <w:szCs w:val="21"/>
                      <w:highlight w:val="none"/>
                    </w:rPr>
                  </w:pPr>
                </w:p>
              </w:tc>
              <w:tc>
                <w:tcPr>
                  <w:tcW w:w="950" w:type="dxa"/>
                  <w:noWrap w:val="0"/>
                  <w:vAlign w:val="center"/>
                </w:tcPr>
                <w:p w14:paraId="4CA175C5">
                  <w:pPr>
                    <w:widowControl/>
                    <w:jc w:val="center"/>
                    <w:textAlignment w:val="center"/>
                    <w:rPr>
                      <w:rFonts w:hint="default" w:ascii="宋体" w:hAnsi="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总氮</w:t>
                  </w:r>
                </w:p>
              </w:tc>
              <w:tc>
                <w:tcPr>
                  <w:tcW w:w="952" w:type="dxa"/>
                  <w:noWrap w:val="0"/>
                  <w:vAlign w:val="center"/>
                </w:tcPr>
                <w:p w14:paraId="708CDDDD">
                  <w:pPr>
                    <w:widowControl/>
                    <w:jc w:val="center"/>
                    <w:textAlignment w:val="center"/>
                    <w:rPr>
                      <w:rFonts w:hint="default"/>
                      <w:kern w:val="0"/>
                      <w:sz w:val="21"/>
                      <w:szCs w:val="21"/>
                      <w:highlight w:val="none"/>
                      <w:lang w:val="en-US" w:eastAsia="zh-CN" w:bidi="ar"/>
                    </w:rPr>
                  </w:pPr>
                  <w:r>
                    <w:rPr>
                      <w:rFonts w:hint="eastAsia"/>
                      <w:kern w:val="0"/>
                      <w:sz w:val="21"/>
                      <w:szCs w:val="21"/>
                      <w:highlight w:val="none"/>
                      <w:lang w:val="en-US" w:eastAsia="zh-CN" w:bidi="ar"/>
                    </w:rPr>
                    <w:t>20</w:t>
                  </w:r>
                </w:p>
              </w:tc>
              <w:tc>
                <w:tcPr>
                  <w:tcW w:w="1022" w:type="dxa"/>
                  <w:noWrap w:val="0"/>
                  <w:vAlign w:val="center"/>
                </w:tcPr>
                <w:p w14:paraId="7EFCD37D">
                  <w:pPr>
                    <w:keepNext w:val="0"/>
                    <w:keepLines w:val="0"/>
                    <w:widowControl/>
                    <w:suppressLineNumbers w:val="0"/>
                    <w:jc w:val="center"/>
                    <w:textAlignment w:val="center"/>
                    <w:rPr>
                      <w:rFonts w:hint="default" w:cs="Times New Roman"/>
                      <w:i w:val="0"/>
                      <w:iCs w:val="0"/>
                      <w:color w:val="000000"/>
                      <w:kern w:val="0"/>
                      <w:sz w:val="21"/>
                      <w:szCs w:val="21"/>
                      <w:highlight w:val="none"/>
                      <w:u w:val="none"/>
                      <w:lang w:val="en-US" w:eastAsia="zh-CN" w:bidi="ar"/>
                    </w:rPr>
                  </w:pPr>
                  <w:r>
                    <w:rPr>
                      <w:rFonts w:hint="eastAsia" w:cs="Times New Roman"/>
                      <w:i w:val="0"/>
                      <w:iCs w:val="0"/>
                      <w:color w:val="000000"/>
                      <w:kern w:val="0"/>
                      <w:sz w:val="21"/>
                      <w:szCs w:val="21"/>
                      <w:highlight w:val="none"/>
                      <w:u w:val="none"/>
                      <w:lang w:val="en-US" w:eastAsia="zh-CN" w:bidi="ar"/>
                    </w:rPr>
                    <w:t>0.0030</w:t>
                  </w:r>
                </w:p>
              </w:tc>
              <w:tc>
                <w:tcPr>
                  <w:tcW w:w="911" w:type="dxa"/>
                  <w:vMerge w:val="continue"/>
                  <w:noWrap w:val="0"/>
                  <w:vAlign w:val="center"/>
                </w:tcPr>
                <w:p w14:paraId="403A8CB1">
                  <w:pPr>
                    <w:jc w:val="center"/>
                    <w:rPr>
                      <w:rFonts w:hint="eastAsia" w:ascii="宋体" w:hAnsi="宋体" w:cs="宋体"/>
                      <w:sz w:val="21"/>
                      <w:szCs w:val="21"/>
                      <w:highlight w:val="none"/>
                    </w:rPr>
                  </w:pPr>
                </w:p>
              </w:tc>
              <w:tc>
                <w:tcPr>
                  <w:tcW w:w="962" w:type="dxa"/>
                  <w:noWrap w:val="0"/>
                  <w:vAlign w:val="center"/>
                </w:tcPr>
                <w:p w14:paraId="37C755C8">
                  <w:pPr>
                    <w:widowControl/>
                    <w:jc w:val="center"/>
                    <w:textAlignment w:val="center"/>
                    <w:rPr>
                      <w:rFonts w:hint="default"/>
                      <w:kern w:val="0"/>
                      <w:sz w:val="21"/>
                      <w:szCs w:val="21"/>
                      <w:highlight w:val="none"/>
                      <w:lang w:val="en-US" w:eastAsia="zh-CN" w:bidi="ar"/>
                    </w:rPr>
                  </w:pPr>
                  <w:r>
                    <w:rPr>
                      <w:rFonts w:hint="eastAsia"/>
                      <w:kern w:val="0"/>
                      <w:sz w:val="21"/>
                      <w:szCs w:val="21"/>
                      <w:highlight w:val="none"/>
                      <w:lang w:val="en-US" w:eastAsia="zh-CN" w:bidi="ar"/>
                    </w:rPr>
                    <w:t>/</w:t>
                  </w:r>
                </w:p>
              </w:tc>
              <w:tc>
                <w:tcPr>
                  <w:tcW w:w="1223" w:type="dxa"/>
                  <w:noWrap w:val="0"/>
                  <w:vAlign w:val="center"/>
                </w:tcPr>
                <w:p w14:paraId="0B6EE784">
                  <w:pPr>
                    <w:keepNext w:val="0"/>
                    <w:keepLines w:val="0"/>
                    <w:widowControl/>
                    <w:suppressLineNumbers w:val="0"/>
                    <w:jc w:val="center"/>
                    <w:textAlignment w:val="center"/>
                    <w:rPr>
                      <w:rFonts w:hint="default" w:cs="Times New Roman"/>
                      <w:i w:val="0"/>
                      <w:iCs w:val="0"/>
                      <w:color w:val="000000"/>
                      <w:kern w:val="0"/>
                      <w:sz w:val="21"/>
                      <w:szCs w:val="21"/>
                      <w:highlight w:val="none"/>
                      <w:u w:val="none"/>
                      <w:lang w:val="en-US" w:eastAsia="zh-CN" w:bidi="ar"/>
                    </w:rPr>
                  </w:pPr>
                  <w:r>
                    <w:rPr>
                      <w:rFonts w:hint="eastAsia" w:cs="Times New Roman"/>
                      <w:i w:val="0"/>
                      <w:iCs w:val="0"/>
                      <w:color w:val="000000"/>
                      <w:kern w:val="0"/>
                      <w:sz w:val="21"/>
                      <w:szCs w:val="21"/>
                      <w:highlight w:val="none"/>
                      <w:u w:val="none"/>
                      <w:lang w:val="en-US" w:eastAsia="zh-CN" w:bidi="ar"/>
                    </w:rPr>
                    <w:t>0.0011</w:t>
                  </w:r>
                </w:p>
              </w:tc>
            </w:tr>
          </w:tbl>
          <w:p w14:paraId="4D2173BE">
            <w:pPr>
              <w:spacing w:line="360" w:lineRule="auto"/>
              <w:ind w:firstLine="480" w:firstLineChars="200"/>
              <w:rPr>
                <w:color w:val="000000" w:themeColor="text1"/>
                <w:sz w:val="24"/>
                <w:szCs w:val="28"/>
                <w:highlight w:val="none"/>
                <w14:textFill>
                  <w14:solidFill>
                    <w14:schemeClr w14:val="tx1"/>
                  </w14:solidFill>
                </w14:textFill>
              </w:rPr>
            </w:pPr>
            <w:r>
              <w:rPr>
                <w:rFonts w:hint="eastAsia"/>
                <w:sz w:val="24"/>
                <w:szCs w:val="28"/>
                <w:highlight w:val="none"/>
              </w:rPr>
              <w:t>注</w:t>
            </w:r>
            <w:r>
              <w:rPr>
                <w:rFonts w:hint="eastAsia"/>
                <w:color w:val="000000" w:themeColor="text1"/>
                <w:sz w:val="24"/>
                <w:szCs w:val="28"/>
                <w:highlight w:val="none"/>
                <w14:textFill>
                  <w14:solidFill>
                    <w14:schemeClr w14:val="tx1"/>
                  </w14:solidFill>
                </w14:textFill>
              </w:rPr>
              <w:t>：生活污水产生量按照</w:t>
            </w:r>
            <w:r>
              <w:rPr>
                <w:rFonts w:hint="eastAsia"/>
                <w:color w:val="000000" w:themeColor="text1"/>
                <w:sz w:val="24"/>
                <w:szCs w:val="28"/>
                <w:highlight w:val="none"/>
                <w:lang w:val="en-US" w:eastAsia="zh-CN"/>
                <w14:textFill>
                  <w14:solidFill>
                    <w14:schemeClr w14:val="tx1"/>
                  </w14:solidFill>
                </w14:textFill>
              </w:rPr>
              <w:t>365</w:t>
            </w:r>
            <w:r>
              <w:rPr>
                <w:rFonts w:hint="eastAsia"/>
                <w:color w:val="000000" w:themeColor="text1"/>
                <w:sz w:val="24"/>
                <w:szCs w:val="28"/>
                <w:highlight w:val="none"/>
                <w14:textFill>
                  <w14:solidFill>
                    <w14:schemeClr w14:val="tx1"/>
                  </w14:solidFill>
                </w14:textFill>
              </w:rPr>
              <w:t>天工期进行计算。</w:t>
            </w:r>
          </w:p>
          <w:p w14:paraId="3181B43C">
            <w:pPr>
              <w:spacing w:line="360" w:lineRule="auto"/>
              <w:ind w:firstLine="476" w:firstLineChars="200"/>
              <w:rPr>
                <w:color w:val="000000" w:themeColor="text1"/>
                <w:sz w:val="24"/>
                <w:szCs w:val="28"/>
                <w:highlight w:val="none"/>
                <w14:textFill>
                  <w14:solidFill>
                    <w14:schemeClr w14:val="tx1"/>
                  </w14:solidFill>
                </w14:textFill>
              </w:rPr>
            </w:pPr>
            <w:r>
              <w:rPr>
                <w:color w:val="000000" w:themeColor="text1"/>
                <w:spacing w:val="-1"/>
                <w:sz w:val="24"/>
                <w:highlight w:val="none"/>
                <w14:textFill>
                  <w14:solidFill>
                    <w14:schemeClr w14:val="tx1"/>
                  </w14:solidFill>
                </w14:textFill>
              </w:rPr>
              <w:t>生活污水产生量</w:t>
            </w:r>
            <w:r>
              <w:rPr>
                <w:rFonts w:hint="eastAsia"/>
                <w:color w:val="000000" w:themeColor="text1"/>
                <w:spacing w:val="-1"/>
                <w:sz w:val="24"/>
                <w:highlight w:val="none"/>
                <w:lang w:val="en-US" w:eastAsia="zh-CN"/>
                <w14:textFill>
                  <w14:solidFill>
                    <w14:schemeClr w14:val="tx1"/>
                  </w14:solidFill>
                </w14:textFill>
              </w:rPr>
              <w:t>1.2</w:t>
            </w:r>
            <w:r>
              <w:rPr>
                <w:rFonts w:hint="default"/>
                <w:color w:val="000000" w:themeColor="text1"/>
                <w:spacing w:val="-1"/>
                <w:sz w:val="24"/>
                <w:highlight w:val="none"/>
                <w14:textFill>
                  <w14:solidFill>
                    <w14:schemeClr w14:val="tx1"/>
                  </w14:solidFill>
                </w14:textFill>
              </w:rPr>
              <w:t>m³/d，化粪池有效容积</w:t>
            </w:r>
            <w:r>
              <w:rPr>
                <w:rFonts w:hint="eastAsia"/>
                <w:color w:val="000000" w:themeColor="text1"/>
                <w:spacing w:val="-1"/>
                <w:sz w:val="24"/>
                <w:highlight w:val="none"/>
                <w:lang w:val="en-US" w:eastAsia="zh-CN"/>
                <w14:textFill>
                  <w14:solidFill>
                    <w14:schemeClr w14:val="tx1"/>
                  </w14:solidFill>
                </w14:textFill>
              </w:rPr>
              <w:t>10</w:t>
            </w:r>
            <w:r>
              <w:rPr>
                <w:rFonts w:hint="default"/>
                <w:color w:val="000000" w:themeColor="text1"/>
                <w:spacing w:val="-1"/>
                <w:sz w:val="24"/>
                <w:highlight w:val="none"/>
                <w14:textFill>
                  <w14:solidFill>
                    <w14:schemeClr w14:val="tx1"/>
                  </w14:solidFill>
                </w14:textFill>
              </w:rPr>
              <w:t>m³，每</w:t>
            </w:r>
            <w:r>
              <w:rPr>
                <w:rFonts w:hint="eastAsia"/>
                <w:color w:val="000000" w:themeColor="text1"/>
                <w:spacing w:val="-1"/>
                <w:sz w:val="24"/>
                <w:highlight w:val="none"/>
                <w:lang w:val="en-US" w:eastAsia="zh-CN"/>
                <w14:textFill>
                  <w14:solidFill>
                    <w14:schemeClr w14:val="tx1"/>
                  </w14:solidFill>
                </w14:textFill>
              </w:rPr>
              <w:t>周</w:t>
            </w:r>
            <w:r>
              <w:rPr>
                <w:rFonts w:hint="default"/>
                <w:color w:val="000000" w:themeColor="text1"/>
                <w:spacing w:val="-1"/>
                <w:sz w:val="24"/>
                <w:highlight w:val="none"/>
                <w14:textFill>
                  <w14:solidFill>
                    <w14:schemeClr w14:val="tx1"/>
                  </w14:solidFill>
                </w14:textFill>
              </w:rPr>
              <w:t>转运一次（单次约</w:t>
            </w:r>
            <w:r>
              <w:rPr>
                <w:rFonts w:hint="eastAsia"/>
                <w:color w:val="000000" w:themeColor="text1"/>
                <w:spacing w:val="-1"/>
                <w:sz w:val="24"/>
                <w:highlight w:val="none"/>
                <w:lang w:val="en-US" w:eastAsia="zh-CN"/>
                <w14:textFill>
                  <w14:solidFill>
                    <w14:schemeClr w14:val="tx1"/>
                  </w14:solidFill>
                </w14:textFill>
              </w:rPr>
              <w:t>8.4</w:t>
            </w:r>
            <w:r>
              <w:rPr>
                <w:rFonts w:hint="default"/>
                <w:color w:val="000000" w:themeColor="text1"/>
                <w:spacing w:val="-1"/>
                <w:sz w:val="24"/>
                <w:highlight w:val="none"/>
                <w14:textFill>
                  <w14:solidFill>
                    <w14:schemeClr w14:val="tx1"/>
                  </w14:solidFill>
                </w14:textFill>
              </w:rPr>
              <w:t>m³），采用密闭吸污车运送至新集</w:t>
            </w:r>
            <w:r>
              <w:rPr>
                <w:rFonts w:hint="eastAsia"/>
                <w:color w:val="000000" w:themeColor="text1"/>
                <w:spacing w:val="-1"/>
                <w:sz w:val="24"/>
                <w:highlight w:val="none"/>
                <w:lang w:val="en-US" w:eastAsia="zh-CN"/>
                <w14:textFill>
                  <w14:solidFill>
                    <w14:schemeClr w14:val="tx1"/>
                  </w14:solidFill>
                </w14:textFill>
              </w:rPr>
              <w:t>一</w:t>
            </w:r>
            <w:r>
              <w:rPr>
                <w:rFonts w:hint="default"/>
                <w:color w:val="000000" w:themeColor="text1"/>
                <w:spacing w:val="-1"/>
                <w:sz w:val="24"/>
                <w:highlight w:val="none"/>
                <w14:textFill>
                  <w14:solidFill>
                    <w14:schemeClr w14:val="tx1"/>
                  </w14:solidFill>
                </w14:textFill>
              </w:rPr>
              <w:t>矿生活污水处理站处理。运输过程采取以下措施：①指定运输路线，避开居民集中区；②建立转运台账，记录时间、数量、去向；③车辆配备泄漏应急工具。</w:t>
            </w:r>
          </w:p>
          <w:p w14:paraId="6449C27A">
            <w:pPr>
              <w:spacing w:line="360" w:lineRule="auto"/>
              <w:ind w:firstLine="476" w:firstLineChars="200"/>
              <w:rPr>
                <w:color w:val="000000" w:themeColor="text1"/>
                <w:spacing w:val="-1"/>
                <w:sz w:val="24"/>
                <w:highlight w:val="none"/>
                <w14:textFill>
                  <w14:solidFill>
                    <w14:schemeClr w14:val="tx1"/>
                  </w14:solidFill>
                </w14:textFill>
              </w:rPr>
            </w:pPr>
            <w:r>
              <w:rPr>
                <w:color w:val="000000" w:themeColor="text1"/>
                <w:spacing w:val="-1"/>
                <w:sz w:val="24"/>
                <w:highlight w:val="none"/>
                <w14:textFill>
                  <w14:solidFill>
                    <w14:schemeClr w14:val="tx1"/>
                  </w14:solidFill>
                </w14:textFill>
              </w:rPr>
              <w:t>经调查，新集</w:t>
            </w:r>
            <w:r>
              <w:rPr>
                <w:rFonts w:hint="eastAsia"/>
                <w:color w:val="000000" w:themeColor="text1"/>
                <w:spacing w:val="-1"/>
                <w:sz w:val="24"/>
                <w:highlight w:val="none"/>
                <w:lang w:val="en-US" w:eastAsia="zh-CN"/>
                <w14:textFill>
                  <w14:solidFill>
                    <w14:schemeClr w14:val="tx1"/>
                  </w14:solidFill>
                </w14:textFill>
              </w:rPr>
              <w:t>一</w:t>
            </w:r>
            <w:r>
              <w:rPr>
                <w:color w:val="000000" w:themeColor="text1"/>
                <w:spacing w:val="-1"/>
                <w:sz w:val="24"/>
                <w:highlight w:val="none"/>
                <w14:textFill>
                  <w14:solidFill>
                    <w14:schemeClr w14:val="tx1"/>
                  </w14:solidFill>
                </w14:textFill>
              </w:rPr>
              <w:t>矿工业场地建有一座生活污水处理站，处理能力</w:t>
            </w:r>
            <w:r>
              <w:rPr>
                <w:rFonts w:hint="default"/>
                <w:color w:val="000000" w:themeColor="text1"/>
                <w:spacing w:val="-1"/>
                <w:sz w:val="24"/>
                <w:highlight w:val="none"/>
                <w14:textFill>
                  <w14:solidFill>
                    <w14:schemeClr w14:val="tx1"/>
                  </w14:solidFill>
                </w14:textFill>
              </w:rPr>
              <w:t>2</w:t>
            </w:r>
            <w:r>
              <w:rPr>
                <w:rFonts w:hint="eastAsia"/>
                <w:color w:val="000000" w:themeColor="text1"/>
                <w:spacing w:val="-1"/>
                <w:sz w:val="24"/>
                <w:highlight w:val="none"/>
                <w:lang w:val="en-US" w:eastAsia="zh-CN"/>
                <w14:textFill>
                  <w14:solidFill>
                    <w14:schemeClr w14:val="tx1"/>
                  </w14:solidFill>
                </w14:textFill>
              </w:rPr>
              <w:t>8</w:t>
            </w:r>
            <w:r>
              <w:rPr>
                <w:rFonts w:hint="default"/>
                <w:color w:val="000000" w:themeColor="text1"/>
                <w:spacing w:val="-1"/>
                <w:sz w:val="24"/>
                <w:highlight w:val="none"/>
                <w14:textFill>
                  <w14:solidFill>
                    <w14:schemeClr w14:val="tx1"/>
                  </w14:solidFill>
                </w14:textFill>
              </w:rPr>
              <w:t>00m³/d，余量3</w:t>
            </w:r>
            <w:r>
              <w:rPr>
                <w:rFonts w:hint="eastAsia"/>
                <w:color w:val="000000" w:themeColor="text1"/>
                <w:spacing w:val="-1"/>
                <w:sz w:val="24"/>
                <w:highlight w:val="none"/>
                <w:lang w:val="en-US" w:eastAsia="zh-CN"/>
                <w14:textFill>
                  <w14:solidFill>
                    <w14:schemeClr w14:val="tx1"/>
                  </w14:solidFill>
                </w14:textFill>
              </w:rPr>
              <w:t>0</w:t>
            </w:r>
            <w:r>
              <w:rPr>
                <w:rFonts w:hint="default"/>
                <w:color w:val="000000" w:themeColor="text1"/>
                <w:spacing w:val="-1"/>
                <w:sz w:val="24"/>
                <w:highlight w:val="none"/>
                <w14:textFill>
                  <w14:solidFill>
                    <w14:schemeClr w14:val="tx1"/>
                  </w14:solidFill>
                </w14:textFill>
              </w:rPr>
              <w:t>0m³/d，采用</w:t>
            </w:r>
            <w:r>
              <w:rPr>
                <w:rFonts w:ascii="Times New Roman" w:hAnsi="Times New Roman" w:eastAsia="宋体" w:cs="Times New Roman"/>
                <w:color w:val="auto"/>
                <w:sz w:val="24"/>
                <w:highlight w:val="none"/>
              </w:rPr>
              <w:t>氧化沟加曝气充氧</w:t>
            </w:r>
            <w:r>
              <w:rPr>
                <w:rFonts w:hint="default"/>
                <w:color w:val="000000" w:themeColor="text1"/>
                <w:spacing w:val="-1"/>
                <w:sz w:val="24"/>
                <w:highlight w:val="none"/>
                <w14:textFill>
                  <w14:solidFill>
                    <w14:schemeClr w14:val="tx1"/>
                  </w14:solidFill>
                </w14:textFill>
              </w:rPr>
              <w:t>工艺，出水执行《城镇污水处理厂污染物排放标准》（GB18918-2002）一级A标准，处理后达标排放或回用。本项目生活污水产生量约</w:t>
            </w:r>
            <w:r>
              <w:rPr>
                <w:rFonts w:hint="eastAsia"/>
                <w:color w:val="000000" w:themeColor="text1"/>
                <w:spacing w:val="-1"/>
                <w:sz w:val="24"/>
                <w:highlight w:val="none"/>
                <w:lang w:val="en-US" w:eastAsia="zh-CN"/>
                <w14:textFill>
                  <w14:solidFill>
                    <w14:schemeClr w14:val="tx1"/>
                  </w14:solidFill>
                </w14:textFill>
              </w:rPr>
              <w:t>0.96</w:t>
            </w:r>
            <w:r>
              <w:rPr>
                <w:rFonts w:hint="default"/>
                <w:color w:val="000000" w:themeColor="text1"/>
                <w:spacing w:val="-1"/>
                <w:sz w:val="24"/>
                <w:highlight w:val="none"/>
                <w14:textFill>
                  <w14:solidFill>
                    <w14:schemeClr w14:val="tx1"/>
                  </w14:solidFill>
                </w14:textFill>
              </w:rPr>
              <w:t>m³/d，仅占污水处理站余量的</w:t>
            </w:r>
            <w:r>
              <w:rPr>
                <w:rFonts w:hint="eastAsia"/>
                <w:color w:val="000000" w:themeColor="text1"/>
                <w:spacing w:val="-1"/>
                <w:sz w:val="24"/>
                <w:highlight w:val="none"/>
                <w:lang w:val="en-US" w:eastAsia="zh-CN"/>
                <w14:textFill>
                  <w14:solidFill>
                    <w14:schemeClr w14:val="tx1"/>
                  </w14:solidFill>
                </w14:textFill>
              </w:rPr>
              <w:t>0.32</w:t>
            </w:r>
            <w:r>
              <w:rPr>
                <w:rFonts w:hint="default"/>
                <w:color w:val="000000" w:themeColor="text1"/>
                <w:spacing w:val="-1"/>
                <w:sz w:val="24"/>
                <w:highlight w:val="none"/>
                <w14:textFill>
                  <w14:solidFill>
                    <w14:schemeClr w14:val="tx1"/>
                  </w14:solidFill>
                </w14:textFill>
              </w:rPr>
              <w:t>%，</w:t>
            </w:r>
            <w:r>
              <w:rPr>
                <w:color w:val="000000" w:themeColor="text1"/>
                <w:spacing w:val="-1"/>
                <w:sz w:val="24"/>
                <w:highlight w:val="none"/>
                <w14:textFill>
                  <w14:solidFill>
                    <w14:schemeClr w14:val="tx1"/>
                  </w14:solidFill>
                </w14:textFill>
              </w:rPr>
              <w:t>不会对</w:t>
            </w:r>
            <w:r>
              <w:rPr>
                <w:rFonts w:hint="eastAsia"/>
                <w:color w:val="000000" w:themeColor="text1"/>
                <w:spacing w:val="-1"/>
                <w:sz w:val="24"/>
                <w:highlight w:val="none"/>
                <w14:textFill>
                  <w14:solidFill>
                    <w14:schemeClr w14:val="tx1"/>
                  </w14:solidFill>
                </w14:textFill>
              </w:rPr>
              <w:t>新集</w:t>
            </w:r>
            <w:r>
              <w:rPr>
                <w:rFonts w:hint="eastAsia"/>
                <w:color w:val="000000" w:themeColor="text1"/>
                <w:spacing w:val="-1"/>
                <w:sz w:val="24"/>
                <w:highlight w:val="none"/>
                <w:lang w:val="en-US" w:eastAsia="zh-CN"/>
                <w14:textFill>
                  <w14:solidFill>
                    <w14:schemeClr w14:val="tx1"/>
                  </w14:solidFill>
                </w14:textFill>
              </w:rPr>
              <w:t>一</w:t>
            </w:r>
            <w:r>
              <w:rPr>
                <w:rFonts w:hint="eastAsia"/>
                <w:color w:val="000000" w:themeColor="text1"/>
                <w:spacing w:val="-1"/>
                <w:sz w:val="24"/>
                <w:highlight w:val="none"/>
                <w14:textFill>
                  <w14:solidFill>
                    <w14:schemeClr w14:val="tx1"/>
                  </w14:solidFill>
                </w14:textFill>
              </w:rPr>
              <w:t>矿</w:t>
            </w:r>
            <w:r>
              <w:rPr>
                <w:color w:val="000000" w:themeColor="text1"/>
                <w:spacing w:val="-1"/>
                <w:sz w:val="24"/>
                <w:highlight w:val="none"/>
                <w14:textFill>
                  <w14:solidFill>
                    <w14:schemeClr w14:val="tx1"/>
                  </w14:solidFill>
                </w14:textFill>
              </w:rPr>
              <w:t>生活污水处理站产生较大冲击，本项目生活污水定期用吸污车运送至</w:t>
            </w:r>
            <w:r>
              <w:rPr>
                <w:rFonts w:hint="eastAsia"/>
                <w:color w:val="000000" w:themeColor="text1"/>
                <w:spacing w:val="-1"/>
                <w:sz w:val="24"/>
                <w:highlight w:val="none"/>
                <w14:textFill>
                  <w14:solidFill>
                    <w14:schemeClr w14:val="tx1"/>
                  </w14:solidFill>
                </w14:textFill>
              </w:rPr>
              <w:t>新集</w:t>
            </w:r>
            <w:r>
              <w:rPr>
                <w:rFonts w:hint="eastAsia"/>
                <w:color w:val="000000" w:themeColor="text1"/>
                <w:spacing w:val="-1"/>
                <w:sz w:val="24"/>
                <w:highlight w:val="none"/>
                <w:lang w:val="en-US" w:eastAsia="zh-CN"/>
                <w14:textFill>
                  <w14:solidFill>
                    <w14:schemeClr w14:val="tx1"/>
                  </w14:solidFill>
                </w14:textFill>
              </w:rPr>
              <w:t>一</w:t>
            </w:r>
            <w:r>
              <w:rPr>
                <w:rFonts w:hint="eastAsia"/>
                <w:color w:val="000000" w:themeColor="text1"/>
                <w:spacing w:val="-1"/>
                <w:sz w:val="24"/>
                <w:highlight w:val="none"/>
                <w14:textFill>
                  <w14:solidFill>
                    <w14:schemeClr w14:val="tx1"/>
                  </w14:solidFill>
                </w14:textFill>
              </w:rPr>
              <w:t>矿</w:t>
            </w:r>
            <w:r>
              <w:rPr>
                <w:color w:val="000000" w:themeColor="text1"/>
                <w:spacing w:val="-1"/>
                <w:sz w:val="24"/>
                <w:highlight w:val="none"/>
                <w14:textFill>
                  <w14:solidFill>
                    <w14:schemeClr w14:val="tx1"/>
                  </w14:solidFill>
                </w14:textFill>
              </w:rPr>
              <w:t>生活污水处理站处理是可行的。</w:t>
            </w:r>
          </w:p>
          <w:p w14:paraId="591637E0">
            <w:pPr>
              <w:numPr>
                <w:ilvl w:val="0"/>
                <w:numId w:val="6"/>
              </w:num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车辆冲洗废水经三级沉淀池处理后回用可行性分析</w:t>
            </w:r>
          </w:p>
          <w:p w14:paraId="7A6F77EE">
            <w:pPr>
              <w:widowControl/>
              <w:spacing w:line="360" w:lineRule="auto"/>
              <w:ind w:firstLine="480" w:firstLineChars="200"/>
              <w:jc w:val="left"/>
              <w:rPr>
                <w:rFonts w:ascii="Times New Roman" w:hAnsi="Times New Roman" w:cs="Times New Roman"/>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本项目施工场地出口设置车辆冲洗装置一套，用于冲洗出场车辆车身及轮胎。根据《安徽省行业用水定额》洗车用水定额为0.09m</w:t>
            </w:r>
            <w:r>
              <w:rPr>
                <w:color w:val="000000" w:themeColor="text1"/>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/（车次），根据建设单位提供经验，施工期场地每天进出车辆约15辆，</w:t>
            </w:r>
            <w:r>
              <w:rPr>
                <w:color w:val="000000" w:themeColor="text1"/>
                <w:kern w:val="0"/>
                <w:sz w:val="24"/>
                <w:highlight w:val="none"/>
                <w14:textFill>
                  <w14:solidFill>
                    <w14:schemeClr w14:val="tx1"/>
                  </w14:solidFill>
                </w14:textFill>
              </w:rPr>
              <w:t>因此项目场地</w:t>
            </w:r>
            <w:r>
              <w:rPr>
                <w:color w:val="000000" w:themeColor="text1"/>
                <w:sz w:val="24"/>
                <w:highlight w:val="none"/>
                <w14:textFill>
                  <w14:solidFill>
                    <w14:schemeClr w14:val="tx1"/>
                  </w14:solidFill>
                </w14:textFill>
              </w:rPr>
              <w:t>车辆冲洗用水为1.35</w:t>
            </w:r>
            <w:r>
              <w:rPr>
                <w:color w:val="000000" w:themeColor="text1"/>
                <w:kern w:val="0"/>
                <w:sz w:val="24"/>
                <w:highlight w:val="none"/>
                <w14:textFill>
                  <w14:solidFill>
                    <w14:schemeClr w14:val="tx1"/>
                  </w14:solidFill>
                </w14:textFill>
              </w:rPr>
              <w:t>m</w:t>
            </w:r>
            <w:r>
              <w:rPr>
                <w:color w:val="000000" w:themeColor="text1"/>
                <w:kern w:val="0"/>
                <w:sz w:val="24"/>
                <w:highlight w:val="none"/>
                <w:vertAlign w:val="superscript"/>
                <w14:textFill>
                  <w14:solidFill>
                    <w14:schemeClr w14:val="tx1"/>
                  </w14:solidFill>
                </w14:textFill>
              </w:rPr>
              <w:t xml:space="preserve">3 </w:t>
            </w:r>
            <w:r>
              <w:rPr>
                <w:color w:val="000000" w:themeColor="text1"/>
                <w:kern w:val="0"/>
                <w:sz w:val="24"/>
                <w:highlight w:val="none"/>
                <w14:textFill>
                  <w14:solidFill>
                    <w14:schemeClr w14:val="tx1"/>
                  </w14:solidFill>
                </w14:textFill>
              </w:rPr>
              <w:t>/d，</w:t>
            </w:r>
            <w:r>
              <w:rPr>
                <w:color w:val="000000" w:themeColor="text1"/>
                <w:sz w:val="24"/>
                <w:highlight w:val="none"/>
                <w14:textFill>
                  <w14:solidFill>
                    <w14:schemeClr w14:val="tx1"/>
                  </w14:solidFill>
                </w14:textFill>
              </w:rPr>
              <w:t>车辆冲洗约30%消耗（蒸发和车辆带走），</w:t>
            </w:r>
            <w:r>
              <w:rPr>
                <w:color w:val="000000" w:themeColor="text1"/>
                <w:kern w:val="0"/>
                <w:sz w:val="24"/>
                <w:highlight w:val="none"/>
                <w14:textFill>
                  <w14:solidFill>
                    <w14:schemeClr w14:val="tx1"/>
                  </w14:solidFill>
                </w14:textFill>
              </w:rPr>
              <w:t>其余约0.945m</w:t>
            </w:r>
            <w:r>
              <w:rPr>
                <w:color w:val="000000" w:themeColor="text1"/>
                <w:kern w:val="0"/>
                <w:sz w:val="24"/>
                <w:highlight w:val="none"/>
                <w:vertAlign w:val="superscript"/>
                <w14:textFill>
                  <w14:solidFill>
                    <w14:schemeClr w14:val="tx1"/>
                  </w14:solidFill>
                </w14:textFill>
              </w:rPr>
              <w:t xml:space="preserve">3 </w:t>
            </w:r>
            <w:r>
              <w:rPr>
                <w:color w:val="000000" w:themeColor="text1"/>
                <w:kern w:val="0"/>
                <w:sz w:val="24"/>
                <w:highlight w:val="none"/>
                <w14:textFill>
                  <w14:solidFill>
                    <w14:schemeClr w14:val="tx1"/>
                  </w14:solidFill>
                </w14:textFill>
              </w:rPr>
              <w:t>/d水经三级沉淀池处理后循环利用，不外排，每日补充水量约0.405m</w:t>
            </w:r>
            <w:r>
              <w:rPr>
                <w:color w:val="000000" w:themeColor="text1"/>
                <w:kern w:val="0"/>
                <w:sz w:val="24"/>
                <w:highlight w:val="none"/>
                <w:vertAlign w:val="superscript"/>
                <w14:textFill>
                  <w14:solidFill>
                    <w14:schemeClr w14:val="tx1"/>
                  </w14:solidFill>
                </w14:textFill>
              </w:rPr>
              <w:t>3</w:t>
            </w:r>
            <w:r>
              <w:rPr>
                <w:color w:val="000000" w:themeColor="text1"/>
                <w:kern w:val="0"/>
                <w:sz w:val="24"/>
                <w:highlight w:val="none"/>
                <w14:textFill>
                  <w14:solidFill>
                    <w14:schemeClr w14:val="tx1"/>
                  </w14:solidFill>
                </w14:textFill>
              </w:rPr>
              <w:t>/d。本项目配套三级沉淀池容积为18m³，该沉淀池容积远大于车辆清洗产生的重新废水，完全可以</w:t>
            </w:r>
            <w:r>
              <w:rPr>
                <w:rFonts w:ascii="Times New Roman" w:hAnsi="Times New Roman" w:cs="Times New Roman"/>
                <w:color w:val="000000" w:themeColor="text1"/>
                <w:kern w:val="0"/>
                <w:sz w:val="24"/>
                <w:highlight w:val="none"/>
                <w14:textFill>
                  <w14:solidFill>
                    <w14:schemeClr w14:val="tx1"/>
                  </w14:solidFill>
                </w14:textFill>
              </w:rPr>
              <w:t>满足处理车辆清洗废水，确保冲洗废水经沉淀后全部回用到洗车工序，不排放。</w:t>
            </w:r>
          </w:p>
          <w:p w14:paraId="04D2846F">
            <w:pPr>
              <w:widowControl/>
              <w:spacing w:line="360" w:lineRule="auto"/>
              <w:ind w:firstLine="480" w:firstLineChars="200"/>
              <w:jc w:val="left"/>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ascii="Times New Roman" w:hAnsi="Times New Roman" w:cs="Times New Roman"/>
                <w:color w:val="000000" w:themeColor="text1"/>
                <w:kern w:val="0"/>
                <w:sz w:val="24"/>
                <w:highlight w:val="none"/>
                <w14:textFill>
                  <w14:solidFill>
                    <w14:schemeClr w14:val="tx1"/>
                  </w14:solidFill>
                </w14:textFill>
              </w:rPr>
              <w:t>综上所述，本项目施</w:t>
            </w:r>
            <w:r>
              <w:rPr>
                <w:rFonts w:ascii="Times New Roman" w:hAnsi="Times New Roman" w:eastAsia="宋体" w:cs="Times New Roman"/>
                <w:color w:val="000000" w:themeColor="text1"/>
                <w:kern w:val="0"/>
                <w:sz w:val="24"/>
                <w:highlight w:val="none"/>
                <w14:textFill>
                  <w14:solidFill>
                    <w14:schemeClr w14:val="tx1"/>
                  </w14:solidFill>
                </w14:textFill>
              </w:rPr>
              <w:t>工期生活污水经化粪池预处理后定期委托第三方使用吸污车运送至</w:t>
            </w:r>
            <w:r>
              <w:rPr>
                <w:rFonts w:hint="eastAsia" w:ascii="Times New Roman" w:hAnsi="Times New Roman" w:eastAsia="宋体" w:cs="Times New Roman"/>
                <w:color w:val="000000" w:themeColor="text1"/>
                <w:kern w:val="0"/>
                <w:sz w:val="24"/>
                <w:highlight w:val="none"/>
                <w14:textFill>
                  <w14:solidFill>
                    <w14:schemeClr w14:val="tx1"/>
                  </w14:solidFill>
                </w14:textFill>
              </w:rPr>
              <w:t>新集</w:t>
            </w:r>
            <w:r>
              <w:rPr>
                <w:rFonts w:hint="eastAsia" w:cs="Times New Roman"/>
                <w:color w:val="000000" w:themeColor="text1"/>
                <w:kern w:val="0"/>
                <w:sz w:val="24"/>
                <w:highlight w:val="none"/>
                <w:lang w:val="en-US" w:eastAsia="zh-CN"/>
                <w14:textFill>
                  <w14:solidFill>
                    <w14:schemeClr w14:val="tx1"/>
                  </w14:solidFill>
                </w14:textFill>
              </w:rPr>
              <w:t>一</w:t>
            </w:r>
            <w:r>
              <w:rPr>
                <w:rFonts w:hint="eastAsia" w:ascii="Times New Roman" w:hAnsi="Times New Roman" w:eastAsia="宋体" w:cs="Times New Roman"/>
                <w:color w:val="000000" w:themeColor="text1"/>
                <w:kern w:val="0"/>
                <w:sz w:val="24"/>
                <w:highlight w:val="none"/>
                <w14:textFill>
                  <w14:solidFill>
                    <w14:schemeClr w14:val="tx1"/>
                  </w14:solidFill>
                </w14:textFill>
              </w:rPr>
              <w:t>矿</w:t>
            </w:r>
            <w:r>
              <w:rPr>
                <w:rFonts w:ascii="Times New Roman" w:hAnsi="Times New Roman" w:eastAsia="宋体" w:cs="Times New Roman"/>
                <w:color w:val="000000" w:themeColor="text1"/>
                <w:kern w:val="0"/>
                <w:sz w:val="24"/>
                <w:highlight w:val="none"/>
                <w14:textFill>
                  <w14:solidFill>
                    <w14:schemeClr w14:val="tx1"/>
                  </w14:solidFill>
                </w14:textFill>
              </w:rPr>
              <w:t>现有生活污水处理站进行处理。</w:t>
            </w:r>
            <w:r>
              <w:rPr>
                <w:rFonts w:ascii="Times New Roman" w:hAnsi="Times New Roman" w:cs="Times New Roman"/>
                <w:color w:val="000000" w:themeColor="text1"/>
                <w:kern w:val="0"/>
                <w:sz w:val="24"/>
                <w:highlight w:val="none"/>
                <w14:textFill>
                  <w14:solidFill>
                    <w14:schemeClr w14:val="tx1"/>
                  </w14:solidFill>
                </w14:textFill>
              </w:rPr>
              <w:t>车辆冲洗废水经三级沉淀池</w:t>
            </w:r>
            <w:r>
              <w:rPr>
                <w:color w:val="000000" w:themeColor="text1"/>
                <w:sz w:val="24"/>
                <w:szCs w:val="28"/>
                <w:highlight w:val="none"/>
                <w14:textFill>
                  <w14:solidFill>
                    <w14:schemeClr w14:val="tx1"/>
                  </w14:solidFill>
                </w14:textFill>
              </w:rPr>
              <w:t>处理后全部回用到洗车工序，不排放。对区域地表水环境影响较小。</w:t>
            </w:r>
          </w:p>
          <w:p w14:paraId="2A78A72C">
            <w:pPr>
              <w:widowControl/>
              <w:spacing w:line="360" w:lineRule="auto"/>
              <w:ind w:firstLine="480" w:firstLineChars="200"/>
              <w:jc w:val="left"/>
              <w:rPr>
                <w:rFonts w:hint="default" w:ascii="Times New Roman" w:hAnsi="Times New Roman" w:eastAsia="宋体" w:cs="Times New Roman"/>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t>综上所述，</w:t>
            </w:r>
            <w:r>
              <w:rPr>
                <w:rFonts w:hint="default" w:ascii="Times New Roman" w:hAnsi="Times New Roman" w:eastAsia="宋体" w:cs="Times New Roman"/>
                <w:color w:val="000000" w:themeColor="text1"/>
                <w:kern w:val="0"/>
                <w:sz w:val="24"/>
                <w:highlight w:val="none"/>
                <w14:textFill>
                  <w14:solidFill>
                    <w14:schemeClr w14:val="tx1"/>
                  </w14:solidFill>
                </w14:textFill>
              </w:rPr>
              <w:t>本项目生活污水经化粪池（</w:t>
            </w:r>
            <w:r>
              <w:rPr>
                <w:rFonts w:hint="eastAsia" w:cs="Times New Roman"/>
                <w:color w:val="000000" w:themeColor="text1"/>
                <w:kern w:val="0"/>
                <w:sz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kern w:val="0"/>
                <w:sz w:val="24"/>
                <w:highlight w:val="none"/>
                <w14:textFill>
                  <w14:solidFill>
                    <w14:schemeClr w14:val="tx1"/>
                  </w14:solidFill>
                </w14:textFill>
              </w:rPr>
              <w:t>0m³）预处理后定期委托第三方运送。车辆冲洗废水经三级沉淀池（18m³）处理后循环利用</w:t>
            </w:r>
            <w:r>
              <w:rPr>
                <w:rFonts w:hint="eastAsia" w:cs="Times New Roman"/>
                <w:color w:val="000000" w:themeColor="text1"/>
                <w:kern w:val="0"/>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4"/>
                <w:highlight w:val="none"/>
                <w14:textFill>
                  <w14:solidFill>
                    <w14:schemeClr w14:val="tx1"/>
                  </w14:solidFill>
                </w14:textFill>
              </w:rPr>
              <w:t>各废水处理系统均具备成熟的工艺保障、充足的设施容量和完善的管理制度，可实现施工期生产废水全部循环利用或回用，不外排。</w:t>
            </w:r>
          </w:p>
          <w:p w14:paraId="1A007B49">
            <w:pPr>
              <w:widowControl/>
              <w:spacing w:line="360" w:lineRule="auto"/>
              <w:ind w:left="420"/>
              <w:rPr>
                <w:b/>
                <w:bCs/>
                <w:color w:val="000000" w:themeColor="text1"/>
                <w:kern w:val="0"/>
                <w:sz w:val="24"/>
                <w:highlight w:val="none"/>
                <w:lang w:bidi="ar"/>
                <w14:textFill>
                  <w14:solidFill>
                    <w14:schemeClr w14:val="tx1"/>
                  </w14:solidFill>
                </w14:textFill>
              </w:rPr>
            </w:pPr>
            <w:r>
              <w:rPr>
                <w:b/>
                <w:bCs/>
                <w:color w:val="000000" w:themeColor="text1"/>
                <w:kern w:val="0"/>
                <w:sz w:val="24"/>
                <w:highlight w:val="none"/>
                <w:lang w:bidi="ar"/>
                <w14:textFill>
                  <w14:solidFill>
                    <w14:schemeClr w14:val="tx1"/>
                  </w14:solidFill>
                </w14:textFill>
              </w:rPr>
              <w:t>2、大气污染环境影响分析</w:t>
            </w:r>
          </w:p>
          <w:p w14:paraId="5C63B553">
            <w:pPr>
              <w:autoSpaceDE w:val="0"/>
              <w:autoSpaceDN w:val="0"/>
              <w:spacing w:line="360" w:lineRule="auto"/>
              <w:ind w:firstLine="480" w:firstLineChars="200"/>
              <w:rPr>
                <w:color w:val="auto"/>
                <w:kern w:val="0"/>
                <w:sz w:val="24"/>
                <w:highlight w:val="none"/>
              </w:rPr>
            </w:pPr>
            <w:r>
              <w:rPr>
                <w:color w:val="auto"/>
                <w:kern w:val="0"/>
                <w:sz w:val="24"/>
                <w:highlight w:val="none"/>
              </w:rPr>
              <w:t>施工期大气环境影响主要来源于施工扬尘与车辆尾气，这些污染物将对环境空气造成一定程度的污染，但这种污染是短期的，工程结束后，将不复存在。</w:t>
            </w:r>
          </w:p>
          <w:p w14:paraId="309E7388">
            <w:pPr>
              <w:autoSpaceDE w:val="0"/>
              <w:autoSpaceDN w:val="0"/>
              <w:spacing w:line="360" w:lineRule="auto"/>
              <w:ind w:firstLine="480" w:firstLineChars="200"/>
              <w:rPr>
                <w:color w:val="auto"/>
                <w:kern w:val="0"/>
                <w:sz w:val="24"/>
                <w:highlight w:val="none"/>
              </w:rPr>
            </w:pPr>
            <w:r>
              <w:rPr>
                <w:color w:val="auto"/>
                <w:kern w:val="0"/>
                <w:sz w:val="24"/>
                <w:highlight w:val="none"/>
              </w:rPr>
              <w:t>①施工扬尘</w:t>
            </w:r>
          </w:p>
          <w:p w14:paraId="5A258561">
            <w:pPr>
              <w:autoSpaceDE w:val="0"/>
              <w:autoSpaceDN w:val="0"/>
              <w:spacing w:line="360" w:lineRule="auto"/>
              <w:ind w:firstLine="480" w:firstLineChars="200"/>
              <w:rPr>
                <w:color w:val="auto"/>
                <w:kern w:val="0"/>
                <w:sz w:val="24"/>
                <w:highlight w:val="none"/>
              </w:rPr>
            </w:pPr>
            <w:r>
              <w:rPr>
                <w:color w:val="auto"/>
                <w:kern w:val="0"/>
                <w:sz w:val="24"/>
                <w:highlight w:val="none"/>
              </w:rPr>
              <w:t>根据有关资料，在施工现场，近地面的粉尘浓度一般为1.5～30mg/m</w:t>
            </w:r>
            <w:r>
              <w:rPr>
                <w:color w:val="auto"/>
                <w:kern w:val="0"/>
                <w:sz w:val="24"/>
                <w:highlight w:val="none"/>
                <w:vertAlign w:val="superscript"/>
              </w:rPr>
              <w:t>3</w:t>
            </w:r>
            <w:r>
              <w:rPr>
                <w:color w:val="auto"/>
                <w:kern w:val="0"/>
                <w:sz w:val="24"/>
                <w:highlight w:val="none"/>
              </w:rPr>
              <w:t>，超过GB3095-</w:t>
            </w:r>
            <w:r>
              <w:rPr>
                <w:rFonts w:hint="eastAsia"/>
                <w:color w:val="auto"/>
                <w:kern w:val="0"/>
                <w:sz w:val="24"/>
                <w:highlight w:val="none"/>
                <w:lang w:val="en-US" w:eastAsia="zh-CN"/>
              </w:rPr>
              <w:t>2026</w:t>
            </w:r>
            <w:r>
              <w:rPr>
                <w:color w:val="auto"/>
                <w:kern w:val="0"/>
                <w:sz w:val="24"/>
                <w:highlight w:val="none"/>
              </w:rPr>
              <w:t>二级标准中日均值0.3mg/m</w:t>
            </w:r>
            <w:r>
              <w:rPr>
                <w:color w:val="auto"/>
                <w:kern w:val="0"/>
                <w:sz w:val="24"/>
                <w:highlight w:val="none"/>
                <w:vertAlign w:val="superscript"/>
              </w:rPr>
              <w:t>3</w:t>
            </w:r>
            <w:r>
              <w:rPr>
                <w:color w:val="auto"/>
                <w:kern w:val="0"/>
                <w:sz w:val="24"/>
                <w:highlight w:val="none"/>
              </w:rPr>
              <w:t>的5～100倍；物料运输车辆在一般行车道路两侧近距离内产生的扬尘浓度可达8~10mg/m</w:t>
            </w:r>
            <w:r>
              <w:rPr>
                <w:color w:val="auto"/>
                <w:kern w:val="0"/>
                <w:sz w:val="24"/>
                <w:highlight w:val="none"/>
                <w:vertAlign w:val="superscript"/>
              </w:rPr>
              <w:t>3</w:t>
            </w:r>
            <w:r>
              <w:rPr>
                <w:color w:val="auto"/>
                <w:kern w:val="0"/>
                <w:sz w:val="24"/>
                <w:highlight w:val="none"/>
              </w:rPr>
              <w:t>，扬尘影响范围一般在施工区域50m以内。</w:t>
            </w:r>
          </w:p>
          <w:p w14:paraId="1C67A1FA">
            <w:pPr>
              <w:autoSpaceDE w:val="0"/>
              <w:autoSpaceDN w:val="0"/>
              <w:spacing w:line="360" w:lineRule="auto"/>
              <w:ind w:firstLine="480" w:firstLineChars="200"/>
              <w:rPr>
                <w:color w:val="auto"/>
                <w:kern w:val="0"/>
                <w:sz w:val="24"/>
                <w:highlight w:val="none"/>
              </w:rPr>
            </w:pPr>
            <w:r>
              <w:rPr>
                <w:color w:val="auto"/>
                <w:kern w:val="0"/>
                <w:sz w:val="24"/>
                <w:highlight w:val="none"/>
              </w:rPr>
              <w:t>根据《安徽省建筑工程施工扬尘污染防治规定》、《安徽省大气污染防治行动计划实施方案》和《淮南市扬尘污染防治条例》等规定和方案，结合本项目的施工特点，项目施工应当遵守下列规定，采取有效措施防治粉尘的污染：</w:t>
            </w:r>
          </w:p>
          <w:p w14:paraId="35A7CA7B">
            <w:pPr>
              <w:autoSpaceDE w:val="0"/>
              <w:autoSpaceDN w:val="0"/>
              <w:spacing w:line="360" w:lineRule="auto"/>
              <w:ind w:firstLine="480" w:firstLineChars="200"/>
              <w:rPr>
                <w:color w:val="auto"/>
                <w:kern w:val="0"/>
                <w:sz w:val="24"/>
                <w:highlight w:val="none"/>
              </w:rPr>
            </w:pPr>
            <w:r>
              <w:rPr>
                <w:color w:val="auto"/>
                <w:kern w:val="0"/>
                <w:sz w:val="24"/>
                <w:highlight w:val="none"/>
              </w:rPr>
              <w:t>a、施工中大量的挖方和填方应采用湿法作业抑制扬尘，开挖土方应集中堆放，缩小粉尘影响范围，及时回填，减少粉尘影响时间。</w:t>
            </w:r>
          </w:p>
          <w:p w14:paraId="4C594E44">
            <w:pPr>
              <w:autoSpaceDE w:val="0"/>
              <w:autoSpaceDN w:val="0"/>
              <w:spacing w:line="360" w:lineRule="auto"/>
              <w:ind w:firstLine="480" w:firstLineChars="200"/>
              <w:rPr>
                <w:color w:val="auto"/>
                <w:kern w:val="0"/>
                <w:sz w:val="24"/>
                <w:highlight w:val="none"/>
              </w:rPr>
            </w:pPr>
            <w:r>
              <w:rPr>
                <w:color w:val="auto"/>
                <w:kern w:val="0"/>
                <w:sz w:val="24"/>
                <w:highlight w:val="none"/>
              </w:rPr>
              <w:t>b、加强运输车辆的管理，合理安排施工车辆行驶路线，尽量避开居民集中区，路经居民区集中区域应尽量减缓行驶车速。</w:t>
            </w:r>
          </w:p>
          <w:p w14:paraId="5FA32A80">
            <w:pPr>
              <w:autoSpaceDE w:val="0"/>
              <w:autoSpaceDN w:val="0"/>
              <w:spacing w:line="360" w:lineRule="auto"/>
              <w:ind w:firstLine="480" w:firstLineChars="200"/>
              <w:rPr>
                <w:color w:val="auto"/>
                <w:kern w:val="0"/>
                <w:sz w:val="24"/>
                <w:highlight w:val="none"/>
              </w:rPr>
            </w:pPr>
            <w:r>
              <w:rPr>
                <w:color w:val="auto"/>
                <w:kern w:val="0"/>
                <w:sz w:val="24"/>
                <w:highlight w:val="none"/>
              </w:rPr>
              <w:t>c、施工作业应尽量避开大风天气，对施工场地和运输车辆行驶路面定期洒水，防止浮尘产生，如在大风日则加大洒水量及洒水次数。</w:t>
            </w:r>
          </w:p>
          <w:p w14:paraId="0D91E294">
            <w:pPr>
              <w:autoSpaceDE w:val="0"/>
              <w:autoSpaceDN w:val="0"/>
              <w:spacing w:line="360" w:lineRule="auto"/>
              <w:ind w:firstLine="480" w:firstLineChars="200"/>
              <w:rPr>
                <w:color w:val="auto"/>
                <w:kern w:val="0"/>
                <w:sz w:val="24"/>
                <w:highlight w:val="none"/>
              </w:rPr>
            </w:pPr>
            <w:r>
              <w:rPr>
                <w:color w:val="auto"/>
                <w:kern w:val="0"/>
                <w:sz w:val="24"/>
                <w:highlight w:val="none"/>
              </w:rPr>
              <w:t>d、施工区干道车辆实行限速行驶，土方、砂石、淤泥等在运输过程中应加盖封闭并适量装车，以防运输过程中撒落引起二次扬尘；运输车辆在离开施工区时检查装车质量，防止扬尘污染。</w:t>
            </w:r>
          </w:p>
          <w:p w14:paraId="43EB37C5">
            <w:pPr>
              <w:autoSpaceDE w:val="0"/>
              <w:autoSpaceDN w:val="0"/>
              <w:spacing w:line="360" w:lineRule="auto"/>
              <w:ind w:firstLine="480" w:firstLineChars="200"/>
              <w:rPr>
                <w:color w:val="auto"/>
                <w:kern w:val="0"/>
                <w:sz w:val="24"/>
                <w:highlight w:val="none"/>
              </w:rPr>
            </w:pPr>
            <w:r>
              <w:rPr>
                <w:color w:val="auto"/>
                <w:kern w:val="0"/>
                <w:sz w:val="24"/>
                <w:highlight w:val="none"/>
              </w:rPr>
              <w:t>e、施工现场存放好回填利用的开挖土方。晴天干燥季节对存土、铲土运输，要采取洒水措施，以保持表面湿润，减少扬尘产生量。</w:t>
            </w:r>
          </w:p>
          <w:p w14:paraId="2A216D28">
            <w:pPr>
              <w:spacing w:line="360" w:lineRule="auto"/>
              <w:ind w:firstLine="480"/>
              <w:rPr>
                <w:color w:val="auto"/>
                <w:kern w:val="0"/>
                <w:sz w:val="24"/>
                <w:highlight w:val="none"/>
              </w:rPr>
            </w:pPr>
            <w:r>
              <w:rPr>
                <w:color w:val="auto"/>
                <w:kern w:val="0"/>
                <w:sz w:val="24"/>
                <w:highlight w:val="none"/>
              </w:rPr>
              <w:t>f、遇有5级以上大风或重度污染天气时，必须采取扬尘应急措施；</w:t>
            </w:r>
          </w:p>
          <w:p w14:paraId="2BA765A5">
            <w:pPr>
              <w:spacing w:line="360" w:lineRule="auto"/>
              <w:ind w:firstLine="480"/>
              <w:rPr>
                <w:color w:val="auto"/>
                <w:kern w:val="0"/>
                <w:sz w:val="24"/>
                <w:szCs w:val="20"/>
                <w:highlight w:val="none"/>
              </w:rPr>
            </w:pPr>
            <w:r>
              <w:rPr>
                <w:color w:val="auto"/>
                <w:kern w:val="0"/>
                <w:sz w:val="24"/>
                <w:szCs w:val="20"/>
                <w:highlight w:val="none"/>
              </w:rPr>
              <w:t>g、施工期间，施工单位应根据《建设工程施工现场管理规定》的规定设置现场平面布置图、工程概况牌、安全生产牌、消防保卫牌、文明施工牌、环境保护牌、管理人员名单及监督电话牌等；</w:t>
            </w:r>
          </w:p>
          <w:p w14:paraId="52336012">
            <w:pPr>
              <w:widowControl/>
              <w:spacing w:line="360" w:lineRule="auto"/>
              <w:ind w:firstLine="480" w:firstLineChars="200"/>
              <w:rPr>
                <w:color w:val="auto"/>
                <w:kern w:val="0"/>
                <w:sz w:val="24"/>
                <w:szCs w:val="20"/>
                <w:highlight w:val="none"/>
              </w:rPr>
            </w:pPr>
            <w:r>
              <w:rPr>
                <w:color w:val="auto"/>
                <w:kern w:val="0"/>
                <w:sz w:val="24"/>
                <w:szCs w:val="20"/>
                <w:highlight w:val="none"/>
              </w:rPr>
              <w:t>h、施工现场出入口、场内道路、作业区、加工场等地面必须进行硬化，非作业地面裸露的场地必须绿化或严密覆盖，施工过程中通过洒水车运水至场地运输通道，及时洒水以减少汽车行驶扬尘；</w:t>
            </w:r>
          </w:p>
          <w:p w14:paraId="4F26F294">
            <w:pPr>
              <w:widowControl/>
              <w:spacing w:line="360" w:lineRule="auto"/>
              <w:ind w:firstLine="480" w:firstLineChars="200"/>
              <w:rPr>
                <w:color w:val="auto"/>
                <w:kern w:val="0"/>
                <w:sz w:val="24"/>
                <w:szCs w:val="20"/>
                <w:highlight w:val="none"/>
              </w:rPr>
            </w:pPr>
            <w:r>
              <w:rPr>
                <w:color w:val="auto"/>
                <w:kern w:val="0"/>
                <w:sz w:val="24"/>
                <w:szCs w:val="20"/>
                <w:highlight w:val="none"/>
              </w:rPr>
              <w:t>i、起尘物料均应室内暂存，起尘原材料覆盖存放，大风季节严禁施工，启动Ⅲ级（黄色）或以上重污染天气预警或气象预报，风速达到四级以上时，不得进行土方挖填、转运等易产生扬尘的作业；加强对运输辆装载量的管理，严禁超载，并要求运输车辆加盖篷布或使用带盖箱体密封车；</w:t>
            </w:r>
          </w:p>
          <w:p w14:paraId="6BD26AA3">
            <w:pPr>
              <w:autoSpaceDE w:val="0"/>
              <w:autoSpaceDN w:val="0"/>
              <w:spacing w:line="360" w:lineRule="auto"/>
              <w:ind w:firstLine="480" w:firstLineChars="200"/>
              <w:rPr>
                <w:color w:val="auto"/>
                <w:kern w:val="0"/>
                <w:sz w:val="24"/>
                <w:highlight w:val="none"/>
              </w:rPr>
            </w:pPr>
            <w:r>
              <w:rPr>
                <w:color w:val="auto"/>
                <w:kern w:val="0"/>
                <w:sz w:val="24"/>
                <w:highlight w:val="none"/>
              </w:rPr>
              <w:t>j、加强施工管理，贯彻边施工、边防护的原则，施工现场在敏感区域段设围栏，减少施工扬尘的扩散及景观影响，同时对施工过程中尘土进行定期清理，每日洒水抑尘。</w:t>
            </w:r>
          </w:p>
          <w:p w14:paraId="1811F870">
            <w:pPr>
              <w:autoSpaceDE w:val="0"/>
              <w:autoSpaceDN w:val="0"/>
              <w:spacing w:line="360" w:lineRule="auto"/>
              <w:ind w:firstLine="480" w:firstLineChars="200"/>
              <w:rPr>
                <w:color w:val="auto"/>
                <w:kern w:val="0"/>
                <w:sz w:val="24"/>
                <w:highlight w:val="none"/>
              </w:rPr>
            </w:pPr>
            <w:r>
              <w:rPr>
                <w:color w:val="auto"/>
                <w:kern w:val="0"/>
                <w:sz w:val="24"/>
                <w:highlight w:val="none"/>
              </w:rPr>
              <w:t>②车辆尾气</w:t>
            </w:r>
          </w:p>
          <w:p w14:paraId="60E3BD7B">
            <w:pPr>
              <w:autoSpaceDE w:val="0"/>
              <w:autoSpaceDN w:val="0"/>
              <w:spacing w:line="360" w:lineRule="auto"/>
              <w:ind w:firstLine="480" w:firstLineChars="200"/>
              <w:rPr>
                <w:color w:val="000000" w:themeColor="text1"/>
                <w:kern w:val="0"/>
                <w:sz w:val="24"/>
                <w:highlight w:val="none"/>
                <w14:textFill>
                  <w14:solidFill>
                    <w14:schemeClr w14:val="tx1"/>
                  </w14:solidFill>
                </w14:textFill>
              </w:rPr>
            </w:pPr>
            <w:r>
              <w:rPr>
                <w:color w:val="auto"/>
                <w:kern w:val="0"/>
                <w:sz w:val="24"/>
                <w:highlight w:val="none"/>
              </w:rPr>
              <w:t>施工车辆废气污染物主要是氮氧化物、一氧化碳，由于施工期车辆具有不确定性，且排放量较</w:t>
            </w:r>
            <w:r>
              <w:rPr>
                <w:color w:val="000000" w:themeColor="text1"/>
                <w:kern w:val="0"/>
                <w:sz w:val="24"/>
                <w:highlight w:val="none"/>
                <w14:textFill>
                  <w14:solidFill>
                    <w14:schemeClr w14:val="tx1"/>
                  </w14:solidFill>
                </w14:textFill>
              </w:rPr>
              <w:t>小、影响持续时间较短。</w:t>
            </w:r>
            <w:r>
              <w:rPr>
                <w:rFonts w:hint="eastAsia"/>
                <w:color w:val="000000" w:themeColor="text1"/>
                <w:kern w:val="0"/>
                <w:sz w:val="24"/>
                <w:highlight w:val="none"/>
                <w:lang w:val="en-US" w:eastAsia="zh-CN"/>
                <w14:textFill>
                  <w14:solidFill>
                    <w14:schemeClr w14:val="tx1"/>
                  </w14:solidFill>
                </w14:textFill>
              </w:rPr>
              <w:t>本项目</w:t>
            </w:r>
            <w:r>
              <w:rPr>
                <w:rFonts w:hint="default"/>
                <w:color w:val="000000" w:themeColor="text1"/>
                <w:kern w:val="0"/>
                <w:sz w:val="24"/>
                <w:highlight w:val="none"/>
                <w14:textFill>
                  <w14:solidFill>
                    <w14:schemeClr w14:val="tx1"/>
                  </w14:solidFill>
                </w14:textFill>
              </w:rPr>
              <w:t>选用尾气排放合格的施工</w:t>
            </w:r>
            <w:r>
              <w:rPr>
                <w:rFonts w:hint="eastAsia"/>
                <w:color w:val="000000" w:themeColor="text1"/>
                <w:kern w:val="0"/>
                <w:sz w:val="24"/>
                <w:highlight w:val="none"/>
                <w:lang w:val="en-US" w:eastAsia="zh-CN"/>
                <w14:textFill>
                  <w14:solidFill>
                    <w14:schemeClr w14:val="tx1"/>
                  </w14:solidFill>
                </w14:textFill>
              </w:rPr>
              <w:t>车辆</w:t>
            </w:r>
            <w:r>
              <w:rPr>
                <w:rFonts w:hint="default"/>
                <w:color w:val="000000" w:themeColor="text1"/>
                <w:kern w:val="0"/>
                <w:sz w:val="24"/>
                <w:highlight w:val="none"/>
                <w14:textFill>
                  <w14:solidFill>
                    <w14:schemeClr w14:val="tx1"/>
                  </w14:solidFill>
                </w14:textFill>
              </w:rPr>
              <w:t>，禁止使用淘汰、报废车辆进行施工</w:t>
            </w:r>
            <w:r>
              <w:rPr>
                <w:rFonts w:hint="eastAsia"/>
                <w:color w:val="000000" w:themeColor="text1"/>
                <w:kern w:val="0"/>
                <w:sz w:val="24"/>
                <w:highlight w:val="none"/>
                <w:lang w:eastAsia="zh-CN"/>
                <w14:textFill>
                  <w14:solidFill>
                    <w14:schemeClr w14:val="tx1"/>
                  </w14:solidFill>
                </w14:textFill>
              </w:rPr>
              <w:t>；</w:t>
            </w:r>
            <w:r>
              <w:rPr>
                <w:rFonts w:hint="default"/>
                <w:color w:val="000000" w:themeColor="text1"/>
                <w:kern w:val="0"/>
                <w:sz w:val="24"/>
                <w:highlight w:val="none"/>
                <w14:textFill>
                  <w14:solidFill>
                    <w14:schemeClr w14:val="tx1"/>
                  </w14:solidFill>
                </w14:textFill>
              </w:rPr>
              <w:t>加强施工机械和车辆的维护保养，确保尾气达标排放</w:t>
            </w:r>
            <w:r>
              <w:rPr>
                <w:rFonts w:hint="eastAsia"/>
                <w:color w:val="000000" w:themeColor="text1"/>
                <w:kern w:val="0"/>
                <w:sz w:val="24"/>
                <w:highlight w:val="none"/>
                <w:lang w:eastAsia="zh-CN"/>
                <w14:textFill>
                  <w14:solidFill>
                    <w14:schemeClr w14:val="tx1"/>
                  </w14:solidFill>
                </w14:textFill>
              </w:rPr>
              <w:t>；</w:t>
            </w:r>
            <w:r>
              <w:rPr>
                <w:rFonts w:hint="default"/>
                <w:color w:val="000000" w:themeColor="text1"/>
                <w:kern w:val="0"/>
                <w:sz w:val="24"/>
                <w:highlight w:val="none"/>
                <w14:textFill>
                  <w14:solidFill>
                    <w14:schemeClr w14:val="tx1"/>
                  </w14:solidFill>
                </w14:textFill>
              </w:rPr>
              <w:t>合理调度，减少车辆怠速和低速行驶时间。</w:t>
            </w:r>
            <w:r>
              <w:rPr>
                <w:color w:val="000000" w:themeColor="text1"/>
                <w:kern w:val="0"/>
                <w:sz w:val="24"/>
                <w:highlight w:val="none"/>
                <w14:textFill>
                  <w14:solidFill>
                    <w14:schemeClr w14:val="tx1"/>
                  </w14:solidFill>
                </w14:textFill>
              </w:rPr>
              <w:t>车辆排放的尾气对环境影响可接受。</w:t>
            </w:r>
          </w:p>
          <w:p w14:paraId="3E5620C8">
            <w:pPr>
              <w:spacing w:line="360" w:lineRule="auto"/>
              <w:ind w:firstLine="48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③制浆区粉尘</w:t>
            </w:r>
          </w:p>
          <w:p w14:paraId="1EE16A95">
            <w:pPr>
              <w:spacing w:line="360" w:lineRule="auto"/>
              <w:ind w:firstLine="48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制浆区</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粉煤灰</w:t>
            </w:r>
            <w:r>
              <w:rPr>
                <w:bCs/>
                <w:color w:val="000000" w:themeColor="text1"/>
                <w:sz w:val="24"/>
                <w:highlight w:val="none"/>
                <w14:textFill>
                  <w14:solidFill>
                    <w14:schemeClr w14:val="tx1"/>
                  </w14:solidFill>
                </w14:textFill>
              </w:rPr>
              <w:t>物料通过密闭的螺旋输送装置送入密闭的搅拌设备内进行搅拌制浆。</w:t>
            </w:r>
            <w:r>
              <w:rPr>
                <w:rFonts w:hint="eastAsia"/>
                <w:bCs/>
                <w:color w:val="000000" w:themeColor="text1"/>
                <w:sz w:val="24"/>
                <w:highlight w:val="none"/>
                <w:lang w:val="en-US" w:eastAsia="zh-CN"/>
                <w14:textFill>
                  <w14:solidFill>
                    <w14:schemeClr w14:val="tx1"/>
                  </w14:solidFill>
                </w14:textFill>
              </w:rPr>
              <w:t>粉煤灰</w:t>
            </w:r>
            <w:r>
              <w:rPr>
                <w:bCs/>
                <w:color w:val="000000" w:themeColor="text1"/>
                <w:sz w:val="24"/>
                <w:highlight w:val="none"/>
                <w14:textFill>
                  <w14:solidFill>
                    <w14:schemeClr w14:val="tx1"/>
                  </w14:solidFill>
                </w14:textFill>
              </w:rPr>
              <w:t>输送和搅拌过程无粉尘产生。制浆区废气主要由于</w:t>
            </w:r>
            <w:r>
              <w:rPr>
                <w:rFonts w:hint="eastAsia"/>
                <w:bCs/>
                <w:color w:val="000000" w:themeColor="text1"/>
                <w:sz w:val="24"/>
                <w:highlight w:val="none"/>
                <w:lang w:val="en-US" w:eastAsia="zh-CN"/>
                <w14:textFill>
                  <w14:solidFill>
                    <w14:schemeClr w14:val="tx1"/>
                  </w14:solidFill>
                </w14:textFill>
              </w:rPr>
              <w:t>粉煤灰</w:t>
            </w:r>
            <w:r>
              <w:rPr>
                <w:bCs/>
                <w:color w:val="000000" w:themeColor="text1"/>
                <w:sz w:val="24"/>
                <w:highlight w:val="none"/>
                <w14:textFill>
                  <w14:solidFill>
                    <w14:schemeClr w14:val="tx1"/>
                  </w14:solidFill>
                </w14:textFill>
              </w:rPr>
              <w:t>物料入罐时产生的粉尘。</w:t>
            </w:r>
          </w:p>
          <w:p w14:paraId="5F12B9D9">
            <w:pPr>
              <w:spacing w:line="360" w:lineRule="auto"/>
              <w:ind w:firstLine="48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制浆区设置</w:t>
            </w:r>
            <w:r>
              <w:rPr>
                <w:rFonts w:hint="eastAsia"/>
                <w:bCs/>
                <w:color w:val="000000" w:themeColor="text1"/>
                <w:sz w:val="24"/>
                <w:highlight w:val="none"/>
                <w:lang w:val="en-US" w:eastAsia="zh-CN"/>
                <w14:textFill>
                  <w14:solidFill>
                    <w14:schemeClr w14:val="tx1"/>
                  </w14:solidFill>
                </w14:textFill>
              </w:rPr>
              <w:t>6</w:t>
            </w:r>
            <w:r>
              <w:rPr>
                <w:rFonts w:hint="default"/>
                <w:bCs/>
                <w:color w:val="000000" w:themeColor="text1"/>
                <w:sz w:val="24"/>
                <w:highlight w:val="none"/>
                <w14:textFill>
                  <w14:solidFill>
                    <w14:schemeClr w14:val="tx1"/>
                  </w14:solidFill>
                </w14:textFill>
              </w:rPr>
              <w:t>个100</w:t>
            </w:r>
            <w:r>
              <w:rPr>
                <w:rFonts w:hint="eastAsia"/>
                <w:bCs/>
                <w:color w:val="000000" w:themeColor="text1"/>
                <w:sz w:val="24"/>
                <w:highlight w:val="none"/>
                <w:lang w:val="en-US" w:eastAsia="zh-CN"/>
                <w14:textFill>
                  <w14:solidFill>
                    <w14:schemeClr w14:val="tx1"/>
                  </w14:solidFill>
                </w14:textFill>
              </w:rPr>
              <w:t>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储灰罐</w:t>
            </w:r>
            <w:r>
              <w:rPr>
                <w:rFonts w:hint="default"/>
                <w:bCs/>
                <w:color w:val="000000" w:themeColor="text1"/>
                <w:sz w:val="24"/>
                <w:highlight w:val="none"/>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粉煤灰由散装罐车</w:t>
            </w:r>
            <w:r>
              <w:rPr>
                <w:rFonts w:hint="default"/>
                <w:bCs/>
                <w:color w:val="000000" w:themeColor="text1"/>
                <w:sz w:val="24"/>
                <w:highlight w:val="none"/>
                <w14:textFill>
                  <w14:solidFill>
                    <w14:schemeClr w14:val="tx1"/>
                  </w14:solidFill>
                </w14:textFill>
              </w:rPr>
              <w:t>卸料入罐产生的粉尘经滤芯式布袋除尘器（除尘效率99.7%）处理后自罐体顶部排放</w:t>
            </w:r>
            <w:r>
              <w:rPr>
                <w:bCs/>
                <w:color w:val="000000" w:themeColor="text1"/>
                <w:sz w:val="24"/>
                <w:highlight w:val="none"/>
                <w14:textFill>
                  <w14:solidFill>
                    <w14:schemeClr w14:val="tx1"/>
                  </w14:solidFill>
                </w14:textFill>
              </w:rPr>
              <w:t>。</w:t>
            </w:r>
          </w:p>
          <w:p w14:paraId="53CB285A">
            <w:pPr>
              <w:autoSpaceDE w:val="0"/>
              <w:autoSpaceDN w:val="0"/>
              <w:spacing w:line="360" w:lineRule="auto"/>
              <w:ind w:firstLine="480" w:firstLineChars="200"/>
              <w:rPr>
                <w:rFonts w:hint="default"/>
                <w:color w:val="000000" w:themeColor="text1"/>
                <w:kern w:val="0"/>
                <w:sz w:val="24"/>
                <w:highlight w:val="none"/>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水泥、粉煤灰</w:t>
            </w:r>
            <w:r>
              <w:rPr>
                <w:color w:val="000000" w:themeColor="text1"/>
                <w:kern w:val="0"/>
                <w:sz w:val="24"/>
                <w:highlight w:val="none"/>
                <w14:textFill>
                  <w14:solidFill>
                    <w14:schemeClr w14:val="tx1"/>
                  </w14:solidFill>
                </w14:textFill>
              </w:rPr>
              <w:t xml:space="preserve">卸料时粉尘产生源强参照《排放源统计调查产排污核算方法和系数手册》中水泥制品制造（含3022 砼结构构件制造、3029 </w:t>
            </w:r>
            <w:r>
              <w:rPr>
                <w:color w:val="auto"/>
                <w:kern w:val="0"/>
                <w:sz w:val="24"/>
                <w:highlight w:val="none"/>
              </w:rPr>
              <w:t>其他水泥类似制品制造）行业系数手册进行计算。颗粒物产污系数为0.1</w:t>
            </w:r>
            <w:r>
              <w:rPr>
                <w:rFonts w:hint="eastAsia"/>
                <w:color w:val="auto"/>
                <w:kern w:val="0"/>
                <w:sz w:val="24"/>
                <w:highlight w:val="none"/>
                <w:lang w:val="en-US" w:eastAsia="zh-CN"/>
              </w:rPr>
              <w:t>2</w:t>
            </w:r>
            <w:r>
              <w:rPr>
                <w:color w:val="auto"/>
                <w:kern w:val="0"/>
                <w:sz w:val="24"/>
                <w:highlight w:val="none"/>
              </w:rPr>
              <w:t>kg/t产品，本项目施工期</w:t>
            </w:r>
            <w:r>
              <w:rPr>
                <w:rFonts w:hint="eastAsia"/>
                <w:color w:val="auto"/>
                <w:kern w:val="0"/>
                <w:sz w:val="24"/>
                <w:highlight w:val="none"/>
                <w:lang w:val="en-US" w:eastAsia="zh-CN"/>
              </w:rPr>
              <w:t>粉煤灰</w:t>
            </w:r>
            <w:r>
              <w:rPr>
                <w:color w:val="auto"/>
                <w:kern w:val="0"/>
                <w:sz w:val="24"/>
                <w:highlight w:val="none"/>
              </w:rPr>
              <w:t>使用量为</w:t>
            </w:r>
            <w:r>
              <w:rPr>
                <w:rFonts w:hint="eastAsia"/>
                <w:color w:val="auto"/>
                <w:kern w:val="0"/>
                <w:sz w:val="24"/>
                <w:highlight w:val="none"/>
                <w:lang w:val="en-US" w:eastAsia="zh-CN"/>
              </w:rPr>
              <w:t>15万</w:t>
            </w:r>
            <w:r>
              <w:rPr>
                <w:color w:val="auto"/>
                <w:kern w:val="0"/>
                <w:sz w:val="24"/>
                <w:highlight w:val="none"/>
              </w:rPr>
              <w:t>吨，</w:t>
            </w:r>
            <w:r>
              <w:rPr>
                <w:rFonts w:hint="eastAsia"/>
                <w:color w:val="auto"/>
                <w:kern w:val="0"/>
                <w:sz w:val="24"/>
                <w:highlight w:val="none"/>
                <w:lang w:val="en-US" w:eastAsia="zh-CN"/>
              </w:rPr>
              <w:t>水泥使用量为130t，</w:t>
            </w:r>
            <w:r>
              <w:rPr>
                <w:color w:val="auto"/>
                <w:kern w:val="0"/>
                <w:sz w:val="24"/>
                <w:highlight w:val="none"/>
              </w:rPr>
              <w:t>因此施工期颗粒物产生量为</w:t>
            </w:r>
            <w:r>
              <w:rPr>
                <w:rFonts w:hint="eastAsia"/>
                <w:color w:val="auto"/>
                <w:kern w:val="0"/>
                <w:sz w:val="24"/>
                <w:highlight w:val="none"/>
                <w:lang w:val="en-US" w:eastAsia="zh-CN"/>
              </w:rPr>
              <w:t>18</w:t>
            </w:r>
            <w:r>
              <w:rPr>
                <w:color w:val="auto"/>
                <w:kern w:val="0"/>
                <w:sz w:val="24"/>
                <w:highlight w:val="none"/>
              </w:rPr>
              <w:t>t，颗粒物经滤芯式布袋除尘器处理后自罐体顶</w:t>
            </w:r>
            <w:r>
              <w:rPr>
                <w:color w:val="000000" w:themeColor="text1"/>
                <w:kern w:val="0"/>
                <w:sz w:val="24"/>
                <w:highlight w:val="none"/>
                <w14:textFill>
                  <w14:solidFill>
                    <w14:schemeClr w14:val="tx1"/>
                  </w14:solidFill>
                </w14:textFill>
              </w:rPr>
              <w:t>部排放，布袋除尘器除尘除尘效率取99.7%，因此施工期制浆区颗粒物排放量为0.</w:t>
            </w:r>
            <w:r>
              <w:rPr>
                <w:rFonts w:hint="eastAsia"/>
                <w:color w:val="000000" w:themeColor="text1"/>
                <w:kern w:val="0"/>
                <w:sz w:val="24"/>
                <w:highlight w:val="none"/>
                <w:lang w:val="en-US" w:eastAsia="zh-CN"/>
                <w14:textFill>
                  <w14:solidFill>
                    <w14:schemeClr w14:val="tx1"/>
                  </w14:solidFill>
                </w14:textFill>
              </w:rPr>
              <w:t>054</w:t>
            </w:r>
            <w:r>
              <w:rPr>
                <w:rFonts w:hint="eastAsia"/>
                <w:color w:val="000000" w:themeColor="text1"/>
                <w:kern w:val="0"/>
                <w:sz w:val="24"/>
                <w:highlight w:val="none"/>
                <w14:textFill>
                  <w14:solidFill>
                    <w14:schemeClr w14:val="tx1"/>
                  </w14:solidFill>
                </w14:textFill>
              </w:rPr>
              <w:t>t</w:t>
            </w:r>
            <w:r>
              <w:rPr>
                <w:rFonts w:hint="eastAsia"/>
                <w:color w:val="000000" w:themeColor="text1"/>
                <w:kern w:val="0"/>
                <w:sz w:val="24"/>
                <w:highlight w:val="none"/>
                <w:lang w:eastAsia="zh-CN"/>
                <w14:textFill>
                  <w14:solidFill>
                    <w14:schemeClr w14:val="tx1"/>
                  </w14:solidFill>
                </w14:textFill>
              </w:rPr>
              <w:t>，</w:t>
            </w:r>
            <w:r>
              <w:rPr>
                <w:rFonts w:hint="default"/>
                <w:color w:val="000000" w:themeColor="text1"/>
                <w:kern w:val="0"/>
                <w:sz w:val="24"/>
                <w:highlight w:val="none"/>
                <w14:textFill>
                  <w14:solidFill>
                    <w14:schemeClr w14:val="tx1"/>
                  </w14:solidFill>
                </w14:textFill>
              </w:rPr>
              <w:t>按施工期</w:t>
            </w:r>
            <w:r>
              <w:rPr>
                <w:rFonts w:hint="eastAsia"/>
                <w:color w:val="000000" w:themeColor="text1"/>
                <w:kern w:val="0"/>
                <w:sz w:val="24"/>
                <w:highlight w:val="none"/>
                <w:lang w:val="en-US" w:eastAsia="zh-CN"/>
                <w14:textFill>
                  <w14:solidFill>
                    <w14:schemeClr w14:val="tx1"/>
                  </w14:solidFill>
                </w14:textFill>
              </w:rPr>
              <w:t>365</w:t>
            </w:r>
            <w:r>
              <w:rPr>
                <w:rFonts w:hint="default"/>
                <w:color w:val="000000" w:themeColor="text1"/>
                <w:kern w:val="0"/>
                <w:sz w:val="24"/>
                <w:highlight w:val="none"/>
                <w14:textFill>
                  <w14:solidFill>
                    <w14:schemeClr w14:val="tx1"/>
                  </w14:solidFill>
                </w14:textFill>
              </w:rPr>
              <w:t>天、每天卸料时间按2h计，总排放时间约</w:t>
            </w:r>
            <w:r>
              <w:rPr>
                <w:rFonts w:hint="eastAsia"/>
                <w:color w:val="000000" w:themeColor="text1"/>
                <w:kern w:val="0"/>
                <w:sz w:val="24"/>
                <w:highlight w:val="none"/>
                <w:lang w:val="en-US" w:eastAsia="zh-CN"/>
                <w14:textFill>
                  <w14:solidFill>
                    <w14:schemeClr w14:val="tx1"/>
                  </w14:solidFill>
                </w14:textFill>
              </w:rPr>
              <w:t>730</w:t>
            </w:r>
            <w:r>
              <w:rPr>
                <w:rFonts w:hint="default"/>
                <w:color w:val="000000" w:themeColor="text1"/>
                <w:kern w:val="0"/>
                <w:sz w:val="24"/>
                <w:highlight w:val="none"/>
                <w14:textFill>
                  <w14:solidFill>
                    <w14:schemeClr w14:val="tx1"/>
                  </w14:solidFill>
                </w14:textFill>
              </w:rPr>
              <w:t>h</w:t>
            </w:r>
            <w:r>
              <w:rPr>
                <w:rFonts w:hint="eastAsia"/>
                <w:color w:val="000000" w:themeColor="text1"/>
                <w:kern w:val="0"/>
                <w:sz w:val="24"/>
                <w:highlight w:val="none"/>
                <w:lang w:eastAsia="zh-CN"/>
                <w14:textFill>
                  <w14:solidFill>
                    <w14:schemeClr w14:val="tx1"/>
                  </w14:solidFill>
                </w14:textFill>
              </w:rPr>
              <w:t>，</w:t>
            </w:r>
            <w:r>
              <w:rPr>
                <w:rFonts w:hint="default"/>
                <w:color w:val="000000" w:themeColor="text1"/>
                <w:kern w:val="0"/>
                <w:sz w:val="24"/>
                <w:highlight w:val="none"/>
                <w14:textFill>
                  <w14:solidFill>
                    <w14:schemeClr w14:val="tx1"/>
                  </w14:solidFill>
                </w14:textFill>
              </w:rPr>
              <w:t>排放速率</w:t>
            </w:r>
            <w:r>
              <w:rPr>
                <w:rFonts w:hint="eastAsia"/>
                <w:color w:val="000000" w:themeColor="text1"/>
                <w:kern w:val="0"/>
                <w:sz w:val="24"/>
                <w:highlight w:val="none"/>
                <w:lang w:val="en-US" w:eastAsia="zh-CN"/>
                <w14:textFill>
                  <w14:solidFill>
                    <w14:schemeClr w14:val="tx1"/>
                  </w14:solidFill>
                </w14:textFill>
              </w:rPr>
              <w:t>为</w:t>
            </w:r>
            <w:r>
              <w:rPr>
                <w:rFonts w:hint="default"/>
                <w:color w:val="000000" w:themeColor="text1"/>
                <w:kern w:val="0"/>
                <w:sz w:val="24"/>
                <w:highlight w:val="none"/>
                <w14:textFill>
                  <w14:solidFill>
                    <w14:schemeClr w14:val="tx1"/>
                  </w14:solidFill>
                </w14:textFill>
              </w:rPr>
              <w:t>0</w:t>
            </w:r>
            <w:r>
              <w:rPr>
                <w:rFonts w:hint="eastAsia"/>
                <w:color w:val="000000" w:themeColor="text1"/>
                <w:kern w:val="0"/>
                <w:sz w:val="24"/>
                <w:highlight w:val="none"/>
                <w:lang w:val="en-US" w:eastAsia="zh-CN"/>
                <w14:textFill>
                  <w14:solidFill>
                    <w14:schemeClr w14:val="tx1"/>
                  </w14:solidFill>
                </w14:textFill>
              </w:rPr>
              <w:t>.0740</w:t>
            </w:r>
            <w:r>
              <w:rPr>
                <w:rFonts w:hint="default"/>
                <w:color w:val="000000" w:themeColor="text1"/>
                <w:kern w:val="0"/>
                <w:sz w:val="24"/>
                <w:highlight w:val="none"/>
                <w14:textFill>
                  <w14:solidFill>
                    <w14:schemeClr w14:val="tx1"/>
                  </w14:solidFill>
                </w14:textFill>
              </w:rPr>
              <w:t>kg/h</w:t>
            </w:r>
            <w:r>
              <w:rPr>
                <w:rFonts w:hint="eastAsia"/>
                <w:color w:val="000000" w:themeColor="text1"/>
                <w:kern w:val="0"/>
                <w:sz w:val="24"/>
                <w:highlight w:val="none"/>
                <w:lang w:eastAsia="zh-CN"/>
                <w14:textFill>
                  <w14:solidFill>
                    <w14:schemeClr w14:val="tx1"/>
                  </w14:solidFill>
                </w14:textFill>
              </w:rPr>
              <w:t>。</w:t>
            </w:r>
            <w:r>
              <w:rPr>
                <w:rFonts w:hint="default"/>
                <w:color w:val="000000" w:themeColor="text1"/>
                <w:kern w:val="0"/>
                <w:sz w:val="24"/>
                <w:highlight w:val="none"/>
                <w14:textFill>
                  <w14:solidFill>
                    <w14:schemeClr w14:val="tx1"/>
                  </w14:solidFill>
                </w14:textFill>
              </w:rPr>
              <w:t>仓顶除尘器风量</w:t>
            </w:r>
            <w:r>
              <w:rPr>
                <w:rFonts w:hint="eastAsia"/>
                <w:color w:val="000000" w:themeColor="text1"/>
                <w:kern w:val="0"/>
                <w:sz w:val="24"/>
                <w:highlight w:val="none"/>
                <w:lang w:val="en-US" w:eastAsia="zh-CN"/>
                <w14:textFill>
                  <w14:solidFill>
                    <w14:schemeClr w14:val="tx1"/>
                  </w14:solidFill>
                </w14:textFill>
              </w:rPr>
              <w:t>为20000</w:t>
            </w:r>
            <w:r>
              <w:rPr>
                <w:rFonts w:hint="default"/>
                <w:color w:val="000000" w:themeColor="text1"/>
                <w:kern w:val="0"/>
                <w:sz w:val="24"/>
                <w:highlight w:val="none"/>
                <w14:textFill>
                  <w14:solidFill>
                    <w14:schemeClr w14:val="tx1"/>
                  </w14:solidFill>
                </w14:textFill>
              </w:rPr>
              <w:t>m³/h</w:t>
            </w:r>
            <w:r>
              <w:rPr>
                <w:rFonts w:hint="eastAsia"/>
                <w:color w:val="000000" w:themeColor="text1"/>
                <w:kern w:val="0"/>
                <w:sz w:val="24"/>
                <w:highlight w:val="none"/>
                <w:lang w:eastAsia="zh-CN"/>
                <w14:textFill>
                  <w14:solidFill>
                    <w14:schemeClr w14:val="tx1"/>
                  </w14:solidFill>
                </w14:textFill>
              </w:rPr>
              <w:t>，</w:t>
            </w:r>
            <w:r>
              <w:rPr>
                <w:rFonts w:hint="default"/>
                <w:color w:val="000000" w:themeColor="text1"/>
                <w:kern w:val="0"/>
                <w:sz w:val="24"/>
                <w:highlight w:val="none"/>
                <w14:textFill>
                  <w14:solidFill>
                    <w14:schemeClr w14:val="tx1"/>
                  </w14:solidFill>
                </w14:textFill>
              </w:rPr>
              <w:t>排放浓度</w:t>
            </w:r>
            <w:r>
              <w:rPr>
                <w:rFonts w:hint="eastAsia"/>
                <w:color w:val="000000" w:themeColor="text1"/>
                <w:kern w:val="0"/>
                <w:sz w:val="24"/>
                <w:highlight w:val="none"/>
                <w:lang w:val="en-US" w:eastAsia="zh-CN"/>
                <w14:textFill>
                  <w14:solidFill>
                    <w14:schemeClr w14:val="tx1"/>
                  </w14:solidFill>
                </w14:textFill>
              </w:rPr>
              <w:t>约为3.7</w:t>
            </w:r>
            <w:r>
              <w:rPr>
                <w:rFonts w:hint="default"/>
                <w:color w:val="000000" w:themeColor="text1"/>
                <w:kern w:val="0"/>
                <w:sz w:val="24"/>
                <w:highlight w:val="none"/>
                <w14:textFill>
                  <w14:solidFill>
                    <w14:schemeClr w14:val="tx1"/>
                  </w14:solidFill>
                </w14:textFill>
              </w:rPr>
              <w:t>mg/m³</w:t>
            </w:r>
            <w:r>
              <w:rPr>
                <w:rFonts w:hint="eastAsia"/>
                <w:color w:val="000000" w:themeColor="text1"/>
                <w:kern w:val="0"/>
                <w:sz w:val="24"/>
                <w:highlight w:val="none"/>
                <w:lang w:eastAsia="zh-CN"/>
                <w14:textFill>
                  <w14:solidFill>
                    <w14:schemeClr w14:val="tx1"/>
                  </w14:solidFill>
                </w14:textFill>
              </w:rPr>
              <w:t>，</w:t>
            </w:r>
            <w:r>
              <w:rPr>
                <w:rFonts w:hint="default"/>
                <w:color w:val="000000" w:themeColor="text1"/>
                <w:kern w:val="0"/>
                <w:sz w:val="24"/>
                <w:highlight w:val="none"/>
                <w14:textFill>
                  <w14:solidFill>
                    <w14:schemeClr w14:val="tx1"/>
                  </w14:solidFill>
                </w14:textFill>
              </w:rPr>
              <w:t>远低于标准限值10mg/m³，可达标排放。</w:t>
            </w:r>
          </w:p>
          <w:p w14:paraId="30FCB35A">
            <w:pPr>
              <w:autoSpaceDE w:val="0"/>
              <w:autoSpaceDN w:val="0"/>
              <w:spacing w:line="360" w:lineRule="auto"/>
              <w:ind w:firstLine="480" w:firstLineChars="200"/>
              <w:rPr>
                <w:rFonts w:hint="default"/>
                <w:color w:val="000000" w:themeColor="text1"/>
                <w:kern w:val="0"/>
                <w:sz w:val="24"/>
                <w:highlight w:val="none"/>
                <w14:textFill>
                  <w14:solidFill>
                    <w14:schemeClr w14:val="tx1"/>
                  </w14:solidFill>
                </w14:textFill>
              </w:rPr>
            </w:pPr>
            <w:r>
              <w:rPr>
                <w:rFonts w:hint="eastAsia"/>
                <w:color w:val="000000" w:themeColor="text1"/>
                <w:kern w:val="0"/>
                <w:sz w:val="24"/>
                <w:highlight w:val="none"/>
                <w:lang w:val="en-US" w:eastAsia="zh-CN"/>
                <w14:textFill>
                  <w14:solidFill>
                    <w14:schemeClr w14:val="tx1"/>
                  </w14:solidFill>
                </w14:textFill>
              </w:rPr>
              <w:t>储灰</w:t>
            </w:r>
            <w:r>
              <w:rPr>
                <w:rFonts w:hint="default"/>
                <w:color w:val="000000" w:themeColor="text1"/>
                <w:kern w:val="0"/>
                <w:sz w:val="24"/>
                <w:highlight w:val="none"/>
                <w14:textFill>
                  <w14:solidFill>
                    <w14:schemeClr w14:val="tx1"/>
                  </w14:solidFill>
                </w14:textFill>
              </w:rPr>
              <w:t>罐为密闭设备，卸料粉尘经罐顶布袋除尘器处理后排放，无组织逸散量极低。布袋除尘器收集的粉尘直接回落至罐内，不产生二次扬尘。类比同类水泥制品项目，仓顶除尘器处理后周界外颗粒物浓度远低于0.5mg/m³，可满足《水泥工业大气污染物排放标准》（DB34/3576-2020）表2限值要求（颗粒物0.5mg/m³）。</w:t>
            </w:r>
          </w:p>
          <w:p w14:paraId="70BE5639">
            <w:pPr>
              <w:spacing w:line="360" w:lineRule="auto"/>
              <w:ind w:firstLine="480" w:firstLineChars="200"/>
              <w:rPr>
                <w:rFonts w:hint="default" w:ascii="Times New Roman" w:hAnsi="Times New Roman" w:eastAsia="宋体" w:cs="Times New Roman"/>
                <w:bCs/>
                <w:sz w:val="24"/>
                <w:szCs w:val="24"/>
                <w:highlight w:val="none"/>
              </w:rPr>
            </w:pPr>
            <w:r>
              <w:rPr>
                <w:rFonts w:hint="eastAsia" w:ascii="宋体" w:hAnsi="宋体" w:eastAsia="宋体" w:cs="宋体"/>
                <w:bCs/>
                <w:sz w:val="24"/>
                <w:szCs w:val="24"/>
                <w:highlight w:val="none"/>
                <w:lang w:val="en-US" w:eastAsia="zh-CN"/>
              </w:rPr>
              <w:t>④</w:t>
            </w:r>
            <w:r>
              <w:rPr>
                <w:rFonts w:hint="default" w:ascii="Times New Roman" w:hAnsi="Times New Roman" w:eastAsia="宋体" w:cs="Times New Roman"/>
                <w:bCs/>
                <w:sz w:val="24"/>
                <w:szCs w:val="24"/>
                <w:highlight w:val="none"/>
                <w:lang w:val="en-US" w:eastAsia="zh-CN"/>
              </w:rPr>
              <w:t>柴油机烟气</w:t>
            </w:r>
          </w:p>
          <w:p w14:paraId="10016EE9">
            <w:pPr>
              <w:spacing w:line="360" w:lineRule="auto"/>
              <w:ind w:firstLine="480" w:firstLineChars="200"/>
              <w:rPr>
                <w:rFonts w:hint="default" w:ascii="Times New Roman" w:hAnsi="Times New Roman" w:eastAsia="宋体" w:cs="Times New Roman"/>
                <w:bCs/>
                <w:sz w:val="24"/>
                <w:szCs w:val="24"/>
                <w:highlight w:val="none"/>
              </w:rPr>
            </w:pPr>
            <w:r>
              <w:rPr>
                <w:rFonts w:hint="default" w:ascii="Times New Roman" w:hAnsi="Times New Roman" w:eastAsia="宋体" w:cs="Times New Roman"/>
                <w:bCs/>
                <w:sz w:val="24"/>
                <w:szCs w:val="24"/>
                <w:highlight w:val="none"/>
                <w:lang w:val="en-US" w:eastAsia="zh-CN"/>
              </w:rPr>
              <w:t>柴油机燃烧废气：项目采用钻机钻井，钻井作业时，采用柴油机进行发电，柴油机给钻机上的各种设备如泥浆泵、钻机等提供动力，</w:t>
            </w:r>
            <w:r>
              <w:rPr>
                <w:rFonts w:ascii="Segoe UI" w:hAnsi="Segoe UI" w:eastAsia="Segoe UI" w:cs="Segoe UI"/>
                <w:i w:val="0"/>
                <w:iCs w:val="0"/>
                <w:caps w:val="0"/>
                <w:color w:val="0F1115"/>
                <w:spacing w:val="0"/>
                <w:sz w:val="24"/>
                <w:szCs w:val="24"/>
                <w:shd w:val="clear" w:fill="FFFFFF"/>
              </w:rPr>
              <w:t>本项目配备3台12V190-2000型柴油机作为应急备用电源，仅在市电中断时启用，日常不运行。</w:t>
            </w:r>
            <w:r>
              <w:rPr>
                <w:rFonts w:hint="default" w:ascii="Times New Roman" w:hAnsi="Times New Roman" w:eastAsia="宋体" w:cs="Times New Roman"/>
                <w:bCs/>
                <w:sz w:val="24"/>
                <w:szCs w:val="24"/>
                <w:highlight w:val="none"/>
                <w:lang w:val="en-US" w:eastAsia="zh-CN"/>
              </w:rPr>
              <w:t>柴油机的功率为315kW，根据建设单位提供数据，本项目柴油机</w:t>
            </w:r>
            <w:r>
              <w:rPr>
                <w:rFonts w:hint="eastAsia" w:cs="Times New Roman"/>
                <w:bCs/>
                <w:sz w:val="24"/>
                <w:szCs w:val="24"/>
                <w:highlight w:val="none"/>
                <w:lang w:val="en-US" w:eastAsia="zh-CN"/>
              </w:rPr>
              <w:t>年</w:t>
            </w:r>
            <w:r>
              <w:rPr>
                <w:rFonts w:hint="default" w:ascii="Times New Roman" w:hAnsi="Times New Roman" w:eastAsia="宋体" w:cs="Times New Roman"/>
                <w:bCs/>
                <w:sz w:val="24"/>
                <w:szCs w:val="24"/>
                <w:highlight w:val="none"/>
                <w:lang w:val="en-US" w:eastAsia="zh-CN"/>
              </w:rPr>
              <w:t>工作时间为</w:t>
            </w:r>
            <w:r>
              <w:rPr>
                <w:rFonts w:hint="eastAsia" w:cs="Times New Roman"/>
                <w:bCs/>
                <w:sz w:val="24"/>
                <w:szCs w:val="24"/>
                <w:highlight w:val="none"/>
                <w:lang w:val="en-US" w:eastAsia="zh-CN"/>
              </w:rPr>
              <w:t>20</w:t>
            </w:r>
            <w:r>
              <w:rPr>
                <w:rFonts w:hint="default" w:ascii="Times New Roman" w:hAnsi="Times New Roman" w:eastAsia="宋体" w:cs="Times New Roman"/>
                <w:bCs/>
                <w:sz w:val="24"/>
                <w:szCs w:val="24"/>
                <w:highlight w:val="none"/>
                <w:lang w:val="en-US" w:eastAsia="zh-CN"/>
              </w:rPr>
              <w:t>h，315kW柴油发电机每小时核定使用14L柴油，本项目使用两台柴油发电机，则柴油总用量为14L×</w:t>
            </w:r>
            <w:r>
              <w:rPr>
                <w:rFonts w:hint="eastAsia" w:cs="Times New Roman"/>
                <w:bCs/>
                <w:sz w:val="24"/>
                <w:szCs w:val="24"/>
                <w:highlight w:val="none"/>
                <w:lang w:val="en-US" w:eastAsia="zh-CN"/>
              </w:rPr>
              <w:t>20</w:t>
            </w:r>
            <w:r>
              <w:rPr>
                <w:rFonts w:hint="default" w:ascii="Times New Roman" w:hAnsi="Times New Roman" w:eastAsia="宋体" w:cs="Times New Roman"/>
                <w:bCs/>
                <w:sz w:val="24"/>
                <w:szCs w:val="24"/>
                <w:highlight w:val="none"/>
                <w:lang w:val="en-US" w:eastAsia="zh-CN"/>
              </w:rPr>
              <w:t>×</w:t>
            </w:r>
            <w:r>
              <w:rPr>
                <w:rFonts w:hint="eastAsia" w:cs="Times New Roman"/>
                <w:bCs/>
                <w:sz w:val="24"/>
                <w:szCs w:val="24"/>
                <w:highlight w:val="none"/>
                <w:lang w:val="en-US" w:eastAsia="zh-CN"/>
              </w:rPr>
              <w:t>3</w:t>
            </w:r>
            <w:r>
              <w:rPr>
                <w:rFonts w:hint="default" w:ascii="Times New Roman" w:hAnsi="Times New Roman" w:eastAsia="宋体" w:cs="Times New Roman"/>
                <w:bCs/>
                <w:sz w:val="24"/>
                <w:szCs w:val="24"/>
                <w:highlight w:val="none"/>
                <w:lang w:val="en-US" w:eastAsia="zh-CN"/>
              </w:rPr>
              <w:t>=</w:t>
            </w:r>
            <w:r>
              <w:rPr>
                <w:rFonts w:hint="eastAsia" w:cs="Times New Roman"/>
                <w:bCs/>
                <w:sz w:val="24"/>
                <w:szCs w:val="24"/>
                <w:highlight w:val="none"/>
                <w:lang w:val="en-US" w:eastAsia="zh-CN"/>
              </w:rPr>
              <w:t>840</w:t>
            </w:r>
            <w:r>
              <w:rPr>
                <w:rFonts w:hint="default" w:ascii="Times New Roman" w:hAnsi="Times New Roman" w:eastAsia="宋体" w:cs="Times New Roman"/>
                <w:bCs/>
                <w:sz w:val="24"/>
                <w:szCs w:val="24"/>
                <w:highlight w:val="none"/>
                <w:lang w:val="en-US" w:eastAsia="zh-CN"/>
              </w:rPr>
              <w:t>L。柴油的密度为0.835g/ml，则柴油总用量为</w:t>
            </w:r>
            <w:r>
              <w:rPr>
                <w:rFonts w:hint="eastAsia" w:cs="Times New Roman"/>
                <w:bCs/>
                <w:sz w:val="24"/>
                <w:szCs w:val="24"/>
                <w:highlight w:val="none"/>
                <w:lang w:val="en-US" w:eastAsia="zh-CN"/>
              </w:rPr>
              <w:t>0.7014</w:t>
            </w:r>
            <w:r>
              <w:rPr>
                <w:rFonts w:hint="default" w:ascii="Times New Roman" w:hAnsi="Times New Roman" w:eastAsia="宋体" w:cs="Times New Roman"/>
                <w:bCs/>
                <w:sz w:val="24"/>
                <w:szCs w:val="24"/>
                <w:highlight w:val="none"/>
                <w:lang w:val="en-US" w:eastAsia="zh-CN"/>
              </w:rPr>
              <w:t>t。项目使用的柴油为合格的轻质环保型柴油成品，柴油燃烧主要污染因子为SO2、NOx和烟尘。参照《油气田开发建设与环境影响》中关于钻井废气污染物排放系数，每燃烧1t柴油会产生SO2的量约为4kg，产生NOx的量约为2.83kg，产生烟尘的量约为11kg，则本项目SO2的排放量为</w:t>
            </w:r>
            <w:r>
              <w:rPr>
                <w:rFonts w:hint="eastAsia" w:cs="Times New Roman"/>
                <w:bCs/>
                <w:sz w:val="24"/>
                <w:szCs w:val="24"/>
                <w:highlight w:val="none"/>
                <w:lang w:val="en-US" w:eastAsia="zh-CN"/>
              </w:rPr>
              <w:t>0.0028</w:t>
            </w:r>
            <w:r>
              <w:rPr>
                <w:rFonts w:hint="default" w:ascii="Times New Roman" w:hAnsi="Times New Roman" w:eastAsia="宋体" w:cs="Times New Roman"/>
                <w:bCs/>
                <w:sz w:val="24"/>
                <w:szCs w:val="24"/>
                <w:highlight w:val="none"/>
                <w:lang w:val="en-US" w:eastAsia="zh-CN"/>
              </w:rPr>
              <w:t>t、排放速率为0.</w:t>
            </w:r>
            <w:r>
              <w:rPr>
                <w:rFonts w:hint="eastAsia" w:cs="Times New Roman"/>
                <w:bCs/>
                <w:sz w:val="24"/>
                <w:szCs w:val="24"/>
                <w:highlight w:val="none"/>
                <w:lang w:val="en-US" w:eastAsia="zh-CN"/>
              </w:rPr>
              <w:t>14</w:t>
            </w:r>
            <w:r>
              <w:rPr>
                <w:rFonts w:hint="default" w:ascii="Times New Roman" w:hAnsi="Times New Roman" w:eastAsia="宋体" w:cs="Times New Roman"/>
                <w:bCs/>
                <w:sz w:val="24"/>
                <w:szCs w:val="24"/>
                <w:highlight w:val="none"/>
                <w:lang w:val="en-US" w:eastAsia="zh-CN"/>
              </w:rPr>
              <w:t>kg/h，NOx的排放量0.</w:t>
            </w:r>
            <w:r>
              <w:rPr>
                <w:rFonts w:hint="eastAsia" w:cs="Times New Roman"/>
                <w:bCs/>
                <w:sz w:val="24"/>
                <w:szCs w:val="24"/>
                <w:highlight w:val="none"/>
                <w:lang w:val="en-US" w:eastAsia="zh-CN"/>
              </w:rPr>
              <w:t>0002</w:t>
            </w:r>
            <w:r>
              <w:rPr>
                <w:rFonts w:hint="default" w:ascii="Times New Roman" w:hAnsi="Times New Roman" w:eastAsia="宋体" w:cs="Times New Roman"/>
                <w:bCs/>
                <w:sz w:val="24"/>
                <w:szCs w:val="24"/>
                <w:highlight w:val="none"/>
                <w:lang w:val="en-US" w:eastAsia="zh-CN"/>
              </w:rPr>
              <w:t>t、排放速率为0.</w:t>
            </w:r>
            <w:r>
              <w:rPr>
                <w:rFonts w:hint="eastAsia" w:cs="Times New Roman"/>
                <w:bCs/>
                <w:sz w:val="24"/>
                <w:szCs w:val="24"/>
                <w:highlight w:val="none"/>
                <w:lang w:val="en-US" w:eastAsia="zh-CN"/>
              </w:rPr>
              <w:t>01</w:t>
            </w:r>
            <w:r>
              <w:rPr>
                <w:rFonts w:hint="default" w:ascii="Times New Roman" w:hAnsi="Times New Roman" w:eastAsia="宋体" w:cs="Times New Roman"/>
                <w:bCs/>
                <w:sz w:val="24"/>
                <w:szCs w:val="24"/>
                <w:highlight w:val="none"/>
                <w:lang w:val="en-US" w:eastAsia="zh-CN"/>
              </w:rPr>
              <w:t>kg/h，烟尘的排放量为</w:t>
            </w:r>
            <w:r>
              <w:rPr>
                <w:rFonts w:hint="eastAsia" w:cs="Times New Roman"/>
                <w:bCs/>
                <w:sz w:val="24"/>
                <w:szCs w:val="24"/>
                <w:highlight w:val="none"/>
                <w:lang w:val="en-US" w:eastAsia="zh-CN"/>
              </w:rPr>
              <w:t>0.0077</w:t>
            </w:r>
            <w:r>
              <w:rPr>
                <w:rFonts w:hint="default" w:ascii="Times New Roman" w:hAnsi="Times New Roman" w:eastAsia="宋体" w:cs="Times New Roman"/>
                <w:bCs/>
                <w:sz w:val="24"/>
                <w:szCs w:val="24"/>
                <w:highlight w:val="none"/>
                <w:lang w:val="en-US" w:eastAsia="zh-CN"/>
              </w:rPr>
              <w:t>t、排放速率为0.</w:t>
            </w:r>
            <w:r>
              <w:rPr>
                <w:rFonts w:hint="eastAsia" w:cs="Times New Roman"/>
                <w:bCs/>
                <w:sz w:val="24"/>
                <w:szCs w:val="24"/>
                <w:highlight w:val="none"/>
                <w:lang w:val="en-US" w:eastAsia="zh-CN"/>
              </w:rPr>
              <w:t>385</w:t>
            </w:r>
            <w:r>
              <w:rPr>
                <w:rFonts w:hint="default" w:ascii="Times New Roman" w:hAnsi="Times New Roman" w:eastAsia="宋体" w:cs="Times New Roman"/>
                <w:bCs/>
                <w:sz w:val="24"/>
                <w:szCs w:val="24"/>
                <w:highlight w:val="none"/>
                <w:lang w:val="en-US" w:eastAsia="zh-CN"/>
              </w:rPr>
              <w:t>kg/h。</w:t>
            </w:r>
          </w:p>
          <w:p w14:paraId="530A15E0">
            <w:pPr>
              <w:spacing w:line="360" w:lineRule="auto"/>
              <w:ind w:firstLine="480" w:firstLineChars="200"/>
              <w:rPr>
                <w:rFonts w:hint="default" w:ascii="Times New Roman" w:hAnsi="Times New Roman" w:eastAsia="宋体" w:cs="Times New Roman"/>
                <w:bCs/>
                <w:sz w:val="24"/>
                <w:szCs w:val="24"/>
                <w:highlight w:val="none"/>
                <w:lang w:val="en-US" w:eastAsia="zh-CN"/>
              </w:rPr>
            </w:pPr>
            <w:r>
              <w:rPr>
                <w:rFonts w:hint="default" w:ascii="Times New Roman" w:hAnsi="Times New Roman" w:eastAsia="宋体" w:cs="Times New Roman"/>
                <w:bCs/>
                <w:sz w:val="24"/>
                <w:szCs w:val="24"/>
                <w:highlight w:val="none"/>
                <w:lang w:val="en-US" w:eastAsia="zh-CN"/>
              </w:rPr>
              <w:t>本项目钻井施工工期短，施工场地周边地势开阔，有利于污染物及时扩散，因此项目施工从影响时间、范围和程度来看，柴油机产生的烟气对周围大气环境的影响可接受。</w:t>
            </w:r>
          </w:p>
          <w:p w14:paraId="1197D7F8">
            <w:pPr>
              <w:spacing w:line="360" w:lineRule="auto"/>
              <w:ind w:firstLine="480" w:firstLineChars="200"/>
              <w:rPr>
                <w:rFonts w:hint="default" w:ascii="Times New Roman" w:hAnsi="Times New Roman" w:eastAsia="宋体" w:cs="Times New Roman"/>
                <w:bCs/>
                <w:sz w:val="24"/>
                <w:szCs w:val="24"/>
                <w:highlight w:val="none"/>
                <w:lang w:val="en-US" w:eastAsia="zh-CN"/>
              </w:rPr>
            </w:pPr>
            <w:r>
              <w:rPr>
                <w:rFonts w:hint="default" w:ascii="Times New Roman" w:hAnsi="Times New Roman" w:eastAsia="宋体" w:cs="Times New Roman"/>
                <w:bCs/>
                <w:sz w:val="24"/>
                <w:szCs w:val="24"/>
                <w:highlight w:val="none"/>
                <w:lang w:val="en-US" w:eastAsia="zh-CN"/>
              </w:rPr>
              <w:t>⑤电焊机焊接烟尘</w:t>
            </w:r>
          </w:p>
          <w:p w14:paraId="5D82F09C">
            <w:pPr>
              <w:spacing w:line="360" w:lineRule="auto"/>
              <w:ind w:firstLine="480" w:firstLineChars="200"/>
              <w:rPr>
                <w:rFonts w:hint="default" w:ascii="Times New Roman" w:hAnsi="Times New Roman" w:eastAsia="宋体" w:cs="Times New Roman"/>
                <w:bCs/>
                <w:sz w:val="24"/>
                <w:szCs w:val="24"/>
                <w:highlight w:val="none"/>
                <w:lang w:val="en-US" w:eastAsia="zh-CN"/>
              </w:rPr>
            </w:pPr>
            <w:r>
              <w:rPr>
                <w:rFonts w:hint="eastAsia" w:cs="Times New Roman"/>
                <w:bCs/>
                <w:sz w:val="24"/>
                <w:szCs w:val="24"/>
                <w:highlight w:val="none"/>
                <w:lang w:val="en-US" w:eastAsia="zh-CN"/>
              </w:rPr>
              <w:t>本</w:t>
            </w:r>
            <w:r>
              <w:rPr>
                <w:rFonts w:hint="default" w:ascii="Times New Roman" w:hAnsi="Times New Roman" w:eastAsia="宋体" w:cs="Times New Roman"/>
                <w:bCs/>
                <w:sz w:val="24"/>
                <w:szCs w:val="24"/>
                <w:highlight w:val="none"/>
                <w:lang w:val="en-US" w:eastAsia="zh-CN"/>
              </w:rPr>
              <w:t>项目配备3台ZX7-400型电焊机，用于设备维修和注浆管路连接。焊接过程为间歇性作业，产生少量含氧化铁、氧化锰等金属氧化物的焊接烟尘（颗粒物）。由于焊接作业点位分散、单次焊接时间短，且施工场地开阔、通风良好，焊接烟尘经自然扩散后浓度极低。要求焊接作业人员佩戴防护面罩，焊接区域远离居民点，严禁在密闭空间内焊接，焊接烟尘对周围环境空气影响极小。</w:t>
            </w:r>
          </w:p>
          <w:p w14:paraId="1F132CA4">
            <w:pPr>
              <w:widowControl/>
              <w:spacing w:line="360" w:lineRule="auto"/>
              <w:ind w:left="420" w:leftChars="200"/>
              <w:rPr>
                <w:b/>
                <w:bCs/>
                <w:color w:val="000000" w:themeColor="text1"/>
                <w:kern w:val="0"/>
                <w:sz w:val="24"/>
                <w:highlight w:val="none"/>
                <w:lang w:bidi="ar"/>
                <w14:textFill>
                  <w14:solidFill>
                    <w14:schemeClr w14:val="tx1"/>
                  </w14:solidFill>
                </w14:textFill>
              </w:rPr>
            </w:pPr>
            <w:r>
              <w:rPr>
                <w:b/>
                <w:bCs/>
                <w:color w:val="000000" w:themeColor="text1"/>
                <w:kern w:val="0"/>
                <w:sz w:val="24"/>
                <w:highlight w:val="none"/>
                <w:lang w:bidi="ar"/>
                <w14:textFill>
                  <w14:solidFill>
                    <w14:schemeClr w14:val="tx1"/>
                  </w14:solidFill>
                </w14:textFill>
              </w:rPr>
              <w:t>3、噪声污染环境影响分析</w:t>
            </w:r>
          </w:p>
          <w:p w14:paraId="10B86297">
            <w:pPr>
              <w:spacing w:line="360" w:lineRule="auto"/>
              <w:ind w:firstLine="480" w:firstLineChars="200"/>
              <w:rPr>
                <w:rFonts w:hint="default" w:ascii="Times New Roman" w:hAnsi="Times New Roman" w:eastAsia="宋体" w:cs="Times New Roman"/>
                <w:bCs/>
                <w:sz w:val="24"/>
                <w:szCs w:val="24"/>
                <w:highlight w:val="none"/>
              </w:rPr>
            </w:pPr>
            <w:r>
              <w:rPr>
                <w:rFonts w:hint="default" w:ascii="Times New Roman" w:hAnsi="Times New Roman" w:eastAsia="宋体" w:cs="Times New Roman"/>
                <w:bCs/>
                <w:sz w:val="24"/>
                <w:szCs w:val="24"/>
                <w:highlight w:val="none"/>
              </w:rPr>
              <w:t>本项目主要噪声源来自于机械设备运行时产生，本项目噪声预测结果如下：</w:t>
            </w:r>
          </w:p>
          <w:p w14:paraId="364E8280">
            <w:pPr>
              <w:spacing w:line="360" w:lineRule="auto"/>
              <w:ind w:firstLine="480" w:firstLineChars="200"/>
              <w:rPr>
                <w:rFonts w:hint="default" w:ascii="Times New Roman" w:hAnsi="Times New Roman" w:eastAsia="宋体" w:cs="Times New Roman"/>
                <w:bCs/>
                <w:sz w:val="24"/>
                <w:szCs w:val="24"/>
                <w:highlight w:val="none"/>
              </w:rPr>
            </w:pPr>
            <w:r>
              <w:rPr>
                <w:rFonts w:hint="default" w:ascii="Times New Roman" w:hAnsi="Times New Roman" w:eastAsia="宋体" w:cs="Times New Roman"/>
                <w:bCs/>
                <w:sz w:val="24"/>
                <w:szCs w:val="24"/>
                <w:highlight w:val="none"/>
              </w:rPr>
              <w:t>根据项目设备声源特征和声学环境的特点，同时根据业主提供资料，视设备声源为点源，声场为半自由声场，依据《环境影响评价技术导则声环境》，选用无指向性声源几何发散衰减预测模式预测厂界噪声。</w:t>
            </w:r>
          </w:p>
          <w:p w14:paraId="0FB18CF5">
            <w:pPr>
              <w:spacing w:line="360" w:lineRule="auto"/>
              <w:ind w:firstLine="480" w:firstLineChars="200"/>
              <w:rPr>
                <w:rFonts w:hint="default" w:ascii="Times New Roman" w:hAnsi="Times New Roman" w:eastAsia="宋体" w:cs="Times New Roman"/>
                <w:bCs/>
                <w:sz w:val="24"/>
                <w:szCs w:val="24"/>
                <w:highlight w:val="none"/>
              </w:rPr>
            </w:pPr>
            <w:r>
              <w:rPr>
                <w:rFonts w:hint="default" w:ascii="Times New Roman" w:hAnsi="Times New Roman" w:eastAsia="宋体" w:cs="Times New Roman"/>
                <w:bCs/>
                <w:sz w:val="24"/>
                <w:szCs w:val="24"/>
                <w:highlight w:val="none"/>
              </w:rPr>
              <w:t>①点声源预测模式</w:t>
            </w:r>
          </w:p>
          <w:p w14:paraId="6826E152">
            <w:pPr>
              <w:spacing w:line="360" w:lineRule="auto"/>
              <w:ind w:firstLine="480" w:firstLineChars="200"/>
              <w:jc w:val="center"/>
              <w:rPr>
                <w:rFonts w:hint="default" w:ascii="Times New Roman" w:hAnsi="Times New Roman" w:eastAsia="宋体" w:cs="Times New Roman"/>
                <w:bCs/>
                <w:sz w:val="24"/>
                <w:szCs w:val="24"/>
                <w:highlight w:val="none"/>
              </w:rPr>
            </w:pPr>
            <w:r>
              <w:rPr>
                <w:rFonts w:hint="default" w:ascii="Times New Roman" w:hAnsi="Times New Roman" w:eastAsia="宋体" w:cs="Times New Roman"/>
                <w:bCs/>
                <w:sz w:val="24"/>
                <w:szCs w:val="24"/>
                <w:highlight w:val="none"/>
              </w:rPr>
              <w:t>LA(r)=LWA–20lg(r/r0)</w:t>
            </w:r>
          </w:p>
          <w:p w14:paraId="5AEE4A20">
            <w:pPr>
              <w:spacing w:line="360" w:lineRule="auto"/>
              <w:ind w:firstLine="480" w:firstLineChars="200"/>
              <w:rPr>
                <w:rFonts w:hint="default" w:ascii="Times New Roman" w:hAnsi="Times New Roman" w:eastAsia="宋体" w:cs="Times New Roman"/>
                <w:bCs/>
                <w:sz w:val="24"/>
                <w:szCs w:val="24"/>
                <w:highlight w:val="none"/>
              </w:rPr>
            </w:pPr>
            <w:r>
              <w:rPr>
                <w:rFonts w:hint="default" w:ascii="Times New Roman" w:hAnsi="Times New Roman" w:eastAsia="宋体" w:cs="Times New Roman"/>
                <w:bCs/>
                <w:sz w:val="24"/>
                <w:szCs w:val="24"/>
                <w:highlight w:val="none"/>
              </w:rPr>
              <w:t>式中：LA(r)——距噪声源r处的声级（dB(A)）；</w:t>
            </w:r>
          </w:p>
          <w:p w14:paraId="623BD0F4">
            <w:pPr>
              <w:spacing w:line="360" w:lineRule="auto"/>
              <w:ind w:firstLine="480" w:firstLineChars="200"/>
              <w:rPr>
                <w:rFonts w:hint="default" w:ascii="Times New Roman" w:hAnsi="Times New Roman" w:eastAsia="宋体" w:cs="Times New Roman"/>
                <w:bCs/>
                <w:sz w:val="24"/>
                <w:szCs w:val="24"/>
                <w:highlight w:val="none"/>
              </w:rPr>
            </w:pPr>
            <w:r>
              <w:rPr>
                <w:rFonts w:hint="default" w:ascii="Times New Roman" w:hAnsi="Times New Roman" w:eastAsia="宋体" w:cs="Times New Roman"/>
                <w:bCs/>
                <w:sz w:val="24"/>
                <w:szCs w:val="24"/>
                <w:highlight w:val="none"/>
              </w:rPr>
              <w:t>LWA——点声源的A声级（dB(A)）；</w:t>
            </w:r>
          </w:p>
          <w:p w14:paraId="20DFED5F">
            <w:pPr>
              <w:spacing w:line="360" w:lineRule="auto"/>
              <w:ind w:firstLine="480" w:firstLineChars="200"/>
              <w:rPr>
                <w:rFonts w:hint="default" w:ascii="Times New Roman" w:hAnsi="Times New Roman" w:eastAsia="宋体" w:cs="Times New Roman"/>
                <w:bCs/>
                <w:sz w:val="24"/>
                <w:szCs w:val="24"/>
                <w:highlight w:val="none"/>
              </w:rPr>
            </w:pPr>
            <w:r>
              <w:rPr>
                <w:rFonts w:hint="default" w:ascii="Times New Roman" w:hAnsi="Times New Roman" w:eastAsia="宋体" w:cs="Times New Roman"/>
                <w:bCs/>
                <w:sz w:val="24"/>
                <w:szCs w:val="24"/>
                <w:highlight w:val="none"/>
              </w:rPr>
              <w:t>r——预测点与声源之间的距离（m）；</w:t>
            </w:r>
          </w:p>
          <w:p w14:paraId="339A649C">
            <w:pPr>
              <w:spacing w:line="360" w:lineRule="auto"/>
              <w:ind w:firstLine="480" w:firstLineChars="200"/>
              <w:rPr>
                <w:rFonts w:hint="default" w:ascii="Times New Roman" w:hAnsi="Times New Roman" w:eastAsia="宋体" w:cs="Times New Roman"/>
                <w:bCs/>
                <w:sz w:val="24"/>
                <w:szCs w:val="24"/>
                <w:highlight w:val="none"/>
              </w:rPr>
            </w:pPr>
            <w:r>
              <w:rPr>
                <w:rFonts w:hint="default" w:ascii="Times New Roman" w:hAnsi="Times New Roman" w:eastAsia="宋体" w:cs="Times New Roman"/>
                <w:bCs/>
                <w:sz w:val="24"/>
                <w:szCs w:val="24"/>
                <w:highlight w:val="none"/>
              </w:rPr>
              <w:t>r0 ——参考处与声源之间的距离（m）；</w:t>
            </w:r>
          </w:p>
          <w:p w14:paraId="6E1E35D0">
            <w:pPr>
              <w:spacing w:line="360" w:lineRule="auto"/>
              <w:ind w:firstLine="480" w:firstLineChars="200"/>
              <w:rPr>
                <w:rFonts w:hint="default" w:ascii="Times New Roman" w:hAnsi="Times New Roman" w:eastAsia="宋体" w:cs="Times New Roman"/>
                <w:bCs/>
                <w:sz w:val="24"/>
                <w:szCs w:val="24"/>
                <w:highlight w:val="none"/>
              </w:rPr>
            </w:pPr>
            <w:r>
              <w:rPr>
                <w:rFonts w:hint="default" w:ascii="Times New Roman" w:hAnsi="Times New Roman" w:eastAsia="宋体" w:cs="Times New Roman"/>
                <w:bCs/>
                <w:sz w:val="24"/>
                <w:szCs w:val="24"/>
                <w:highlight w:val="none"/>
              </w:rPr>
              <w:t>②多声源叠加模式中：</w:t>
            </w:r>
          </w:p>
          <w:p w14:paraId="22881080">
            <w:pPr>
              <w:spacing w:line="360" w:lineRule="auto"/>
              <w:jc w:val="center"/>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drawing>
                <wp:inline distT="0" distB="0" distL="0" distR="0">
                  <wp:extent cx="1457325" cy="619125"/>
                  <wp:effectExtent l="0" t="0" r="9525" b="9525"/>
                  <wp:docPr id="26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5"/>
                          <pic:cNvPicPr>
                            <a:picLocks noChangeAspect="1" noChangeArrowheads="1"/>
                          </pic:cNvPicPr>
                        </pic:nvPicPr>
                        <pic:blipFill>
                          <a:blip r:embed="rId21" cstate="print"/>
                          <a:srcRect/>
                          <a:stretch>
                            <a:fillRect/>
                          </a:stretch>
                        </pic:blipFill>
                        <pic:spPr>
                          <a:xfrm>
                            <a:off x="0" y="0"/>
                            <a:ext cx="1457325" cy="619125"/>
                          </a:xfrm>
                          <a:prstGeom prst="rect">
                            <a:avLst/>
                          </a:prstGeom>
                          <a:noFill/>
                          <a:ln w="9525">
                            <a:noFill/>
                            <a:miter lim="800000"/>
                            <a:headEnd/>
                            <a:tailEnd/>
                          </a:ln>
                        </pic:spPr>
                      </pic:pic>
                    </a:graphicData>
                  </a:graphic>
                </wp:inline>
              </w:drawing>
            </w:r>
          </w:p>
          <w:p w14:paraId="7A1A5A00">
            <w:pPr>
              <w:autoSpaceDE w:val="0"/>
              <w:autoSpaceDN w:val="0"/>
              <w:spacing w:line="360" w:lineRule="auto"/>
              <w:ind w:firstLine="480" w:firstLineChars="200"/>
              <w:jc w:val="left"/>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L0——叠加后总声压级，dB(A)；</w:t>
            </w:r>
          </w:p>
          <w:p w14:paraId="67BBAE22">
            <w:pPr>
              <w:autoSpaceDE w:val="0"/>
              <w:autoSpaceDN w:val="0"/>
              <w:spacing w:line="360" w:lineRule="auto"/>
              <w:ind w:firstLine="480" w:firstLineChars="200"/>
              <w:jc w:val="left"/>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n——声源级数；</w:t>
            </w:r>
          </w:p>
          <w:p w14:paraId="1F43E293">
            <w:pPr>
              <w:autoSpaceDE w:val="0"/>
              <w:autoSpaceDN w:val="0"/>
              <w:spacing w:line="360" w:lineRule="auto"/>
              <w:ind w:firstLine="480" w:firstLineChars="200"/>
              <w:jc w:val="left"/>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Li——各声源对某点的声压值，dB(A)。</w:t>
            </w:r>
          </w:p>
          <w:p w14:paraId="34914D2E">
            <w:pPr>
              <w:autoSpaceDE w:val="0"/>
              <w:autoSpaceDN w:val="0"/>
              <w:spacing w:line="360" w:lineRule="auto"/>
              <w:ind w:firstLine="480" w:firstLineChars="200"/>
              <w:jc w:val="left"/>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③预测结果分析</w:t>
            </w:r>
          </w:p>
          <w:p w14:paraId="4104E77D">
            <w:pPr>
              <w:pStyle w:val="115"/>
              <w:numPr>
                <w:ilvl w:val="0"/>
                <w:numId w:val="0"/>
              </w:numPr>
              <w:autoSpaceDE w:val="0"/>
              <w:autoSpaceDN w:val="0"/>
              <w:spacing w:line="360" w:lineRule="auto"/>
              <w:ind w:firstLine="480" w:firstLineChars="200"/>
              <w:rPr>
                <w:rFonts w:ascii="Times New Roman" w:hAnsi="Times New Roman" w:eastAsia="黑体" w:cs="Times New Roman"/>
                <w:highlight w:val="none"/>
              </w:rPr>
            </w:pPr>
            <w:r>
              <w:rPr>
                <w:rFonts w:hint="eastAsia" w:cs="Times New Roman"/>
                <w:kern w:val="0"/>
                <w:sz w:val="24"/>
                <w:szCs w:val="24"/>
                <w:highlight w:val="none"/>
                <w:lang w:val="en-US" w:eastAsia="zh-CN"/>
              </w:rPr>
              <w:t>a、</w:t>
            </w:r>
            <w:r>
              <w:rPr>
                <w:rFonts w:hint="default" w:ascii="Times New Roman" w:hAnsi="Times New Roman" w:cs="Times New Roman"/>
                <w:kern w:val="0"/>
                <w:sz w:val="24"/>
                <w:szCs w:val="24"/>
                <w:highlight w:val="none"/>
              </w:rPr>
              <w:t>单台施工机械在满负荷工作时不同距离处的噪声级预测结果见</w:t>
            </w:r>
            <w:r>
              <w:rPr>
                <w:rFonts w:hint="eastAsia" w:cs="Times New Roman"/>
                <w:kern w:val="0"/>
                <w:sz w:val="24"/>
                <w:szCs w:val="24"/>
                <w:highlight w:val="none"/>
                <w:lang w:val="en-US" w:eastAsia="zh-CN"/>
              </w:rPr>
              <w:t>下</w:t>
            </w:r>
            <w:r>
              <w:rPr>
                <w:rFonts w:hint="default" w:ascii="Times New Roman" w:hAnsi="Times New Roman" w:cs="Times New Roman"/>
                <w:kern w:val="0"/>
                <w:sz w:val="24"/>
                <w:szCs w:val="24"/>
                <w:highlight w:val="none"/>
              </w:rPr>
              <w:t>表。</w:t>
            </w:r>
          </w:p>
          <w:p w14:paraId="4D5DEF6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黑体" w:cs="Times New Roman"/>
                <w:highlight w:val="none"/>
              </w:rPr>
            </w:pPr>
            <w:r>
              <w:rPr>
                <w:rFonts w:ascii="Times New Roman" w:hAnsi="Times New Roman" w:eastAsia="黑体" w:cs="Times New Roman"/>
                <w:highlight w:val="none"/>
              </w:rPr>
              <w:t>表4-</w:t>
            </w:r>
            <w:r>
              <w:rPr>
                <w:rFonts w:hint="eastAsia" w:eastAsia="黑体" w:cs="Times New Roman"/>
                <w:highlight w:val="none"/>
                <w:lang w:val="en-US" w:eastAsia="zh-CN"/>
              </w:rPr>
              <w:t xml:space="preserve">3 </w:t>
            </w:r>
            <w:r>
              <w:rPr>
                <w:rFonts w:ascii="Times New Roman" w:hAnsi="Times New Roman" w:eastAsia="黑体" w:cs="Times New Roman"/>
                <w:highlight w:val="none"/>
              </w:rPr>
              <w:t xml:space="preserve"> 工程各类噪声源不同距离处噪声值单位：dB（A）</w:t>
            </w:r>
          </w:p>
          <w:tbl>
            <w:tblPr>
              <w:tblStyle w:val="29"/>
              <w:tblW w:w="5000"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Layout w:type="fixed"/>
              <w:tblCellMar>
                <w:top w:w="15" w:type="dxa"/>
                <w:left w:w="15" w:type="dxa"/>
                <w:bottom w:w="15" w:type="dxa"/>
                <w:right w:w="15" w:type="dxa"/>
              </w:tblCellMar>
            </w:tblPr>
            <w:tblGrid>
              <w:gridCol w:w="900"/>
              <w:gridCol w:w="438"/>
              <w:gridCol w:w="572"/>
              <w:gridCol w:w="529"/>
              <w:gridCol w:w="587"/>
              <w:gridCol w:w="557"/>
              <w:gridCol w:w="587"/>
              <w:gridCol w:w="505"/>
              <w:gridCol w:w="591"/>
              <w:gridCol w:w="606"/>
              <w:gridCol w:w="606"/>
              <w:gridCol w:w="597"/>
              <w:gridCol w:w="538"/>
              <w:gridCol w:w="567"/>
            </w:tblGrid>
            <w:tr w14:paraId="33E2F1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blHeader/>
                <w:jc w:val="center"/>
              </w:trPr>
              <w:tc>
                <w:tcPr>
                  <w:tcW w:w="891" w:type="dxa"/>
                  <w:tcBorders>
                    <w:tl2br w:val="nil"/>
                    <w:tr2bl w:val="nil"/>
                  </w:tcBorders>
                  <w:shd w:val="clear" w:color="auto" w:fill="auto"/>
                  <w:tcMar>
                    <w:top w:w="120" w:type="dxa"/>
                    <w:left w:w="120" w:type="dxa"/>
                    <w:bottom w:w="120" w:type="dxa"/>
                    <w:right w:w="120" w:type="dxa"/>
                  </w:tcMar>
                  <w:vAlign w:val="center"/>
                </w:tcPr>
                <w:p w14:paraId="682C89D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声级</w:t>
                  </w:r>
                </w:p>
              </w:tc>
              <w:tc>
                <w:tcPr>
                  <w:tcW w:w="6114" w:type="dxa"/>
                  <w:gridSpan w:val="11"/>
                  <w:tcBorders>
                    <w:tl2br w:val="nil"/>
                    <w:tr2bl w:val="nil"/>
                  </w:tcBorders>
                  <w:shd w:val="clear" w:color="auto" w:fill="auto"/>
                  <w:tcMar>
                    <w:top w:w="120" w:type="dxa"/>
                    <w:left w:w="120" w:type="dxa"/>
                    <w:bottom w:w="120" w:type="dxa"/>
                    <w:right w:w="120" w:type="dxa"/>
                  </w:tcMar>
                  <w:vAlign w:val="center"/>
                </w:tcPr>
                <w:p w14:paraId="01D8ED5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测点距声源距离（m）</w:t>
                  </w:r>
                </w:p>
              </w:tc>
              <w:tc>
                <w:tcPr>
                  <w:tcW w:w="1095" w:type="dxa"/>
                  <w:gridSpan w:val="2"/>
                  <w:tcBorders>
                    <w:tl2br w:val="nil"/>
                    <w:tr2bl w:val="nil"/>
                  </w:tcBorders>
                  <w:shd w:val="clear" w:color="auto" w:fill="auto"/>
                  <w:tcMar>
                    <w:top w:w="120" w:type="dxa"/>
                    <w:left w:w="120" w:type="dxa"/>
                    <w:bottom w:w="120" w:type="dxa"/>
                    <w:right w:w="120" w:type="dxa"/>
                  </w:tcMar>
                  <w:vAlign w:val="center"/>
                </w:tcPr>
                <w:p w14:paraId="6C08CF4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达标距离(m)</w:t>
                  </w:r>
                </w:p>
              </w:tc>
            </w:tr>
            <w:tr w14:paraId="4AEE116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tblHeader/>
                <w:jc w:val="center"/>
              </w:trPr>
              <w:tc>
                <w:tcPr>
                  <w:tcW w:w="891" w:type="dxa"/>
                  <w:tcBorders>
                    <w:tl2br w:val="nil"/>
                    <w:tr2bl w:val="nil"/>
                  </w:tcBorders>
                  <w:shd w:val="clear" w:color="auto" w:fill="auto"/>
                  <w:tcMar>
                    <w:top w:w="120" w:type="dxa"/>
                    <w:left w:w="120" w:type="dxa"/>
                    <w:bottom w:w="120" w:type="dxa"/>
                    <w:right w:w="120" w:type="dxa"/>
                  </w:tcMar>
                  <w:vAlign w:val="center"/>
                </w:tcPr>
                <w:p w14:paraId="7D90318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噪声源</w:t>
                  </w:r>
                </w:p>
              </w:tc>
              <w:tc>
                <w:tcPr>
                  <w:tcW w:w="434" w:type="dxa"/>
                  <w:tcBorders>
                    <w:tl2br w:val="nil"/>
                    <w:tr2bl w:val="nil"/>
                  </w:tcBorders>
                  <w:shd w:val="clear" w:color="auto" w:fill="auto"/>
                  <w:tcMar>
                    <w:top w:w="120" w:type="dxa"/>
                    <w:left w:w="120" w:type="dxa"/>
                    <w:bottom w:w="120" w:type="dxa"/>
                    <w:right w:w="120" w:type="dxa"/>
                  </w:tcMar>
                  <w:vAlign w:val="center"/>
                </w:tcPr>
                <w:p w14:paraId="2D0D289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5</w:t>
                  </w:r>
                </w:p>
              </w:tc>
              <w:tc>
                <w:tcPr>
                  <w:tcW w:w="566" w:type="dxa"/>
                  <w:tcBorders>
                    <w:tl2br w:val="nil"/>
                    <w:tr2bl w:val="nil"/>
                  </w:tcBorders>
                  <w:shd w:val="clear" w:color="auto" w:fill="auto"/>
                  <w:tcMar>
                    <w:top w:w="120" w:type="dxa"/>
                    <w:left w:w="120" w:type="dxa"/>
                    <w:bottom w:w="120" w:type="dxa"/>
                    <w:right w:w="120" w:type="dxa"/>
                  </w:tcMar>
                  <w:vAlign w:val="center"/>
                </w:tcPr>
                <w:p w14:paraId="4165445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10</w:t>
                  </w:r>
                </w:p>
              </w:tc>
              <w:tc>
                <w:tcPr>
                  <w:tcW w:w="524" w:type="dxa"/>
                  <w:tcBorders>
                    <w:tl2br w:val="nil"/>
                    <w:tr2bl w:val="nil"/>
                  </w:tcBorders>
                  <w:shd w:val="clear" w:color="auto" w:fill="auto"/>
                  <w:tcMar>
                    <w:top w:w="120" w:type="dxa"/>
                    <w:left w:w="120" w:type="dxa"/>
                    <w:bottom w:w="120" w:type="dxa"/>
                    <w:right w:w="120" w:type="dxa"/>
                  </w:tcMar>
                  <w:vAlign w:val="center"/>
                </w:tcPr>
                <w:p w14:paraId="6212AAF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20</w:t>
                  </w:r>
                </w:p>
              </w:tc>
              <w:tc>
                <w:tcPr>
                  <w:tcW w:w="581" w:type="dxa"/>
                  <w:tcBorders>
                    <w:tl2br w:val="nil"/>
                    <w:tr2bl w:val="nil"/>
                  </w:tcBorders>
                  <w:shd w:val="clear" w:color="auto" w:fill="auto"/>
                  <w:tcMar>
                    <w:top w:w="120" w:type="dxa"/>
                    <w:left w:w="120" w:type="dxa"/>
                    <w:bottom w:w="120" w:type="dxa"/>
                    <w:right w:w="120" w:type="dxa"/>
                  </w:tcMar>
                  <w:vAlign w:val="center"/>
                </w:tcPr>
                <w:p w14:paraId="46D7ADB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30</w:t>
                  </w:r>
                </w:p>
              </w:tc>
              <w:tc>
                <w:tcPr>
                  <w:tcW w:w="552" w:type="dxa"/>
                  <w:tcBorders>
                    <w:tl2br w:val="nil"/>
                    <w:tr2bl w:val="nil"/>
                  </w:tcBorders>
                  <w:shd w:val="clear" w:color="auto" w:fill="auto"/>
                  <w:tcMar>
                    <w:top w:w="120" w:type="dxa"/>
                    <w:left w:w="120" w:type="dxa"/>
                    <w:bottom w:w="120" w:type="dxa"/>
                    <w:right w:w="120" w:type="dxa"/>
                  </w:tcMar>
                  <w:vAlign w:val="center"/>
                </w:tcPr>
                <w:p w14:paraId="18C1D05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40</w:t>
                  </w:r>
                </w:p>
              </w:tc>
              <w:tc>
                <w:tcPr>
                  <w:tcW w:w="581" w:type="dxa"/>
                  <w:tcBorders>
                    <w:tl2br w:val="nil"/>
                    <w:tr2bl w:val="nil"/>
                  </w:tcBorders>
                  <w:shd w:val="clear" w:color="auto" w:fill="auto"/>
                  <w:tcMar>
                    <w:top w:w="120" w:type="dxa"/>
                    <w:left w:w="120" w:type="dxa"/>
                    <w:bottom w:w="120" w:type="dxa"/>
                    <w:right w:w="120" w:type="dxa"/>
                  </w:tcMar>
                  <w:vAlign w:val="center"/>
                </w:tcPr>
                <w:p w14:paraId="73760BA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50</w:t>
                  </w:r>
                </w:p>
              </w:tc>
              <w:tc>
                <w:tcPr>
                  <w:tcW w:w="500" w:type="dxa"/>
                  <w:tcBorders>
                    <w:tl2br w:val="nil"/>
                    <w:tr2bl w:val="nil"/>
                  </w:tcBorders>
                  <w:shd w:val="clear" w:color="auto" w:fill="auto"/>
                  <w:tcMar>
                    <w:top w:w="120" w:type="dxa"/>
                    <w:left w:w="120" w:type="dxa"/>
                    <w:bottom w:w="120" w:type="dxa"/>
                    <w:right w:w="120" w:type="dxa"/>
                  </w:tcMar>
                  <w:vAlign w:val="center"/>
                </w:tcPr>
                <w:p w14:paraId="08B886F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80</w:t>
                  </w:r>
                </w:p>
              </w:tc>
              <w:tc>
                <w:tcPr>
                  <w:tcW w:w="585" w:type="dxa"/>
                  <w:tcBorders>
                    <w:tl2br w:val="nil"/>
                    <w:tr2bl w:val="nil"/>
                  </w:tcBorders>
                  <w:shd w:val="clear" w:color="auto" w:fill="auto"/>
                  <w:tcMar>
                    <w:top w:w="120" w:type="dxa"/>
                    <w:left w:w="120" w:type="dxa"/>
                    <w:bottom w:w="120" w:type="dxa"/>
                    <w:right w:w="120" w:type="dxa"/>
                  </w:tcMar>
                  <w:vAlign w:val="center"/>
                </w:tcPr>
                <w:p w14:paraId="62C4776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100</w:t>
                  </w:r>
                </w:p>
              </w:tc>
              <w:tc>
                <w:tcPr>
                  <w:tcW w:w="600" w:type="dxa"/>
                  <w:tcBorders>
                    <w:tl2br w:val="nil"/>
                    <w:tr2bl w:val="nil"/>
                  </w:tcBorders>
                  <w:shd w:val="clear" w:color="auto" w:fill="auto"/>
                  <w:tcMar>
                    <w:top w:w="120" w:type="dxa"/>
                    <w:left w:w="120" w:type="dxa"/>
                    <w:bottom w:w="120" w:type="dxa"/>
                    <w:right w:w="120" w:type="dxa"/>
                  </w:tcMar>
                  <w:vAlign w:val="center"/>
                </w:tcPr>
                <w:p w14:paraId="78CEB96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200</w:t>
                  </w:r>
                </w:p>
              </w:tc>
              <w:tc>
                <w:tcPr>
                  <w:tcW w:w="600" w:type="dxa"/>
                  <w:tcBorders>
                    <w:tl2br w:val="nil"/>
                    <w:tr2bl w:val="nil"/>
                  </w:tcBorders>
                  <w:shd w:val="clear" w:color="auto" w:fill="auto"/>
                  <w:tcMar>
                    <w:top w:w="120" w:type="dxa"/>
                    <w:left w:w="120" w:type="dxa"/>
                    <w:bottom w:w="120" w:type="dxa"/>
                    <w:right w:w="120" w:type="dxa"/>
                  </w:tcMar>
                  <w:vAlign w:val="center"/>
                </w:tcPr>
                <w:p w14:paraId="613D685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300</w:t>
                  </w:r>
                </w:p>
              </w:tc>
              <w:tc>
                <w:tcPr>
                  <w:tcW w:w="591" w:type="dxa"/>
                  <w:tcBorders>
                    <w:tl2br w:val="nil"/>
                    <w:tr2bl w:val="nil"/>
                  </w:tcBorders>
                  <w:shd w:val="clear" w:color="auto" w:fill="auto"/>
                  <w:tcMar>
                    <w:top w:w="120" w:type="dxa"/>
                    <w:left w:w="120" w:type="dxa"/>
                    <w:bottom w:w="120" w:type="dxa"/>
                    <w:right w:w="120" w:type="dxa"/>
                  </w:tcMar>
                  <w:vAlign w:val="center"/>
                </w:tcPr>
                <w:p w14:paraId="69EBE8A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500</w:t>
                  </w:r>
                </w:p>
              </w:tc>
              <w:tc>
                <w:tcPr>
                  <w:tcW w:w="533" w:type="dxa"/>
                  <w:tcBorders>
                    <w:tl2br w:val="nil"/>
                    <w:tr2bl w:val="nil"/>
                  </w:tcBorders>
                  <w:shd w:val="clear" w:color="auto" w:fill="auto"/>
                  <w:tcMar>
                    <w:top w:w="120" w:type="dxa"/>
                    <w:left w:w="120" w:type="dxa"/>
                    <w:bottom w:w="120" w:type="dxa"/>
                    <w:right w:w="120" w:type="dxa"/>
                  </w:tcMar>
                  <w:vAlign w:val="center"/>
                </w:tcPr>
                <w:p w14:paraId="2820F15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昼间</w:t>
                  </w:r>
                </w:p>
              </w:tc>
              <w:tc>
                <w:tcPr>
                  <w:tcW w:w="562" w:type="dxa"/>
                  <w:tcBorders>
                    <w:tl2br w:val="nil"/>
                    <w:tr2bl w:val="nil"/>
                  </w:tcBorders>
                  <w:shd w:val="clear" w:color="auto" w:fill="auto"/>
                  <w:tcMar>
                    <w:top w:w="120" w:type="dxa"/>
                    <w:left w:w="120" w:type="dxa"/>
                    <w:bottom w:w="120" w:type="dxa"/>
                    <w:right w:w="120" w:type="dxa"/>
                  </w:tcMar>
                  <w:vAlign w:val="center"/>
                </w:tcPr>
                <w:p w14:paraId="62349E9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夜间</w:t>
                  </w:r>
                </w:p>
              </w:tc>
            </w:tr>
            <w:tr w14:paraId="4E6CDF8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891" w:type="dxa"/>
                  <w:tcBorders>
                    <w:tl2br w:val="nil"/>
                    <w:tr2bl w:val="nil"/>
                  </w:tcBorders>
                  <w:shd w:val="clear" w:color="auto" w:fill="auto"/>
                  <w:tcMar>
                    <w:top w:w="120" w:type="dxa"/>
                    <w:left w:w="120" w:type="dxa"/>
                    <w:bottom w:w="120" w:type="dxa"/>
                    <w:right w:w="120" w:type="dxa"/>
                  </w:tcMar>
                  <w:vAlign w:val="center"/>
                </w:tcPr>
                <w:p w14:paraId="569E541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钻塔（施工期）</w:t>
                  </w:r>
                </w:p>
              </w:tc>
              <w:tc>
                <w:tcPr>
                  <w:tcW w:w="434" w:type="dxa"/>
                  <w:tcBorders>
                    <w:tl2br w:val="nil"/>
                    <w:tr2bl w:val="nil"/>
                  </w:tcBorders>
                  <w:shd w:val="clear" w:color="auto" w:fill="auto"/>
                  <w:tcMar>
                    <w:top w:w="120" w:type="dxa"/>
                    <w:left w:w="120" w:type="dxa"/>
                    <w:bottom w:w="120" w:type="dxa"/>
                    <w:right w:w="120" w:type="dxa"/>
                  </w:tcMar>
                  <w:vAlign w:val="center"/>
                </w:tcPr>
                <w:p w14:paraId="0BFDF50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95</w:t>
                  </w:r>
                </w:p>
              </w:tc>
              <w:tc>
                <w:tcPr>
                  <w:tcW w:w="566" w:type="dxa"/>
                  <w:tcBorders>
                    <w:tl2br w:val="nil"/>
                    <w:tr2bl w:val="nil"/>
                  </w:tcBorders>
                  <w:shd w:val="clear" w:color="auto" w:fill="auto"/>
                  <w:tcMar>
                    <w:top w:w="120" w:type="dxa"/>
                    <w:left w:w="120" w:type="dxa"/>
                    <w:bottom w:w="120" w:type="dxa"/>
                    <w:right w:w="120" w:type="dxa"/>
                  </w:tcMar>
                  <w:vAlign w:val="center"/>
                </w:tcPr>
                <w:p w14:paraId="6F7A55C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81.0</w:t>
                  </w:r>
                </w:p>
              </w:tc>
              <w:tc>
                <w:tcPr>
                  <w:tcW w:w="524" w:type="dxa"/>
                  <w:tcBorders>
                    <w:tl2br w:val="nil"/>
                    <w:tr2bl w:val="nil"/>
                  </w:tcBorders>
                  <w:shd w:val="clear" w:color="auto" w:fill="auto"/>
                  <w:tcMar>
                    <w:top w:w="120" w:type="dxa"/>
                    <w:left w:w="120" w:type="dxa"/>
                    <w:bottom w:w="120" w:type="dxa"/>
                    <w:right w:w="120" w:type="dxa"/>
                  </w:tcMar>
                  <w:vAlign w:val="center"/>
                </w:tcPr>
                <w:p w14:paraId="0EB3D5E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75.0</w:t>
                  </w:r>
                </w:p>
              </w:tc>
              <w:tc>
                <w:tcPr>
                  <w:tcW w:w="581" w:type="dxa"/>
                  <w:tcBorders>
                    <w:tl2br w:val="nil"/>
                    <w:tr2bl w:val="nil"/>
                  </w:tcBorders>
                  <w:shd w:val="clear" w:color="auto" w:fill="auto"/>
                  <w:tcMar>
                    <w:top w:w="120" w:type="dxa"/>
                    <w:left w:w="120" w:type="dxa"/>
                    <w:bottom w:w="120" w:type="dxa"/>
                    <w:right w:w="120" w:type="dxa"/>
                  </w:tcMar>
                  <w:vAlign w:val="center"/>
                </w:tcPr>
                <w:p w14:paraId="446D06B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69.0</w:t>
                  </w:r>
                </w:p>
              </w:tc>
              <w:tc>
                <w:tcPr>
                  <w:tcW w:w="552" w:type="dxa"/>
                  <w:tcBorders>
                    <w:tl2br w:val="nil"/>
                    <w:tr2bl w:val="nil"/>
                  </w:tcBorders>
                  <w:shd w:val="clear" w:color="auto" w:fill="auto"/>
                  <w:tcMar>
                    <w:top w:w="120" w:type="dxa"/>
                    <w:left w:w="120" w:type="dxa"/>
                    <w:bottom w:w="120" w:type="dxa"/>
                    <w:right w:w="120" w:type="dxa"/>
                  </w:tcMar>
                  <w:vAlign w:val="center"/>
                </w:tcPr>
                <w:p w14:paraId="1458CE8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65.5</w:t>
                  </w:r>
                </w:p>
              </w:tc>
              <w:tc>
                <w:tcPr>
                  <w:tcW w:w="581" w:type="dxa"/>
                  <w:tcBorders>
                    <w:tl2br w:val="nil"/>
                    <w:tr2bl w:val="nil"/>
                  </w:tcBorders>
                  <w:shd w:val="clear" w:color="auto" w:fill="auto"/>
                  <w:tcMar>
                    <w:top w:w="120" w:type="dxa"/>
                    <w:left w:w="120" w:type="dxa"/>
                    <w:bottom w:w="120" w:type="dxa"/>
                    <w:right w:w="120" w:type="dxa"/>
                  </w:tcMar>
                  <w:vAlign w:val="center"/>
                </w:tcPr>
                <w:p w14:paraId="38064B5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63.0</w:t>
                  </w:r>
                </w:p>
              </w:tc>
              <w:tc>
                <w:tcPr>
                  <w:tcW w:w="500" w:type="dxa"/>
                  <w:tcBorders>
                    <w:tl2br w:val="nil"/>
                    <w:tr2bl w:val="nil"/>
                  </w:tcBorders>
                  <w:shd w:val="clear" w:color="auto" w:fill="auto"/>
                  <w:tcMar>
                    <w:top w:w="120" w:type="dxa"/>
                    <w:left w:w="120" w:type="dxa"/>
                    <w:bottom w:w="120" w:type="dxa"/>
                    <w:right w:w="120" w:type="dxa"/>
                  </w:tcMar>
                  <w:vAlign w:val="center"/>
                </w:tcPr>
                <w:p w14:paraId="5C30418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61.0</w:t>
                  </w:r>
                </w:p>
              </w:tc>
              <w:tc>
                <w:tcPr>
                  <w:tcW w:w="585" w:type="dxa"/>
                  <w:tcBorders>
                    <w:tl2br w:val="nil"/>
                    <w:tr2bl w:val="nil"/>
                  </w:tcBorders>
                  <w:shd w:val="clear" w:color="auto" w:fill="auto"/>
                  <w:tcMar>
                    <w:top w:w="120" w:type="dxa"/>
                    <w:left w:w="120" w:type="dxa"/>
                    <w:bottom w:w="120" w:type="dxa"/>
                    <w:right w:w="120" w:type="dxa"/>
                  </w:tcMar>
                  <w:vAlign w:val="center"/>
                </w:tcPr>
                <w:p w14:paraId="616AA84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56.9</w:t>
                  </w:r>
                </w:p>
              </w:tc>
              <w:tc>
                <w:tcPr>
                  <w:tcW w:w="600" w:type="dxa"/>
                  <w:tcBorders>
                    <w:tl2br w:val="nil"/>
                    <w:tr2bl w:val="nil"/>
                  </w:tcBorders>
                  <w:shd w:val="clear" w:color="auto" w:fill="auto"/>
                  <w:tcMar>
                    <w:top w:w="120" w:type="dxa"/>
                    <w:left w:w="120" w:type="dxa"/>
                    <w:bottom w:w="120" w:type="dxa"/>
                    <w:right w:w="120" w:type="dxa"/>
                  </w:tcMar>
                  <w:vAlign w:val="center"/>
                </w:tcPr>
                <w:p w14:paraId="5726859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55.0</w:t>
                  </w:r>
                </w:p>
              </w:tc>
              <w:tc>
                <w:tcPr>
                  <w:tcW w:w="600" w:type="dxa"/>
                  <w:tcBorders>
                    <w:tl2br w:val="nil"/>
                    <w:tr2bl w:val="nil"/>
                  </w:tcBorders>
                  <w:shd w:val="clear" w:color="auto" w:fill="auto"/>
                  <w:tcMar>
                    <w:top w:w="120" w:type="dxa"/>
                    <w:left w:w="120" w:type="dxa"/>
                    <w:bottom w:w="120" w:type="dxa"/>
                    <w:right w:w="120" w:type="dxa"/>
                  </w:tcMar>
                  <w:vAlign w:val="center"/>
                </w:tcPr>
                <w:p w14:paraId="0398291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49.0</w:t>
                  </w:r>
                </w:p>
              </w:tc>
              <w:tc>
                <w:tcPr>
                  <w:tcW w:w="591" w:type="dxa"/>
                  <w:tcBorders>
                    <w:tl2br w:val="nil"/>
                    <w:tr2bl w:val="nil"/>
                  </w:tcBorders>
                  <w:shd w:val="clear" w:color="auto" w:fill="auto"/>
                  <w:tcMar>
                    <w:top w:w="120" w:type="dxa"/>
                    <w:left w:w="120" w:type="dxa"/>
                    <w:bottom w:w="120" w:type="dxa"/>
                    <w:right w:w="120" w:type="dxa"/>
                  </w:tcMar>
                  <w:vAlign w:val="center"/>
                </w:tcPr>
                <w:p w14:paraId="5E86CF8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45.5</w:t>
                  </w:r>
                </w:p>
              </w:tc>
              <w:tc>
                <w:tcPr>
                  <w:tcW w:w="533" w:type="dxa"/>
                  <w:tcBorders>
                    <w:tl2br w:val="nil"/>
                    <w:tr2bl w:val="nil"/>
                  </w:tcBorders>
                  <w:shd w:val="clear" w:color="auto" w:fill="auto"/>
                  <w:tcMar>
                    <w:top w:w="120" w:type="dxa"/>
                    <w:left w:w="120" w:type="dxa"/>
                    <w:bottom w:w="120" w:type="dxa"/>
                    <w:right w:w="120" w:type="dxa"/>
                  </w:tcMar>
                  <w:vAlign w:val="center"/>
                </w:tcPr>
                <w:p w14:paraId="60A991B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18</w:t>
                  </w:r>
                </w:p>
              </w:tc>
              <w:tc>
                <w:tcPr>
                  <w:tcW w:w="562" w:type="dxa"/>
                  <w:tcBorders>
                    <w:tl2br w:val="nil"/>
                    <w:tr2bl w:val="nil"/>
                  </w:tcBorders>
                  <w:shd w:val="clear" w:color="auto" w:fill="auto"/>
                  <w:tcMar>
                    <w:top w:w="120" w:type="dxa"/>
                    <w:left w:w="120" w:type="dxa"/>
                    <w:bottom w:w="120" w:type="dxa"/>
                    <w:right w:w="120" w:type="dxa"/>
                  </w:tcMar>
                  <w:vAlign w:val="center"/>
                </w:tcPr>
                <w:p w14:paraId="2ED4411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100</w:t>
                  </w:r>
                </w:p>
              </w:tc>
            </w:tr>
            <w:tr w14:paraId="586604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891" w:type="dxa"/>
                  <w:tcBorders>
                    <w:tl2br w:val="nil"/>
                    <w:tr2bl w:val="nil"/>
                  </w:tcBorders>
                  <w:shd w:val="clear" w:color="auto" w:fill="auto"/>
                  <w:tcMar>
                    <w:top w:w="120" w:type="dxa"/>
                    <w:left w:w="120" w:type="dxa"/>
                    <w:bottom w:w="120" w:type="dxa"/>
                    <w:right w:w="120" w:type="dxa"/>
                  </w:tcMar>
                  <w:vAlign w:val="center"/>
                </w:tcPr>
                <w:p w14:paraId="64ACA0F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钻机TSJ-2000</w:t>
                  </w:r>
                </w:p>
              </w:tc>
              <w:tc>
                <w:tcPr>
                  <w:tcW w:w="434" w:type="dxa"/>
                  <w:tcBorders>
                    <w:tl2br w:val="nil"/>
                    <w:tr2bl w:val="nil"/>
                  </w:tcBorders>
                  <w:shd w:val="clear" w:color="auto" w:fill="auto"/>
                  <w:tcMar>
                    <w:top w:w="120" w:type="dxa"/>
                    <w:left w:w="120" w:type="dxa"/>
                    <w:bottom w:w="120" w:type="dxa"/>
                    <w:right w:w="120" w:type="dxa"/>
                  </w:tcMar>
                  <w:vAlign w:val="center"/>
                </w:tcPr>
                <w:p w14:paraId="1819A57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85</w:t>
                  </w:r>
                </w:p>
              </w:tc>
              <w:tc>
                <w:tcPr>
                  <w:tcW w:w="566" w:type="dxa"/>
                  <w:tcBorders>
                    <w:tl2br w:val="nil"/>
                    <w:tr2bl w:val="nil"/>
                  </w:tcBorders>
                  <w:shd w:val="clear" w:color="auto" w:fill="auto"/>
                  <w:tcMar>
                    <w:top w:w="120" w:type="dxa"/>
                    <w:left w:w="120" w:type="dxa"/>
                    <w:bottom w:w="120" w:type="dxa"/>
                    <w:right w:w="120" w:type="dxa"/>
                  </w:tcMar>
                  <w:vAlign w:val="center"/>
                </w:tcPr>
                <w:p w14:paraId="3BB4DB8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71.0</w:t>
                  </w:r>
                </w:p>
              </w:tc>
              <w:tc>
                <w:tcPr>
                  <w:tcW w:w="524" w:type="dxa"/>
                  <w:tcBorders>
                    <w:tl2br w:val="nil"/>
                    <w:tr2bl w:val="nil"/>
                  </w:tcBorders>
                  <w:shd w:val="clear" w:color="auto" w:fill="auto"/>
                  <w:tcMar>
                    <w:top w:w="120" w:type="dxa"/>
                    <w:left w:w="120" w:type="dxa"/>
                    <w:bottom w:w="120" w:type="dxa"/>
                    <w:right w:w="120" w:type="dxa"/>
                  </w:tcMar>
                  <w:vAlign w:val="center"/>
                </w:tcPr>
                <w:p w14:paraId="4E1AAC3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65.0</w:t>
                  </w:r>
                </w:p>
              </w:tc>
              <w:tc>
                <w:tcPr>
                  <w:tcW w:w="581" w:type="dxa"/>
                  <w:tcBorders>
                    <w:tl2br w:val="nil"/>
                    <w:tr2bl w:val="nil"/>
                  </w:tcBorders>
                  <w:shd w:val="clear" w:color="auto" w:fill="auto"/>
                  <w:tcMar>
                    <w:top w:w="120" w:type="dxa"/>
                    <w:left w:w="120" w:type="dxa"/>
                    <w:bottom w:w="120" w:type="dxa"/>
                    <w:right w:w="120" w:type="dxa"/>
                  </w:tcMar>
                  <w:vAlign w:val="center"/>
                </w:tcPr>
                <w:p w14:paraId="11493D2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59.0</w:t>
                  </w:r>
                </w:p>
              </w:tc>
              <w:tc>
                <w:tcPr>
                  <w:tcW w:w="552" w:type="dxa"/>
                  <w:tcBorders>
                    <w:tl2br w:val="nil"/>
                    <w:tr2bl w:val="nil"/>
                  </w:tcBorders>
                  <w:shd w:val="clear" w:color="auto" w:fill="auto"/>
                  <w:tcMar>
                    <w:top w:w="120" w:type="dxa"/>
                    <w:left w:w="120" w:type="dxa"/>
                    <w:bottom w:w="120" w:type="dxa"/>
                    <w:right w:w="120" w:type="dxa"/>
                  </w:tcMar>
                  <w:vAlign w:val="center"/>
                </w:tcPr>
                <w:p w14:paraId="3E67647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55.5</w:t>
                  </w:r>
                </w:p>
              </w:tc>
              <w:tc>
                <w:tcPr>
                  <w:tcW w:w="581" w:type="dxa"/>
                  <w:tcBorders>
                    <w:tl2br w:val="nil"/>
                    <w:tr2bl w:val="nil"/>
                  </w:tcBorders>
                  <w:shd w:val="clear" w:color="auto" w:fill="auto"/>
                  <w:tcMar>
                    <w:top w:w="120" w:type="dxa"/>
                    <w:left w:w="120" w:type="dxa"/>
                    <w:bottom w:w="120" w:type="dxa"/>
                    <w:right w:w="120" w:type="dxa"/>
                  </w:tcMar>
                  <w:vAlign w:val="center"/>
                </w:tcPr>
                <w:p w14:paraId="208B751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53.0</w:t>
                  </w:r>
                </w:p>
              </w:tc>
              <w:tc>
                <w:tcPr>
                  <w:tcW w:w="500" w:type="dxa"/>
                  <w:tcBorders>
                    <w:tl2br w:val="nil"/>
                    <w:tr2bl w:val="nil"/>
                  </w:tcBorders>
                  <w:shd w:val="clear" w:color="auto" w:fill="auto"/>
                  <w:tcMar>
                    <w:top w:w="120" w:type="dxa"/>
                    <w:left w:w="120" w:type="dxa"/>
                    <w:bottom w:w="120" w:type="dxa"/>
                    <w:right w:w="120" w:type="dxa"/>
                  </w:tcMar>
                  <w:vAlign w:val="center"/>
                </w:tcPr>
                <w:p w14:paraId="1D66587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51.0</w:t>
                  </w:r>
                </w:p>
              </w:tc>
              <w:tc>
                <w:tcPr>
                  <w:tcW w:w="585" w:type="dxa"/>
                  <w:tcBorders>
                    <w:tl2br w:val="nil"/>
                    <w:tr2bl w:val="nil"/>
                  </w:tcBorders>
                  <w:shd w:val="clear" w:color="auto" w:fill="auto"/>
                  <w:tcMar>
                    <w:top w:w="120" w:type="dxa"/>
                    <w:left w:w="120" w:type="dxa"/>
                    <w:bottom w:w="120" w:type="dxa"/>
                    <w:right w:w="120" w:type="dxa"/>
                  </w:tcMar>
                  <w:vAlign w:val="center"/>
                </w:tcPr>
                <w:p w14:paraId="7CAA768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46.9</w:t>
                  </w:r>
                </w:p>
              </w:tc>
              <w:tc>
                <w:tcPr>
                  <w:tcW w:w="600" w:type="dxa"/>
                  <w:tcBorders>
                    <w:tl2br w:val="nil"/>
                    <w:tr2bl w:val="nil"/>
                  </w:tcBorders>
                  <w:shd w:val="clear" w:color="auto" w:fill="auto"/>
                  <w:tcMar>
                    <w:top w:w="120" w:type="dxa"/>
                    <w:left w:w="120" w:type="dxa"/>
                    <w:bottom w:w="120" w:type="dxa"/>
                    <w:right w:w="120" w:type="dxa"/>
                  </w:tcMar>
                  <w:vAlign w:val="center"/>
                </w:tcPr>
                <w:p w14:paraId="774B834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45.0</w:t>
                  </w:r>
                </w:p>
              </w:tc>
              <w:tc>
                <w:tcPr>
                  <w:tcW w:w="600" w:type="dxa"/>
                  <w:tcBorders>
                    <w:tl2br w:val="nil"/>
                    <w:tr2bl w:val="nil"/>
                  </w:tcBorders>
                  <w:shd w:val="clear" w:color="auto" w:fill="auto"/>
                  <w:tcMar>
                    <w:top w:w="120" w:type="dxa"/>
                    <w:left w:w="120" w:type="dxa"/>
                    <w:bottom w:w="120" w:type="dxa"/>
                    <w:right w:w="120" w:type="dxa"/>
                  </w:tcMar>
                  <w:vAlign w:val="center"/>
                </w:tcPr>
                <w:p w14:paraId="571C7F1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39.0</w:t>
                  </w:r>
                </w:p>
              </w:tc>
              <w:tc>
                <w:tcPr>
                  <w:tcW w:w="591" w:type="dxa"/>
                  <w:tcBorders>
                    <w:tl2br w:val="nil"/>
                    <w:tr2bl w:val="nil"/>
                  </w:tcBorders>
                  <w:shd w:val="clear" w:color="auto" w:fill="auto"/>
                  <w:tcMar>
                    <w:top w:w="120" w:type="dxa"/>
                    <w:left w:w="120" w:type="dxa"/>
                    <w:bottom w:w="120" w:type="dxa"/>
                    <w:right w:w="120" w:type="dxa"/>
                  </w:tcMar>
                  <w:vAlign w:val="center"/>
                </w:tcPr>
                <w:p w14:paraId="7A3BED9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35.5</w:t>
                  </w:r>
                </w:p>
              </w:tc>
              <w:tc>
                <w:tcPr>
                  <w:tcW w:w="533" w:type="dxa"/>
                  <w:tcBorders>
                    <w:tl2br w:val="nil"/>
                    <w:tr2bl w:val="nil"/>
                  </w:tcBorders>
                  <w:shd w:val="clear" w:color="auto" w:fill="auto"/>
                  <w:tcMar>
                    <w:top w:w="120" w:type="dxa"/>
                    <w:left w:w="120" w:type="dxa"/>
                    <w:bottom w:w="120" w:type="dxa"/>
                    <w:right w:w="120" w:type="dxa"/>
                  </w:tcMar>
                  <w:vAlign w:val="center"/>
                </w:tcPr>
                <w:p w14:paraId="0A054B7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w:t>
                  </w:r>
                </w:p>
              </w:tc>
              <w:tc>
                <w:tcPr>
                  <w:tcW w:w="562" w:type="dxa"/>
                  <w:tcBorders>
                    <w:tl2br w:val="nil"/>
                    <w:tr2bl w:val="nil"/>
                  </w:tcBorders>
                  <w:shd w:val="clear" w:color="auto" w:fill="auto"/>
                  <w:tcMar>
                    <w:top w:w="120" w:type="dxa"/>
                    <w:left w:w="120" w:type="dxa"/>
                    <w:bottom w:w="120" w:type="dxa"/>
                    <w:right w:w="120" w:type="dxa"/>
                  </w:tcMar>
                  <w:vAlign w:val="center"/>
                </w:tcPr>
                <w:p w14:paraId="2FF0095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32</w:t>
                  </w:r>
                </w:p>
              </w:tc>
            </w:tr>
            <w:tr w14:paraId="2FA063E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891" w:type="dxa"/>
                  <w:tcBorders>
                    <w:tl2br w:val="nil"/>
                    <w:tr2bl w:val="nil"/>
                  </w:tcBorders>
                  <w:shd w:val="clear" w:color="auto" w:fill="auto"/>
                  <w:tcMar>
                    <w:top w:w="120" w:type="dxa"/>
                    <w:left w:w="120" w:type="dxa"/>
                    <w:bottom w:w="120" w:type="dxa"/>
                    <w:right w:w="120" w:type="dxa"/>
                  </w:tcMar>
                  <w:vAlign w:val="center"/>
                </w:tcPr>
                <w:p w14:paraId="043D7BB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泥浆泵3NB-350</w:t>
                  </w:r>
                </w:p>
              </w:tc>
              <w:tc>
                <w:tcPr>
                  <w:tcW w:w="434" w:type="dxa"/>
                  <w:tcBorders>
                    <w:tl2br w:val="nil"/>
                    <w:tr2bl w:val="nil"/>
                  </w:tcBorders>
                  <w:shd w:val="clear" w:color="auto" w:fill="auto"/>
                  <w:tcMar>
                    <w:top w:w="120" w:type="dxa"/>
                    <w:left w:w="120" w:type="dxa"/>
                    <w:bottom w:w="120" w:type="dxa"/>
                    <w:right w:w="120" w:type="dxa"/>
                  </w:tcMar>
                  <w:vAlign w:val="center"/>
                </w:tcPr>
                <w:p w14:paraId="0CB1D21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85</w:t>
                  </w:r>
                </w:p>
              </w:tc>
              <w:tc>
                <w:tcPr>
                  <w:tcW w:w="566" w:type="dxa"/>
                  <w:tcBorders>
                    <w:tl2br w:val="nil"/>
                    <w:tr2bl w:val="nil"/>
                  </w:tcBorders>
                  <w:shd w:val="clear" w:color="auto" w:fill="auto"/>
                  <w:tcMar>
                    <w:top w:w="120" w:type="dxa"/>
                    <w:left w:w="120" w:type="dxa"/>
                    <w:bottom w:w="120" w:type="dxa"/>
                    <w:right w:w="120" w:type="dxa"/>
                  </w:tcMar>
                  <w:vAlign w:val="center"/>
                </w:tcPr>
                <w:p w14:paraId="2160AA5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71.0</w:t>
                  </w:r>
                </w:p>
              </w:tc>
              <w:tc>
                <w:tcPr>
                  <w:tcW w:w="524" w:type="dxa"/>
                  <w:tcBorders>
                    <w:tl2br w:val="nil"/>
                    <w:tr2bl w:val="nil"/>
                  </w:tcBorders>
                  <w:shd w:val="clear" w:color="auto" w:fill="auto"/>
                  <w:tcMar>
                    <w:top w:w="120" w:type="dxa"/>
                    <w:left w:w="120" w:type="dxa"/>
                    <w:bottom w:w="120" w:type="dxa"/>
                    <w:right w:w="120" w:type="dxa"/>
                  </w:tcMar>
                  <w:vAlign w:val="center"/>
                </w:tcPr>
                <w:p w14:paraId="22C2EFB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65.0</w:t>
                  </w:r>
                </w:p>
              </w:tc>
              <w:tc>
                <w:tcPr>
                  <w:tcW w:w="581" w:type="dxa"/>
                  <w:tcBorders>
                    <w:tl2br w:val="nil"/>
                    <w:tr2bl w:val="nil"/>
                  </w:tcBorders>
                  <w:shd w:val="clear" w:color="auto" w:fill="auto"/>
                  <w:tcMar>
                    <w:top w:w="120" w:type="dxa"/>
                    <w:left w:w="120" w:type="dxa"/>
                    <w:bottom w:w="120" w:type="dxa"/>
                    <w:right w:w="120" w:type="dxa"/>
                  </w:tcMar>
                  <w:vAlign w:val="center"/>
                </w:tcPr>
                <w:p w14:paraId="7811835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59.0</w:t>
                  </w:r>
                </w:p>
              </w:tc>
              <w:tc>
                <w:tcPr>
                  <w:tcW w:w="552" w:type="dxa"/>
                  <w:tcBorders>
                    <w:tl2br w:val="nil"/>
                    <w:tr2bl w:val="nil"/>
                  </w:tcBorders>
                  <w:shd w:val="clear" w:color="auto" w:fill="auto"/>
                  <w:tcMar>
                    <w:top w:w="120" w:type="dxa"/>
                    <w:left w:w="120" w:type="dxa"/>
                    <w:bottom w:w="120" w:type="dxa"/>
                    <w:right w:w="120" w:type="dxa"/>
                  </w:tcMar>
                  <w:vAlign w:val="center"/>
                </w:tcPr>
                <w:p w14:paraId="3AE657B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55.5</w:t>
                  </w:r>
                </w:p>
              </w:tc>
              <w:tc>
                <w:tcPr>
                  <w:tcW w:w="581" w:type="dxa"/>
                  <w:tcBorders>
                    <w:tl2br w:val="nil"/>
                    <w:tr2bl w:val="nil"/>
                  </w:tcBorders>
                  <w:shd w:val="clear" w:color="auto" w:fill="auto"/>
                  <w:tcMar>
                    <w:top w:w="120" w:type="dxa"/>
                    <w:left w:w="120" w:type="dxa"/>
                    <w:bottom w:w="120" w:type="dxa"/>
                    <w:right w:w="120" w:type="dxa"/>
                  </w:tcMar>
                  <w:vAlign w:val="center"/>
                </w:tcPr>
                <w:p w14:paraId="3488063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53.0</w:t>
                  </w:r>
                </w:p>
              </w:tc>
              <w:tc>
                <w:tcPr>
                  <w:tcW w:w="500" w:type="dxa"/>
                  <w:tcBorders>
                    <w:tl2br w:val="nil"/>
                    <w:tr2bl w:val="nil"/>
                  </w:tcBorders>
                  <w:shd w:val="clear" w:color="auto" w:fill="auto"/>
                  <w:tcMar>
                    <w:top w:w="120" w:type="dxa"/>
                    <w:left w:w="120" w:type="dxa"/>
                    <w:bottom w:w="120" w:type="dxa"/>
                    <w:right w:w="120" w:type="dxa"/>
                  </w:tcMar>
                  <w:vAlign w:val="center"/>
                </w:tcPr>
                <w:p w14:paraId="2418D8D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51.0</w:t>
                  </w:r>
                </w:p>
              </w:tc>
              <w:tc>
                <w:tcPr>
                  <w:tcW w:w="585" w:type="dxa"/>
                  <w:tcBorders>
                    <w:tl2br w:val="nil"/>
                    <w:tr2bl w:val="nil"/>
                  </w:tcBorders>
                  <w:shd w:val="clear" w:color="auto" w:fill="auto"/>
                  <w:tcMar>
                    <w:top w:w="120" w:type="dxa"/>
                    <w:left w:w="120" w:type="dxa"/>
                    <w:bottom w:w="120" w:type="dxa"/>
                    <w:right w:w="120" w:type="dxa"/>
                  </w:tcMar>
                  <w:vAlign w:val="center"/>
                </w:tcPr>
                <w:p w14:paraId="73E155B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46.9</w:t>
                  </w:r>
                </w:p>
              </w:tc>
              <w:tc>
                <w:tcPr>
                  <w:tcW w:w="600" w:type="dxa"/>
                  <w:tcBorders>
                    <w:tl2br w:val="nil"/>
                    <w:tr2bl w:val="nil"/>
                  </w:tcBorders>
                  <w:shd w:val="clear" w:color="auto" w:fill="auto"/>
                  <w:tcMar>
                    <w:top w:w="120" w:type="dxa"/>
                    <w:left w:w="120" w:type="dxa"/>
                    <w:bottom w:w="120" w:type="dxa"/>
                    <w:right w:w="120" w:type="dxa"/>
                  </w:tcMar>
                  <w:vAlign w:val="center"/>
                </w:tcPr>
                <w:p w14:paraId="021047F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45.0</w:t>
                  </w:r>
                </w:p>
              </w:tc>
              <w:tc>
                <w:tcPr>
                  <w:tcW w:w="600" w:type="dxa"/>
                  <w:tcBorders>
                    <w:tl2br w:val="nil"/>
                    <w:tr2bl w:val="nil"/>
                  </w:tcBorders>
                  <w:shd w:val="clear" w:color="auto" w:fill="auto"/>
                  <w:tcMar>
                    <w:top w:w="120" w:type="dxa"/>
                    <w:left w:w="120" w:type="dxa"/>
                    <w:bottom w:w="120" w:type="dxa"/>
                    <w:right w:w="120" w:type="dxa"/>
                  </w:tcMar>
                  <w:vAlign w:val="center"/>
                </w:tcPr>
                <w:p w14:paraId="69B66C7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39.0</w:t>
                  </w:r>
                </w:p>
              </w:tc>
              <w:tc>
                <w:tcPr>
                  <w:tcW w:w="591" w:type="dxa"/>
                  <w:tcBorders>
                    <w:tl2br w:val="nil"/>
                    <w:tr2bl w:val="nil"/>
                  </w:tcBorders>
                  <w:shd w:val="clear" w:color="auto" w:fill="auto"/>
                  <w:tcMar>
                    <w:top w:w="120" w:type="dxa"/>
                    <w:left w:w="120" w:type="dxa"/>
                    <w:bottom w:w="120" w:type="dxa"/>
                    <w:right w:w="120" w:type="dxa"/>
                  </w:tcMar>
                  <w:vAlign w:val="center"/>
                </w:tcPr>
                <w:p w14:paraId="524FA89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35.5</w:t>
                  </w:r>
                </w:p>
              </w:tc>
              <w:tc>
                <w:tcPr>
                  <w:tcW w:w="533" w:type="dxa"/>
                  <w:tcBorders>
                    <w:tl2br w:val="nil"/>
                    <w:tr2bl w:val="nil"/>
                  </w:tcBorders>
                  <w:shd w:val="clear" w:color="auto" w:fill="auto"/>
                  <w:tcMar>
                    <w:top w:w="120" w:type="dxa"/>
                    <w:left w:w="120" w:type="dxa"/>
                    <w:bottom w:w="120" w:type="dxa"/>
                    <w:right w:w="120" w:type="dxa"/>
                  </w:tcMar>
                  <w:vAlign w:val="center"/>
                </w:tcPr>
                <w:p w14:paraId="626801A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w:t>
                  </w:r>
                </w:p>
              </w:tc>
              <w:tc>
                <w:tcPr>
                  <w:tcW w:w="562" w:type="dxa"/>
                  <w:tcBorders>
                    <w:tl2br w:val="nil"/>
                    <w:tr2bl w:val="nil"/>
                  </w:tcBorders>
                  <w:shd w:val="clear" w:color="auto" w:fill="auto"/>
                  <w:tcMar>
                    <w:top w:w="120" w:type="dxa"/>
                    <w:left w:w="120" w:type="dxa"/>
                    <w:bottom w:w="120" w:type="dxa"/>
                    <w:right w:w="120" w:type="dxa"/>
                  </w:tcMar>
                  <w:vAlign w:val="center"/>
                </w:tcPr>
                <w:p w14:paraId="7A1A0DF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32</w:t>
                  </w:r>
                </w:p>
              </w:tc>
            </w:tr>
            <w:tr w14:paraId="71326A5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891" w:type="dxa"/>
                  <w:tcBorders>
                    <w:tl2br w:val="nil"/>
                    <w:tr2bl w:val="nil"/>
                  </w:tcBorders>
                  <w:shd w:val="clear" w:color="auto" w:fill="auto"/>
                  <w:tcMar>
                    <w:top w:w="120" w:type="dxa"/>
                    <w:left w:w="120" w:type="dxa"/>
                    <w:bottom w:w="120" w:type="dxa"/>
                    <w:right w:w="120" w:type="dxa"/>
                  </w:tcMar>
                  <w:vAlign w:val="center"/>
                </w:tcPr>
                <w:p w14:paraId="6890A97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柴油机（备用）</w:t>
                  </w:r>
                </w:p>
              </w:tc>
              <w:tc>
                <w:tcPr>
                  <w:tcW w:w="434" w:type="dxa"/>
                  <w:tcBorders>
                    <w:tl2br w:val="nil"/>
                    <w:tr2bl w:val="nil"/>
                  </w:tcBorders>
                  <w:shd w:val="clear" w:color="auto" w:fill="auto"/>
                  <w:tcMar>
                    <w:top w:w="120" w:type="dxa"/>
                    <w:left w:w="120" w:type="dxa"/>
                    <w:bottom w:w="120" w:type="dxa"/>
                    <w:right w:w="120" w:type="dxa"/>
                  </w:tcMar>
                  <w:vAlign w:val="center"/>
                </w:tcPr>
                <w:p w14:paraId="042EB57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95</w:t>
                  </w:r>
                </w:p>
              </w:tc>
              <w:tc>
                <w:tcPr>
                  <w:tcW w:w="566" w:type="dxa"/>
                  <w:tcBorders>
                    <w:tl2br w:val="nil"/>
                    <w:tr2bl w:val="nil"/>
                  </w:tcBorders>
                  <w:shd w:val="clear" w:color="auto" w:fill="auto"/>
                  <w:tcMar>
                    <w:top w:w="120" w:type="dxa"/>
                    <w:left w:w="120" w:type="dxa"/>
                    <w:bottom w:w="120" w:type="dxa"/>
                    <w:right w:w="120" w:type="dxa"/>
                  </w:tcMar>
                  <w:vAlign w:val="center"/>
                </w:tcPr>
                <w:p w14:paraId="30297C0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81.0</w:t>
                  </w:r>
                </w:p>
              </w:tc>
              <w:tc>
                <w:tcPr>
                  <w:tcW w:w="524" w:type="dxa"/>
                  <w:tcBorders>
                    <w:tl2br w:val="nil"/>
                    <w:tr2bl w:val="nil"/>
                  </w:tcBorders>
                  <w:shd w:val="clear" w:color="auto" w:fill="auto"/>
                  <w:tcMar>
                    <w:top w:w="120" w:type="dxa"/>
                    <w:left w:w="120" w:type="dxa"/>
                    <w:bottom w:w="120" w:type="dxa"/>
                    <w:right w:w="120" w:type="dxa"/>
                  </w:tcMar>
                  <w:vAlign w:val="center"/>
                </w:tcPr>
                <w:p w14:paraId="05FFBD6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75.0</w:t>
                  </w:r>
                </w:p>
              </w:tc>
              <w:tc>
                <w:tcPr>
                  <w:tcW w:w="581" w:type="dxa"/>
                  <w:tcBorders>
                    <w:tl2br w:val="nil"/>
                    <w:tr2bl w:val="nil"/>
                  </w:tcBorders>
                  <w:shd w:val="clear" w:color="auto" w:fill="auto"/>
                  <w:tcMar>
                    <w:top w:w="120" w:type="dxa"/>
                    <w:left w:w="120" w:type="dxa"/>
                    <w:bottom w:w="120" w:type="dxa"/>
                    <w:right w:w="120" w:type="dxa"/>
                  </w:tcMar>
                  <w:vAlign w:val="center"/>
                </w:tcPr>
                <w:p w14:paraId="121CD9A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69.0</w:t>
                  </w:r>
                </w:p>
              </w:tc>
              <w:tc>
                <w:tcPr>
                  <w:tcW w:w="552" w:type="dxa"/>
                  <w:tcBorders>
                    <w:tl2br w:val="nil"/>
                    <w:tr2bl w:val="nil"/>
                  </w:tcBorders>
                  <w:shd w:val="clear" w:color="auto" w:fill="auto"/>
                  <w:tcMar>
                    <w:top w:w="120" w:type="dxa"/>
                    <w:left w:w="120" w:type="dxa"/>
                    <w:bottom w:w="120" w:type="dxa"/>
                    <w:right w:w="120" w:type="dxa"/>
                  </w:tcMar>
                  <w:vAlign w:val="center"/>
                </w:tcPr>
                <w:p w14:paraId="69C2438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65.5</w:t>
                  </w:r>
                </w:p>
              </w:tc>
              <w:tc>
                <w:tcPr>
                  <w:tcW w:w="581" w:type="dxa"/>
                  <w:tcBorders>
                    <w:tl2br w:val="nil"/>
                    <w:tr2bl w:val="nil"/>
                  </w:tcBorders>
                  <w:shd w:val="clear" w:color="auto" w:fill="auto"/>
                  <w:tcMar>
                    <w:top w:w="120" w:type="dxa"/>
                    <w:left w:w="120" w:type="dxa"/>
                    <w:bottom w:w="120" w:type="dxa"/>
                    <w:right w:w="120" w:type="dxa"/>
                  </w:tcMar>
                  <w:vAlign w:val="center"/>
                </w:tcPr>
                <w:p w14:paraId="18D2F10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63.0</w:t>
                  </w:r>
                </w:p>
              </w:tc>
              <w:tc>
                <w:tcPr>
                  <w:tcW w:w="500" w:type="dxa"/>
                  <w:tcBorders>
                    <w:tl2br w:val="nil"/>
                    <w:tr2bl w:val="nil"/>
                  </w:tcBorders>
                  <w:shd w:val="clear" w:color="auto" w:fill="auto"/>
                  <w:tcMar>
                    <w:top w:w="120" w:type="dxa"/>
                    <w:left w:w="120" w:type="dxa"/>
                    <w:bottom w:w="120" w:type="dxa"/>
                    <w:right w:w="120" w:type="dxa"/>
                  </w:tcMar>
                  <w:vAlign w:val="center"/>
                </w:tcPr>
                <w:p w14:paraId="1114AE1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61.0</w:t>
                  </w:r>
                </w:p>
              </w:tc>
              <w:tc>
                <w:tcPr>
                  <w:tcW w:w="585" w:type="dxa"/>
                  <w:tcBorders>
                    <w:tl2br w:val="nil"/>
                    <w:tr2bl w:val="nil"/>
                  </w:tcBorders>
                  <w:shd w:val="clear" w:color="auto" w:fill="auto"/>
                  <w:tcMar>
                    <w:top w:w="120" w:type="dxa"/>
                    <w:left w:w="120" w:type="dxa"/>
                    <w:bottom w:w="120" w:type="dxa"/>
                    <w:right w:w="120" w:type="dxa"/>
                  </w:tcMar>
                  <w:vAlign w:val="center"/>
                </w:tcPr>
                <w:p w14:paraId="11EFEC8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56.9</w:t>
                  </w:r>
                </w:p>
              </w:tc>
              <w:tc>
                <w:tcPr>
                  <w:tcW w:w="600" w:type="dxa"/>
                  <w:tcBorders>
                    <w:tl2br w:val="nil"/>
                    <w:tr2bl w:val="nil"/>
                  </w:tcBorders>
                  <w:shd w:val="clear" w:color="auto" w:fill="auto"/>
                  <w:tcMar>
                    <w:top w:w="120" w:type="dxa"/>
                    <w:left w:w="120" w:type="dxa"/>
                    <w:bottom w:w="120" w:type="dxa"/>
                    <w:right w:w="120" w:type="dxa"/>
                  </w:tcMar>
                  <w:vAlign w:val="center"/>
                </w:tcPr>
                <w:p w14:paraId="216E861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55.0</w:t>
                  </w:r>
                </w:p>
              </w:tc>
              <w:tc>
                <w:tcPr>
                  <w:tcW w:w="600" w:type="dxa"/>
                  <w:tcBorders>
                    <w:tl2br w:val="nil"/>
                    <w:tr2bl w:val="nil"/>
                  </w:tcBorders>
                  <w:shd w:val="clear" w:color="auto" w:fill="auto"/>
                  <w:tcMar>
                    <w:top w:w="120" w:type="dxa"/>
                    <w:left w:w="120" w:type="dxa"/>
                    <w:bottom w:w="120" w:type="dxa"/>
                    <w:right w:w="120" w:type="dxa"/>
                  </w:tcMar>
                  <w:vAlign w:val="center"/>
                </w:tcPr>
                <w:p w14:paraId="0A1190D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49.0</w:t>
                  </w:r>
                </w:p>
              </w:tc>
              <w:tc>
                <w:tcPr>
                  <w:tcW w:w="591" w:type="dxa"/>
                  <w:tcBorders>
                    <w:tl2br w:val="nil"/>
                    <w:tr2bl w:val="nil"/>
                  </w:tcBorders>
                  <w:shd w:val="clear" w:color="auto" w:fill="auto"/>
                  <w:tcMar>
                    <w:top w:w="120" w:type="dxa"/>
                    <w:left w:w="120" w:type="dxa"/>
                    <w:bottom w:w="120" w:type="dxa"/>
                    <w:right w:w="120" w:type="dxa"/>
                  </w:tcMar>
                  <w:vAlign w:val="center"/>
                </w:tcPr>
                <w:p w14:paraId="1BA70E0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45.5</w:t>
                  </w:r>
                </w:p>
              </w:tc>
              <w:tc>
                <w:tcPr>
                  <w:tcW w:w="533" w:type="dxa"/>
                  <w:tcBorders>
                    <w:tl2br w:val="nil"/>
                    <w:tr2bl w:val="nil"/>
                  </w:tcBorders>
                  <w:shd w:val="clear" w:color="auto" w:fill="auto"/>
                  <w:tcMar>
                    <w:top w:w="120" w:type="dxa"/>
                    <w:left w:w="120" w:type="dxa"/>
                    <w:bottom w:w="120" w:type="dxa"/>
                    <w:right w:w="120" w:type="dxa"/>
                  </w:tcMar>
                  <w:vAlign w:val="center"/>
                </w:tcPr>
                <w:p w14:paraId="69EAC8C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18</w:t>
                  </w:r>
                </w:p>
              </w:tc>
              <w:tc>
                <w:tcPr>
                  <w:tcW w:w="562" w:type="dxa"/>
                  <w:tcBorders>
                    <w:tl2br w:val="nil"/>
                    <w:tr2bl w:val="nil"/>
                  </w:tcBorders>
                  <w:shd w:val="clear" w:color="auto" w:fill="auto"/>
                  <w:tcMar>
                    <w:top w:w="120" w:type="dxa"/>
                    <w:left w:w="120" w:type="dxa"/>
                    <w:bottom w:w="120" w:type="dxa"/>
                    <w:right w:w="120" w:type="dxa"/>
                  </w:tcMar>
                  <w:vAlign w:val="center"/>
                </w:tcPr>
                <w:p w14:paraId="0D703FF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100</w:t>
                  </w:r>
                </w:p>
              </w:tc>
            </w:tr>
            <w:tr w14:paraId="77D525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891" w:type="dxa"/>
                  <w:tcBorders>
                    <w:tl2br w:val="nil"/>
                    <w:tr2bl w:val="nil"/>
                  </w:tcBorders>
                  <w:shd w:val="clear" w:color="auto" w:fill="auto"/>
                  <w:tcMar>
                    <w:top w:w="120" w:type="dxa"/>
                    <w:left w:w="120" w:type="dxa"/>
                    <w:bottom w:w="120" w:type="dxa"/>
                    <w:right w:w="120" w:type="dxa"/>
                  </w:tcMar>
                  <w:vAlign w:val="center"/>
                </w:tcPr>
                <w:p w14:paraId="6E00C61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电动机YJ240AX1</w:t>
                  </w:r>
                </w:p>
              </w:tc>
              <w:tc>
                <w:tcPr>
                  <w:tcW w:w="434" w:type="dxa"/>
                  <w:tcBorders>
                    <w:tl2br w:val="nil"/>
                    <w:tr2bl w:val="nil"/>
                  </w:tcBorders>
                  <w:shd w:val="clear" w:color="auto" w:fill="auto"/>
                  <w:tcMar>
                    <w:top w:w="120" w:type="dxa"/>
                    <w:left w:w="120" w:type="dxa"/>
                    <w:bottom w:w="120" w:type="dxa"/>
                    <w:right w:w="120" w:type="dxa"/>
                  </w:tcMar>
                  <w:vAlign w:val="center"/>
                </w:tcPr>
                <w:p w14:paraId="4BB4371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80</w:t>
                  </w:r>
                </w:p>
              </w:tc>
              <w:tc>
                <w:tcPr>
                  <w:tcW w:w="566" w:type="dxa"/>
                  <w:tcBorders>
                    <w:tl2br w:val="nil"/>
                    <w:tr2bl w:val="nil"/>
                  </w:tcBorders>
                  <w:shd w:val="clear" w:color="auto" w:fill="auto"/>
                  <w:tcMar>
                    <w:top w:w="120" w:type="dxa"/>
                    <w:left w:w="120" w:type="dxa"/>
                    <w:bottom w:w="120" w:type="dxa"/>
                    <w:right w:w="120" w:type="dxa"/>
                  </w:tcMar>
                  <w:vAlign w:val="center"/>
                </w:tcPr>
                <w:p w14:paraId="6962822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66.0</w:t>
                  </w:r>
                </w:p>
              </w:tc>
              <w:tc>
                <w:tcPr>
                  <w:tcW w:w="524" w:type="dxa"/>
                  <w:tcBorders>
                    <w:tl2br w:val="nil"/>
                    <w:tr2bl w:val="nil"/>
                  </w:tcBorders>
                  <w:shd w:val="clear" w:color="auto" w:fill="auto"/>
                  <w:tcMar>
                    <w:top w:w="120" w:type="dxa"/>
                    <w:left w:w="120" w:type="dxa"/>
                    <w:bottom w:w="120" w:type="dxa"/>
                    <w:right w:w="120" w:type="dxa"/>
                  </w:tcMar>
                  <w:vAlign w:val="center"/>
                </w:tcPr>
                <w:p w14:paraId="31AA4B7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60.0</w:t>
                  </w:r>
                </w:p>
              </w:tc>
              <w:tc>
                <w:tcPr>
                  <w:tcW w:w="581" w:type="dxa"/>
                  <w:tcBorders>
                    <w:tl2br w:val="nil"/>
                    <w:tr2bl w:val="nil"/>
                  </w:tcBorders>
                  <w:shd w:val="clear" w:color="auto" w:fill="auto"/>
                  <w:tcMar>
                    <w:top w:w="120" w:type="dxa"/>
                    <w:left w:w="120" w:type="dxa"/>
                    <w:bottom w:w="120" w:type="dxa"/>
                    <w:right w:w="120" w:type="dxa"/>
                  </w:tcMar>
                  <w:vAlign w:val="center"/>
                </w:tcPr>
                <w:p w14:paraId="654047F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54.0</w:t>
                  </w:r>
                </w:p>
              </w:tc>
              <w:tc>
                <w:tcPr>
                  <w:tcW w:w="552" w:type="dxa"/>
                  <w:tcBorders>
                    <w:tl2br w:val="nil"/>
                    <w:tr2bl w:val="nil"/>
                  </w:tcBorders>
                  <w:shd w:val="clear" w:color="auto" w:fill="auto"/>
                  <w:tcMar>
                    <w:top w:w="120" w:type="dxa"/>
                    <w:left w:w="120" w:type="dxa"/>
                    <w:bottom w:w="120" w:type="dxa"/>
                    <w:right w:w="120" w:type="dxa"/>
                  </w:tcMar>
                  <w:vAlign w:val="center"/>
                </w:tcPr>
                <w:p w14:paraId="6EE960B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50.5</w:t>
                  </w:r>
                </w:p>
              </w:tc>
              <w:tc>
                <w:tcPr>
                  <w:tcW w:w="581" w:type="dxa"/>
                  <w:tcBorders>
                    <w:tl2br w:val="nil"/>
                    <w:tr2bl w:val="nil"/>
                  </w:tcBorders>
                  <w:shd w:val="clear" w:color="auto" w:fill="auto"/>
                  <w:tcMar>
                    <w:top w:w="120" w:type="dxa"/>
                    <w:left w:w="120" w:type="dxa"/>
                    <w:bottom w:w="120" w:type="dxa"/>
                    <w:right w:w="120" w:type="dxa"/>
                  </w:tcMar>
                  <w:vAlign w:val="center"/>
                </w:tcPr>
                <w:p w14:paraId="4422B31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48.0</w:t>
                  </w:r>
                </w:p>
              </w:tc>
              <w:tc>
                <w:tcPr>
                  <w:tcW w:w="500" w:type="dxa"/>
                  <w:tcBorders>
                    <w:tl2br w:val="nil"/>
                    <w:tr2bl w:val="nil"/>
                  </w:tcBorders>
                  <w:shd w:val="clear" w:color="auto" w:fill="auto"/>
                  <w:tcMar>
                    <w:top w:w="120" w:type="dxa"/>
                    <w:left w:w="120" w:type="dxa"/>
                    <w:bottom w:w="120" w:type="dxa"/>
                    <w:right w:w="120" w:type="dxa"/>
                  </w:tcMar>
                  <w:vAlign w:val="center"/>
                </w:tcPr>
                <w:p w14:paraId="6398066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46.0</w:t>
                  </w:r>
                </w:p>
              </w:tc>
              <w:tc>
                <w:tcPr>
                  <w:tcW w:w="585" w:type="dxa"/>
                  <w:tcBorders>
                    <w:tl2br w:val="nil"/>
                    <w:tr2bl w:val="nil"/>
                  </w:tcBorders>
                  <w:shd w:val="clear" w:color="auto" w:fill="auto"/>
                  <w:tcMar>
                    <w:top w:w="120" w:type="dxa"/>
                    <w:left w:w="120" w:type="dxa"/>
                    <w:bottom w:w="120" w:type="dxa"/>
                    <w:right w:w="120" w:type="dxa"/>
                  </w:tcMar>
                  <w:vAlign w:val="center"/>
                </w:tcPr>
                <w:p w14:paraId="6025C93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41.9</w:t>
                  </w:r>
                </w:p>
              </w:tc>
              <w:tc>
                <w:tcPr>
                  <w:tcW w:w="600" w:type="dxa"/>
                  <w:tcBorders>
                    <w:tl2br w:val="nil"/>
                    <w:tr2bl w:val="nil"/>
                  </w:tcBorders>
                  <w:shd w:val="clear" w:color="auto" w:fill="auto"/>
                  <w:tcMar>
                    <w:top w:w="120" w:type="dxa"/>
                    <w:left w:w="120" w:type="dxa"/>
                    <w:bottom w:w="120" w:type="dxa"/>
                    <w:right w:w="120" w:type="dxa"/>
                  </w:tcMar>
                  <w:vAlign w:val="center"/>
                </w:tcPr>
                <w:p w14:paraId="6DAFF33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40.0</w:t>
                  </w:r>
                </w:p>
              </w:tc>
              <w:tc>
                <w:tcPr>
                  <w:tcW w:w="600" w:type="dxa"/>
                  <w:tcBorders>
                    <w:tl2br w:val="nil"/>
                    <w:tr2bl w:val="nil"/>
                  </w:tcBorders>
                  <w:shd w:val="clear" w:color="auto" w:fill="auto"/>
                  <w:tcMar>
                    <w:top w:w="120" w:type="dxa"/>
                    <w:left w:w="120" w:type="dxa"/>
                    <w:bottom w:w="120" w:type="dxa"/>
                    <w:right w:w="120" w:type="dxa"/>
                  </w:tcMar>
                  <w:vAlign w:val="center"/>
                </w:tcPr>
                <w:p w14:paraId="416CF09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34.0</w:t>
                  </w:r>
                </w:p>
              </w:tc>
              <w:tc>
                <w:tcPr>
                  <w:tcW w:w="591" w:type="dxa"/>
                  <w:tcBorders>
                    <w:tl2br w:val="nil"/>
                    <w:tr2bl w:val="nil"/>
                  </w:tcBorders>
                  <w:shd w:val="clear" w:color="auto" w:fill="auto"/>
                  <w:tcMar>
                    <w:top w:w="120" w:type="dxa"/>
                    <w:left w:w="120" w:type="dxa"/>
                    <w:bottom w:w="120" w:type="dxa"/>
                    <w:right w:w="120" w:type="dxa"/>
                  </w:tcMar>
                  <w:vAlign w:val="center"/>
                </w:tcPr>
                <w:p w14:paraId="1FAD682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30.5</w:t>
                  </w:r>
                </w:p>
              </w:tc>
              <w:tc>
                <w:tcPr>
                  <w:tcW w:w="533" w:type="dxa"/>
                  <w:tcBorders>
                    <w:tl2br w:val="nil"/>
                    <w:tr2bl w:val="nil"/>
                  </w:tcBorders>
                  <w:shd w:val="clear" w:color="auto" w:fill="auto"/>
                  <w:tcMar>
                    <w:top w:w="120" w:type="dxa"/>
                    <w:left w:w="120" w:type="dxa"/>
                    <w:bottom w:w="120" w:type="dxa"/>
                    <w:right w:w="120" w:type="dxa"/>
                  </w:tcMar>
                  <w:vAlign w:val="center"/>
                </w:tcPr>
                <w:p w14:paraId="6A2F0C1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w:t>
                  </w:r>
                </w:p>
              </w:tc>
              <w:tc>
                <w:tcPr>
                  <w:tcW w:w="562" w:type="dxa"/>
                  <w:tcBorders>
                    <w:tl2br w:val="nil"/>
                    <w:tr2bl w:val="nil"/>
                  </w:tcBorders>
                  <w:shd w:val="clear" w:color="auto" w:fill="auto"/>
                  <w:tcMar>
                    <w:top w:w="120" w:type="dxa"/>
                    <w:left w:w="120" w:type="dxa"/>
                    <w:bottom w:w="120" w:type="dxa"/>
                    <w:right w:w="120" w:type="dxa"/>
                  </w:tcMar>
                  <w:vAlign w:val="center"/>
                </w:tcPr>
                <w:p w14:paraId="5A1D0AD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18</w:t>
                  </w:r>
                </w:p>
              </w:tc>
            </w:tr>
            <w:tr w14:paraId="0260FBC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891" w:type="dxa"/>
                  <w:tcBorders>
                    <w:tl2br w:val="nil"/>
                    <w:tr2bl w:val="nil"/>
                  </w:tcBorders>
                  <w:shd w:val="clear" w:color="auto" w:fill="auto"/>
                  <w:tcMar>
                    <w:top w:w="120" w:type="dxa"/>
                    <w:left w:w="120" w:type="dxa"/>
                    <w:bottom w:w="120" w:type="dxa"/>
                    <w:right w:w="120" w:type="dxa"/>
                  </w:tcMar>
                  <w:vAlign w:val="center"/>
                </w:tcPr>
                <w:p w14:paraId="3CB9AAC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随钻测斜仪</w:t>
                  </w:r>
                </w:p>
              </w:tc>
              <w:tc>
                <w:tcPr>
                  <w:tcW w:w="434" w:type="dxa"/>
                  <w:tcBorders>
                    <w:tl2br w:val="nil"/>
                    <w:tr2bl w:val="nil"/>
                  </w:tcBorders>
                  <w:shd w:val="clear" w:color="auto" w:fill="auto"/>
                  <w:tcMar>
                    <w:top w:w="120" w:type="dxa"/>
                    <w:left w:w="120" w:type="dxa"/>
                    <w:bottom w:w="120" w:type="dxa"/>
                    <w:right w:w="120" w:type="dxa"/>
                  </w:tcMar>
                  <w:vAlign w:val="center"/>
                </w:tcPr>
                <w:p w14:paraId="60AF7E4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70</w:t>
                  </w:r>
                </w:p>
              </w:tc>
              <w:tc>
                <w:tcPr>
                  <w:tcW w:w="566" w:type="dxa"/>
                  <w:tcBorders>
                    <w:tl2br w:val="nil"/>
                    <w:tr2bl w:val="nil"/>
                  </w:tcBorders>
                  <w:shd w:val="clear" w:color="auto" w:fill="auto"/>
                  <w:tcMar>
                    <w:top w:w="120" w:type="dxa"/>
                    <w:left w:w="120" w:type="dxa"/>
                    <w:bottom w:w="120" w:type="dxa"/>
                    <w:right w:w="120" w:type="dxa"/>
                  </w:tcMar>
                  <w:vAlign w:val="center"/>
                </w:tcPr>
                <w:p w14:paraId="00FF0E8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56.0</w:t>
                  </w:r>
                </w:p>
              </w:tc>
              <w:tc>
                <w:tcPr>
                  <w:tcW w:w="524" w:type="dxa"/>
                  <w:tcBorders>
                    <w:tl2br w:val="nil"/>
                    <w:tr2bl w:val="nil"/>
                  </w:tcBorders>
                  <w:shd w:val="clear" w:color="auto" w:fill="auto"/>
                  <w:tcMar>
                    <w:top w:w="120" w:type="dxa"/>
                    <w:left w:w="120" w:type="dxa"/>
                    <w:bottom w:w="120" w:type="dxa"/>
                    <w:right w:w="120" w:type="dxa"/>
                  </w:tcMar>
                  <w:vAlign w:val="center"/>
                </w:tcPr>
                <w:p w14:paraId="37D5F11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50.0</w:t>
                  </w:r>
                </w:p>
              </w:tc>
              <w:tc>
                <w:tcPr>
                  <w:tcW w:w="581" w:type="dxa"/>
                  <w:tcBorders>
                    <w:tl2br w:val="nil"/>
                    <w:tr2bl w:val="nil"/>
                  </w:tcBorders>
                  <w:shd w:val="clear" w:color="auto" w:fill="auto"/>
                  <w:tcMar>
                    <w:top w:w="120" w:type="dxa"/>
                    <w:left w:w="120" w:type="dxa"/>
                    <w:bottom w:w="120" w:type="dxa"/>
                    <w:right w:w="120" w:type="dxa"/>
                  </w:tcMar>
                  <w:vAlign w:val="center"/>
                </w:tcPr>
                <w:p w14:paraId="0767A2F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44.0</w:t>
                  </w:r>
                </w:p>
              </w:tc>
              <w:tc>
                <w:tcPr>
                  <w:tcW w:w="552" w:type="dxa"/>
                  <w:tcBorders>
                    <w:tl2br w:val="nil"/>
                    <w:tr2bl w:val="nil"/>
                  </w:tcBorders>
                  <w:shd w:val="clear" w:color="auto" w:fill="auto"/>
                  <w:tcMar>
                    <w:top w:w="120" w:type="dxa"/>
                    <w:left w:w="120" w:type="dxa"/>
                    <w:bottom w:w="120" w:type="dxa"/>
                    <w:right w:w="120" w:type="dxa"/>
                  </w:tcMar>
                  <w:vAlign w:val="center"/>
                </w:tcPr>
                <w:p w14:paraId="46467CD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40.5</w:t>
                  </w:r>
                </w:p>
              </w:tc>
              <w:tc>
                <w:tcPr>
                  <w:tcW w:w="581" w:type="dxa"/>
                  <w:tcBorders>
                    <w:tl2br w:val="nil"/>
                    <w:tr2bl w:val="nil"/>
                  </w:tcBorders>
                  <w:shd w:val="clear" w:color="auto" w:fill="auto"/>
                  <w:tcMar>
                    <w:top w:w="120" w:type="dxa"/>
                    <w:left w:w="120" w:type="dxa"/>
                    <w:bottom w:w="120" w:type="dxa"/>
                    <w:right w:w="120" w:type="dxa"/>
                  </w:tcMar>
                  <w:vAlign w:val="center"/>
                </w:tcPr>
                <w:p w14:paraId="3CFFE5D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38.0</w:t>
                  </w:r>
                </w:p>
              </w:tc>
              <w:tc>
                <w:tcPr>
                  <w:tcW w:w="500" w:type="dxa"/>
                  <w:tcBorders>
                    <w:tl2br w:val="nil"/>
                    <w:tr2bl w:val="nil"/>
                  </w:tcBorders>
                  <w:shd w:val="clear" w:color="auto" w:fill="auto"/>
                  <w:tcMar>
                    <w:top w:w="120" w:type="dxa"/>
                    <w:left w:w="120" w:type="dxa"/>
                    <w:bottom w:w="120" w:type="dxa"/>
                    <w:right w:w="120" w:type="dxa"/>
                  </w:tcMar>
                  <w:vAlign w:val="center"/>
                </w:tcPr>
                <w:p w14:paraId="719B8AF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36.0</w:t>
                  </w:r>
                </w:p>
              </w:tc>
              <w:tc>
                <w:tcPr>
                  <w:tcW w:w="585" w:type="dxa"/>
                  <w:tcBorders>
                    <w:tl2br w:val="nil"/>
                    <w:tr2bl w:val="nil"/>
                  </w:tcBorders>
                  <w:shd w:val="clear" w:color="auto" w:fill="auto"/>
                  <w:tcMar>
                    <w:top w:w="120" w:type="dxa"/>
                    <w:left w:w="120" w:type="dxa"/>
                    <w:bottom w:w="120" w:type="dxa"/>
                    <w:right w:w="120" w:type="dxa"/>
                  </w:tcMar>
                  <w:vAlign w:val="center"/>
                </w:tcPr>
                <w:p w14:paraId="06E5BE5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31.9</w:t>
                  </w:r>
                </w:p>
              </w:tc>
              <w:tc>
                <w:tcPr>
                  <w:tcW w:w="600" w:type="dxa"/>
                  <w:tcBorders>
                    <w:tl2br w:val="nil"/>
                    <w:tr2bl w:val="nil"/>
                  </w:tcBorders>
                  <w:shd w:val="clear" w:color="auto" w:fill="auto"/>
                  <w:tcMar>
                    <w:top w:w="120" w:type="dxa"/>
                    <w:left w:w="120" w:type="dxa"/>
                    <w:bottom w:w="120" w:type="dxa"/>
                    <w:right w:w="120" w:type="dxa"/>
                  </w:tcMar>
                  <w:vAlign w:val="center"/>
                </w:tcPr>
                <w:p w14:paraId="6FAA6ED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30.0</w:t>
                  </w:r>
                </w:p>
              </w:tc>
              <w:tc>
                <w:tcPr>
                  <w:tcW w:w="600" w:type="dxa"/>
                  <w:tcBorders>
                    <w:tl2br w:val="nil"/>
                    <w:tr2bl w:val="nil"/>
                  </w:tcBorders>
                  <w:shd w:val="clear" w:color="auto" w:fill="auto"/>
                  <w:tcMar>
                    <w:top w:w="120" w:type="dxa"/>
                    <w:left w:w="120" w:type="dxa"/>
                    <w:bottom w:w="120" w:type="dxa"/>
                    <w:right w:w="120" w:type="dxa"/>
                  </w:tcMar>
                  <w:vAlign w:val="center"/>
                </w:tcPr>
                <w:p w14:paraId="5DF8932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24.0</w:t>
                  </w:r>
                </w:p>
              </w:tc>
              <w:tc>
                <w:tcPr>
                  <w:tcW w:w="591" w:type="dxa"/>
                  <w:tcBorders>
                    <w:tl2br w:val="nil"/>
                    <w:tr2bl w:val="nil"/>
                  </w:tcBorders>
                  <w:shd w:val="clear" w:color="auto" w:fill="auto"/>
                  <w:tcMar>
                    <w:top w:w="120" w:type="dxa"/>
                    <w:left w:w="120" w:type="dxa"/>
                    <w:bottom w:w="120" w:type="dxa"/>
                    <w:right w:w="120" w:type="dxa"/>
                  </w:tcMar>
                  <w:vAlign w:val="center"/>
                </w:tcPr>
                <w:p w14:paraId="51DE225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20.5</w:t>
                  </w:r>
                </w:p>
              </w:tc>
              <w:tc>
                <w:tcPr>
                  <w:tcW w:w="533" w:type="dxa"/>
                  <w:tcBorders>
                    <w:tl2br w:val="nil"/>
                    <w:tr2bl w:val="nil"/>
                  </w:tcBorders>
                  <w:shd w:val="clear" w:color="auto" w:fill="auto"/>
                  <w:tcMar>
                    <w:top w:w="120" w:type="dxa"/>
                    <w:left w:w="120" w:type="dxa"/>
                    <w:bottom w:w="120" w:type="dxa"/>
                    <w:right w:w="120" w:type="dxa"/>
                  </w:tcMar>
                  <w:vAlign w:val="center"/>
                </w:tcPr>
                <w:p w14:paraId="46FB2CD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1</w:t>
                  </w:r>
                </w:p>
              </w:tc>
              <w:tc>
                <w:tcPr>
                  <w:tcW w:w="562" w:type="dxa"/>
                  <w:tcBorders>
                    <w:tl2br w:val="nil"/>
                    <w:tr2bl w:val="nil"/>
                  </w:tcBorders>
                  <w:shd w:val="clear" w:color="auto" w:fill="auto"/>
                  <w:tcMar>
                    <w:top w:w="120" w:type="dxa"/>
                    <w:left w:w="120" w:type="dxa"/>
                    <w:bottom w:w="120" w:type="dxa"/>
                    <w:right w:w="120" w:type="dxa"/>
                  </w:tcMar>
                  <w:vAlign w:val="center"/>
                </w:tcPr>
                <w:p w14:paraId="1567240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w:t>
                  </w:r>
                </w:p>
              </w:tc>
            </w:tr>
            <w:tr w14:paraId="328A17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891" w:type="dxa"/>
                  <w:tcBorders>
                    <w:tl2br w:val="nil"/>
                    <w:tr2bl w:val="nil"/>
                  </w:tcBorders>
                  <w:shd w:val="clear" w:color="auto" w:fill="auto"/>
                  <w:tcMar>
                    <w:top w:w="120" w:type="dxa"/>
                    <w:left w:w="120" w:type="dxa"/>
                    <w:bottom w:w="120" w:type="dxa"/>
                    <w:right w:w="120" w:type="dxa"/>
                  </w:tcMar>
                  <w:vAlign w:val="center"/>
                </w:tcPr>
                <w:p w14:paraId="2CA578A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注浆泵F300</w:t>
                  </w:r>
                </w:p>
              </w:tc>
              <w:tc>
                <w:tcPr>
                  <w:tcW w:w="434" w:type="dxa"/>
                  <w:tcBorders>
                    <w:tl2br w:val="nil"/>
                    <w:tr2bl w:val="nil"/>
                  </w:tcBorders>
                  <w:shd w:val="clear" w:color="auto" w:fill="auto"/>
                  <w:tcMar>
                    <w:top w:w="120" w:type="dxa"/>
                    <w:left w:w="120" w:type="dxa"/>
                    <w:bottom w:w="120" w:type="dxa"/>
                    <w:right w:w="120" w:type="dxa"/>
                  </w:tcMar>
                  <w:vAlign w:val="center"/>
                </w:tcPr>
                <w:p w14:paraId="63C52B5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90</w:t>
                  </w:r>
                </w:p>
              </w:tc>
              <w:tc>
                <w:tcPr>
                  <w:tcW w:w="566" w:type="dxa"/>
                  <w:tcBorders>
                    <w:tl2br w:val="nil"/>
                    <w:tr2bl w:val="nil"/>
                  </w:tcBorders>
                  <w:shd w:val="clear" w:color="auto" w:fill="auto"/>
                  <w:tcMar>
                    <w:top w:w="120" w:type="dxa"/>
                    <w:left w:w="120" w:type="dxa"/>
                    <w:bottom w:w="120" w:type="dxa"/>
                    <w:right w:w="120" w:type="dxa"/>
                  </w:tcMar>
                  <w:vAlign w:val="center"/>
                </w:tcPr>
                <w:p w14:paraId="0735234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76.0</w:t>
                  </w:r>
                </w:p>
              </w:tc>
              <w:tc>
                <w:tcPr>
                  <w:tcW w:w="524" w:type="dxa"/>
                  <w:tcBorders>
                    <w:tl2br w:val="nil"/>
                    <w:tr2bl w:val="nil"/>
                  </w:tcBorders>
                  <w:shd w:val="clear" w:color="auto" w:fill="auto"/>
                  <w:tcMar>
                    <w:top w:w="120" w:type="dxa"/>
                    <w:left w:w="120" w:type="dxa"/>
                    <w:bottom w:w="120" w:type="dxa"/>
                    <w:right w:w="120" w:type="dxa"/>
                  </w:tcMar>
                  <w:vAlign w:val="center"/>
                </w:tcPr>
                <w:p w14:paraId="4338B33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70.0</w:t>
                  </w:r>
                </w:p>
              </w:tc>
              <w:tc>
                <w:tcPr>
                  <w:tcW w:w="581" w:type="dxa"/>
                  <w:tcBorders>
                    <w:tl2br w:val="nil"/>
                    <w:tr2bl w:val="nil"/>
                  </w:tcBorders>
                  <w:shd w:val="clear" w:color="auto" w:fill="auto"/>
                  <w:tcMar>
                    <w:top w:w="120" w:type="dxa"/>
                    <w:left w:w="120" w:type="dxa"/>
                    <w:bottom w:w="120" w:type="dxa"/>
                    <w:right w:w="120" w:type="dxa"/>
                  </w:tcMar>
                  <w:vAlign w:val="center"/>
                </w:tcPr>
                <w:p w14:paraId="4CBA676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64.0</w:t>
                  </w:r>
                </w:p>
              </w:tc>
              <w:tc>
                <w:tcPr>
                  <w:tcW w:w="552" w:type="dxa"/>
                  <w:tcBorders>
                    <w:tl2br w:val="nil"/>
                    <w:tr2bl w:val="nil"/>
                  </w:tcBorders>
                  <w:shd w:val="clear" w:color="auto" w:fill="auto"/>
                  <w:tcMar>
                    <w:top w:w="120" w:type="dxa"/>
                    <w:left w:w="120" w:type="dxa"/>
                    <w:bottom w:w="120" w:type="dxa"/>
                    <w:right w:w="120" w:type="dxa"/>
                  </w:tcMar>
                  <w:vAlign w:val="center"/>
                </w:tcPr>
                <w:p w14:paraId="3CC91AE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60.5</w:t>
                  </w:r>
                </w:p>
              </w:tc>
              <w:tc>
                <w:tcPr>
                  <w:tcW w:w="581" w:type="dxa"/>
                  <w:tcBorders>
                    <w:tl2br w:val="nil"/>
                    <w:tr2bl w:val="nil"/>
                  </w:tcBorders>
                  <w:shd w:val="clear" w:color="auto" w:fill="auto"/>
                  <w:tcMar>
                    <w:top w:w="120" w:type="dxa"/>
                    <w:left w:w="120" w:type="dxa"/>
                    <w:bottom w:w="120" w:type="dxa"/>
                    <w:right w:w="120" w:type="dxa"/>
                  </w:tcMar>
                  <w:vAlign w:val="center"/>
                </w:tcPr>
                <w:p w14:paraId="18F7DB0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58.0</w:t>
                  </w:r>
                </w:p>
              </w:tc>
              <w:tc>
                <w:tcPr>
                  <w:tcW w:w="500" w:type="dxa"/>
                  <w:tcBorders>
                    <w:tl2br w:val="nil"/>
                    <w:tr2bl w:val="nil"/>
                  </w:tcBorders>
                  <w:shd w:val="clear" w:color="auto" w:fill="auto"/>
                  <w:tcMar>
                    <w:top w:w="120" w:type="dxa"/>
                    <w:left w:w="120" w:type="dxa"/>
                    <w:bottom w:w="120" w:type="dxa"/>
                    <w:right w:w="120" w:type="dxa"/>
                  </w:tcMar>
                  <w:vAlign w:val="center"/>
                </w:tcPr>
                <w:p w14:paraId="040C091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56.0</w:t>
                  </w:r>
                </w:p>
              </w:tc>
              <w:tc>
                <w:tcPr>
                  <w:tcW w:w="585" w:type="dxa"/>
                  <w:tcBorders>
                    <w:tl2br w:val="nil"/>
                    <w:tr2bl w:val="nil"/>
                  </w:tcBorders>
                  <w:shd w:val="clear" w:color="auto" w:fill="auto"/>
                  <w:tcMar>
                    <w:top w:w="120" w:type="dxa"/>
                    <w:left w:w="120" w:type="dxa"/>
                    <w:bottom w:w="120" w:type="dxa"/>
                    <w:right w:w="120" w:type="dxa"/>
                  </w:tcMar>
                  <w:vAlign w:val="center"/>
                </w:tcPr>
                <w:p w14:paraId="1A38909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51.9</w:t>
                  </w:r>
                </w:p>
              </w:tc>
              <w:tc>
                <w:tcPr>
                  <w:tcW w:w="600" w:type="dxa"/>
                  <w:tcBorders>
                    <w:tl2br w:val="nil"/>
                    <w:tr2bl w:val="nil"/>
                  </w:tcBorders>
                  <w:shd w:val="clear" w:color="auto" w:fill="auto"/>
                  <w:tcMar>
                    <w:top w:w="120" w:type="dxa"/>
                    <w:left w:w="120" w:type="dxa"/>
                    <w:bottom w:w="120" w:type="dxa"/>
                    <w:right w:w="120" w:type="dxa"/>
                  </w:tcMar>
                  <w:vAlign w:val="center"/>
                </w:tcPr>
                <w:p w14:paraId="7630080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50.0</w:t>
                  </w:r>
                </w:p>
              </w:tc>
              <w:tc>
                <w:tcPr>
                  <w:tcW w:w="600" w:type="dxa"/>
                  <w:tcBorders>
                    <w:tl2br w:val="nil"/>
                    <w:tr2bl w:val="nil"/>
                  </w:tcBorders>
                  <w:shd w:val="clear" w:color="auto" w:fill="auto"/>
                  <w:tcMar>
                    <w:top w:w="120" w:type="dxa"/>
                    <w:left w:w="120" w:type="dxa"/>
                    <w:bottom w:w="120" w:type="dxa"/>
                    <w:right w:w="120" w:type="dxa"/>
                  </w:tcMar>
                  <w:vAlign w:val="center"/>
                </w:tcPr>
                <w:p w14:paraId="4D49009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44.0</w:t>
                  </w:r>
                </w:p>
              </w:tc>
              <w:tc>
                <w:tcPr>
                  <w:tcW w:w="591" w:type="dxa"/>
                  <w:tcBorders>
                    <w:tl2br w:val="nil"/>
                    <w:tr2bl w:val="nil"/>
                  </w:tcBorders>
                  <w:shd w:val="clear" w:color="auto" w:fill="auto"/>
                  <w:tcMar>
                    <w:top w:w="120" w:type="dxa"/>
                    <w:left w:w="120" w:type="dxa"/>
                    <w:bottom w:w="120" w:type="dxa"/>
                    <w:right w:w="120" w:type="dxa"/>
                  </w:tcMar>
                  <w:vAlign w:val="center"/>
                </w:tcPr>
                <w:p w14:paraId="69E4A12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40.5</w:t>
                  </w:r>
                </w:p>
              </w:tc>
              <w:tc>
                <w:tcPr>
                  <w:tcW w:w="533" w:type="dxa"/>
                  <w:tcBorders>
                    <w:tl2br w:val="nil"/>
                    <w:tr2bl w:val="nil"/>
                  </w:tcBorders>
                  <w:shd w:val="clear" w:color="auto" w:fill="auto"/>
                  <w:tcMar>
                    <w:top w:w="120" w:type="dxa"/>
                    <w:left w:w="120" w:type="dxa"/>
                    <w:bottom w:w="120" w:type="dxa"/>
                    <w:right w:w="120" w:type="dxa"/>
                  </w:tcMar>
                  <w:vAlign w:val="center"/>
                </w:tcPr>
                <w:p w14:paraId="3BC1D2A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10</w:t>
                  </w:r>
                </w:p>
              </w:tc>
              <w:tc>
                <w:tcPr>
                  <w:tcW w:w="562" w:type="dxa"/>
                  <w:tcBorders>
                    <w:tl2br w:val="nil"/>
                    <w:tr2bl w:val="nil"/>
                  </w:tcBorders>
                  <w:shd w:val="clear" w:color="auto" w:fill="auto"/>
                  <w:tcMar>
                    <w:top w:w="120" w:type="dxa"/>
                    <w:left w:w="120" w:type="dxa"/>
                    <w:bottom w:w="120" w:type="dxa"/>
                    <w:right w:w="120" w:type="dxa"/>
                  </w:tcMar>
                  <w:vAlign w:val="center"/>
                </w:tcPr>
                <w:p w14:paraId="79B6F10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56</w:t>
                  </w:r>
                </w:p>
              </w:tc>
            </w:tr>
            <w:tr w14:paraId="7A3BA5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891" w:type="dxa"/>
                  <w:tcBorders>
                    <w:tl2br w:val="nil"/>
                    <w:tr2bl w:val="nil"/>
                  </w:tcBorders>
                  <w:shd w:val="clear" w:color="auto" w:fill="auto"/>
                  <w:tcMar>
                    <w:top w:w="120" w:type="dxa"/>
                    <w:left w:w="120" w:type="dxa"/>
                    <w:bottom w:w="120" w:type="dxa"/>
                    <w:right w:w="120" w:type="dxa"/>
                  </w:tcMar>
                  <w:vAlign w:val="center"/>
                </w:tcPr>
                <w:p w14:paraId="28E0450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注浆泵F130</w:t>
                  </w:r>
                </w:p>
              </w:tc>
              <w:tc>
                <w:tcPr>
                  <w:tcW w:w="434" w:type="dxa"/>
                  <w:tcBorders>
                    <w:tl2br w:val="nil"/>
                    <w:tr2bl w:val="nil"/>
                  </w:tcBorders>
                  <w:shd w:val="clear" w:color="auto" w:fill="auto"/>
                  <w:tcMar>
                    <w:top w:w="120" w:type="dxa"/>
                    <w:left w:w="120" w:type="dxa"/>
                    <w:bottom w:w="120" w:type="dxa"/>
                    <w:right w:w="120" w:type="dxa"/>
                  </w:tcMar>
                  <w:vAlign w:val="center"/>
                </w:tcPr>
                <w:p w14:paraId="3F27125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88</w:t>
                  </w:r>
                </w:p>
              </w:tc>
              <w:tc>
                <w:tcPr>
                  <w:tcW w:w="566" w:type="dxa"/>
                  <w:tcBorders>
                    <w:tl2br w:val="nil"/>
                    <w:tr2bl w:val="nil"/>
                  </w:tcBorders>
                  <w:shd w:val="clear" w:color="auto" w:fill="auto"/>
                  <w:tcMar>
                    <w:top w:w="120" w:type="dxa"/>
                    <w:left w:w="120" w:type="dxa"/>
                    <w:bottom w:w="120" w:type="dxa"/>
                    <w:right w:w="120" w:type="dxa"/>
                  </w:tcMar>
                  <w:vAlign w:val="center"/>
                </w:tcPr>
                <w:p w14:paraId="368E6A9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74.0</w:t>
                  </w:r>
                </w:p>
              </w:tc>
              <w:tc>
                <w:tcPr>
                  <w:tcW w:w="524" w:type="dxa"/>
                  <w:tcBorders>
                    <w:tl2br w:val="nil"/>
                    <w:tr2bl w:val="nil"/>
                  </w:tcBorders>
                  <w:shd w:val="clear" w:color="auto" w:fill="auto"/>
                  <w:tcMar>
                    <w:top w:w="120" w:type="dxa"/>
                    <w:left w:w="120" w:type="dxa"/>
                    <w:bottom w:w="120" w:type="dxa"/>
                    <w:right w:w="120" w:type="dxa"/>
                  </w:tcMar>
                  <w:vAlign w:val="center"/>
                </w:tcPr>
                <w:p w14:paraId="70B7510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68.0</w:t>
                  </w:r>
                </w:p>
              </w:tc>
              <w:tc>
                <w:tcPr>
                  <w:tcW w:w="581" w:type="dxa"/>
                  <w:tcBorders>
                    <w:tl2br w:val="nil"/>
                    <w:tr2bl w:val="nil"/>
                  </w:tcBorders>
                  <w:shd w:val="clear" w:color="auto" w:fill="auto"/>
                  <w:tcMar>
                    <w:top w:w="120" w:type="dxa"/>
                    <w:left w:w="120" w:type="dxa"/>
                    <w:bottom w:w="120" w:type="dxa"/>
                    <w:right w:w="120" w:type="dxa"/>
                  </w:tcMar>
                  <w:vAlign w:val="center"/>
                </w:tcPr>
                <w:p w14:paraId="42B0CC4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62.0</w:t>
                  </w:r>
                </w:p>
              </w:tc>
              <w:tc>
                <w:tcPr>
                  <w:tcW w:w="552" w:type="dxa"/>
                  <w:tcBorders>
                    <w:tl2br w:val="nil"/>
                    <w:tr2bl w:val="nil"/>
                  </w:tcBorders>
                  <w:shd w:val="clear" w:color="auto" w:fill="auto"/>
                  <w:tcMar>
                    <w:top w:w="120" w:type="dxa"/>
                    <w:left w:w="120" w:type="dxa"/>
                    <w:bottom w:w="120" w:type="dxa"/>
                    <w:right w:w="120" w:type="dxa"/>
                  </w:tcMar>
                  <w:vAlign w:val="center"/>
                </w:tcPr>
                <w:p w14:paraId="1EC88B0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58.5</w:t>
                  </w:r>
                </w:p>
              </w:tc>
              <w:tc>
                <w:tcPr>
                  <w:tcW w:w="581" w:type="dxa"/>
                  <w:tcBorders>
                    <w:tl2br w:val="nil"/>
                    <w:tr2bl w:val="nil"/>
                  </w:tcBorders>
                  <w:shd w:val="clear" w:color="auto" w:fill="auto"/>
                  <w:tcMar>
                    <w:top w:w="120" w:type="dxa"/>
                    <w:left w:w="120" w:type="dxa"/>
                    <w:bottom w:w="120" w:type="dxa"/>
                    <w:right w:w="120" w:type="dxa"/>
                  </w:tcMar>
                  <w:vAlign w:val="center"/>
                </w:tcPr>
                <w:p w14:paraId="69F0CA0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56.0</w:t>
                  </w:r>
                </w:p>
              </w:tc>
              <w:tc>
                <w:tcPr>
                  <w:tcW w:w="500" w:type="dxa"/>
                  <w:tcBorders>
                    <w:tl2br w:val="nil"/>
                    <w:tr2bl w:val="nil"/>
                  </w:tcBorders>
                  <w:shd w:val="clear" w:color="auto" w:fill="auto"/>
                  <w:tcMar>
                    <w:top w:w="120" w:type="dxa"/>
                    <w:left w:w="120" w:type="dxa"/>
                    <w:bottom w:w="120" w:type="dxa"/>
                    <w:right w:w="120" w:type="dxa"/>
                  </w:tcMar>
                  <w:vAlign w:val="center"/>
                </w:tcPr>
                <w:p w14:paraId="3FC6732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54.0</w:t>
                  </w:r>
                </w:p>
              </w:tc>
              <w:tc>
                <w:tcPr>
                  <w:tcW w:w="585" w:type="dxa"/>
                  <w:tcBorders>
                    <w:tl2br w:val="nil"/>
                    <w:tr2bl w:val="nil"/>
                  </w:tcBorders>
                  <w:shd w:val="clear" w:color="auto" w:fill="auto"/>
                  <w:tcMar>
                    <w:top w:w="120" w:type="dxa"/>
                    <w:left w:w="120" w:type="dxa"/>
                    <w:bottom w:w="120" w:type="dxa"/>
                    <w:right w:w="120" w:type="dxa"/>
                  </w:tcMar>
                  <w:vAlign w:val="center"/>
                </w:tcPr>
                <w:p w14:paraId="48F4A44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49.9</w:t>
                  </w:r>
                </w:p>
              </w:tc>
              <w:tc>
                <w:tcPr>
                  <w:tcW w:w="600" w:type="dxa"/>
                  <w:tcBorders>
                    <w:tl2br w:val="nil"/>
                    <w:tr2bl w:val="nil"/>
                  </w:tcBorders>
                  <w:shd w:val="clear" w:color="auto" w:fill="auto"/>
                  <w:tcMar>
                    <w:top w:w="120" w:type="dxa"/>
                    <w:left w:w="120" w:type="dxa"/>
                    <w:bottom w:w="120" w:type="dxa"/>
                    <w:right w:w="120" w:type="dxa"/>
                  </w:tcMar>
                  <w:vAlign w:val="center"/>
                </w:tcPr>
                <w:p w14:paraId="22D2633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48.0</w:t>
                  </w:r>
                </w:p>
              </w:tc>
              <w:tc>
                <w:tcPr>
                  <w:tcW w:w="600" w:type="dxa"/>
                  <w:tcBorders>
                    <w:tl2br w:val="nil"/>
                    <w:tr2bl w:val="nil"/>
                  </w:tcBorders>
                  <w:shd w:val="clear" w:color="auto" w:fill="auto"/>
                  <w:tcMar>
                    <w:top w:w="120" w:type="dxa"/>
                    <w:left w:w="120" w:type="dxa"/>
                    <w:bottom w:w="120" w:type="dxa"/>
                    <w:right w:w="120" w:type="dxa"/>
                  </w:tcMar>
                  <w:vAlign w:val="center"/>
                </w:tcPr>
                <w:p w14:paraId="1B23BF1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42.0</w:t>
                  </w:r>
                </w:p>
              </w:tc>
              <w:tc>
                <w:tcPr>
                  <w:tcW w:w="591" w:type="dxa"/>
                  <w:tcBorders>
                    <w:tl2br w:val="nil"/>
                    <w:tr2bl w:val="nil"/>
                  </w:tcBorders>
                  <w:shd w:val="clear" w:color="auto" w:fill="auto"/>
                  <w:tcMar>
                    <w:top w:w="120" w:type="dxa"/>
                    <w:left w:w="120" w:type="dxa"/>
                    <w:bottom w:w="120" w:type="dxa"/>
                    <w:right w:w="120" w:type="dxa"/>
                  </w:tcMar>
                  <w:vAlign w:val="center"/>
                </w:tcPr>
                <w:p w14:paraId="4E5BAE2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38.5</w:t>
                  </w:r>
                </w:p>
              </w:tc>
              <w:tc>
                <w:tcPr>
                  <w:tcW w:w="533" w:type="dxa"/>
                  <w:tcBorders>
                    <w:tl2br w:val="nil"/>
                    <w:tr2bl w:val="nil"/>
                  </w:tcBorders>
                  <w:shd w:val="clear" w:color="auto" w:fill="auto"/>
                  <w:tcMar>
                    <w:top w:w="120" w:type="dxa"/>
                    <w:left w:w="120" w:type="dxa"/>
                    <w:bottom w:w="120" w:type="dxa"/>
                    <w:right w:w="120" w:type="dxa"/>
                  </w:tcMar>
                  <w:vAlign w:val="center"/>
                </w:tcPr>
                <w:p w14:paraId="793DB14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8</w:t>
                  </w:r>
                </w:p>
              </w:tc>
              <w:tc>
                <w:tcPr>
                  <w:tcW w:w="562" w:type="dxa"/>
                  <w:tcBorders>
                    <w:tl2br w:val="nil"/>
                    <w:tr2bl w:val="nil"/>
                  </w:tcBorders>
                  <w:shd w:val="clear" w:color="auto" w:fill="auto"/>
                  <w:tcMar>
                    <w:top w:w="120" w:type="dxa"/>
                    <w:left w:w="120" w:type="dxa"/>
                    <w:bottom w:w="120" w:type="dxa"/>
                    <w:right w:w="120" w:type="dxa"/>
                  </w:tcMar>
                  <w:vAlign w:val="center"/>
                </w:tcPr>
                <w:p w14:paraId="377ED4F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45</w:t>
                  </w:r>
                </w:p>
              </w:tc>
            </w:tr>
            <w:tr w14:paraId="2610F7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891" w:type="dxa"/>
                  <w:tcBorders>
                    <w:tl2br w:val="nil"/>
                    <w:tr2bl w:val="nil"/>
                  </w:tcBorders>
                  <w:shd w:val="clear" w:color="auto" w:fill="auto"/>
                  <w:tcMar>
                    <w:top w:w="120" w:type="dxa"/>
                    <w:left w:w="120" w:type="dxa"/>
                    <w:bottom w:w="120" w:type="dxa"/>
                    <w:right w:w="120" w:type="dxa"/>
                  </w:tcMar>
                  <w:vAlign w:val="center"/>
                </w:tcPr>
                <w:p w14:paraId="047A611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注浆泵390</w:t>
                  </w:r>
                </w:p>
              </w:tc>
              <w:tc>
                <w:tcPr>
                  <w:tcW w:w="434" w:type="dxa"/>
                  <w:tcBorders>
                    <w:tl2br w:val="nil"/>
                    <w:tr2bl w:val="nil"/>
                  </w:tcBorders>
                  <w:shd w:val="clear" w:color="auto" w:fill="auto"/>
                  <w:tcMar>
                    <w:top w:w="120" w:type="dxa"/>
                    <w:left w:w="120" w:type="dxa"/>
                    <w:bottom w:w="120" w:type="dxa"/>
                    <w:right w:w="120" w:type="dxa"/>
                  </w:tcMar>
                  <w:vAlign w:val="center"/>
                </w:tcPr>
                <w:p w14:paraId="6402263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85</w:t>
                  </w:r>
                </w:p>
              </w:tc>
              <w:tc>
                <w:tcPr>
                  <w:tcW w:w="566" w:type="dxa"/>
                  <w:tcBorders>
                    <w:tl2br w:val="nil"/>
                    <w:tr2bl w:val="nil"/>
                  </w:tcBorders>
                  <w:shd w:val="clear" w:color="auto" w:fill="auto"/>
                  <w:tcMar>
                    <w:top w:w="120" w:type="dxa"/>
                    <w:left w:w="120" w:type="dxa"/>
                    <w:bottom w:w="120" w:type="dxa"/>
                    <w:right w:w="120" w:type="dxa"/>
                  </w:tcMar>
                  <w:vAlign w:val="center"/>
                </w:tcPr>
                <w:p w14:paraId="5609A49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71.0</w:t>
                  </w:r>
                </w:p>
              </w:tc>
              <w:tc>
                <w:tcPr>
                  <w:tcW w:w="524" w:type="dxa"/>
                  <w:tcBorders>
                    <w:tl2br w:val="nil"/>
                    <w:tr2bl w:val="nil"/>
                  </w:tcBorders>
                  <w:shd w:val="clear" w:color="auto" w:fill="auto"/>
                  <w:tcMar>
                    <w:top w:w="120" w:type="dxa"/>
                    <w:left w:w="120" w:type="dxa"/>
                    <w:bottom w:w="120" w:type="dxa"/>
                    <w:right w:w="120" w:type="dxa"/>
                  </w:tcMar>
                  <w:vAlign w:val="center"/>
                </w:tcPr>
                <w:p w14:paraId="744F4BC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65.0</w:t>
                  </w:r>
                </w:p>
              </w:tc>
              <w:tc>
                <w:tcPr>
                  <w:tcW w:w="581" w:type="dxa"/>
                  <w:tcBorders>
                    <w:tl2br w:val="nil"/>
                    <w:tr2bl w:val="nil"/>
                  </w:tcBorders>
                  <w:shd w:val="clear" w:color="auto" w:fill="auto"/>
                  <w:tcMar>
                    <w:top w:w="120" w:type="dxa"/>
                    <w:left w:w="120" w:type="dxa"/>
                    <w:bottom w:w="120" w:type="dxa"/>
                    <w:right w:w="120" w:type="dxa"/>
                  </w:tcMar>
                  <w:vAlign w:val="center"/>
                </w:tcPr>
                <w:p w14:paraId="2C94345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59.0</w:t>
                  </w:r>
                </w:p>
              </w:tc>
              <w:tc>
                <w:tcPr>
                  <w:tcW w:w="552" w:type="dxa"/>
                  <w:tcBorders>
                    <w:tl2br w:val="nil"/>
                    <w:tr2bl w:val="nil"/>
                  </w:tcBorders>
                  <w:shd w:val="clear" w:color="auto" w:fill="auto"/>
                  <w:tcMar>
                    <w:top w:w="120" w:type="dxa"/>
                    <w:left w:w="120" w:type="dxa"/>
                    <w:bottom w:w="120" w:type="dxa"/>
                    <w:right w:w="120" w:type="dxa"/>
                  </w:tcMar>
                  <w:vAlign w:val="center"/>
                </w:tcPr>
                <w:p w14:paraId="6BAECEA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55.5</w:t>
                  </w:r>
                </w:p>
              </w:tc>
              <w:tc>
                <w:tcPr>
                  <w:tcW w:w="581" w:type="dxa"/>
                  <w:tcBorders>
                    <w:tl2br w:val="nil"/>
                    <w:tr2bl w:val="nil"/>
                  </w:tcBorders>
                  <w:shd w:val="clear" w:color="auto" w:fill="auto"/>
                  <w:tcMar>
                    <w:top w:w="120" w:type="dxa"/>
                    <w:left w:w="120" w:type="dxa"/>
                    <w:bottom w:w="120" w:type="dxa"/>
                    <w:right w:w="120" w:type="dxa"/>
                  </w:tcMar>
                  <w:vAlign w:val="center"/>
                </w:tcPr>
                <w:p w14:paraId="334670E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53.0</w:t>
                  </w:r>
                </w:p>
              </w:tc>
              <w:tc>
                <w:tcPr>
                  <w:tcW w:w="500" w:type="dxa"/>
                  <w:tcBorders>
                    <w:tl2br w:val="nil"/>
                    <w:tr2bl w:val="nil"/>
                  </w:tcBorders>
                  <w:shd w:val="clear" w:color="auto" w:fill="auto"/>
                  <w:tcMar>
                    <w:top w:w="120" w:type="dxa"/>
                    <w:left w:w="120" w:type="dxa"/>
                    <w:bottom w:w="120" w:type="dxa"/>
                    <w:right w:w="120" w:type="dxa"/>
                  </w:tcMar>
                  <w:vAlign w:val="center"/>
                </w:tcPr>
                <w:p w14:paraId="3334A0A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51.0</w:t>
                  </w:r>
                </w:p>
              </w:tc>
              <w:tc>
                <w:tcPr>
                  <w:tcW w:w="585" w:type="dxa"/>
                  <w:tcBorders>
                    <w:tl2br w:val="nil"/>
                    <w:tr2bl w:val="nil"/>
                  </w:tcBorders>
                  <w:shd w:val="clear" w:color="auto" w:fill="auto"/>
                  <w:tcMar>
                    <w:top w:w="120" w:type="dxa"/>
                    <w:left w:w="120" w:type="dxa"/>
                    <w:bottom w:w="120" w:type="dxa"/>
                    <w:right w:w="120" w:type="dxa"/>
                  </w:tcMar>
                  <w:vAlign w:val="center"/>
                </w:tcPr>
                <w:p w14:paraId="4D6D7DE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46.9</w:t>
                  </w:r>
                </w:p>
              </w:tc>
              <w:tc>
                <w:tcPr>
                  <w:tcW w:w="600" w:type="dxa"/>
                  <w:tcBorders>
                    <w:tl2br w:val="nil"/>
                    <w:tr2bl w:val="nil"/>
                  </w:tcBorders>
                  <w:shd w:val="clear" w:color="auto" w:fill="auto"/>
                  <w:tcMar>
                    <w:top w:w="120" w:type="dxa"/>
                    <w:left w:w="120" w:type="dxa"/>
                    <w:bottom w:w="120" w:type="dxa"/>
                    <w:right w:w="120" w:type="dxa"/>
                  </w:tcMar>
                  <w:vAlign w:val="center"/>
                </w:tcPr>
                <w:p w14:paraId="14C7104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45.0</w:t>
                  </w:r>
                </w:p>
              </w:tc>
              <w:tc>
                <w:tcPr>
                  <w:tcW w:w="600" w:type="dxa"/>
                  <w:tcBorders>
                    <w:tl2br w:val="nil"/>
                    <w:tr2bl w:val="nil"/>
                  </w:tcBorders>
                  <w:shd w:val="clear" w:color="auto" w:fill="auto"/>
                  <w:tcMar>
                    <w:top w:w="120" w:type="dxa"/>
                    <w:left w:w="120" w:type="dxa"/>
                    <w:bottom w:w="120" w:type="dxa"/>
                    <w:right w:w="120" w:type="dxa"/>
                  </w:tcMar>
                  <w:vAlign w:val="center"/>
                </w:tcPr>
                <w:p w14:paraId="16EF001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39.0</w:t>
                  </w:r>
                </w:p>
              </w:tc>
              <w:tc>
                <w:tcPr>
                  <w:tcW w:w="591" w:type="dxa"/>
                  <w:tcBorders>
                    <w:tl2br w:val="nil"/>
                    <w:tr2bl w:val="nil"/>
                  </w:tcBorders>
                  <w:shd w:val="clear" w:color="auto" w:fill="auto"/>
                  <w:tcMar>
                    <w:top w:w="120" w:type="dxa"/>
                    <w:left w:w="120" w:type="dxa"/>
                    <w:bottom w:w="120" w:type="dxa"/>
                    <w:right w:w="120" w:type="dxa"/>
                  </w:tcMar>
                  <w:vAlign w:val="center"/>
                </w:tcPr>
                <w:p w14:paraId="0B4D9BA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35.5</w:t>
                  </w:r>
                </w:p>
              </w:tc>
              <w:tc>
                <w:tcPr>
                  <w:tcW w:w="533" w:type="dxa"/>
                  <w:tcBorders>
                    <w:tl2br w:val="nil"/>
                    <w:tr2bl w:val="nil"/>
                  </w:tcBorders>
                  <w:shd w:val="clear" w:color="auto" w:fill="auto"/>
                  <w:tcMar>
                    <w:top w:w="120" w:type="dxa"/>
                    <w:left w:w="120" w:type="dxa"/>
                    <w:bottom w:w="120" w:type="dxa"/>
                    <w:right w:w="120" w:type="dxa"/>
                  </w:tcMar>
                  <w:vAlign w:val="center"/>
                </w:tcPr>
                <w:p w14:paraId="4BD82DC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w:t>
                  </w:r>
                </w:p>
              </w:tc>
              <w:tc>
                <w:tcPr>
                  <w:tcW w:w="562" w:type="dxa"/>
                  <w:tcBorders>
                    <w:tl2br w:val="nil"/>
                    <w:tr2bl w:val="nil"/>
                  </w:tcBorders>
                  <w:shd w:val="clear" w:color="auto" w:fill="auto"/>
                  <w:tcMar>
                    <w:top w:w="120" w:type="dxa"/>
                    <w:left w:w="120" w:type="dxa"/>
                    <w:bottom w:w="120" w:type="dxa"/>
                    <w:right w:w="120" w:type="dxa"/>
                  </w:tcMar>
                  <w:vAlign w:val="center"/>
                </w:tcPr>
                <w:p w14:paraId="6648449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32</w:t>
                  </w:r>
                </w:p>
              </w:tc>
            </w:tr>
            <w:tr w14:paraId="1E6BCF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891" w:type="dxa"/>
                  <w:tcBorders>
                    <w:tl2br w:val="nil"/>
                    <w:tr2bl w:val="nil"/>
                  </w:tcBorders>
                  <w:shd w:val="clear" w:color="auto" w:fill="auto"/>
                  <w:tcMar>
                    <w:top w:w="120" w:type="dxa"/>
                    <w:left w:w="120" w:type="dxa"/>
                    <w:bottom w:w="120" w:type="dxa"/>
                    <w:right w:w="120" w:type="dxa"/>
                  </w:tcMar>
                  <w:vAlign w:val="center"/>
                </w:tcPr>
                <w:p w14:paraId="6A04300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空压机5m³</w:t>
                  </w:r>
                </w:p>
              </w:tc>
              <w:tc>
                <w:tcPr>
                  <w:tcW w:w="434" w:type="dxa"/>
                  <w:tcBorders>
                    <w:tl2br w:val="nil"/>
                    <w:tr2bl w:val="nil"/>
                  </w:tcBorders>
                  <w:shd w:val="clear" w:color="auto" w:fill="auto"/>
                  <w:tcMar>
                    <w:top w:w="120" w:type="dxa"/>
                    <w:left w:w="120" w:type="dxa"/>
                    <w:bottom w:w="120" w:type="dxa"/>
                    <w:right w:w="120" w:type="dxa"/>
                  </w:tcMar>
                  <w:vAlign w:val="center"/>
                </w:tcPr>
                <w:p w14:paraId="73C5672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90</w:t>
                  </w:r>
                </w:p>
              </w:tc>
              <w:tc>
                <w:tcPr>
                  <w:tcW w:w="566" w:type="dxa"/>
                  <w:tcBorders>
                    <w:tl2br w:val="nil"/>
                    <w:tr2bl w:val="nil"/>
                  </w:tcBorders>
                  <w:shd w:val="clear" w:color="auto" w:fill="auto"/>
                  <w:tcMar>
                    <w:top w:w="120" w:type="dxa"/>
                    <w:left w:w="120" w:type="dxa"/>
                    <w:bottom w:w="120" w:type="dxa"/>
                    <w:right w:w="120" w:type="dxa"/>
                  </w:tcMar>
                  <w:vAlign w:val="center"/>
                </w:tcPr>
                <w:p w14:paraId="186681F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76.0</w:t>
                  </w:r>
                </w:p>
              </w:tc>
              <w:tc>
                <w:tcPr>
                  <w:tcW w:w="524" w:type="dxa"/>
                  <w:tcBorders>
                    <w:tl2br w:val="nil"/>
                    <w:tr2bl w:val="nil"/>
                  </w:tcBorders>
                  <w:shd w:val="clear" w:color="auto" w:fill="auto"/>
                  <w:tcMar>
                    <w:top w:w="120" w:type="dxa"/>
                    <w:left w:w="120" w:type="dxa"/>
                    <w:bottom w:w="120" w:type="dxa"/>
                    <w:right w:w="120" w:type="dxa"/>
                  </w:tcMar>
                  <w:vAlign w:val="center"/>
                </w:tcPr>
                <w:p w14:paraId="2DCB4FF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70.0</w:t>
                  </w:r>
                </w:p>
              </w:tc>
              <w:tc>
                <w:tcPr>
                  <w:tcW w:w="581" w:type="dxa"/>
                  <w:tcBorders>
                    <w:tl2br w:val="nil"/>
                    <w:tr2bl w:val="nil"/>
                  </w:tcBorders>
                  <w:shd w:val="clear" w:color="auto" w:fill="auto"/>
                  <w:tcMar>
                    <w:top w:w="120" w:type="dxa"/>
                    <w:left w:w="120" w:type="dxa"/>
                    <w:bottom w:w="120" w:type="dxa"/>
                    <w:right w:w="120" w:type="dxa"/>
                  </w:tcMar>
                  <w:vAlign w:val="center"/>
                </w:tcPr>
                <w:p w14:paraId="58D572E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64.0</w:t>
                  </w:r>
                </w:p>
              </w:tc>
              <w:tc>
                <w:tcPr>
                  <w:tcW w:w="552" w:type="dxa"/>
                  <w:tcBorders>
                    <w:tl2br w:val="nil"/>
                    <w:tr2bl w:val="nil"/>
                  </w:tcBorders>
                  <w:shd w:val="clear" w:color="auto" w:fill="auto"/>
                  <w:tcMar>
                    <w:top w:w="120" w:type="dxa"/>
                    <w:left w:w="120" w:type="dxa"/>
                    <w:bottom w:w="120" w:type="dxa"/>
                    <w:right w:w="120" w:type="dxa"/>
                  </w:tcMar>
                  <w:vAlign w:val="center"/>
                </w:tcPr>
                <w:p w14:paraId="444B379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60.5</w:t>
                  </w:r>
                </w:p>
              </w:tc>
              <w:tc>
                <w:tcPr>
                  <w:tcW w:w="581" w:type="dxa"/>
                  <w:tcBorders>
                    <w:tl2br w:val="nil"/>
                    <w:tr2bl w:val="nil"/>
                  </w:tcBorders>
                  <w:shd w:val="clear" w:color="auto" w:fill="auto"/>
                  <w:tcMar>
                    <w:top w:w="120" w:type="dxa"/>
                    <w:left w:w="120" w:type="dxa"/>
                    <w:bottom w:w="120" w:type="dxa"/>
                    <w:right w:w="120" w:type="dxa"/>
                  </w:tcMar>
                  <w:vAlign w:val="center"/>
                </w:tcPr>
                <w:p w14:paraId="0C25504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58.0</w:t>
                  </w:r>
                </w:p>
              </w:tc>
              <w:tc>
                <w:tcPr>
                  <w:tcW w:w="500" w:type="dxa"/>
                  <w:tcBorders>
                    <w:tl2br w:val="nil"/>
                    <w:tr2bl w:val="nil"/>
                  </w:tcBorders>
                  <w:shd w:val="clear" w:color="auto" w:fill="auto"/>
                  <w:tcMar>
                    <w:top w:w="120" w:type="dxa"/>
                    <w:left w:w="120" w:type="dxa"/>
                    <w:bottom w:w="120" w:type="dxa"/>
                    <w:right w:w="120" w:type="dxa"/>
                  </w:tcMar>
                  <w:vAlign w:val="center"/>
                </w:tcPr>
                <w:p w14:paraId="0A12533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56.0</w:t>
                  </w:r>
                </w:p>
              </w:tc>
              <w:tc>
                <w:tcPr>
                  <w:tcW w:w="585" w:type="dxa"/>
                  <w:tcBorders>
                    <w:tl2br w:val="nil"/>
                    <w:tr2bl w:val="nil"/>
                  </w:tcBorders>
                  <w:shd w:val="clear" w:color="auto" w:fill="auto"/>
                  <w:tcMar>
                    <w:top w:w="120" w:type="dxa"/>
                    <w:left w:w="120" w:type="dxa"/>
                    <w:bottom w:w="120" w:type="dxa"/>
                    <w:right w:w="120" w:type="dxa"/>
                  </w:tcMar>
                  <w:vAlign w:val="center"/>
                </w:tcPr>
                <w:p w14:paraId="480ECC8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51.9</w:t>
                  </w:r>
                </w:p>
              </w:tc>
              <w:tc>
                <w:tcPr>
                  <w:tcW w:w="600" w:type="dxa"/>
                  <w:tcBorders>
                    <w:tl2br w:val="nil"/>
                    <w:tr2bl w:val="nil"/>
                  </w:tcBorders>
                  <w:shd w:val="clear" w:color="auto" w:fill="auto"/>
                  <w:tcMar>
                    <w:top w:w="120" w:type="dxa"/>
                    <w:left w:w="120" w:type="dxa"/>
                    <w:bottom w:w="120" w:type="dxa"/>
                    <w:right w:w="120" w:type="dxa"/>
                  </w:tcMar>
                  <w:vAlign w:val="center"/>
                </w:tcPr>
                <w:p w14:paraId="195E347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50.0</w:t>
                  </w:r>
                </w:p>
              </w:tc>
              <w:tc>
                <w:tcPr>
                  <w:tcW w:w="600" w:type="dxa"/>
                  <w:tcBorders>
                    <w:tl2br w:val="nil"/>
                    <w:tr2bl w:val="nil"/>
                  </w:tcBorders>
                  <w:shd w:val="clear" w:color="auto" w:fill="auto"/>
                  <w:tcMar>
                    <w:top w:w="120" w:type="dxa"/>
                    <w:left w:w="120" w:type="dxa"/>
                    <w:bottom w:w="120" w:type="dxa"/>
                    <w:right w:w="120" w:type="dxa"/>
                  </w:tcMar>
                  <w:vAlign w:val="center"/>
                </w:tcPr>
                <w:p w14:paraId="5A75FC1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44.0</w:t>
                  </w:r>
                </w:p>
              </w:tc>
              <w:tc>
                <w:tcPr>
                  <w:tcW w:w="591" w:type="dxa"/>
                  <w:tcBorders>
                    <w:tl2br w:val="nil"/>
                    <w:tr2bl w:val="nil"/>
                  </w:tcBorders>
                  <w:shd w:val="clear" w:color="auto" w:fill="auto"/>
                  <w:tcMar>
                    <w:top w:w="120" w:type="dxa"/>
                    <w:left w:w="120" w:type="dxa"/>
                    <w:bottom w:w="120" w:type="dxa"/>
                    <w:right w:w="120" w:type="dxa"/>
                  </w:tcMar>
                  <w:vAlign w:val="center"/>
                </w:tcPr>
                <w:p w14:paraId="0297269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40.5</w:t>
                  </w:r>
                </w:p>
              </w:tc>
              <w:tc>
                <w:tcPr>
                  <w:tcW w:w="533" w:type="dxa"/>
                  <w:tcBorders>
                    <w:tl2br w:val="nil"/>
                    <w:tr2bl w:val="nil"/>
                  </w:tcBorders>
                  <w:shd w:val="clear" w:color="auto" w:fill="auto"/>
                  <w:tcMar>
                    <w:top w:w="120" w:type="dxa"/>
                    <w:left w:w="120" w:type="dxa"/>
                    <w:bottom w:w="120" w:type="dxa"/>
                    <w:right w:w="120" w:type="dxa"/>
                  </w:tcMar>
                  <w:vAlign w:val="center"/>
                </w:tcPr>
                <w:p w14:paraId="2A32E48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10</w:t>
                  </w:r>
                </w:p>
              </w:tc>
              <w:tc>
                <w:tcPr>
                  <w:tcW w:w="562" w:type="dxa"/>
                  <w:tcBorders>
                    <w:tl2br w:val="nil"/>
                    <w:tr2bl w:val="nil"/>
                  </w:tcBorders>
                  <w:shd w:val="clear" w:color="auto" w:fill="auto"/>
                  <w:tcMar>
                    <w:top w:w="120" w:type="dxa"/>
                    <w:left w:w="120" w:type="dxa"/>
                    <w:bottom w:w="120" w:type="dxa"/>
                    <w:right w:w="120" w:type="dxa"/>
                  </w:tcMar>
                  <w:vAlign w:val="center"/>
                </w:tcPr>
                <w:p w14:paraId="181B13D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56</w:t>
                  </w:r>
                </w:p>
              </w:tc>
            </w:tr>
            <w:tr w14:paraId="2E954C1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891" w:type="dxa"/>
                  <w:tcBorders>
                    <w:tl2br w:val="nil"/>
                    <w:tr2bl w:val="nil"/>
                  </w:tcBorders>
                  <w:shd w:val="clear" w:color="auto" w:fill="auto"/>
                  <w:tcMar>
                    <w:top w:w="120" w:type="dxa"/>
                    <w:left w:w="120" w:type="dxa"/>
                    <w:bottom w:w="120" w:type="dxa"/>
                    <w:right w:w="120" w:type="dxa"/>
                  </w:tcMar>
                  <w:vAlign w:val="center"/>
                </w:tcPr>
                <w:p w14:paraId="56B3A28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螺旋输送机</w:t>
                  </w:r>
                </w:p>
              </w:tc>
              <w:tc>
                <w:tcPr>
                  <w:tcW w:w="434" w:type="dxa"/>
                  <w:tcBorders>
                    <w:tl2br w:val="nil"/>
                    <w:tr2bl w:val="nil"/>
                  </w:tcBorders>
                  <w:shd w:val="clear" w:color="auto" w:fill="auto"/>
                  <w:tcMar>
                    <w:top w:w="120" w:type="dxa"/>
                    <w:left w:w="120" w:type="dxa"/>
                    <w:bottom w:w="120" w:type="dxa"/>
                    <w:right w:w="120" w:type="dxa"/>
                  </w:tcMar>
                  <w:vAlign w:val="center"/>
                </w:tcPr>
                <w:p w14:paraId="363129B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75</w:t>
                  </w:r>
                </w:p>
              </w:tc>
              <w:tc>
                <w:tcPr>
                  <w:tcW w:w="566" w:type="dxa"/>
                  <w:tcBorders>
                    <w:tl2br w:val="nil"/>
                    <w:tr2bl w:val="nil"/>
                  </w:tcBorders>
                  <w:shd w:val="clear" w:color="auto" w:fill="auto"/>
                  <w:tcMar>
                    <w:top w:w="120" w:type="dxa"/>
                    <w:left w:w="120" w:type="dxa"/>
                    <w:bottom w:w="120" w:type="dxa"/>
                    <w:right w:w="120" w:type="dxa"/>
                  </w:tcMar>
                  <w:vAlign w:val="center"/>
                </w:tcPr>
                <w:p w14:paraId="5EB52A8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61.0</w:t>
                  </w:r>
                </w:p>
              </w:tc>
              <w:tc>
                <w:tcPr>
                  <w:tcW w:w="524" w:type="dxa"/>
                  <w:tcBorders>
                    <w:tl2br w:val="nil"/>
                    <w:tr2bl w:val="nil"/>
                  </w:tcBorders>
                  <w:shd w:val="clear" w:color="auto" w:fill="auto"/>
                  <w:tcMar>
                    <w:top w:w="120" w:type="dxa"/>
                    <w:left w:w="120" w:type="dxa"/>
                    <w:bottom w:w="120" w:type="dxa"/>
                    <w:right w:w="120" w:type="dxa"/>
                  </w:tcMar>
                  <w:vAlign w:val="center"/>
                </w:tcPr>
                <w:p w14:paraId="2CB73FF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55.0</w:t>
                  </w:r>
                </w:p>
              </w:tc>
              <w:tc>
                <w:tcPr>
                  <w:tcW w:w="581" w:type="dxa"/>
                  <w:tcBorders>
                    <w:tl2br w:val="nil"/>
                    <w:tr2bl w:val="nil"/>
                  </w:tcBorders>
                  <w:shd w:val="clear" w:color="auto" w:fill="auto"/>
                  <w:tcMar>
                    <w:top w:w="120" w:type="dxa"/>
                    <w:left w:w="120" w:type="dxa"/>
                    <w:bottom w:w="120" w:type="dxa"/>
                    <w:right w:w="120" w:type="dxa"/>
                  </w:tcMar>
                  <w:vAlign w:val="center"/>
                </w:tcPr>
                <w:p w14:paraId="63ACDB9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49.0</w:t>
                  </w:r>
                </w:p>
              </w:tc>
              <w:tc>
                <w:tcPr>
                  <w:tcW w:w="552" w:type="dxa"/>
                  <w:tcBorders>
                    <w:tl2br w:val="nil"/>
                    <w:tr2bl w:val="nil"/>
                  </w:tcBorders>
                  <w:shd w:val="clear" w:color="auto" w:fill="auto"/>
                  <w:tcMar>
                    <w:top w:w="120" w:type="dxa"/>
                    <w:left w:w="120" w:type="dxa"/>
                    <w:bottom w:w="120" w:type="dxa"/>
                    <w:right w:w="120" w:type="dxa"/>
                  </w:tcMar>
                  <w:vAlign w:val="center"/>
                </w:tcPr>
                <w:p w14:paraId="5619C37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45.5</w:t>
                  </w:r>
                </w:p>
              </w:tc>
              <w:tc>
                <w:tcPr>
                  <w:tcW w:w="581" w:type="dxa"/>
                  <w:tcBorders>
                    <w:tl2br w:val="nil"/>
                    <w:tr2bl w:val="nil"/>
                  </w:tcBorders>
                  <w:shd w:val="clear" w:color="auto" w:fill="auto"/>
                  <w:tcMar>
                    <w:top w:w="120" w:type="dxa"/>
                    <w:left w:w="120" w:type="dxa"/>
                    <w:bottom w:w="120" w:type="dxa"/>
                    <w:right w:w="120" w:type="dxa"/>
                  </w:tcMar>
                  <w:vAlign w:val="center"/>
                </w:tcPr>
                <w:p w14:paraId="10AB88F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43.0</w:t>
                  </w:r>
                </w:p>
              </w:tc>
              <w:tc>
                <w:tcPr>
                  <w:tcW w:w="500" w:type="dxa"/>
                  <w:tcBorders>
                    <w:tl2br w:val="nil"/>
                    <w:tr2bl w:val="nil"/>
                  </w:tcBorders>
                  <w:shd w:val="clear" w:color="auto" w:fill="auto"/>
                  <w:tcMar>
                    <w:top w:w="120" w:type="dxa"/>
                    <w:left w:w="120" w:type="dxa"/>
                    <w:bottom w:w="120" w:type="dxa"/>
                    <w:right w:w="120" w:type="dxa"/>
                  </w:tcMar>
                  <w:vAlign w:val="center"/>
                </w:tcPr>
                <w:p w14:paraId="78DD2BC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41.0</w:t>
                  </w:r>
                </w:p>
              </w:tc>
              <w:tc>
                <w:tcPr>
                  <w:tcW w:w="585" w:type="dxa"/>
                  <w:tcBorders>
                    <w:tl2br w:val="nil"/>
                    <w:tr2bl w:val="nil"/>
                  </w:tcBorders>
                  <w:shd w:val="clear" w:color="auto" w:fill="auto"/>
                  <w:tcMar>
                    <w:top w:w="120" w:type="dxa"/>
                    <w:left w:w="120" w:type="dxa"/>
                    <w:bottom w:w="120" w:type="dxa"/>
                    <w:right w:w="120" w:type="dxa"/>
                  </w:tcMar>
                  <w:vAlign w:val="center"/>
                </w:tcPr>
                <w:p w14:paraId="1F880F8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36.9</w:t>
                  </w:r>
                </w:p>
              </w:tc>
              <w:tc>
                <w:tcPr>
                  <w:tcW w:w="600" w:type="dxa"/>
                  <w:tcBorders>
                    <w:tl2br w:val="nil"/>
                    <w:tr2bl w:val="nil"/>
                  </w:tcBorders>
                  <w:shd w:val="clear" w:color="auto" w:fill="auto"/>
                  <w:tcMar>
                    <w:top w:w="120" w:type="dxa"/>
                    <w:left w:w="120" w:type="dxa"/>
                    <w:bottom w:w="120" w:type="dxa"/>
                    <w:right w:w="120" w:type="dxa"/>
                  </w:tcMar>
                  <w:vAlign w:val="center"/>
                </w:tcPr>
                <w:p w14:paraId="278D8DD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35.0</w:t>
                  </w:r>
                </w:p>
              </w:tc>
              <w:tc>
                <w:tcPr>
                  <w:tcW w:w="600" w:type="dxa"/>
                  <w:tcBorders>
                    <w:tl2br w:val="nil"/>
                    <w:tr2bl w:val="nil"/>
                  </w:tcBorders>
                  <w:shd w:val="clear" w:color="auto" w:fill="auto"/>
                  <w:tcMar>
                    <w:top w:w="120" w:type="dxa"/>
                    <w:left w:w="120" w:type="dxa"/>
                    <w:bottom w:w="120" w:type="dxa"/>
                    <w:right w:w="120" w:type="dxa"/>
                  </w:tcMar>
                  <w:vAlign w:val="center"/>
                </w:tcPr>
                <w:p w14:paraId="22E55BE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29.0</w:t>
                  </w:r>
                </w:p>
              </w:tc>
              <w:tc>
                <w:tcPr>
                  <w:tcW w:w="591" w:type="dxa"/>
                  <w:tcBorders>
                    <w:tl2br w:val="nil"/>
                    <w:tr2bl w:val="nil"/>
                  </w:tcBorders>
                  <w:shd w:val="clear" w:color="auto" w:fill="auto"/>
                  <w:tcMar>
                    <w:top w:w="120" w:type="dxa"/>
                    <w:left w:w="120" w:type="dxa"/>
                    <w:bottom w:w="120" w:type="dxa"/>
                    <w:right w:w="120" w:type="dxa"/>
                  </w:tcMar>
                  <w:vAlign w:val="center"/>
                </w:tcPr>
                <w:p w14:paraId="7E8D2C8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25.5</w:t>
                  </w:r>
                </w:p>
              </w:tc>
              <w:tc>
                <w:tcPr>
                  <w:tcW w:w="533" w:type="dxa"/>
                  <w:tcBorders>
                    <w:tl2br w:val="nil"/>
                    <w:tr2bl w:val="nil"/>
                  </w:tcBorders>
                  <w:shd w:val="clear" w:color="auto" w:fill="auto"/>
                  <w:tcMar>
                    <w:top w:w="120" w:type="dxa"/>
                    <w:left w:w="120" w:type="dxa"/>
                    <w:bottom w:w="120" w:type="dxa"/>
                    <w:right w:w="120" w:type="dxa"/>
                  </w:tcMar>
                  <w:vAlign w:val="center"/>
                </w:tcPr>
                <w:p w14:paraId="43F0A1E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2</w:t>
                  </w:r>
                </w:p>
              </w:tc>
              <w:tc>
                <w:tcPr>
                  <w:tcW w:w="562" w:type="dxa"/>
                  <w:tcBorders>
                    <w:tl2br w:val="nil"/>
                    <w:tr2bl w:val="nil"/>
                  </w:tcBorders>
                  <w:shd w:val="clear" w:color="auto" w:fill="auto"/>
                  <w:tcMar>
                    <w:top w:w="120" w:type="dxa"/>
                    <w:left w:w="120" w:type="dxa"/>
                    <w:bottom w:w="120" w:type="dxa"/>
                    <w:right w:w="120" w:type="dxa"/>
                  </w:tcMar>
                  <w:vAlign w:val="center"/>
                </w:tcPr>
                <w:p w14:paraId="4A5ED7A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10</w:t>
                  </w:r>
                </w:p>
              </w:tc>
            </w:tr>
            <w:tr w14:paraId="33FD01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891" w:type="dxa"/>
                  <w:tcBorders>
                    <w:tl2br w:val="nil"/>
                    <w:tr2bl w:val="nil"/>
                  </w:tcBorders>
                  <w:shd w:val="clear" w:color="auto" w:fill="auto"/>
                  <w:tcMar>
                    <w:top w:w="120" w:type="dxa"/>
                    <w:left w:w="120" w:type="dxa"/>
                    <w:bottom w:w="120" w:type="dxa"/>
                    <w:right w:w="120" w:type="dxa"/>
                  </w:tcMar>
                  <w:vAlign w:val="center"/>
                </w:tcPr>
                <w:p w14:paraId="3F1D6E0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潜水泵</w:t>
                  </w:r>
                </w:p>
              </w:tc>
              <w:tc>
                <w:tcPr>
                  <w:tcW w:w="434" w:type="dxa"/>
                  <w:tcBorders>
                    <w:tl2br w:val="nil"/>
                    <w:tr2bl w:val="nil"/>
                  </w:tcBorders>
                  <w:shd w:val="clear" w:color="auto" w:fill="auto"/>
                  <w:tcMar>
                    <w:top w:w="120" w:type="dxa"/>
                    <w:left w:w="120" w:type="dxa"/>
                    <w:bottom w:w="120" w:type="dxa"/>
                    <w:right w:w="120" w:type="dxa"/>
                  </w:tcMar>
                  <w:vAlign w:val="center"/>
                </w:tcPr>
                <w:p w14:paraId="6A36E11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80</w:t>
                  </w:r>
                </w:p>
              </w:tc>
              <w:tc>
                <w:tcPr>
                  <w:tcW w:w="566" w:type="dxa"/>
                  <w:tcBorders>
                    <w:tl2br w:val="nil"/>
                    <w:tr2bl w:val="nil"/>
                  </w:tcBorders>
                  <w:shd w:val="clear" w:color="auto" w:fill="auto"/>
                  <w:tcMar>
                    <w:top w:w="120" w:type="dxa"/>
                    <w:left w:w="120" w:type="dxa"/>
                    <w:bottom w:w="120" w:type="dxa"/>
                    <w:right w:w="120" w:type="dxa"/>
                  </w:tcMar>
                  <w:vAlign w:val="center"/>
                </w:tcPr>
                <w:p w14:paraId="6A4E505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66.0</w:t>
                  </w:r>
                </w:p>
              </w:tc>
              <w:tc>
                <w:tcPr>
                  <w:tcW w:w="524" w:type="dxa"/>
                  <w:tcBorders>
                    <w:tl2br w:val="nil"/>
                    <w:tr2bl w:val="nil"/>
                  </w:tcBorders>
                  <w:shd w:val="clear" w:color="auto" w:fill="auto"/>
                  <w:tcMar>
                    <w:top w:w="120" w:type="dxa"/>
                    <w:left w:w="120" w:type="dxa"/>
                    <w:bottom w:w="120" w:type="dxa"/>
                    <w:right w:w="120" w:type="dxa"/>
                  </w:tcMar>
                  <w:vAlign w:val="center"/>
                </w:tcPr>
                <w:p w14:paraId="392695B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60.0</w:t>
                  </w:r>
                </w:p>
              </w:tc>
              <w:tc>
                <w:tcPr>
                  <w:tcW w:w="581" w:type="dxa"/>
                  <w:tcBorders>
                    <w:tl2br w:val="nil"/>
                    <w:tr2bl w:val="nil"/>
                  </w:tcBorders>
                  <w:shd w:val="clear" w:color="auto" w:fill="auto"/>
                  <w:tcMar>
                    <w:top w:w="120" w:type="dxa"/>
                    <w:left w:w="120" w:type="dxa"/>
                    <w:bottom w:w="120" w:type="dxa"/>
                    <w:right w:w="120" w:type="dxa"/>
                  </w:tcMar>
                  <w:vAlign w:val="center"/>
                </w:tcPr>
                <w:p w14:paraId="0F862F4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54.0</w:t>
                  </w:r>
                </w:p>
              </w:tc>
              <w:tc>
                <w:tcPr>
                  <w:tcW w:w="552" w:type="dxa"/>
                  <w:tcBorders>
                    <w:tl2br w:val="nil"/>
                    <w:tr2bl w:val="nil"/>
                  </w:tcBorders>
                  <w:shd w:val="clear" w:color="auto" w:fill="auto"/>
                  <w:tcMar>
                    <w:top w:w="120" w:type="dxa"/>
                    <w:left w:w="120" w:type="dxa"/>
                    <w:bottom w:w="120" w:type="dxa"/>
                    <w:right w:w="120" w:type="dxa"/>
                  </w:tcMar>
                  <w:vAlign w:val="center"/>
                </w:tcPr>
                <w:p w14:paraId="0141035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50.5</w:t>
                  </w:r>
                </w:p>
              </w:tc>
              <w:tc>
                <w:tcPr>
                  <w:tcW w:w="581" w:type="dxa"/>
                  <w:tcBorders>
                    <w:tl2br w:val="nil"/>
                    <w:tr2bl w:val="nil"/>
                  </w:tcBorders>
                  <w:shd w:val="clear" w:color="auto" w:fill="auto"/>
                  <w:tcMar>
                    <w:top w:w="120" w:type="dxa"/>
                    <w:left w:w="120" w:type="dxa"/>
                    <w:bottom w:w="120" w:type="dxa"/>
                    <w:right w:w="120" w:type="dxa"/>
                  </w:tcMar>
                  <w:vAlign w:val="center"/>
                </w:tcPr>
                <w:p w14:paraId="554A5F4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48.0</w:t>
                  </w:r>
                </w:p>
              </w:tc>
              <w:tc>
                <w:tcPr>
                  <w:tcW w:w="500" w:type="dxa"/>
                  <w:tcBorders>
                    <w:tl2br w:val="nil"/>
                    <w:tr2bl w:val="nil"/>
                  </w:tcBorders>
                  <w:shd w:val="clear" w:color="auto" w:fill="auto"/>
                  <w:tcMar>
                    <w:top w:w="120" w:type="dxa"/>
                    <w:left w:w="120" w:type="dxa"/>
                    <w:bottom w:w="120" w:type="dxa"/>
                    <w:right w:w="120" w:type="dxa"/>
                  </w:tcMar>
                  <w:vAlign w:val="center"/>
                </w:tcPr>
                <w:p w14:paraId="77D4C25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46.0</w:t>
                  </w:r>
                </w:p>
              </w:tc>
              <w:tc>
                <w:tcPr>
                  <w:tcW w:w="585" w:type="dxa"/>
                  <w:tcBorders>
                    <w:tl2br w:val="nil"/>
                    <w:tr2bl w:val="nil"/>
                  </w:tcBorders>
                  <w:shd w:val="clear" w:color="auto" w:fill="auto"/>
                  <w:tcMar>
                    <w:top w:w="120" w:type="dxa"/>
                    <w:left w:w="120" w:type="dxa"/>
                    <w:bottom w:w="120" w:type="dxa"/>
                    <w:right w:w="120" w:type="dxa"/>
                  </w:tcMar>
                  <w:vAlign w:val="center"/>
                </w:tcPr>
                <w:p w14:paraId="2568F5C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41.9</w:t>
                  </w:r>
                </w:p>
              </w:tc>
              <w:tc>
                <w:tcPr>
                  <w:tcW w:w="600" w:type="dxa"/>
                  <w:tcBorders>
                    <w:tl2br w:val="nil"/>
                    <w:tr2bl w:val="nil"/>
                  </w:tcBorders>
                  <w:shd w:val="clear" w:color="auto" w:fill="auto"/>
                  <w:tcMar>
                    <w:top w:w="120" w:type="dxa"/>
                    <w:left w:w="120" w:type="dxa"/>
                    <w:bottom w:w="120" w:type="dxa"/>
                    <w:right w:w="120" w:type="dxa"/>
                  </w:tcMar>
                  <w:vAlign w:val="center"/>
                </w:tcPr>
                <w:p w14:paraId="063B421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40.0</w:t>
                  </w:r>
                </w:p>
              </w:tc>
              <w:tc>
                <w:tcPr>
                  <w:tcW w:w="600" w:type="dxa"/>
                  <w:tcBorders>
                    <w:tl2br w:val="nil"/>
                    <w:tr2bl w:val="nil"/>
                  </w:tcBorders>
                  <w:shd w:val="clear" w:color="auto" w:fill="auto"/>
                  <w:tcMar>
                    <w:top w:w="120" w:type="dxa"/>
                    <w:left w:w="120" w:type="dxa"/>
                    <w:bottom w:w="120" w:type="dxa"/>
                    <w:right w:w="120" w:type="dxa"/>
                  </w:tcMar>
                  <w:vAlign w:val="center"/>
                </w:tcPr>
                <w:p w14:paraId="4230C7B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34.0</w:t>
                  </w:r>
                </w:p>
              </w:tc>
              <w:tc>
                <w:tcPr>
                  <w:tcW w:w="591" w:type="dxa"/>
                  <w:tcBorders>
                    <w:tl2br w:val="nil"/>
                    <w:tr2bl w:val="nil"/>
                  </w:tcBorders>
                  <w:shd w:val="clear" w:color="auto" w:fill="auto"/>
                  <w:tcMar>
                    <w:top w:w="120" w:type="dxa"/>
                    <w:left w:w="120" w:type="dxa"/>
                    <w:bottom w:w="120" w:type="dxa"/>
                    <w:right w:w="120" w:type="dxa"/>
                  </w:tcMar>
                  <w:vAlign w:val="center"/>
                </w:tcPr>
                <w:p w14:paraId="1395C7D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30.5</w:t>
                  </w:r>
                </w:p>
              </w:tc>
              <w:tc>
                <w:tcPr>
                  <w:tcW w:w="533" w:type="dxa"/>
                  <w:tcBorders>
                    <w:tl2br w:val="nil"/>
                    <w:tr2bl w:val="nil"/>
                  </w:tcBorders>
                  <w:shd w:val="clear" w:color="auto" w:fill="auto"/>
                  <w:tcMar>
                    <w:top w:w="120" w:type="dxa"/>
                    <w:left w:w="120" w:type="dxa"/>
                    <w:bottom w:w="120" w:type="dxa"/>
                    <w:right w:w="120" w:type="dxa"/>
                  </w:tcMar>
                  <w:vAlign w:val="center"/>
                </w:tcPr>
                <w:p w14:paraId="7515959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w:t>
                  </w:r>
                </w:p>
              </w:tc>
              <w:tc>
                <w:tcPr>
                  <w:tcW w:w="562" w:type="dxa"/>
                  <w:tcBorders>
                    <w:tl2br w:val="nil"/>
                    <w:tr2bl w:val="nil"/>
                  </w:tcBorders>
                  <w:shd w:val="clear" w:color="auto" w:fill="auto"/>
                  <w:tcMar>
                    <w:top w:w="120" w:type="dxa"/>
                    <w:left w:w="120" w:type="dxa"/>
                    <w:bottom w:w="120" w:type="dxa"/>
                    <w:right w:w="120" w:type="dxa"/>
                  </w:tcMar>
                  <w:vAlign w:val="center"/>
                </w:tcPr>
                <w:p w14:paraId="367466A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18</w:t>
                  </w:r>
                </w:p>
              </w:tc>
            </w:tr>
            <w:tr w14:paraId="73B26A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891" w:type="dxa"/>
                  <w:tcBorders>
                    <w:tl2br w:val="nil"/>
                    <w:tr2bl w:val="nil"/>
                  </w:tcBorders>
                  <w:shd w:val="clear" w:color="auto" w:fill="auto"/>
                  <w:tcMar>
                    <w:top w:w="120" w:type="dxa"/>
                    <w:left w:w="120" w:type="dxa"/>
                    <w:bottom w:w="120" w:type="dxa"/>
                    <w:right w:w="120" w:type="dxa"/>
                  </w:tcMar>
                  <w:vAlign w:val="center"/>
                </w:tcPr>
                <w:p w14:paraId="71BC305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除尘风机MC-3</w:t>
                  </w:r>
                </w:p>
              </w:tc>
              <w:tc>
                <w:tcPr>
                  <w:tcW w:w="434" w:type="dxa"/>
                  <w:tcBorders>
                    <w:tl2br w:val="nil"/>
                    <w:tr2bl w:val="nil"/>
                  </w:tcBorders>
                  <w:shd w:val="clear" w:color="auto" w:fill="auto"/>
                  <w:tcMar>
                    <w:top w:w="120" w:type="dxa"/>
                    <w:left w:w="120" w:type="dxa"/>
                    <w:bottom w:w="120" w:type="dxa"/>
                    <w:right w:w="120" w:type="dxa"/>
                  </w:tcMar>
                  <w:vAlign w:val="center"/>
                </w:tcPr>
                <w:p w14:paraId="3F076EC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85</w:t>
                  </w:r>
                </w:p>
              </w:tc>
              <w:tc>
                <w:tcPr>
                  <w:tcW w:w="566" w:type="dxa"/>
                  <w:tcBorders>
                    <w:tl2br w:val="nil"/>
                    <w:tr2bl w:val="nil"/>
                  </w:tcBorders>
                  <w:shd w:val="clear" w:color="auto" w:fill="auto"/>
                  <w:tcMar>
                    <w:top w:w="120" w:type="dxa"/>
                    <w:left w:w="120" w:type="dxa"/>
                    <w:bottom w:w="120" w:type="dxa"/>
                    <w:right w:w="120" w:type="dxa"/>
                  </w:tcMar>
                  <w:vAlign w:val="center"/>
                </w:tcPr>
                <w:p w14:paraId="1CC6156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71.0</w:t>
                  </w:r>
                </w:p>
              </w:tc>
              <w:tc>
                <w:tcPr>
                  <w:tcW w:w="524" w:type="dxa"/>
                  <w:tcBorders>
                    <w:tl2br w:val="nil"/>
                    <w:tr2bl w:val="nil"/>
                  </w:tcBorders>
                  <w:shd w:val="clear" w:color="auto" w:fill="auto"/>
                  <w:tcMar>
                    <w:top w:w="120" w:type="dxa"/>
                    <w:left w:w="120" w:type="dxa"/>
                    <w:bottom w:w="120" w:type="dxa"/>
                    <w:right w:w="120" w:type="dxa"/>
                  </w:tcMar>
                  <w:vAlign w:val="center"/>
                </w:tcPr>
                <w:p w14:paraId="5F14ABE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65.0</w:t>
                  </w:r>
                </w:p>
              </w:tc>
              <w:tc>
                <w:tcPr>
                  <w:tcW w:w="581" w:type="dxa"/>
                  <w:tcBorders>
                    <w:tl2br w:val="nil"/>
                    <w:tr2bl w:val="nil"/>
                  </w:tcBorders>
                  <w:shd w:val="clear" w:color="auto" w:fill="auto"/>
                  <w:tcMar>
                    <w:top w:w="120" w:type="dxa"/>
                    <w:left w:w="120" w:type="dxa"/>
                    <w:bottom w:w="120" w:type="dxa"/>
                    <w:right w:w="120" w:type="dxa"/>
                  </w:tcMar>
                  <w:vAlign w:val="center"/>
                </w:tcPr>
                <w:p w14:paraId="2096CE8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59.0</w:t>
                  </w:r>
                </w:p>
              </w:tc>
              <w:tc>
                <w:tcPr>
                  <w:tcW w:w="552" w:type="dxa"/>
                  <w:tcBorders>
                    <w:tl2br w:val="nil"/>
                    <w:tr2bl w:val="nil"/>
                  </w:tcBorders>
                  <w:shd w:val="clear" w:color="auto" w:fill="auto"/>
                  <w:tcMar>
                    <w:top w:w="120" w:type="dxa"/>
                    <w:left w:w="120" w:type="dxa"/>
                    <w:bottom w:w="120" w:type="dxa"/>
                    <w:right w:w="120" w:type="dxa"/>
                  </w:tcMar>
                  <w:vAlign w:val="center"/>
                </w:tcPr>
                <w:p w14:paraId="155854B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55.5</w:t>
                  </w:r>
                </w:p>
              </w:tc>
              <w:tc>
                <w:tcPr>
                  <w:tcW w:w="581" w:type="dxa"/>
                  <w:tcBorders>
                    <w:tl2br w:val="nil"/>
                    <w:tr2bl w:val="nil"/>
                  </w:tcBorders>
                  <w:shd w:val="clear" w:color="auto" w:fill="auto"/>
                  <w:tcMar>
                    <w:top w:w="120" w:type="dxa"/>
                    <w:left w:w="120" w:type="dxa"/>
                    <w:bottom w:w="120" w:type="dxa"/>
                    <w:right w:w="120" w:type="dxa"/>
                  </w:tcMar>
                  <w:vAlign w:val="center"/>
                </w:tcPr>
                <w:p w14:paraId="016794B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53.0</w:t>
                  </w:r>
                </w:p>
              </w:tc>
              <w:tc>
                <w:tcPr>
                  <w:tcW w:w="500" w:type="dxa"/>
                  <w:tcBorders>
                    <w:tl2br w:val="nil"/>
                    <w:tr2bl w:val="nil"/>
                  </w:tcBorders>
                  <w:shd w:val="clear" w:color="auto" w:fill="auto"/>
                  <w:tcMar>
                    <w:top w:w="120" w:type="dxa"/>
                    <w:left w:w="120" w:type="dxa"/>
                    <w:bottom w:w="120" w:type="dxa"/>
                    <w:right w:w="120" w:type="dxa"/>
                  </w:tcMar>
                  <w:vAlign w:val="center"/>
                </w:tcPr>
                <w:p w14:paraId="5C108C4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51.0</w:t>
                  </w:r>
                </w:p>
              </w:tc>
              <w:tc>
                <w:tcPr>
                  <w:tcW w:w="585" w:type="dxa"/>
                  <w:tcBorders>
                    <w:tl2br w:val="nil"/>
                    <w:tr2bl w:val="nil"/>
                  </w:tcBorders>
                  <w:shd w:val="clear" w:color="auto" w:fill="auto"/>
                  <w:tcMar>
                    <w:top w:w="120" w:type="dxa"/>
                    <w:left w:w="120" w:type="dxa"/>
                    <w:bottom w:w="120" w:type="dxa"/>
                    <w:right w:w="120" w:type="dxa"/>
                  </w:tcMar>
                  <w:vAlign w:val="center"/>
                </w:tcPr>
                <w:p w14:paraId="506B860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46.9</w:t>
                  </w:r>
                </w:p>
              </w:tc>
              <w:tc>
                <w:tcPr>
                  <w:tcW w:w="600" w:type="dxa"/>
                  <w:tcBorders>
                    <w:tl2br w:val="nil"/>
                    <w:tr2bl w:val="nil"/>
                  </w:tcBorders>
                  <w:shd w:val="clear" w:color="auto" w:fill="auto"/>
                  <w:tcMar>
                    <w:top w:w="120" w:type="dxa"/>
                    <w:left w:w="120" w:type="dxa"/>
                    <w:bottom w:w="120" w:type="dxa"/>
                    <w:right w:w="120" w:type="dxa"/>
                  </w:tcMar>
                  <w:vAlign w:val="center"/>
                </w:tcPr>
                <w:p w14:paraId="230C22C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45.0</w:t>
                  </w:r>
                </w:p>
              </w:tc>
              <w:tc>
                <w:tcPr>
                  <w:tcW w:w="600" w:type="dxa"/>
                  <w:tcBorders>
                    <w:tl2br w:val="nil"/>
                    <w:tr2bl w:val="nil"/>
                  </w:tcBorders>
                  <w:shd w:val="clear" w:color="auto" w:fill="auto"/>
                  <w:tcMar>
                    <w:top w:w="120" w:type="dxa"/>
                    <w:left w:w="120" w:type="dxa"/>
                    <w:bottom w:w="120" w:type="dxa"/>
                    <w:right w:w="120" w:type="dxa"/>
                  </w:tcMar>
                  <w:vAlign w:val="center"/>
                </w:tcPr>
                <w:p w14:paraId="234134B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39.0</w:t>
                  </w:r>
                </w:p>
              </w:tc>
              <w:tc>
                <w:tcPr>
                  <w:tcW w:w="591" w:type="dxa"/>
                  <w:tcBorders>
                    <w:tl2br w:val="nil"/>
                    <w:tr2bl w:val="nil"/>
                  </w:tcBorders>
                  <w:shd w:val="clear" w:color="auto" w:fill="auto"/>
                  <w:tcMar>
                    <w:top w:w="120" w:type="dxa"/>
                    <w:left w:w="120" w:type="dxa"/>
                    <w:bottom w:w="120" w:type="dxa"/>
                    <w:right w:w="120" w:type="dxa"/>
                  </w:tcMar>
                  <w:vAlign w:val="center"/>
                </w:tcPr>
                <w:p w14:paraId="2BB5D87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35.5</w:t>
                  </w:r>
                </w:p>
              </w:tc>
              <w:tc>
                <w:tcPr>
                  <w:tcW w:w="533" w:type="dxa"/>
                  <w:tcBorders>
                    <w:tl2br w:val="nil"/>
                    <w:tr2bl w:val="nil"/>
                  </w:tcBorders>
                  <w:shd w:val="clear" w:color="auto" w:fill="auto"/>
                  <w:tcMar>
                    <w:top w:w="120" w:type="dxa"/>
                    <w:left w:w="120" w:type="dxa"/>
                    <w:bottom w:w="120" w:type="dxa"/>
                    <w:right w:w="120" w:type="dxa"/>
                  </w:tcMar>
                  <w:vAlign w:val="center"/>
                </w:tcPr>
                <w:p w14:paraId="740391A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w:t>
                  </w:r>
                </w:p>
              </w:tc>
              <w:tc>
                <w:tcPr>
                  <w:tcW w:w="562" w:type="dxa"/>
                  <w:tcBorders>
                    <w:tl2br w:val="nil"/>
                    <w:tr2bl w:val="nil"/>
                  </w:tcBorders>
                  <w:shd w:val="clear" w:color="auto" w:fill="auto"/>
                  <w:tcMar>
                    <w:top w:w="120" w:type="dxa"/>
                    <w:left w:w="120" w:type="dxa"/>
                    <w:bottom w:w="120" w:type="dxa"/>
                    <w:right w:w="120" w:type="dxa"/>
                  </w:tcMar>
                  <w:vAlign w:val="center"/>
                </w:tcPr>
                <w:p w14:paraId="29320AD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32</w:t>
                  </w:r>
                </w:p>
              </w:tc>
            </w:tr>
            <w:tr w14:paraId="6E85B1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891" w:type="dxa"/>
                  <w:tcBorders>
                    <w:tl2br w:val="nil"/>
                    <w:tr2bl w:val="nil"/>
                  </w:tcBorders>
                  <w:shd w:val="clear" w:color="auto" w:fill="auto"/>
                  <w:tcMar>
                    <w:top w:w="120" w:type="dxa"/>
                    <w:left w:w="120" w:type="dxa"/>
                    <w:bottom w:w="120" w:type="dxa"/>
                    <w:right w:w="120" w:type="dxa"/>
                  </w:tcMar>
                  <w:vAlign w:val="center"/>
                </w:tcPr>
                <w:p w14:paraId="54CB73A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全自动洗车</w:t>
                  </w:r>
                </w:p>
              </w:tc>
              <w:tc>
                <w:tcPr>
                  <w:tcW w:w="434" w:type="dxa"/>
                  <w:tcBorders>
                    <w:tl2br w:val="nil"/>
                    <w:tr2bl w:val="nil"/>
                  </w:tcBorders>
                  <w:shd w:val="clear" w:color="auto" w:fill="auto"/>
                  <w:tcMar>
                    <w:top w:w="120" w:type="dxa"/>
                    <w:left w:w="120" w:type="dxa"/>
                    <w:bottom w:w="120" w:type="dxa"/>
                    <w:right w:w="120" w:type="dxa"/>
                  </w:tcMar>
                  <w:vAlign w:val="center"/>
                </w:tcPr>
                <w:p w14:paraId="24779B4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75</w:t>
                  </w:r>
                </w:p>
              </w:tc>
              <w:tc>
                <w:tcPr>
                  <w:tcW w:w="566" w:type="dxa"/>
                  <w:tcBorders>
                    <w:tl2br w:val="nil"/>
                    <w:tr2bl w:val="nil"/>
                  </w:tcBorders>
                  <w:shd w:val="clear" w:color="auto" w:fill="auto"/>
                  <w:tcMar>
                    <w:top w:w="120" w:type="dxa"/>
                    <w:left w:w="120" w:type="dxa"/>
                    <w:bottom w:w="120" w:type="dxa"/>
                    <w:right w:w="120" w:type="dxa"/>
                  </w:tcMar>
                  <w:vAlign w:val="center"/>
                </w:tcPr>
                <w:p w14:paraId="166D4A0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61.0</w:t>
                  </w:r>
                </w:p>
              </w:tc>
              <w:tc>
                <w:tcPr>
                  <w:tcW w:w="524" w:type="dxa"/>
                  <w:tcBorders>
                    <w:tl2br w:val="nil"/>
                    <w:tr2bl w:val="nil"/>
                  </w:tcBorders>
                  <w:shd w:val="clear" w:color="auto" w:fill="auto"/>
                  <w:tcMar>
                    <w:top w:w="120" w:type="dxa"/>
                    <w:left w:w="120" w:type="dxa"/>
                    <w:bottom w:w="120" w:type="dxa"/>
                    <w:right w:w="120" w:type="dxa"/>
                  </w:tcMar>
                  <w:vAlign w:val="center"/>
                </w:tcPr>
                <w:p w14:paraId="7549F36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55.0</w:t>
                  </w:r>
                </w:p>
              </w:tc>
              <w:tc>
                <w:tcPr>
                  <w:tcW w:w="581" w:type="dxa"/>
                  <w:tcBorders>
                    <w:tl2br w:val="nil"/>
                    <w:tr2bl w:val="nil"/>
                  </w:tcBorders>
                  <w:shd w:val="clear" w:color="auto" w:fill="auto"/>
                  <w:tcMar>
                    <w:top w:w="120" w:type="dxa"/>
                    <w:left w:w="120" w:type="dxa"/>
                    <w:bottom w:w="120" w:type="dxa"/>
                    <w:right w:w="120" w:type="dxa"/>
                  </w:tcMar>
                  <w:vAlign w:val="center"/>
                </w:tcPr>
                <w:p w14:paraId="63593BF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49.0</w:t>
                  </w:r>
                </w:p>
              </w:tc>
              <w:tc>
                <w:tcPr>
                  <w:tcW w:w="552" w:type="dxa"/>
                  <w:tcBorders>
                    <w:tl2br w:val="nil"/>
                    <w:tr2bl w:val="nil"/>
                  </w:tcBorders>
                  <w:shd w:val="clear" w:color="auto" w:fill="auto"/>
                  <w:tcMar>
                    <w:top w:w="120" w:type="dxa"/>
                    <w:left w:w="120" w:type="dxa"/>
                    <w:bottom w:w="120" w:type="dxa"/>
                    <w:right w:w="120" w:type="dxa"/>
                  </w:tcMar>
                  <w:vAlign w:val="center"/>
                </w:tcPr>
                <w:p w14:paraId="17C0DA4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45.5</w:t>
                  </w:r>
                </w:p>
              </w:tc>
              <w:tc>
                <w:tcPr>
                  <w:tcW w:w="581" w:type="dxa"/>
                  <w:tcBorders>
                    <w:tl2br w:val="nil"/>
                    <w:tr2bl w:val="nil"/>
                  </w:tcBorders>
                  <w:shd w:val="clear" w:color="auto" w:fill="auto"/>
                  <w:tcMar>
                    <w:top w:w="120" w:type="dxa"/>
                    <w:left w:w="120" w:type="dxa"/>
                    <w:bottom w:w="120" w:type="dxa"/>
                    <w:right w:w="120" w:type="dxa"/>
                  </w:tcMar>
                  <w:vAlign w:val="center"/>
                </w:tcPr>
                <w:p w14:paraId="36082A6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43.0</w:t>
                  </w:r>
                </w:p>
              </w:tc>
              <w:tc>
                <w:tcPr>
                  <w:tcW w:w="500" w:type="dxa"/>
                  <w:tcBorders>
                    <w:tl2br w:val="nil"/>
                    <w:tr2bl w:val="nil"/>
                  </w:tcBorders>
                  <w:shd w:val="clear" w:color="auto" w:fill="auto"/>
                  <w:tcMar>
                    <w:top w:w="120" w:type="dxa"/>
                    <w:left w:w="120" w:type="dxa"/>
                    <w:bottom w:w="120" w:type="dxa"/>
                    <w:right w:w="120" w:type="dxa"/>
                  </w:tcMar>
                  <w:vAlign w:val="center"/>
                </w:tcPr>
                <w:p w14:paraId="6990562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41.0</w:t>
                  </w:r>
                </w:p>
              </w:tc>
              <w:tc>
                <w:tcPr>
                  <w:tcW w:w="585" w:type="dxa"/>
                  <w:tcBorders>
                    <w:tl2br w:val="nil"/>
                    <w:tr2bl w:val="nil"/>
                  </w:tcBorders>
                  <w:shd w:val="clear" w:color="auto" w:fill="auto"/>
                  <w:tcMar>
                    <w:top w:w="120" w:type="dxa"/>
                    <w:left w:w="120" w:type="dxa"/>
                    <w:bottom w:w="120" w:type="dxa"/>
                    <w:right w:w="120" w:type="dxa"/>
                  </w:tcMar>
                  <w:vAlign w:val="center"/>
                </w:tcPr>
                <w:p w14:paraId="4D15CCF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36.9</w:t>
                  </w:r>
                </w:p>
              </w:tc>
              <w:tc>
                <w:tcPr>
                  <w:tcW w:w="600" w:type="dxa"/>
                  <w:tcBorders>
                    <w:tl2br w:val="nil"/>
                    <w:tr2bl w:val="nil"/>
                  </w:tcBorders>
                  <w:shd w:val="clear" w:color="auto" w:fill="auto"/>
                  <w:tcMar>
                    <w:top w:w="120" w:type="dxa"/>
                    <w:left w:w="120" w:type="dxa"/>
                    <w:bottom w:w="120" w:type="dxa"/>
                    <w:right w:w="120" w:type="dxa"/>
                  </w:tcMar>
                  <w:vAlign w:val="center"/>
                </w:tcPr>
                <w:p w14:paraId="0AE6C00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35.0</w:t>
                  </w:r>
                </w:p>
              </w:tc>
              <w:tc>
                <w:tcPr>
                  <w:tcW w:w="600" w:type="dxa"/>
                  <w:tcBorders>
                    <w:tl2br w:val="nil"/>
                    <w:tr2bl w:val="nil"/>
                  </w:tcBorders>
                  <w:shd w:val="clear" w:color="auto" w:fill="auto"/>
                  <w:tcMar>
                    <w:top w:w="120" w:type="dxa"/>
                    <w:left w:w="120" w:type="dxa"/>
                    <w:bottom w:w="120" w:type="dxa"/>
                    <w:right w:w="120" w:type="dxa"/>
                  </w:tcMar>
                  <w:vAlign w:val="center"/>
                </w:tcPr>
                <w:p w14:paraId="0E7EEC8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29.0</w:t>
                  </w:r>
                </w:p>
              </w:tc>
              <w:tc>
                <w:tcPr>
                  <w:tcW w:w="591" w:type="dxa"/>
                  <w:tcBorders>
                    <w:tl2br w:val="nil"/>
                    <w:tr2bl w:val="nil"/>
                  </w:tcBorders>
                  <w:shd w:val="clear" w:color="auto" w:fill="auto"/>
                  <w:tcMar>
                    <w:top w:w="120" w:type="dxa"/>
                    <w:left w:w="120" w:type="dxa"/>
                    <w:bottom w:w="120" w:type="dxa"/>
                    <w:right w:w="120" w:type="dxa"/>
                  </w:tcMar>
                  <w:vAlign w:val="center"/>
                </w:tcPr>
                <w:p w14:paraId="3720A70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25.5</w:t>
                  </w:r>
                </w:p>
              </w:tc>
              <w:tc>
                <w:tcPr>
                  <w:tcW w:w="533" w:type="dxa"/>
                  <w:tcBorders>
                    <w:tl2br w:val="nil"/>
                    <w:tr2bl w:val="nil"/>
                  </w:tcBorders>
                  <w:shd w:val="clear" w:color="auto" w:fill="auto"/>
                  <w:tcMar>
                    <w:top w:w="120" w:type="dxa"/>
                    <w:left w:w="120" w:type="dxa"/>
                    <w:bottom w:w="120" w:type="dxa"/>
                    <w:right w:w="120" w:type="dxa"/>
                  </w:tcMar>
                  <w:vAlign w:val="center"/>
                </w:tcPr>
                <w:p w14:paraId="321D331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2</w:t>
                  </w:r>
                </w:p>
              </w:tc>
              <w:tc>
                <w:tcPr>
                  <w:tcW w:w="562" w:type="dxa"/>
                  <w:tcBorders>
                    <w:tl2br w:val="nil"/>
                    <w:tr2bl w:val="nil"/>
                  </w:tcBorders>
                  <w:shd w:val="clear" w:color="auto" w:fill="auto"/>
                  <w:tcMar>
                    <w:top w:w="120" w:type="dxa"/>
                    <w:left w:w="120" w:type="dxa"/>
                    <w:bottom w:w="120" w:type="dxa"/>
                    <w:right w:w="120" w:type="dxa"/>
                  </w:tcMar>
                  <w:vAlign w:val="center"/>
                </w:tcPr>
                <w:p w14:paraId="6CC9239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10</w:t>
                  </w:r>
                </w:p>
              </w:tc>
            </w:tr>
            <w:tr w14:paraId="16B78C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891" w:type="dxa"/>
                  <w:tcBorders>
                    <w:tl2br w:val="nil"/>
                    <w:tr2bl w:val="nil"/>
                  </w:tcBorders>
                  <w:shd w:val="clear" w:color="auto" w:fill="auto"/>
                  <w:tcMar>
                    <w:top w:w="120" w:type="dxa"/>
                    <w:left w:w="120" w:type="dxa"/>
                    <w:bottom w:w="120" w:type="dxa"/>
                    <w:right w:w="120" w:type="dxa"/>
                  </w:tcMar>
                  <w:vAlign w:val="center"/>
                </w:tcPr>
                <w:p w14:paraId="7A15DFD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变压器</w:t>
                  </w:r>
                </w:p>
              </w:tc>
              <w:tc>
                <w:tcPr>
                  <w:tcW w:w="434" w:type="dxa"/>
                  <w:tcBorders>
                    <w:tl2br w:val="nil"/>
                    <w:tr2bl w:val="nil"/>
                  </w:tcBorders>
                  <w:shd w:val="clear" w:color="auto" w:fill="auto"/>
                  <w:tcMar>
                    <w:top w:w="120" w:type="dxa"/>
                    <w:left w:w="120" w:type="dxa"/>
                    <w:bottom w:w="120" w:type="dxa"/>
                    <w:right w:w="120" w:type="dxa"/>
                  </w:tcMar>
                  <w:vAlign w:val="center"/>
                </w:tcPr>
                <w:p w14:paraId="323DC0E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65</w:t>
                  </w:r>
                </w:p>
              </w:tc>
              <w:tc>
                <w:tcPr>
                  <w:tcW w:w="566" w:type="dxa"/>
                  <w:tcBorders>
                    <w:tl2br w:val="nil"/>
                    <w:tr2bl w:val="nil"/>
                  </w:tcBorders>
                  <w:shd w:val="clear" w:color="auto" w:fill="auto"/>
                  <w:tcMar>
                    <w:top w:w="120" w:type="dxa"/>
                    <w:left w:w="120" w:type="dxa"/>
                    <w:bottom w:w="120" w:type="dxa"/>
                    <w:right w:w="120" w:type="dxa"/>
                  </w:tcMar>
                  <w:vAlign w:val="center"/>
                </w:tcPr>
                <w:p w14:paraId="5E1C9A0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51.0</w:t>
                  </w:r>
                </w:p>
              </w:tc>
              <w:tc>
                <w:tcPr>
                  <w:tcW w:w="524" w:type="dxa"/>
                  <w:tcBorders>
                    <w:tl2br w:val="nil"/>
                    <w:tr2bl w:val="nil"/>
                  </w:tcBorders>
                  <w:shd w:val="clear" w:color="auto" w:fill="auto"/>
                  <w:tcMar>
                    <w:top w:w="120" w:type="dxa"/>
                    <w:left w:w="120" w:type="dxa"/>
                    <w:bottom w:w="120" w:type="dxa"/>
                    <w:right w:w="120" w:type="dxa"/>
                  </w:tcMar>
                  <w:vAlign w:val="center"/>
                </w:tcPr>
                <w:p w14:paraId="42010D5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45.0</w:t>
                  </w:r>
                </w:p>
              </w:tc>
              <w:tc>
                <w:tcPr>
                  <w:tcW w:w="581" w:type="dxa"/>
                  <w:tcBorders>
                    <w:tl2br w:val="nil"/>
                    <w:tr2bl w:val="nil"/>
                  </w:tcBorders>
                  <w:shd w:val="clear" w:color="auto" w:fill="auto"/>
                  <w:tcMar>
                    <w:top w:w="120" w:type="dxa"/>
                    <w:left w:w="120" w:type="dxa"/>
                    <w:bottom w:w="120" w:type="dxa"/>
                    <w:right w:w="120" w:type="dxa"/>
                  </w:tcMar>
                  <w:vAlign w:val="center"/>
                </w:tcPr>
                <w:p w14:paraId="5B83417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39.0</w:t>
                  </w:r>
                </w:p>
              </w:tc>
              <w:tc>
                <w:tcPr>
                  <w:tcW w:w="552" w:type="dxa"/>
                  <w:tcBorders>
                    <w:tl2br w:val="nil"/>
                    <w:tr2bl w:val="nil"/>
                  </w:tcBorders>
                  <w:shd w:val="clear" w:color="auto" w:fill="auto"/>
                  <w:tcMar>
                    <w:top w:w="120" w:type="dxa"/>
                    <w:left w:w="120" w:type="dxa"/>
                    <w:bottom w:w="120" w:type="dxa"/>
                    <w:right w:w="120" w:type="dxa"/>
                  </w:tcMar>
                  <w:vAlign w:val="center"/>
                </w:tcPr>
                <w:p w14:paraId="6217B80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35.5</w:t>
                  </w:r>
                </w:p>
              </w:tc>
              <w:tc>
                <w:tcPr>
                  <w:tcW w:w="581" w:type="dxa"/>
                  <w:tcBorders>
                    <w:tl2br w:val="nil"/>
                    <w:tr2bl w:val="nil"/>
                  </w:tcBorders>
                  <w:shd w:val="clear" w:color="auto" w:fill="auto"/>
                  <w:tcMar>
                    <w:top w:w="120" w:type="dxa"/>
                    <w:left w:w="120" w:type="dxa"/>
                    <w:bottom w:w="120" w:type="dxa"/>
                    <w:right w:w="120" w:type="dxa"/>
                  </w:tcMar>
                  <w:vAlign w:val="center"/>
                </w:tcPr>
                <w:p w14:paraId="1800554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33.0</w:t>
                  </w:r>
                </w:p>
              </w:tc>
              <w:tc>
                <w:tcPr>
                  <w:tcW w:w="500" w:type="dxa"/>
                  <w:tcBorders>
                    <w:tl2br w:val="nil"/>
                    <w:tr2bl w:val="nil"/>
                  </w:tcBorders>
                  <w:shd w:val="clear" w:color="auto" w:fill="auto"/>
                  <w:tcMar>
                    <w:top w:w="120" w:type="dxa"/>
                    <w:left w:w="120" w:type="dxa"/>
                    <w:bottom w:w="120" w:type="dxa"/>
                    <w:right w:w="120" w:type="dxa"/>
                  </w:tcMar>
                  <w:vAlign w:val="center"/>
                </w:tcPr>
                <w:p w14:paraId="15D4316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31.0</w:t>
                  </w:r>
                </w:p>
              </w:tc>
              <w:tc>
                <w:tcPr>
                  <w:tcW w:w="585" w:type="dxa"/>
                  <w:tcBorders>
                    <w:tl2br w:val="nil"/>
                    <w:tr2bl w:val="nil"/>
                  </w:tcBorders>
                  <w:shd w:val="clear" w:color="auto" w:fill="auto"/>
                  <w:tcMar>
                    <w:top w:w="120" w:type="dxa"/>
                    <w:left w:w="120" w:type="dxa"/>
                    <w:bottom w:w="120" w:type="dxa"/>
                    <w:right w:w="120" w:type="dxa"/>
                  </w:tcMar>
                  <w:vAlign w:val="center"/>
                </w:tcPr>
                <w:p w14:paraId="246BF78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26.9</w:t>
                  </w:r>
                </w:p>
              </w:tc>
              <w:tc>
                <w:tcPr>
                  <w:tcW w:w="600" w:type="dxa"/>
                  <w:tcBorders>
                    <w:tl2br w:val="nil"/>
                    <w:tr2bl w:val="nil"/>
                  </w:tcBorders>
                  <w:shd w:val="clear" w:color="auto" w:fill="auto"/>
                  <w:tcMar>
                    <w:top w:w="120" w:type="dxa"/>
                    <w:left w:w="120" w:type="dxa"/>
                    <w:bottom w:w="120" w:type="dxa"/>
                    <w:right w:w="120" w:type="dxa"/>
                  </w:tcMar>
                  <w:vAlign w:val="center"/>
                </w:tcPr>
                <w:p w14:paraId="3C52820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25.0</w:t>
                  </w:r>
                </w:p>
              </w:tc>
              <w:tc>
                <w:tcPr>
                  <w:tcW w:w="600" w:type="dxa"/>
                  <w:tcBorders>
                    <w:tl2br w:val="nil"/>
                    <w:tr2bl w:val="nil"/>
                  </w:tcBorders>
                  <w:shd w:val="clear" w:color="auto" w:fill="auto"/>
                  <w:tcMar>
                    <w:top w:w="120" w:type="dxa"/>
                    <w:left w:w="120" w:type="dxa"/>
                    <w:bottom w:w="120" w:type="dxa"/>
                    <w:right w:w="120" w:type="dxa"/>
                  </w:tcMar>
                  <w:vAlign w:val="center"/>
                </w:tcPr>
                <w:p w14:paraId="2363E18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19.0</w:t>
                  </w:r>
                </w:p>
              </w:tc>
              <w:tc>
                <w:tcPr>
                  <w:tcW w:w="591" w:type="dxa"/>
                  <w:tcBorders>
                    <w:tl2br w:val="nil"/>
                    <w:tr2bl w:val="nil"/>
                  </w:tcBorders>
                  <w:shd w:val="clear" w:color="auto" w:fill="auto"/>
                  <w:tcMar>
                    <w:top w:w="120" w:type="dxa"/>
                    <w:left w:w="120" w:type="dxa"/>
                    <w:bottom w:w="120" w:type="dxa"/>
                    <w:right w:w="120" w:type="dxa"/>
                  </w:tcMar>
                  <w:vAlign w:val="center"/>
                </w:tcPr>
                <w:p w14:paraId="4720049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15.5</w:t>
                  </w:r>
                </w:p>
              </w:tc>
              <w:tc>
                <w:tcPr>
                  <w:tcW w:w="533" w:type="dxa"/>
                  <w:tcBorders>
                    <w:tl2br w:val="nil"/>
                    <w:tr2bl w:val="nil"/>
                  </w:tcBorders>
                  <w:shd w:val="clear" w:color="auto" w:fill="auto"/>
                  <w:tcMar>
                    <w:top w:w="120" w:type="dxa"/>
                    <w:left w:w="120" w:type="dxa"/>
                    <w:bottom w:w="120" w:type="dxa"/>
                    <w:right w:w="120" w:type="dxa"/>
                  </w:tcMar>
                  <w:vAlign w:val="center"/>
                </w:tcPr>
                <w:p w14:paraId="45A81F1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1</w:t>
                  </w:r>
                </w:p>
              </w:tc>
              <w:tc>
                <w:tcPr>
                  <w:tcW w:w="562" w:type="dxa"/>
                  <w:tcBorders>
                    <w:tl2br w:val="nil"/>
                    <w:tr2bl w:val="nil"/>
                  </w:tcBorders>
                  <w:shd w:val="clear" w:color="auto" w:fill="auto"/>
                  <w:tcMar>
                    <w:top w:w="120" w:type="dxa"/>
                    <w:left w:w="120" w:type="dxa"/>
                    <w:bottom w:w="120" w:type="dxa"/>
                    <w:right w:w="120" w:type="dxa"/>
                  </w:tcMar>
                  <w:vAlign w:val="center"/>
                </w:tcPr>
                <w:p w14:paraId="1A6C6E1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w:t>
                  </w:r>
                </w:p>
              </w:tc>
            </w:tr>
            <w:tr w14:paraId="36457D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891" w:type="dxa"/>
                  <w:tcBorders>
                    <w:tl2br w:val="nil"/>
                    <w:tr2bl w:val="nil"/>
                  </w:tcBorders>
                  <w:shd w:val="clear" w:color="auto" w:fill="auto"/>
                  <w:tcMar>
                    <w:top w:w="120" w:type="dxa"/>
                    <w:left w:w="120" w:type="dxa"/>
                    <w:bottom w:w="120" w:type="dxa"/>
                    <w:right w:w="120" w:type="dxa"/>
                  </w:tcMar>
                  <w:vAlign w:val="center"/>
                </w:tcPr>
                <w:p w14:paraId="58903D8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运输车/散料罐车</w:t>
                  </w:r>
                </w:p>
              </w:tc>
              <w:tc>
                <w:tcPr>
                  <w:tcW w:w="434" w:type="dxa"/>
                  <w:tcBorders>
                    <w:tl2br w:val="nil"/>
                    <w:tr2bl w:val="nil"/>
                  </w:tcBorders>
                  <w:shd w:val="clear" w:color="auto" w:fill="auto"/>
                  <w:tcMar>
                    <w:top w:w="120" w:type="dxa"/>
                    <w:left w:w="120" w:type="dxa"/>
                    <w:bottom w:w="120" w:type="dxa"/>
                    <w:right w:w="120" w:type="dxa"/>
                  </w:tcMar>
                  <w:vAlign w:val="center"/>
                </w:tcPr>
                <w:p w14:paraId="148C1AE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85</w:t>
                  </w:r>
                </w:p>
              </w:tc>
              <w:tc>
                <w:tcPr>
                  <w:tcW w:w="566" w:type="dxa"/>
                  <w:tcBorders>
                    <w:tl2br w:val="nil"/>
                    <w:tr2bl w:val="nil"/>
                  </w:tcBorders>
                  <w:shd w:val="clear" w:color="auto" w:fill="auto"/>
                  <w:tcMar>
                    <w:top w:w="120" w:type="dxa"/>
                    <w:left w:w="120" w:type="dxa"/>
                    <w:bottom w:w="120" w:type="dxa"/>
                    <w:right w:w="120" w:type="dxa"/>
                  </w:tcMar>
                  <w:vAlign w:val="center"/>
                </w:tcPr>
                <w:p w14:paraId="1EF984A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71.0</w:t>
                  </w:r>
                </w:p>
              </w:tc>
              <w:tc>
                <w:tcPr>
                  <w:tcW w:w="524" w:type="dxa"/>
                  <w:tcBorders>
                    <w:tl2br w:val="nil"/>
                    <w:tr2bl w:val="nil"/>
                  </w:tcBorders>
                  <w:shd w:val="clear" w:color="auto" w:fill="auto"/>
                  <w:tcMar>
                    <w:top w:w="120" w:type="dxa"/>
                    <w:left w:w="120" w:type="dxa"/>
                    <w:bottom w:w="120" w:type="dxa"/>
                    <w:right w:w="120" w:type="dxa"/>
                  </w:tcMar>
                  <w:vAlign w:val="center"/>
                </w:tcPr>
                <w:p w14:paraId="458D4BC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65.0</w:t>
                  </w:r>
                </w:p>
              </w:tc>
              <w:tc>
                <w:tcPr>
                  <w:tcW w:w="581" w:type="dxa"/>
                  <w:tcBorders>
                    <w:tl2br w:val="nil"/>
                    <w:tr2bl w:val="nil"/>
                  </w:tcBorders>
                  <w:shd w:val="clear" w:color="auto" w:fill="auto"/>
                  <w:tcMar>
                    <w:top w:w="120" w:type="dxa"/>
                    <w:left w:w="120" w:type="dxa"/>
                    <w:bottom w:w="120" w:type="dxa"/>
                    <w:right w:w="120" w:type="dxa"/>
                  </w:tcMar>
                  <w:vAlign w:val="center"/>
                </w:tcPr>
                <w:p w14:paraId="228A928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59.0</w:t>
                  </w:r>
                </w:p>
              </w:tc>
              <w:tc>
                <w:tcPr>
                  <w:tcW w:w="552" w:type="dxa"/>
                  <w:tcBorders>
                    <w:tl2br w:val="nil"/>
                    <w:tr2bl w:val="nil"/>
                  </w:tcBorders>
                  <w:shd w:val="clear" w:color="auto" w:fill="auto"/>
                  <w:tcMar>
                    <w:top w:w="120" w:type="dxa"/>
                    <w:left w:w="120" w:type="dxa"/>
                    <w:bottom w:w="120" w:type="dxa"/>
                    <w:right w:w="120" w:type="dxa"/>
                  </w:tcMar>
                  <w:vAlign w:val="center"/>
                </w:tcPr>
                <w:p w14:paraId="74B00A3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55.5</w:t>
                  </w:r>
                </w:p>
              </w:tc>
              <w:tc>
                <w:tcPr>
                  <w:tcW w:w="581" w:type="dxa"/>
                  <w:tcBorders>
                    <w:tl2br w:val="nil"/>
                    <w:tr2bl w:val="nil"/>
                  </w:tcBorders>
                  <w:shd w:val="clear" w:color="auto" w:fill="auto"/>
                  <w:tcMar>
                    <w:top w:w="120" w:type="dxa"/>
                    <w:left w:w="120" w:type="dxa"/>
                    <w:bottom w:w="120" w:type="dxa"/>
                    <w:right w:w="120" w:type="dxa"/>
                  </w:tcMar>
                  <w:vAlign w:val="center"/>
                </w:tcPr>
                <w:p w14:paraId="1BAFE90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53.0</w:t>
                  </w:r>
                </w:p>
              </w:tc>
              <w:tc>
                <w:tcPr>
                  <w:tcW w:w="500" w:type="dxa"/>
                  <w:tcBorders>
                    <w:tl2br w:val="nil"/>
                    <w:tr2bl w:val="nil"/>
                  </w:tcBorders>
                  <w:shd w:val="clear" w:color="auto" w:fill="auto"/>
                  <w:tcMar>
                    <w:top w:w="120" w:type="dxa"/>
                    <w:left w:w="120" w:type="dxa"/>
                    <w:bottom w:w="120" w:type="dxa"/>
                    <w:right w:w="120" w:type="dxa"/>
                  </w:tcMar>
                  <w:vAlign w:val="center"/>
                </w:tcPr>
                <w:p w14:paraId="71F1918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51.0</w:t>
                  </w:r>
                </w:p>
              </w:tc>
              <w:tc>
                <w:tcPr>
                  <w:tcW w:w="585" w:type="dxa"/>
                  <w:tcBorders>
                    <w:tl2br w:val="nil"/>
                    <w:tr2bl w:val="nil"/>
                  </w:tcBorders>
                  <w:shd w:val="clear" w:color="auto" w:fill="auto"/>
                  <w:tcMar>
                    <w:top w:w="120" w:type="dxa"/>
                    <w:left w:w="120" w:type="dxa"/>
                    <w:bottom w:w="120" w:type="dxa"/>
                    <w:right w:w="120" w:type="dxa"/>
                  </w:tcMar>
                  <w:vAlign w:val="center"/>
                </w:tcPr>
                <w:p w14:paraId="5F88F28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46.9</w:t>
                  </w:r>
                </w:p>
              </w:tc>
              <w:tc>
                <w:tcPr>
                  <w:tcW w:w="600" w:type="dxa"/>
                  <w:tcBorders>
                    <w:tl2br w:val="nil"/>
                    <w:tr2bl w:val="nil"/>
                  </w:tcBorders>
                  <w:shd w:val="clear" w:color="auto" w:fill="auto"/>
                  <w:tcMar>
                    <w:top w:w="120" w:type="dxa"/>
                    <w:left w:w="120" w:type="dxa"/>
                    <w:bottom w:w="120" w:type="dxa"/>
                    <w:right w:w="120" w:type="dxa"/>
                  </w:tcMar>
                  <w:vAlign w:val="center"/>
                </w:tcPr>
                <w:p w14:paraId="403AA8B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45.0</w:t>
                  </w:r>
                </w:p>
              </w:tc>
              <w:tc>
                <w:tcPr>
                  <w:tcW w:w="600" w:type="dxa"/>
                  <w:tcBorders>
                    <w:tl2br w:val="nil"/>
                    <w:tr2bl w:val="nil"/>
                  </w:tcBorders>
                  <w:shd w:val="clear" w:color="auto" w:fill="auto"/>
                  <w:tcMar>
                    <w:top w:w="120" w:type="dxa"/>
                    <w:left w:w="120" w:type="dxa"/>
                    <w:bottom w:w="120" w:type="dxa"/>
                    <w:right w:w="120" w:type="dxa"/>
                  </w:tcMar>
                  <w:vAlign w:val="center"/>
                </w:tcPr>
                <w:p w14:paraId="1458AC7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39.0</w:t>
                  </w:r>
                </w:p>
              </w:tc>
              <w:tc>
                <w:tcPr>
                  <w:tcW w:w="591" w:type="dxa"/>
                  <w:tcBorders>
                    <w:tl2br w:val="nil"/>
                    <w:tr2bl w:val="nil"/>
                  </w:tcBorders>
                  <w:shd w:val="clear" w:color="auto" w:fill="auto"/>
                  <w:tcMar>
                    <w:top w:w="120" w:type="dxa"/>
                    <w:left w:w="120" w:type="dxa"/>
                    <w:bottom w:w="120" w:type="dxa"/>
                    <w:right w:w="120" w:type="dxa"/>
                  </w:tcMar>
                  <w:vAlign w:val="center"/>
                </w:tcPr>
                <w:p w14:paraId="496452C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35.5</w:t>
                  </w:r>
                </w:p>
              </w:tc>
              <w:tc>
                <w:tcPr>
                  <w:tcW w:w="533" w:type="dxa"/>
                  <w:tcBorders>
                    <w:tl2br w:val="nil"/>
                    <w:tr2bl w:val="nil"/>
                  </w:tcBorders>
                  <w:shd w:val="clear" w:color="auto" w:fill="auto"/>
                  <w:tcMar>
                    <w:top w:w="120" w:type="dxa"/>
                    <w:left w:w="120" w:type="dxa"/>
                    <w:bottom w:w="120" w:type="dxa"/>
                    <w:right w:w="120" w:type="dxa"/>
                  </w:tcMar>
                  <w:vAlign w:val="center"/>
                </w:tcPr>
                <w:p w14:paraId="1D06CB4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w:t>
                  </w:r>
                </w:p>
              </w:tc>
              <w:tc>
                <w:tcPr>
                  <w:tcW w:w="562" w:type="dxa"/>
                  <w:tcBorders>
                    <w:tl2br w:val="nil"/>
                    <w:tr2bl w:val="nil"/>
                  </w:tcBorders>
                  <w:shd w:val="clear" w:color="auto" w:fill="auto"/>
                  <w:tcMar>
                    <w:top w:w="120" w:type="dxa"/>
                    <w:left w:w="120" w:type="dxa"/>
                    <w:bottom w:w="120" w:type="dxa"/>
                    <w:right w:w="120" w:type="dxa"/>
                  </w:tcMar>
                  <w:vAlign w:val="center"/>
                </w:tcPr>
                <w:p w14:paraId="452CDA7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32</w:t>
                  </w:r>
                </w:p>
              </w:tc>
            </w:tr>
            <w:tr w14:paraId="12803E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891" w:type="dxa"/>
                  <w:tcBorders>
                    <w:tl2br w:val="nil"/>
                    <w:tr2bl w:val="nil"/>
                  </w:tcBorders>
                  <w:shd w:val="clear" w:color="auto" w:fill="auto"/>
                  <w:tcMar>
                    <w:top w:w="120" w:type="dxa"/>
                    <w:left w:w="120" w:type="dxa"/>
                    <w:bottom w:w="120" w:type="dxa"/>
                    <w:right w:w="120" w:type="dxa"/>
                  </w:tcMar>
                  <w:vAlign w:val="center"/>
                </w:tcPr>
                <w:p w14:paraId="7FBB268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振动筛</w:t>
                  </w:r>
                </w:p>
              </w:tc>
              <w:tc>
                <w:tcPr>
                  <w:tcW w:w="434" w:type="dxa"/>
                  <w:tcBorders>
                    <w:tl2br w:val="nil"/>
                    <w:tr2bl w:val="nil"/>
                  </w:tcBorders>
                  <w:shd w:val="clear" w:color="auto" w:fill="auto"/>
                  <w:tcMar>
                    <w:top w:w="120" w:type="dxa"/>
                    <w:left w:w="120" w:type="dxa"/>
                    <w:bottom w:w="120" w:type="dxa"/>
                    <w:right w:w="120" w:type="dxa"/>
                  </w:tcMar>
                  <w:vAlign w:val="center"/>
                </w:tcPr>
                <w:p w14:paraId="78C316F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85</w:t>
                  </w:r>
                </w:p>
              </w:tc>
              <w:tc>
                <w:tcPr>
                  <w:tcW w:w="566" w:type="dxa"/>
                  <w:tcBorders>
                    <w:tl2br w:val="nil"/>
                    <w:tr2bl w:val="nil"/>
                  </w:tcBorders>
                  <w:shd w:val="clear" w:color="auto" w:fill="auto"/>
                  <w:tcMar>
                    <w:top w:w="120" w:type="dxa"/>
                    <w:left w:w="120" w:type="dxa"/>
                    <w:bottom w:w="120" w:type="dxa"/>
                    <w:right w:w="120" w:type="dxa"/>
                  </w:tcMar>
                  <w:vAlign w:val="center"/>
                </w:tcPr>
                <w:p w14:paraId="466AE31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64.0</w:t>
                  </w:r>
                </w:p>
              </w:tc>
              <w:tc>
                <w:tcPr>
                  <w:tcW w:w="524" w:type="dxa"/>
                  <w:tcBorders>
                    <w:tl2br w:val="nil"/>
                    <w:tr2bl w:val="nil"/>
                  </w:tcBorders>
                  <w:shd w:val="clear" w:color="auto" w:fill="auto"/>
                  <w:tcMar>
                    <w:top w:w="120" w:type="dxa"/>
                    <w:left w:w="120" w:type="dxa"/>
                    <w:bottom w:w="120" w:type="dxa"/>
                    <w:right w:w="120" w:type="dxa"/>
                  </w:tcMar>
                  <w:vAlign w:val="center"/>
                </w:tcPr>
                <w:p w14:paraId="5EFBB65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55.0</w:t>
                  </w:r>
                </w:p>
              </w:tc>
              <w:tc>
                <w:tcPr>
                  <w:tcW w:w="581" w:type="dxa"/>
                  <w:tcBorders>
                    <w:tl2br w:val="nil"/>
                    <w:tr2bl w:val="nil"/>
                  </w:tcBorders>
                  <w:shd w:val="clear" w:color="auto" w:fill="auto"/>
                  <w:tcMar>
                    <w:top w:w="120" w:type="dxa"/>
                    <w:left w:w="120" w:type="dxa"/>
                    <w:bottom w:w="120" w:type="dxa"/>
                    <w:right w:w="120" w:type="dxa"/>
                  </w:tcMar>
                  <w:vAlign w:val="center"/>
                </w:tcPr>
                <w:p w14:paraId="4222459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49.6</w:t>
                  </w:r>
                </w:p>
              </w:tc>
              <w:tc>
                <w:tcPr>
                  <w:tcW w:w="552" w:type="dxa"/>
                  <w:tcBorders>
                    <w:tl2br w:val="nil"/>
                    <w:tr2bl w:val="nil"/>
                  </w:tcBorders>
                  <w:shd w:val="clear" w:color="auto" w:fill="auto"/>
                  <w:tcMar>
                    <w:top w:w="120" w:type="dxa"/>
                    <w:left w:w="120" w:type="dxa"/>
                    <w:bottom w:w="120" w:type="dxa"/>
                    <w:right w:w="120" w:type="dxa"/>
                  </w:tcMar>
                  <w:vAlign w:val="center"/>
                </w:tcPr>
                <w:p w14:paraId="25A1C7E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45.7</w:t>
                  </w:r>
                </w:p>
              </w:tc>
              <w:tc>
                <w:tcPr>
                  <w:tcW w:w="581" w:type="dxa"/>
                  <w:tcBorders>
                    <w:tl2br w:val="nil"/>
                    <w:tr2bl w:val="nil"/>
                  </w:tcBorders>
                  <w:shd w:val="clear" w:color="auto" w:fill="auto"/>
                  <w:tcMar>
                    <w:top w:w="120" w:type="dxa"/>
                    <w:left w:w="120" w:type="dxa"/>
                    <w:bottom w:w="120" w:type="dxa"/>
                    <w:right w:w="120" w:type="dxa"/>
                  </w:tcMar>
                  <w:vAlign w:val="center"/>
                </w:tcPr>
                <w:p w14:paraId="0168E0D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43.6</w:t>
                  </w:r>
                </w:p>
              </w:tc>
              <w:tc>
                <w:tcPr>
                  <w:tcW w:w="500" w:type="dxa"/>
                  <w:tcBorders>
                    <w:tl2br w:val="nil"/>
                    <w:tr2bl w:val="nil"/>
                  </w:tcBorders>
                  <w:shd w:val="clear" w:color="auto" w:fill="auto"/>
                  <w:tcMar>
                    <w:top w:w="120" w:type="dxa"/>
                    <w:left w:w="120" w:type="dxa"/>
                    <w:bottom w:w="120" w:type="dxa"/>
                    <w:right w:w="120" w:type="dxa"/>
                  </w:tcMar>
                  <w:vAlign w:val="center"/>
                </w:tcPr>
                <w:p w14:paraId="67DD4D6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41.5</w:t>
                  </w:r>
                </w:p>
              </w:tc>
              <w:tc>
                <w:tcPr>
                  <w:tcW w:w="585" w:type="dxa"/>
                  <w:tcBorders>
                    <w:tl2br w:val="nil"/>
                    <w:tr2bl w:val="nil"/>
                  </w:tcBorders>
                  <w:shd w:val="clear" w:color="auto" w:fill="auto"/>
                  <w:tcMar>
                    <w:top w:w="120" w:type="dxa"/>
                    <w:left w:w="120" w:type="dxa"/>
                    <w:bottom w:w="120" w:type="dxa"/>
                    <w:right w:w="120" w:type="dxa"/>
                  </w:tcMar>
                  <w:vAlign w:val="center"/>
                </w:tcPr>
                <w:p w14:paraId="2AF78BE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36.3</w:t>
                  </w:r>
                </w:p>
              </w:tc>
              <w:tc>
                <w:tcPr>
                  <w:tcW w:w="600" w:type="dxa"/>
                  <w:tcBorders>
                    <w:tl2br w:val="nil"/>
                    <w:tr2bl w:val="nil"/>
                  </w:tcBorders>
                  <w:shd w:val="clear" w:color="auto" w:fill="auto"/>
                  <w:tcMar>
                    <w:top w:w="120" w:type="dxa"/>
                    <w:left w:w="120" w:type="dxa"/>
                    <w:bottom w:w="120" w:type="dxa"/>
                    <w:right w:w="120" w:type="dxa"/>
                  </w:tcMar>
                  <w:vAlign w:val="center"/>
                </w:tcPr>
                <w:p w14:paraId="61956CC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35.2</w:t>
                  </w:r>
                </w:p>
              </w:tc>
              <w:tc>
                <w:tcPr>
                  <w:tcW w:w="600" w:type="dxa"/>
                  <w:tcBorders>
                    <w:tl2br w:val="nil"/>
                    <w:tr2bl w:val="nil"/>
                  </w:tcBorders>
                  <w:shd w:val="clear" w:color="auto" w:fill="auto"/>
                  <w:tcMar>
                    <w:top w:w="120" w:type="dxa"/>
                    <w:left w:w="120" w:type="dxa"/>
                    <w:bottom w:w="120" w:type="dxa"/>
                    <w:right w:w="120" w:type="dxa"/>
                  </w:tcMar>
                  <w:vAlign w:val="center"/>
                </w:tcPr>
                <w:p w14:paraId="62D6AE5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29.8</w:t>
                  </w:r>
                </w:p>
              </w:tc>
              <w:tc>
                <w:tcPr>
                  <w:tcW w:w="591" w:type="dxa"/>
                  <w:tcBorders>
                    <w:tl2br w:val="nil"/>
                    <w:tr2bl w:val="nil"/>
                  </w:tcBorders>
                  <w:shd w:val="clear" w:color="auto" w:fill="auto"/>
                  <w:tcMar>
                    <w:top w:w="120" w:type="dxa"/>
                    <w:left w:w="120" w:type="dxa"/>
                    <w:bottom w:w="120" w:type="dxa"/>
                    <w:right w:w="120" w:type="dxa"/>
                  </w:tcMar>
                  <w:vAlign w:val="center"/>
                </w:tcPr>
                <w:p w14:paraId="33AC039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25.8</w:t>
                  </w:r>
                </w:p>
              </w:tc>
              <w:tc>
                <w:tcPr>
                  <w:tcW w:w="533" w:type="dxa"/>
                  <w:tcBorders>
                    <w:tl2br w:val="nil"/>
                    <w:tr2bl w:val="nil"/>
                  </w:tcBorders>
                  <w:shd w:val="clear" w:color="auto" w:fill="auto"/>
                  <w:tcMar>
                    <w:top w:w="120" w:type="dxa"/>
                    <w:left w:w="120" w:type="dxa"/>
                    <w:bottom w:w="120" w:type="dxa"/>
                    <w:right w:w="120" w:type="dxa"/>
                  </w:tcMar>
                  <w:vAlign w:val="center"/>
                </w:tcPr>
                <w:p w14:paraId="4139D29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6</w:t>
                  </w:r>
                </w:p>
              </w:tc>
              <w:tc>
                <w:tcPr>
                  <w:tcW w:w="562" w:type="dxa"/>
                  <w:tcBorders>
                    <w:tl2br w:val="nil"/>
                    <w:tr2bl w:val="nil"/>
                  </w:tcBorders>
                  <w:shd w:val="clear" w:color="auto" w:fill="auto"/>
                  <w:tcMar>
                    <w:top w:w="120" w:type="dxa"/>
                    <w:left w:w="120" w:type="dxa"/>
                    <w:bottom w:w="120" w:type="dxa"/>
                    <w:right w:w="120" w:type="dxa"/>
                  </w:tcMar>
                  <w:vAlign w:val="center"/>
                </w:tcPr>
                <w:p w14:paraId="20CA997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10</w:t>
                  </w:r>
                </w:p>
              </w:tc>
            </w:tr>
          </w:tbl>
          <w:p w14:paraId="6D15D82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黑体" w:cs="Times New Roman"/>
                <w:highlight w:val="none"/>
                <w:lang w:eastAsia="zh-CN"/>
              </w:rPr>
            </w:pPr>
            <w:r>
              <w:rPr>
                <w:rFonts w:ascii="Times New Roman" w:hAnsi="Times New Roman" w:eastAsia="黑体" w:cs="Times New Roman"/>
                <w:highlight w:val="none"/>
              </w:rPr>
              <w:t>表4</w:t>
            </w:r>
            <w:r>
              <w:rPr>
                <w:rFonts w:hint="eastAsia" w:eastAsia="黑体" w:cs="Times New Roman"/>
                <w:highlight w:val="none"/>
                <w:lang w:val="en-US" w:eastAsia="zh-CN"/>
              </w:rPr>
              <w:t>-4</w:t>
            </w:r>
            <w:r>
              <w:rPr>
                <w:rFonts w:ascii="Times New Roman" w:hAnsi="Times New Roman" w:eastAsia="黑体" w:cs="Times New Roman"/>
                <w:highlight w:val="none"/>
              </w:rPr>
              <w:t xml:space="preserve"> </w:t>
            </w:r>
            <w:r>
              <w:rPr>
                <w:rFonts w:hint="eastAsia" w:ascii="Times New Roman" w:hAnsi="Times New Roman" w:eastAsia="黑体" w:cs="Times New Roman"/>
                <w:highlight w:val="none"/>
                <w:lang w:val="en-US" w:eastAsia="zh-CN"/>
              </w:rPr>
              <w:t xml:space="preserve"> </w:t>
            </w:r>
            <w:r>
              <w:rPr>
                <w:rFonts w:ascii="Times New Roman" w:hAnsi="Times New Roman" w:eastAsia="黑体" w:cs="Times New Roman"/>
                <w:highlight w:val="none"/>
              </w:rPr>
              <w:t>多声源叠加后的声级及达标距离</w:t>
            </w:r>
          </w:p>
          <w:tbl>
            <w:tblPr>
              <w:tblStyle w:val="29"/>
              <w:tblW w:w="8110"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Layout w:type="fixed"/>
              <w:tblCellMar>
                <w:top w:w="15" w:type="dxa"/>
                <w:left w:w="15" w:type="dxa"/>
                <w:bottom w:w="15" w:type="dxa"/>
                <w:right w:w="15" w:type="dxa"/>
              </w:tblCellMar>
            </w:tblPr>
            <w:tblGrid>
              <w:gridCol w:w="1244"/>
              <w:gridCol w:w="1290"/>
              <w:gridCol w:w="810"/>
              <w:gridCol w:w="710"/>
              <w:gridCol w:w="835"/>
              <w:gridCol w:w="795"/>
              <w:gridCol w:w="1290"/>
              <w:gridCol w:w="1136"/>
            </w:tblGrid>
            <w:tr w14:paraId="3811CD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blHeader/>
                <w:jc w:val="center"/>
              </w:trPr>
              <w:tc>
                <w:tcPr>
                  <w:tcW w:w="1244" w:type="dxa"/>
                  <w:tcBorders>
                    <w:tl2br w:val="nil"/>
                    <w:tr2bl w:val="nil"/>
                  </w:tcBorders>
                  <w:shd w:val="clear" w:color="auto" w:fill="auto"/>
                  <w:tcMar>
                    <w:top w:w="120" w:type="dxa"/>
                    <w:left w:w="120" w:type="dxa"/>
                    <w:bottom w:w="120" w:type="dxa"/>
                    <w:right w:w="120" w:type="dxa"/>
                  </w:tcMar>
                  <w:vAlign w:val="center"/>
                </w:tcPr>
                <w:p w14:paraId="27A84A8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叠加工况</w:t>
                  </w:r>
                </w:p>
              </w:tc>
              <w:tc>
                <w:tcPr>
                  <w:tcW w:w="1290" w:type="dxa"/>
                  <w:tcBorders>
                    <w:tl2br w:val="nil"/>
                    <w:tr2bl w:val="nil"/>
                  </w:tcBorders>
                  <w:shd w:val="clear" w:color="auto" w:fill="auto"/>
                  <w:tcMar>
                    <w:top w:w="120" w:type="dxa"/>
                    <w:left w:w="120" w:type="dxa"/>
                    <w:bottom w:w="120" w:type="dxa"/>
                    <w:right w:w="120" w:type="dxa"/>
                  </w:tcMar>
                  <w:vAlign w:val="center"/>
                </w:tcPr>
                <w:p w14:paraId="6EFD009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叠加源强dB(A)</w:t>
                  </w:r>
                </w:p>
              </w:tc>
              <w:tc>
                <w:tcPr>
                  <w:tcW w:w="810" w:type="dxa"/>
                  <w:tcBorders>
                    <w:tl2br w:val="nil"/>
                    <w:tr2bl w:val="nil"/>
                  </w:tcBorders>
                  <w:shd w:val="clear" w:color="auto" w:fill="auto"/>
                  <w:tcMar>
                    <w:top w:w="120" w:type="dxa"/>
                    <w:left w:w="120" w:type="dxa"/>
                    <w:bottom w:w="120" w:type="dxa"/>
                    <w:right w:w="120" w:type="dxa"/>
                  </w:tcMar>
                  <w:vAlign w:val="center"/>
                </w:tcPr>
                <w:p w14:paraId="2728C09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30m</w:t>
                  </w:r>
                </w:p>
              </w:tc>
              <w:tc>
                <w:tcPr>
                  <w:tcW w:w="710" w:type="dxa"/>
                  <w:tcBorders>
                    <w:tl2br w:val="nil"/>
                    <w:tr2bl w:val="nil"/>
                  </w:tcBorders>
                  <w:shd w:val="clear" w:color="auto" w:fill="auto"/>
                  <w:tcMar>
                    <w:top w:w="120" w:type="dxa"/>
                    <w:left w:w="120" w:type="dxa"/>
                    <w:bottom w:w="120" w:type="dxa"/>
                    <w:right w:w="120" w:type="dxa"/>
                  </w:tcMar>
                  <w:vAlign w:val="center"/>
                </w:tcPr>
                <w:p w14:paraId="168239D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50m</w:t>
                  </w:r>
                </w:p>
              </w:tc>
              <w:tc>
                <w:tcPr>
                  <w:tcW w:w="835" w:type="dxa"/>
                  <w:tcBorders>
                    <w:tl2br w:val="nil"/>
                    <w:tr2bl w:val="nil"/>
                  </w:tcBorders>
                  <w:shd w:val="clear" w:color="auto" w:fill="auto"/>
                  <w:tcMar>
                    <w:top w:w="120" w:type="dxa"/>
                    <w:left w:w="120" w:type="dxa"/>
                    <w:bottom w:w="120" w:type="dxa"/>
                    <w:right w:w="120" w:type="dxa"/>
                  </w:tcMar>
                  <w:vAlign w:val="center"/>
                </w:tcPr>
                <w:p w14:paraId="1213066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100m</w:t>
                  </w:r>
                </w:p>
              </w:tc>
              <w:tc>
                <w:tcPr>
                  <w:tcW w:w="795" w:type="dxa"/>
                  <w:tcBorders>
                    <w:tl2br w:val="nil"/>
                    <w:tr2bl w:val="nil"/>
                  </w:tcBorders>
                  <w:shd w:val="clear" w:color="auto" w:fill="auto"/>
                  <w:tcMar>
                    <w:top w:w="120" w:type="dxa"/>
                    <w:left w:w="120" w:type="dxa"/>
                    <w:bottom w:w="120" w:type="dxa"/>
                    <w:right w:w="120" w:type="dxa"/>
                  </w:tcMar>
                  <w:vAlign w:val="center"/>
                </w:tcPr>
                <w:p w14:paraId="72D78D5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200m</w:t>
                  </w:r>
                </w:p>
              </w:tc>
              <w:tc>
                <w:tcPr>
                  <w:tcW w:w="1290" w:type="dxa"/>
                  <w:tcBorders>
                    <w:tl2br w:val="nil"/>
                    <w:tr2bl w:val="nil"/>
                  </w:tcBorders>
                  <w:shd w:val="clear" w:color="auto" w:fill="auto"/>
                  <w:tcMar>
                    <w:top w:w="120" w:type="dxa"/>
                    <w:left w:w="120" w:type="dxa"/>
                    <w:bottom w:w="120" w:type="dxa"/>
                    <w:right w:w="120" w:type="dxa"/>
                  </w:tcMar>
                  <w:vAlign w:val="center"/>
                </w:tcPr>
                <w:p w14:paraId="1E085EE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昼间达标（</w:t>
                  </w:r>
                  <w:r>
                    <w:rPr>
                      <w:rFonts w:hint="eastAsia" w:eastAsia="D Y 1 + ZID Hj I" w:cs="Times New Roman"/>
                      <w:i w:val="0"/>
                      <w:iCs w:val="0"/>
                      <w:color w:val="000000"/>
                      <w:kern w:val="0"/>
                      <w:sz w:val="21"/>
                      <w:szCs w:val="21"/>
                      <w:highlight w:val="none"/>
                      <w:u w:val="none"/>
                      <w:lang w:val="en-US" w:eastAsia="zh-CN" w:bidi="ar"/>
                    </w:rPr>
                    <w:t>70</w:t>
                  </w:r>
                  <w:r>
                    <w:rPr>
                      <w:rFonts w:hint="default" w:ascii="Times New Roman" w:hAnsi="Times New Roman" w:eastAsia="D Y 1 + ZID Hj I" w:cs="Times New Roman"/>
                      <w:i w:val="0"/>
                      <w:iCs w:val="0"/>
                      <w:color w:val="000000"/>
                      <w:kern w:val="0"/>
                      <w:sz w:val="21"/>
                      <w:szCs w:val="21"/>
                      <w:highlight w:val="none"/>
                      <w:u w:val="none"/>
                      <w:lang w:val="en-US" w:eastAsia="zh-CN" w:bidi="ar"/>
                    </w:rPr>
                    <w:t>dB(A)）</w:t>
                  </w:r>
                </w:p>
              </w:tc>
              <w:tc>
                <w:tcPr>
                  <w:tcW w:w="1136" w:type="dxa"/>
                  <w:tcBorders>
                    <w:tl2br w:val="nil"/>
                    <w:tr2bl w:val="nil"/>
                  </w:tcBorders>
                  <w:shd w:val="clear" w:color="auto" w:fill="auto"/>
                  <w:tcMar>
                    <w:top w:w="120" w:type="dxa"/>
                    <w:left w:w="120" w:type="dxa"/>
                    <w:bottom w:w="120" w:type="dxa"/>
                    <w:right w:w="120" w:type="dxa"/>
                  </w:tcMar>
                  <w:vAlign w:val="center"/>
                </w:tcPr>
                <w:p w14:paraId="072A703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夜间达标（</w:t>
                  </w:r>
                  <w:r>
                    <w:rPr>
                      <w:rFonts w:hint="eastAsia" w:eastAsia="D Y 1 + ZID Hj I" w:cs="Times New Roman"/>
                      <w:i w:val="0"/>
                      <w:iCs w:val="0"/>
                      <w:color w:val="000000"/>
                      <w:kern w:val="0"/>
                      <w:sz w:val="21"/>
                      <w:szCs w:val="21"/>
                      <w:highlight w:val="none"/>
                      <w:u w:val="none"/>
                      <w:lang w:val="en-US" w:eastAsia="zh-CN" w:bidi="ar"/>
                    </w:rPr>
                    <w:t>55</w:t>
                  </w:r>
                  <w:r>
                    <w:rPr>
                      <w:rFonts w:hint="default" w:ascii="Times New Roman" w:hAnsi="Times New Roman" w:eastAsia="D Y 1 + ZID Hj I" w:cs="Times New Roman"/>
                      <w:i w:val="0"/>
                      <w:iCs w:val="0"/>
                      <w:color w:val="000000"/>
                      <w:kern w:val="0"/>
                      <w:sz w:val="21"/>
                      <w:szCs w:val="21"/>
                      <w:highlight w:val="none"/>
                      <w:u w:val="none"/>
                      <w:lang w:val="en-US" w:eastAsia="zh-CN" w:bidi="ar"/>
                    </w:rPr>
                    <w:t>dB(A)）</w:t>
                  </w:r>
                </w:p>
              </w:tc>
            </w:tr>
            <w:tr w14:paraId="1E35C73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1244" w:type="dxa"/>
                  <w:tcBorders>
                    <w:tl2br w:val="nil"/>
                    <w:tr2bl w:val="nil"/>
                  </w:tcBorders>
                  <w:shd w:val="clear" w:color="auto" w:fill="auto"/>
                  <w:tcMar>
                    <w:top w:w="120" w:type="dxa"/>
                    <w:left w:w="120" w:type="dxa"/>
                    <w:bottom w:w="120" w:type="dxa"/>
                    <w:right w:w="120" w:type="dxa"/>
                  </w:tcMar>
                  <w:vAlign w:val="center"/>
                </w:tcPr>
                <w:p w14:paraId="182F692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单套钻探机组（钻塔+钻机+泥浆泵+电动机）</w:t>
                  </w:r>
                </w:p>
              </w:tc>
              <w:tc>
                <w:tcPr>
                  <w:tcW w:w="1290" w:type="dxa"/>
                  <w:tcBorders>
                    <w:tl2br w:val="nil"/>
                    <w:tr2bl w:val="nil"/>
                  </w:tcBorders>
                  <w:shd w:val="clear" w:color="auto" w:fill="auto"/>
                  <w:tcMar>
                    <w:top w:w="120" w:type="dxa"/>
                    <w:left w:w="120" w:type="dxa"/>
                    <w:bottom w:w="120" w:type="dxa"/>
                    <w:right w:w="120" w:type="dxa"/>
                  </w:tcMar>
                  <w:vAlign w:val="center"/>
                </w:tcPr>
                <w:p w14:paraId="117B0F7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95.9</w:t>
                  </w:r>
                </w:p>
              </w:tc>
              <w:tc>
                <w:tcPr>
                  <w:tcW w:w="810" w:type="dxa"/>
                  <w:tcBorders>
                    <w:tl2br w:val="nil"/>
                    <w:tr2bl w:val="nil"/>
                  </w:tcBorders>
                  <w:shd w:val="clear" w:color="auto" w:fill="auto"/>
                  <w:tcMar>
                    <w:top w:w="120" w:type="dxa"/>
                    <w:left w:w="120" w:type="dxa"/>
                    <w:bottom w:w="120" w:type="dxa"/>
                    <w:right w:w="120" w:type="dxa"/>
                  </w:tcMar>
                  <w:vAlign w:val="center"/>
                </w:tcPr>
                <w:p w14:paraId="5A51F66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66.4</w:t>
                  </w:r>
                </w:p>
              </w:tc>
              <w:tc>
                <w:tcPr>
                  <w:tcW w:w="710" w:type="dxa"/>
                  <w:tcBorders>
                    <w:tl2br w:val="nil"/>
                    <w:tr2bl w:val="nil"/>
                  </w:tcBorders>
                  <w:shd w:val="clear" w:color="auto" w:fill="auto"/>
                  <w:tcMar>
                    <w:top w:w="120" w:type="dxa"/>
                    <w:left w:w="120" w:type="dxa"/>
                    <w:bottom w:w="120" w:type="dxa"/>
                    <w:right w:w="120" w:type="dxa"/>
                  </w:tcMar>
                  <w:vAlign w:val="center"/>
                </w:tcPr>
                <w:p w14:paraId="781574F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61.9</w:t>
                  </w:r>
                </w:p>
              </w:tc>
              <w:tc>
                <w:tcPr>
                  <w:tcW w:w="835" w:type="dxa"/>
                  <w:tcBorders>
                    <w:tl2br w:val="nil"/>
                    <w:tr2bl w:val="nil"/>
                  </w:tcBorders>
                  <w:shd w:val="clear" w:color="auto" w:fill="auto"/>
                  <w:tcMar>
                    <w:top w:w="120" w:type="dxa"/>
                    <w:left w:w="120" w:type="dxa"/>
                    <w:bottom w:w="120" w:type="dxa"/>
                    <w:right w:w="120" w:type="dxa"/>
                  </w:tcMar>
                  <w:vAlign w:val="center"/>
                </w:tcPr>
                <w:p w14:paraId="325AF0B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55.9</w:t>
                  </w:r>
                </w:p>
              </w:tc>
              <w:tc>
                <w:tcPr>
                  <w:tcW w:w="795" w:type="dxa"/>
                  <w:tcBorders>
                    <w:tl2br w:val="nil"/>
                    <w:tr2bl w:val="nil"/>
                  </w:tcBorders>
                  <w:shd w:val="clear" w:color="auto" w:fill="auto"/>
                  <w:tcMar>
                    <w:top w:w="120" w:type="dxa"/>
                    <w:left w:w="120" w:type="dxa"/>
                    <w:bottom w:w="120" w:type="dxa"/>
                    <w:right w:w="120" w:type="dxa"/>
                  </w:tcMar>
                  <w:vAlign w:val="center"/>
                </w:tcPr>
                <w:p w14:paraId="5E57258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49.9</w:t>
                  </w:r>
                </w:p>
              </w:tc>
              <w:tc>
                <w:tcPr>
                  <w:tcW w:w="1290" w:type="dxa"/>
                  <w:tcBorders>
                    <w:tl2br w:val="nil"/>
                    <w:tr2bl w:val="nil"/>
                  </w:tcBorders>
                  <w:shd w:val="clear" w:color="auto" w:fill="auto"/>
                  <w:tcMar>
                    <w:top w:w="120" w:type="dxa"/>
                    <w:left w:w="120" w:type="dxa"/>
                    <w:bottom w:w="120" w:type="dxa"/>
                    <w:right w:w="120" w:type="dxa"/>
                  </w:tcMar>
                  <w:vAlign w:val="center"/>
                </w:tcPr>
                <w:p w14:paraId="719AF36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20m</w:t>
                  </w:r>
                </w:p>
              </w:tc>
              <w:tc>
                <w:tcPr>
                  <w:tcW w:w="1136" w:type="dxa"/>
                  <w:tcBorders>
                    <w:tl2br w:val="nil"/>
                    <w:tr2bl w:val="nil"/>
                  </w:tcBorders>
                  <w:shd w:val="clear" w:color="auto" w:fill="auto"/>
                  <w:tcMar>
                    <w:top w:w="120" w:type="dxa"/>
                    <w:left w:w="120" w:type="dxa"/>
                    <w:bottom w:w="120" w:type="dxa"/>
                    <w:right w:w="120" w:type="dxa"/>
                  </w:tcMar>
                  <w:vAlign w:val="center"/>
                </w:tcPr>
                <w:p w14:paraId="5FF6C3E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111</w:t>
                  </w:r>
                  <w:r>
                    <w:rPr>
                      <w:rFonts w:hint="default" w:ascii="Times New Roman" w:hAnsi="Times New Roman" w:eastAsia="D Y 1 + ZID Hj I" w:cs="Times New Roman"/>
                      <w:i w:val="0"/>
                      <w:iCs w:val="0"/>
                      <w:color w:val="000000"/>
                      <w:kern w:val="0"/>
                      <w:sz w:val="21"/>
                      <w:szCs w:val="21"/>
                      <w:highlight w:val="none"/>
                      <w:u w:val="none"/>
                      <w:lang w:val="en-US" w:eastAsia="zh-CN" w:bidi="ar"/>
                    </w:rPr>
                    <w:t>m</w:t>
                  </w:r>
                </w:p>
              </w:tc>
            </w:tr>
            <w:tr w14:paraId="1DE1889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1244" w:type="dxa"/>
                  <w:tcBorders>
                    <w:tl2br w:val="nil"/>
                    <w:tr2bl w:val="nil"/>
                  </w:tcBorders>
                  <w:shd w:val="clear" w:color="auto" w:fill="auto"/>
                  <w:tcMar>
                    <w:top w:w="120" w:type="dxa"/>
                    <w:left w:w="120" w:type="dxa"/>
                    <w:bottom w:w="120" w:type="dxa"/>
                    <w:right w:w="120" w:type="dxa"/>
                  </w:tcMar>
                  <w:vAlign w:val="center"/>
                </w:tcPr>
                <w:p w14:paraId="4A701AE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3套钻机组同时作业</w:t>
                  </w:r>
                </w:p>
              </w:tc>
              <w:tc>
                <w:tcPr>
                  <w:tcW w:w="1290" w:type="dxa"/>
                  <w:tcBorders>
                    <w:tl2br w:val="nil"/>
                    <w:tr2bl w:val="nil"/>
                  </w:tcBorders>
                  <w:shd w:val="clear" w:color="auto" w:fill="auto"/>
                  <w:tcMar>
                    <w:top w:w="120" w:type="dxa"/>
                    <w:left w:w="120" w:type="dxa"/>
                    <w:bottom w:w="120" w:type="dxa"/>
                    <w:right w:w="120" w:type="dxa"/>
                  </w:tcMar>
                  <w:vAlign w:val="center"/>
                </w:tcPr>
                <w:p w14:paraId="3FDAB91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100.7</w:t>
                  </w:r>
                </w:p>
              </w:tc>
              <w:tc>
                <w:tcPr>
                  <w:tcW w:w="810" w:type="dxa"/>
                  <w:tcBorders>
                    <w:tl2br w:val="nil"/>
                    <w:tr2bl w:val="nil"/>
                  </w:tcBorders>
                  <w:shd w:val="clear" w:color="auto" w:fill="auto"/>
                  <w:tcMar>
                    <w:top w:w="120" w:type="dxa"/>
                    <w:left w:w="120" w:type="dxa"/>
                    <w:bottom w:w="120" w:type="dxa"/>
                    <w:right w:w="120" w:type="dxa"/>
                  </w:tcMar>
                  <w:vAlign w:val="center"/>
                </w:tcPr>
                <w:p w14:paraId="5840ECB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71.2</w:t>
                  </w:r>
                </w:p>
              </w:tc>
              <w:tc>
                <w:tcPr>
                  <w:tcW w:w="710" w:type="dxa"/>
                  <w:tcBorders>
                    <w:tl2br w:val="nil"/>
                    <w:tr2bl w:val="nil"/>
                  </w:tcBorders>
                  <w:shd w:val="clear" w:color="auto" w:fill="auto"/>
                  <w:tcMar>
                    <w:top w:w="120" w:type="dxa"/>
                    <w:left w:w="120" w:type="dxa"/>
                    <w:bottom w:w="120" w:type="dxa"/>
                    <w:right w:w="120" w:type="dxa"/>
                  </w:tcMar>
                  <w:vAlign w:val="center"/>
                </w:tcPr>
                <w:p w14:paraId="5E22077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66.7</w:t>
                  </w:r>
                </w:p>
              </w:tc>
              <w:tc>
                <w:tcPr>
                  <w:tcW w:w="835" w:type="dxa"/>
                  <w:tcBorders>
                    <w:tl2br w:val="nil"/>
                    <w:tr2bl w:val="nil"/>
                  </w:tcBorders>
                  <w:shd w:val="clear" w:color="auto" w:fill="auto"/>
                  <w:tcMar>
                    <w:top w:w="120" w:type="dxa"/>
                    <w:left w:w="120" w:type="dxa"/>
                    <w:bottom w:w="120" w:type="dxa"/>
                    <w:right w:w="120" w:type="dxa"/>
                  </w:tcMar>
                  <w:vAlign w:val="center"/>
                </w:tcPr>
                <w:p w14:paraId="5D4A535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60.7</w:t>
                  </w:r>
                </w:p>
              </w:tc>
              <w:tc>
                <w:tcPr>
                  <w:tcW w:w="795" w:type="dxa"/>
                  <w:tcBorders>
                    <w:tl2br w:val="nil"/>
                    <w:tr2bl w:val="nil"/>
                  </w:tcBorders>
                  <w:shd w:val="clear" w:color="auto" w:fill="auto"/>
                  <w:tcMar>
                    <w:top w:w="120" w:type="dxa"/>
                    <w:left w:w="120" w:type="dxa"/>
                    <w:bottom w:w="120" w:type="dxa"/>
                    <w:right w:w="120" w:type="dxa"/>
                  </w:tcMar>
                  <w:vAlign w:val="center"/>
                </w:tcPr>
                <w:p w14:paraId="1102201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54.7</w:t>
                  </w:r>
                </w:p>
              </w:tc>
              <w:tc>
                <w:tcPr>
                  <w:tcW w:w="1290" w:type="dxa"/>
                  <w:tcBorders>
                    <w:tl2br w:val="nil"/>
                    <w:tr2bl w:val="nil"/>
                  </w:tcBorders>
                  <w:shd w:val="clear" w:color="auto" w:fill="auto"/>
                  <w:tcMar>
                    <w:top w:w="120" w:type="dxa"/>
                    <w:left w:w="120" w:type="dxa"/>
                    <w:bottom w:w="120" w:type="dxa"/>
                    <w:right w:w="120" w:type="dxa"/>
                  </w:tcMar>
                  <w:vAlign w:val="center"/>
                </w:tcPr>
                <w:p w14:paraId="7017CD5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34</w:t>
                  </w:r>
                  <w:r>
                    <w:rPr>
                      <w:rFonts w:hint="default" w:ascii="Times New Roman" w:hAnsi="Times New Roman" w:eastAsia="D Y 1 + ZID Hj I" w:cs="Times New Roman"/>
                      <w:i w:val="0"/>
                      <w:iCs w:val="0"/>
                      <w:color w:val="000000"/>
                      <w:kern w:val="0"/>
                      <w:sz w:val="21"/>
                      <w:szCs w:val="21"/>
                      <w:highlight w:val="none"/>
                      <w:u w:val="none"/>
                      <w:lang w:val="en-US" w:eastAsia="zh-CN" w:bidi="ar"/>
                    </w:rPr>
                    <w:t>m</w:t>
                  </w:r>
                </w:p>
              </w:tc>
              <w:tc>
                <w:tcPr>
                  <w:tcW w:w="1136" w:type="dxa"/>
                  <w:tcBorders>
                    <w:tl2br w:val="nil"/>
                    <w:tr2bl w:val="nil"/>
                  </w:tcBorders>
                  <w:shd w:val="clear" w:color="auto" w:fill="auto"/>
                  <w:tcMar>
                    <w:top w:w="120" w:type="dxa"/>
                    <w:left w:w="120" w:type="dxa"/>
                    <w:bottom w:w="120" w:type="dxa"/>
                    <w:right w:w="120" w:type="dxa"/>
                  </w:tcMar>
                  <w:vAlign w:val="center"/>
                </w:tcPr>
                <w:p w14:paraId="349AE7F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193</w:t>
                  </w:r>
                  <w:r>
                    <w:rPr>
                      <w:rFonts w:hint="default" w:ascii="Times New Roman" w:hAnsi="Times New Roman" w:eastAsia="D Y 1 + ZID Hj I" w:cs="Times New Roman"/>
                      <w:i w:val="0"/>
                      <w:iCs w:val="0"/>
                      <w:color w:val="000000"/>
                      <w:kern w:val="0"/>
                      <w:sz w:val="21"/>
                      <w:szCs w:val="21"/>
                      <w:highlight w:val="none"/>
                      <w:u w:val="none"/>
                      <w:lang w:val="en-US" w:eastAsia="zh-CN" w:bidi="ar"/>
                    </w:rPr>
                    <w:t>m</w:t>
                  </w:r>
                </w:p>
              </w:tc>
            </w:tr>
            <w:tr w14:paraId="355BBB2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1244" w:type="dxa"/>
                  <w:tcBorders>
                    <w:tl2br w:val="nil"/>
                    <w:tr2bl w:val="nil"/>
                  </w:tcBorders>
                  <w:shd w:val="clear" w:color="auto" w:fill="auto"/>
                  <w:tcMar>
                    <w:top w:w="120" w:type="dxa"/>
                    <w:left w:w="120" w:type="dxa"/>
                    <w:bottom w:w="120" w:type="dxa"/>
                    <w:right w:w="120" w:type="dxa"/>
                  </w:tcMar>
                  <w:vAlign w:val="center"/>
                </w:tcPr>
                <w:p w14:paraId="4F3F715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注浆站设备群全部同时运行</w:t>
                  </w:r>
                </w:p>
              </w:tc>
              <w:tc>
                <w:tcPr>
                  <w:tcW w:w="1290" w:type="dxa"/>
                  <w:tcBorders>
                    <w:tl2br w:val="nil"/>
                    <w:tr2bl w:val="nil"/>
                  </w:tcBorders>
                  <w:shd w:val="clear" w:color="auto" w:fill="auto"/>
                  <w:tcMar>
                    <w:top w:w="120" w:type="dxa"/>
                    <w:left w:w="120" w:type="dxa"/>
                    <w:bottom w:w="120" w:type="dxa"/>
                    <w:right w:w="120" w:type="dxa"/>
                  </w:tcMar>
                  <w:vAlign w:val="center"/>
                </w:tcPr>
                <w:p w14:paraId="4682E30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99.8</w:t>
                  </w:r>
                </w:p>
              </w:tc>
              <w:tc>
                <w:tcPr>
                  <w:tcW w:w="810" w:type="dxa"/>
                  <w:tcBorders>
                    <w:tl2br w:val="nil"/>
                    <w:tr2bl w:val="nil"/>
                  </w:tcBorders>
                  <w:shd w:val="clear" w:color="auto" w:fill="auto"/>
                  <w:tcMar>
                    <w:top w:w="120" w:type="dxa"/>
                    <w:left w:w="120" w:type="dxa"/>
                    <w:bottom w:w="120" w:type="dxa"/>
                    <w:right w:w="120" w:type="dxa"/>
                  </w:tcMar>
                  <w:vAlign w:val="center"/>
                </w:tcPr>
                <w:p w14:paraId="1C6C487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70.3</w:t>
                  </w:r>
                </w:p>
              </w:tc>
              <w:tc>
                <w:tcPr>
                  <w:tcW w:w="710" w:type="dxa"/>
                  <w:tcBorders>
                    <w:tl2br w:val="nil"/>
                    <w:tr2bl w:val="nil"/>
                  </w:tcBorders>
                  <w:shd w:val="clear" w:color="auto" w:fill="auto"/>
                  <w:tcMar>
                    <w:top w:w="120" w:type="dxa"/>
                    <w:left w:w="120" w:type="dxa"/>
                    <w:bottom w:w="120" w:type="dxa"/>
                    <w:right w:w="120" w:type="dxa"/>
                  </w:tcMar>
                  <w:vAlign w:val="center"/>
                </w:tcPr>
                <w:p w14:paraId="1285ECC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65.8</w:t>
                  </w:r>
                </w:p>
              </w:tc>
              <w:tc>
                <w:tcPr>
                  <w:tcW w:w="835" w:type="dxa"/>
                  <w:tcBorders>
                    <w:tl2br w:val="nil"/>
                    <w:tr2bl w:val="nil"/>
                  </w:tcBorders>
                  <w:shd w:val="clear" w:color="auto" w:fill="auto"/>
                  <w:tcMar>
                    <w:top w:w="120" w:type="dxa"/>
                    <w:left w:w="120" w:type="dxa"/>
                    <w:bottom w:w="120" w:type="dxa"/>
                    <w:right w:w="120" w:type="dxa"/>
                  </w:tcMar>
                  <w:vAlign w:val="center"/>
                </w:tcPr>
                <w:p w14:paraId="6CF3E05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59.8</w:t>
                  </w:r>
                </w:p>
              </w:tc>
              <w:tc>
                <w:tcPr>
                  <w:tcW w:w="795" w:type="dxa"/>
                  <w:tcBorders>
                    <w:tl2br w:val="nil"/>
                    <w:tr2bl w:val="nil"/>
                  </w:tcBorders>
                  <w:shd w:val="clear" w:color="auto" w:fill="auto"/>
                  <w:tcMar>
                    <w:top w:w="120" w:type="dxa"/>
                    <w:left w:w="120" w:type="dxa"/>
                    <w:bottom w:w="120" w:type="dxa"/>
                    <w:right w:w="120" w:type="dxa"/>
                  </w:tcMar>
                  <w:vAlign w:val="center"/>
                </w:tcPr>
                <w:p w14:paraId="32B3885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53.8</w:t>
                  </w:r>
                </w:p>
              </w:tc>
              <w:tc>
                <w:tcPr>
                  <w:tcW w:w="1290" w:type="dxa"/>
                  <w:tcBorders>
                    <w:tl2br w:val="nil"/>
                    <w:tr2bl w:val="nil"/>
                  </w:tcBorders>
                  <w:shd w:val="clear" w:color="auto" w:fill="auto"/>
                  <w:tcMar>
                    <w:top w:w="120" w:type="dxa"/>
                    <w:left w:w="120" w:type="dxa"/>
                    <w:bottom w:w="120" w:type="dxa"/>
                    <w:right w:w="120" w:type="dxa"/>
                  </w:tcMar>
                  <w:vAlign w:val="center"/>
                </w:tcPr>
                <w:p w14:paraId="68D87AF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31</w:t>
                  </w:r>
                  <w:r>
                    <w:rPr>
                      <w:rFonts w:hint="default" w:ascii="Times New Roman" w:hAnsi="Times New Roman" w:eastAsia="D Y 1 + ZID Hj I" w:cs="Times New Roman"/>
                      <w:i w:val="0"/>
                      <w:iCs w:val="0"/>
                      <w:color w:val="000000"/>
                      <w:kern w:val="0"/>
                      <w:sz w:val="21"/>
                      <w:szCs w:val="21"/>
                      <w:highlight w:val="none"/>
                      <w:u w:val="none"/>
                      <w:lang w:val="en-US" w:eastAsia="zh-CN" w:bidi="ar"/>
                    </w:rPr>
                    <w:t>m</w:t>
                  </w:r>
                </w:p>
              </w:tc>
              <w:tc>
                <w:tcPr>
                  <w:tcW w:w="1136" w:type="dxa"/>
                  <w:tcBorders>
                    <w:tl2br w:val="nil"/>
                    <w:tr2bl w:val="nil"/>
                  </w:tcBorders>
                  <w:shd w:val="clear" w:color="auto" w:fill="auto"/>
                  <w:tcMar>
                    <w:top w:w="120" w:type="dxa"/>
                    <w:left w:w="120" w:type="dxa"/>
                    <w:bottom w:w="120" w:type="dxa"/>
                    <w:right w:w="120" w:type="dxa"/>
                  </w:tcMar>
                  <w:vAlign w:val="center"/>
                </w:tcPr>
                <w:p w14:paraId="42E9DB2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eastAsia" w:eastAsia="D Y 1 + ZID Hj I" w:cs="Times New Roman"/>
                      <w:i w:val="0"/>
                      <w:iCs w:val="0"/>
                      <w:color w:val="000000"/>
                      <w:kern w:val="0"/>
                      <w:sz w:val="21"/>
                      <w:szCs w:val="21"/>
                      <w:highlight w:val="none"/>
                      <w:u w:val="none"/>
                      <w:lang w:val="en-US" w:eastAsia="zh-CN" w:bidi="ar"/>
                    </w:rPr>
                    <w:t>174</w:t>
                  </w:r>
                  <w:r>
                    <w:rPr>
                      <w:rFonts w:hint="default" w:ascii="Times New Roman" w:hAnsi="Times New Roman" w:eastAsia="D Y 1 + ZID Hj I" w:cs="Times New Roman"/>
                      <w:i w:val="0"/>
                      <w:iCs w:val="0"/>
                      <w:color w:val="000000"/>
                      <w:kern w:val="0"/>
                      <w:sz w:val="21"/>
                      <w:szCs w:val="21"/>
                      <w:highlight w:val="none"/>
                      <w:u w:val="none"/>
                      <w:lang w:val="en-US" w:eastAsia="zh-CN" w:bidi="ar"/>
                    </w:rPr>
                    <w:t>m</w:t>
                  </w:r>
                </w:p>
              </w:tc>
            </w:tr>
          </w:tbl>
          <w:p w14:paraId="39751CD2">
            <w:pPr>
              <w:pStyle w:val="26"/>
              <w:keepNext w:val="0"/>
              <w:keepLines w:val="0"/>
              <w:widowControl/>
              <w:suppressLineNumbers w:val="0"/>
              <w:shd w:val="clear" w:fill="FFFFFF"/>
              <w:spacing w:before="240" w:beforeAutospacing="0" w:after="240" w:afterAutospacing="0" w:line="360" w:lineRule="auto"/>
              <w:ind w:left="0" w:right="0" w:firstLine="480" w:firstLineChars="200"/>
              <w:rPr>
                <w:rFonts w:hint="default" w:ascii="Times New Roman" w:hAnsi="Times New Roman" w:eastAsia="宋体" w:cs="Times New Roman"/>
                <w:highlight w:val="none"/>
                <w:lang w:val="en-US"/>
              </w:rPr>
            </w:pPr>
            <w:r>
              <w:rPr>
                <w:rFonts w:hint="default" w:ascii="Times New Roman" w:hAnsi="Times New Roman" w:eastAsia="宋体" w:cs="Times New Roman"/>
                <w:kern w:val="0"/>
                <w:sz w:val="24"/>
                <w:szCs w:val="24"/>
                <w:highlight w:val="none"/>
                <w:lang w:val="en-US" w:eastAsia="zh-CN" w:bidi="ar-SA"/>
              </w:rPr>
              <w:t>根据表3-5声环境保护目标一览表，本项目声环境保护目标包括居民点A、居民点B、宋郢孜、大庄村等居民区，执行《声环境质量标准》（GB3096-2008）中2类标准（昼间60dB(A)、夜间50dB(A)）。各声环境保护目标与井场最近距离及影响分析如</w:t>
            </w:r>
            <w:r>
              <w:rPr>
                <w:rFonts w:hint="eastAsia" w:ascii="Times New Roman" w:hAnsi="Times New Roman" w:cs="Times New Roman"/>
                <w:kern w:val="0"/>
                <w:sz w:val="24"/>
                <w:szCs w:val="24"/>
                <w:highlight w:val="none"/>
                <w:lang w:val="en-US" w:eastAsia="zh-CN" w:bidi="ar-SA"/>
              </w:rPr>
              <w:t>下：</w:t>
            </w:r>
          </w:p>
          <w:p w14:paraId="19A99D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黑体" w:cs="Times New Roman"/>
                <w:highlight w:val="none"/>
                <w:lang w:val="en-US" w:eastAsia="zh-CN"/>
              </w:rPr>
            </w:pPr>
            <w:r>
              <w:rPr>
                <w:rFonts w:ascii="Times New Roman" w:hAnsi="Times New Roman" w:eastAsia="黑体" w:cs="Times New Roman"/>
                <w:highlight w:val="none"/>
              </w:rPr>
              <w:t>表</w:t>
            </w:r>
            <w:r>
              <w:rPr>
                <w:rFonts w:hint="eastAsia" w:eastAsia="黑体" w:cs="Times New Roman"/>
                <w:highlight w:val="none"/>
                <w:lang w:val="en-US" w:eastAsia="zh-CN"/>
              </w:rPr>
              <w:t>4-</w:t>
            </w:r>
            <w:r>
              <w:rPr>
                <w:rFonts w:hint="eastAsia" w:ascii="Times New Roman" w:hAnsi="Times New Roman" w:eastAsia="黑体" w:cs="Times New Roman"/>
                <w:highlight w:val="none"/>
                <w:lang w:val="en-US" w:eastAsia="zh-CN"/>
              </w:rPr>
              <w:t>5</w:t>
            </w:r>
            <w:r>
              <w:rPr>
                <w:rFonts w:ascii="Times New Roman" w:hAnsi="Times New Roman" w:eastAsia="黑体" w:cs="Times New Roman"/>
                <w:highlight w:val="none"/>
              </w:rPr>
              <w:t xml:space="preserve"> </w:t>
            </w:r>
            <w:r>
              <w:rPr>
                <w:rFonts w:hint="eastAsia" w:ascii="Times New Roman" w:hAnsi="Times New Roman" w:eastAsia="黑体" w:cs="Times New Roman"/>
                <w:highlight w:val="none"/>
                <w:lang w:val="en-US" w:eastAsia="zh-CN"/>
              </w:rPr>
              <w:t xml:space="preserve"> </w:t>
            </w:r>
            <w:r>
              <w:rPr>
                <w:rFonts w:ascii="Times New Roman" w:hAnsi="Times New Roman" w:eastAsia="黑体" w:cs="Times New Roman"/>
                <w:highlight w:val="none"/>
              </w:rPr>
              <w:t>各声环境保护目标与井场最近距离及影响分析标距离</w:t>
            </w:r>
          </w:p>
          <w:tbl>
            <w:tblPr>
              <w:tblStyle w:val="29"/>
              <w:tblW w:w="8110"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Layout w:type="fixed"/>
              <w:tblCellMar>
                <w:top w:w="15" w:type="dxa"/>
                <w:left w:w="15" w:type="dxa"/>
                <w:bottom w:w="15" w:type="dxa"/>
                <w:right w:w="15" w:type="dxa"/>
              </w:tblCellMar>
            </w:tblPr>
            <w:tblGrid>
              <w:gridCol w:w="599"/>
              <w:gridCol w:w="825"/>
              <w:gridCol w:w="765"/>
              <w:gridCol w:w="1020"/>
              <w:gridCol w:w="690"/>
              <w:gridCol w:w="825"/>
              <w:gridCol w:w="960"/>
              <w:gridCol w:w="2426"/>
            </w:tblGrid>
            <w:tr w14:paraId="6C09E8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blHeader/>
                <w:jc w:val="center"/>
              </w:trPr>
              <w:tc>
                <w:tcPr>
                  <w:tcW w:w="599" w:type="dxa"/>
                  <w:tcBorders>
                    <w:tl2br w:val="nil"/>
                    <w:tr2bl w:val="nil"/>
                  </w:tcBorders>
                  <w:shd w:val="clear" w:color="auto" w:fill="auto"/>
                  <w:tcMar>
                    <w:top w:w="120" w:type="dxa"/>
                    <w:left w:w="120" w:type="dxa"/>
                    <w:bottom w:w="120" w:type="dxa"/>
                    <w:right w:w="120" w:type="dxa"/>
                  </w:tcMar>
                  <w:vAlign w:val="center"/>
                </w:tcPr>
                <w:p w14:paraId="4AAEBE2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序号</w:t>
                  </w:r>
                </w:p>
              </w:tc>
              <w:tc>
                <w:tcPr>
                  <w:tcW w:w="825" w:type="dxa"/>
                  <w:tcBorders>
                    <w:tl2br w:val="nil"/>
                    <w:tr2bl w:val="nil"/>
                  </w:tcBorders>
                  <w:shd w:val="clear" w:color="auto" w:fill="auto"/>
                  <w:tcMar>
                    <w:top w:w="120" w:type="dxa"/>
                    <w:left w:w="120" w:type="dxa"/>
                    <w:bottom w:w="120" w:type="dxa"/>
                    <w:right w:w="120" w:type="dxa"/>
                  </w:tcMar>
                  <w:vAlign w:val="center"/>
                </w:tcPr>
                <w:p w14:paraId="0F01497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所属井场</w:t>
                  </w:r>
                </w:p>
              </w:tc>
              <w:tc>
                <w:tcPr>
                  <w:tcW w:w="765" w:type="dxa"/>
                  <w:tcBorders>
                    <w:tl2br w:val="nil"/>
                    <w:tr2bl w:val="nil"/>
                  </w:tcBorders>
                  <w:shd w:val="clear" w:color="auto" w:fill="auto"/>
                  <w:tcMar>
                    <w:top w:w="120" w:type="dxa"/>
                    <w:left w:w="120" w:type="dxa"/>
                    <w:bottom w:w="120" w:type="dxa"/>
                    <w:right w:w="120" w:type="dxa"/>
                  </w:tcMar>
                  <w:vAlign w:val="center"/>
                </w:tcPr>
                <w:p w14:paraId="67A6559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保护目标</w:t>
                  </w:r>
                </w:p>
              </w:tc>
              <w:tc>
                <w:tcPr>
                  <w:tcW w:w="1020" w:type="dxa"/>
                  <w:tcBorders>
                    <w:tl2br w:val="nil"/>
                    <w:tr2bl w:val="nil"/>
                  </w:tcBorders>
                  <w:shd w:val="clear" w:color="auto" w:fill="auto"/>
                  <w:tcMar>
                    <w:top w:w="120" w:type="dxa"/>
                    <w:left w:w="120" w:type="dxa"/>
                    <w:bottom w:w="120" w:type="dxa"/>
                    <w:right w:w="120" w:type="dxa"/>
                  </w:tcMar>
                  <w:vAlign w:val="center"/>
                </w:tcPr>
                <w:p w14:paraId="35F3CDC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规模</w:t>
                  </w:r>
                </w:p>
              </w:tc>
              <w:tc>
                <w:tcPr>
                  <w:tcW w:w="690" w:type="dxa"/>
                  <w:tcBorders>
                    <w:tl2br w:val="nil"/>
                    <w:tr2bl w:val="nil"/>
                  </w:tcBorders>
                  <w:shd w:val="clear" w:color="auto" w:fill="auto"/>
                  <w:tcMar>
                    <w:top w:w="120" w:type="dxa"/>
                    <w:left w:w="120" w:type="dxa"/>
                    <w:bottom w:w="120" w:type="dxa"/>
                    <w:right w:w="120" w:type="dxa"/>
                  </w:tcMar>
                  <w:vAlign w:val="center"/>
                </w:tcPr>
                <w:p w14:paraId="7C9F257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方位</w:t>
                  </w:r>
                </w:p>
              </w:tc>
              <w:tc>
                <w:tcPr>
                  <w:tcW w:w="825" w:type="dxa"/>
                  <w:tcBorders>
                    <w:tl2br w:val="nil"/>
                    <w:tr2bl w:val="nil"/>
                  </w:tcBorders>
                  <w:shd w:val="clear" w:color="auto" w:fill="auto"/>
                  <w:tcMar>
                    <w:top w:w="120" w:type="dxa"/>
                    <w:left w:w="120" w:type="dxa"/>
                    <w:bottom w:w="120" w:type="dxa"/>
                    <w:right w:w="120" w:type="dxa"/>
                  </w:tcMar>
                  <w:vAlign w:val="center"/>
                </w:tcPr>
                <w:p w14:paraId="22046E2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最近距离(m)</w:t>
                  </w:r>
                </w:p>
              </w:tc>
              <w:tc>
                <w:tcPr>
                  <w:tcW w:w="960" w:type="dxa"/>
                  <w:tcBorders>
                    <w:tl2br w:val="nil"/>
                    <w:tr2bl w:val="nil"/>
                  </w:tcBorders>
                  <w:shd w:val="clear" w:color="auto" w:fill="auto"/>
                  <w:tcMar>
                    <w:top w:w="120" w:type="dxa"/>
                    <w:left w:w="120" w:type="dxa"/>
                    <w:bottom w:w="120" w:type="dxa"/>
                    <w:right w:w="120" w:type="dxa"/>
                  </w:tcMar>
                  <w:vAlign w:val="center"/>
                </w:tcPr>
                <w:p w14:paraId="3DC088E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昼间影响分析</w:t>
                  </w:r>
                </w:p>
              </w:tc>
              <w:tc>
                <w:tcPr>
                  <w:tcW w:w="2426" w:type="dxa"/>
                  <w:tcBorders>
                    <w:tl2br w:val="nil"/>
                    <w:tr2bl w:val="nil"/>
                  </w:tcBorders>
                  <w:shd w:val="clear" w:color="auto" w:fill="auto"/>
                  <w:tcMar>
                    <w:top w:w="120" w:type="dxa"/>
                    <w:left w:w="120" w:type="dxa"/>
                    <w:bottom w:w="120" w:type="dxa"/>
                    <w:right w:w="120" w:type="dxa"/>
                  </w:tcMar>
                  <w:vAlign w:val="center"/>
                </w:tcPr>
                <w:p w14:paraId="7DAD754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夜间影响分析</w:t>
                  </w:r>
                </w:p>
              </w:tc>
            </w:tr>
            <w:tr w14:paraId="00E6B7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599" w:type="dxa"/>
                  <w:tcBorders>
                    <w:tl2br w:val="nil"/>
                    <w:tr2bl w:val="nil"/>
                  </w:tcBorders>
                  <w:shd w:val="clear" w:color="auto" w:fill="auto"/>
                  <w:tcMar>
                    <w:top w:w="120" w:type="dxa"/>
                    <w:left w:w="120" w:type="dxa"/>
                    <w:bottom w:w="120" w:type="dxa"/>
                    <w:right w:w="120" w:type="dxa"/>
                  </w:tcMar>
                  <w:vAlign w:val="center"/>
                </w:tcPr>
                <w:p w14:paraId="7A55FC4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1</w:t>
                  </w:r>
                </w:p>
              </w:tc>
              <w:tc>
                <w:tcPr>
                  <w:tcW w:w="825" w:type="dxa"/>
                  <w:tcBorders>
                    <w:tl2br w:val="nil"/>
                    <w:tr2bl w:val="nil"/>
                  </w:tcBorders>
                  <w:shd w:val="clear" w:color="auto" w:fill="auto"/>
                  <w:tcMar>
                    <w:top w:w="120" w:type="dxa"/>
                    <w:left w:w="120" w:type="dxa"/>
                    <w:bottom w:w="120" w:type="dxa"/>
                    <w:right w:w="120" w:type="dxa"/>
                  </w:tcMar>
                  <w:vAlign w:val="center"/>
                </w:tcPr>
                <w:p w14:paraId="3CEF616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钻孔1</w:t>
                  </w:r>
                </w:p>
              </w:tc>
              <w:tc>
                <w:tcPr>
                  <w:tcW w:w="765" w:type="dxa"/>
                  <w:tcBorders>
                    <w:tl2br w:val="nil"/>
                    <w:tr2bl w:val="nil"/>
                  </w:tcBorders>
                  <w:shd w:val="clear" w:color="auto" w:fill="auto"/>
                  <w:tcMar>
                    <w:top w:w="120" w:type="dxa"/>
                    <w:left w:w="120" w:type="dxa"/>
                    <w:bottom w:w="120" w:type="dxa"/>
                    <w:right w:w="120" w:type="dxa"/>
                  </w:tcMar>
                  <w:vAlign w:val="center"/>
                </w:tcPr>
                <w:p w14:paraId="6106813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居民点A</w:t>
                  </w:r>
                </w:p>
              </w:tc>
              <w:tc>
                <w:tcPr>
                  <w:tcW w:w="1020" w:type="dxa"/>
                  <w:tcBorders>
                    <w:tl2br w:val="nil"/>
                    <w:tr2bl w:val="nil"/>
                  </w:tcBorders>
                  <w:shd w:val="clear" w:color="auto" w:fill="auto"/>
                  <w:tcMar>
                    <w:top w:w="120" w:type="dxa"/>
                    <w:left w:w="120" w:type="dxa"/>
                    <w:bottom w:w="120" w:type="dxa"/>
                    <w:right w:w="120" w:type="dxa"/>
                  </w:tcMar>
                  <w:vAlign w:val="center"/>
                </w:tcPr>
                <w:p w14:paraId="359EDD2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约1户，4人</w:t>
                  </w:r>
                </w:p>
              </w:tc>
              <w:tc>
                <w:tcPr>
                  <w:tcW w:w="690" w:type="dxa"/>
                  <w:tcBorders>
                    <w:tl2br w:val="nil"/>
                    <w:tr2bl w:val="nil"/>
                  </w:tcBorders>
                  <w:shd w:val="clear" w:color="auto" w:fill="auto"/>
                  <w:tcMar>
                    <w:top w:w="120" w:type="dxa"/>
                    <w:left w:w="120" w:type="dxa"/>
                    <w:bottom w:w="120" w:type="dxa"/>
                    <w:right w:w="120" w:type="dxa"/>
                  </w:tcMar>
                  <w:vAlign w:val="center"/>
                </w:tcPr>
                <w:p w14:paraId="4181640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SW</w:t>
                  </w:r>
                </w:p>
              </w:tc>
              <w:tc>
                <w:tcPr>
                  <w:tcW w:w="825" w:type="dxa"/>
                  <w:tcBorders>
                    <w:tl2br w:val="nil"/>
                    <w:tr2bl w:val="nil"/>
                  </w:tcBorders>
                  <w:shd w:val="clear" w:color="auto" w:fill="auto"/>
                  <w:tcMar>
                    <w:top w:w="120" w:type="dxa"/>
                    <w:left w:w="120" w:type="dxa"/>
                    <w:bottom w:w="120" w:type="dxa"/>
                    <w:right w:w="120" w:type="dxa"/>
                  </w:tcMar>
                  <w:vAlign w:val="center"/>
                </w:tcPr>
                <w:p w14:paraId="048A66D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162</w:t>
                  </w:r>
                </w:p>
              </w:tc>
              <w:tc>
                <w:tcPr>
                  <w:tcW w:w="960" w:type="dxa"/>
                  <w:tcBorders>
                    <w:tl2br w:val="nil"/>
                    <w:tr2bl w:val="nil"/>
                  </w:tcBorders>
                  <w:shd w:val="clear" w:color="auto" w:fill="auto"/>
                  <w:tcMar>
                    <w:top w:w="120" w:type="dxa"/>
                    <w:left w:w="120" w:type="dxa"/>
                    <w:bottom w:w="120" w:type="dxa"/>
                    <w:right w:w="120" w:type="dxa"/>
                  </w:tcMar>
                  <w:vAlign w:val="center"/>
                </w:tcPr>
                <w:p w14:paraId="6B1F4A7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达标</w:t>
                  </w:r>
                </w:p>
              </w:tc>
              <w:tc>
                <w:tcPr>
                  <w:tcW w:w="2426" w:type="dxa"/>
                  <w:tcBorders>
                    <w:tl2br w:val="nil"/>
                    <w:tr2bl w:val="nil"/>
                  </w:tcBorders>
                  <w:shd w:val="clear" w:color="auto" w:fill="auto"/>
                  <w:tcMar>
                    <w:top w:w="120" w:type="dxa"/>
                    <w:left w:w="120" w:type="dxa"/>
                    <w:bottom w:w="120" w:type="dxa"/>
                    <w:right w:w="120" w:type="dxa"/>
                  </w:tcMar>
                  <w:vAlign w:val="center"/>
                </w:tcPr>
                <w:p w14:paraId="6589389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超标（3套钻机夜间达标距离 193m）</w:t>
                  </w:r>
                </w:p>
              </w:tc>
            </w:tr>
            <w:tr w14:paraId="72EEA69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599" w:type="dxa"/>
                  <w:tcBorders>
                    <w:tl2br w:val="nil"/>
                    <w:tr2bl w:val="nil"/>
                  </w:tcBorders>
                  <w:shd w:val="clear" w:color="auto" w:fill="auto"/>
                  <w:tcMar>
                    <w:top w:w="120" w:type="dxa"/>
                    <w:left w:w="120" w:type="dxa"/>
                    <w:bottom w:w="120" w:type="dxa"/>
                    <w:right w:w="120" w:type="dxa"/>
                  </w:tcMar>
                  <w:vAlign w:val="center"/>
                </w:tcPr>
                <w:p w14:paraId="43937B3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2</w:t>
                  </w:r>
                </w:p>
              </w:tc>
              <w:tc>
                <w:tcPr>
                  <w:tcW w:w="825" w:type="dxa"/>
                  <w:tcBorders>
                    <w:tl2br w:val="nil"/>
                    <w:tr2bl w:val="nil"/>
                  </w:tcBorders>
                  <w:shd w:val="clear" w:color="auto" w:fill="auto"/>
                  <w:tcMar>
                    <w:top w:w="120" w:type="dxa"/>
                    <w:left w:w="120" w:type="dxa"/>
                    <w:bottom w:w="120" w:type="dxa"/>
                    <w:right w:w="120" w:type="dxa"/>
                  </w:tcMar>
                  <w:vAlign w:val="center"/>
                </w:tcPr>
                <w:p w14:paraId="644DE8C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钻孔2</w:t>
                  </w:r>
                </w:p>
              </w:tc>
              <w:tc>
                <w:tcPr>
                  <w:tcW w:w="765" w:type="dxa"/>
                  <w:tcBorders>
                    <w:tl2br w:val="nil"/>
                    <w:tr2bl w:val="nil"/>
                  </w:tcBorders>
                  <w:shd w:val="clear" w:color="auto" w:fill="auto"/>
                  <w:tcMar>
                    <w:top w:w="120" w:type="dxa"/>
                    <w:left w:w="120" w:type="dxa"/>
                    <w:bottom w:w="120" w:type="dxa"/>
                    <w:right w:w="120" w:type="dxa"/>
                  </w:tcMar>
                  <w:vAlign w:val="center"/>
                </w:tcPr>
                <w:p w14:paraId="14B1EDD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居民点A</w:t>
                  </w:r>
                </w:p>
              </w:tc>
              <w:tc>
                <w:tcPr>
                  <w:tcW w:w="1020" w:type="dxa"/>
                  <w:tcBorders>
                    <w:tl2br w:val="nil"/>
                    <w:tr2bl w:val="nil"/>
                  </w:tcBorders>
                  <w:shd w:val="clear" w:color="auto" w:fill="auto"/>
                  <w:tcMar>
                    <w:top w:w="120" w:type="dxa"/>
                    <w:left w:w="120" w:type="dxa"/>
                    <w:bottom w:w="120" w:type="dxa"/>
                    <w:right w:w="120" w:type="dxa"/>
                  </w:tcMar>
                  <w:vAlign w:val="center"/>
                </w:tcPr>
                <w:p w14:paraId="7D1F8F6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约1户，4人</w:t>
                  </w:r>
                </w:p>
              </w:tc>
              <w:tc>
                <w:tcPr>
                  <w:tcW w:w="690" w:type="dxa"/>
                  <w:tcBorders>
                    <w:tl2br w:val="nil"/>
                    <w:tr2bl w:val="nil"/>
                  </w:tcBorders>
                  <w:shd w:val="clear" w:color="auto" w:fill="auto"/>
                  <w:tcMar>
                    <w:top w:w="120" w:type="dxa"/>
                    <w:left w:w="120" w:type="dxa"/>
                    <w:bottom w:w="120" w:type="dxa"/>
                    <w:right w:w="120" w:type="dxa"/>
                  </w:tcMar>
                  <w:vAlign w:val="center"/>
                </w:tcPr>
                <w:p w14:paraId="074EAF9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SW</w:t>
                  </w:r>
                </w:p>
              </w:tc>
              <w:tc>
                <w:tcPr>
                  <w:tcW w:w="825" w:type="dxa"/>
                  <w:tcBorders>
                    <w:tl2br w:val="nil"/>
                    <w:tr2bl w:val="nil"/>
                  </w:tcBorders>
                  <w:shd w:val="clear" w:color="auto" w:fill="auto"/>
                  <w:tcMar>
                    <w:top w:w="120" w:type="dxa"/>
                    <w:left w:w="120" w:type="dxa"/>
                    <w:bottom w:w="120" w:type="dxa"/>
                    <w:right w:w="120" w:type="dxa"/>
                  </w:tcMar>
                  <w:vAlign w:val="center"/>
                </w:tcPr>
                <w:p w14:paraId="1CB82B6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252</w:t>
                  </w:r>
                </w:p>
              </w:tc>
              <w:tc>
                <w:tcPr>
                  <w:tcW w:w="960" w:type="dxa"/>
                  <w:tcBorders>
                    <w:tl2br w:val="nil"/>
                    <w:tr2bl w:val="nil"/>
                  </w:tcBorders>
                  <w:shd w:val="clear" w:color="auto" w:fill="auto"/>
                  <w:tcMar>
                    <w:top w:w="120" w:type="dxa"/>
                    <w:left w:w="120" w:type="dxa"/>
                    <w:bottom w:w="120" w:type="dxa"/>
                    <w:right w:w="120" w:type="dxa"/>
                  </w:tcMar>
                  <w:vAlign w:val="center"/>
                </w:tcPr>
                <w:p w14:paraId="4D7EF11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达标</w:t>
                  </w:r>
                </w:p>
              </w:tc>
              <w:tc>
                <w:tcPr>
                  <w:tcW w:w="2426" w:type="dxa"/>
                  <w:tcBorders>
                    <w:tl2br w:val="nil"/>
                    <w:tr2bl w:val="nil"/>
                  </w:tcBorders>
                  <w:shd w:val="clear" w:color="auto" w:fill="auto"/>
                  <w:tcMar>
                    <w:top w:w="120" w:type="dxa"/>
                    <w:left w:w="120" w:type="dxa"/>
                    <w:bottom w:w="120" w:type="dxa"/>
                    <w:right w:w="120" w:type="dxa"/>
                  </w:tcMar>
                  <w:vAlign w:val="center"/>
                </w:tcPr>
                <w:p w14:paraId="377FDB9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达标（单套钻机夜间达标111m，但3套钻机193m，252m达标）</w:t>
                  </w:r>
                </w:p>
              </w:tc>
            </w:tr>
            <w:tr w14:paraId="31A7557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599" w:type="dxa"/>
                  <w:tcBorders>
                    <w:tl2br w:val="nil"/>
                    <w:tr2bl w:val="nil"/>
                  </w:tcBorders>
                  <w:shd w:val="clear" w:color="auto" w:fill="auto"/>
                  <w:tcMar>
                    <w:top w:w="120" w:type="dxa"/>
                    <w:left w:w="120" w:type="dxa"/>
                    <w:bottom w:w="120" w:type="dxa"/>
                    <w:right w:w="120" w:type="dxa"/>
                  </w:tcMar>
                  <w:vAlign w:val="center"/>
                </w:tcPr>
                <w:p w14:paraId="5B092CC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w:t>
                  </w:r>
                </w:p>
              </w:tc>
              <w:tc>
                <w:tcPr>
                  <w:tcW w:w="825" w:type="dxa"/>
                  <w:tcBorders>
                    <w:tl2br w:val="nil"/>
                    <w:tr2bl w:val="nil"/>
                  </w:tcBorders>
                  <w:shd w:val="clear" w:color="auto" w:fill="auto"/>
                  <w:tcMar>
                    <w:top w:w="120" w:type="dxa"/>
                    <w:left w:w="120" w:type="dxa"/>
                    <w:bottom w:w="120" w:type="dxa"/>
                    <w:right w:w="120" w:type="dxa"/>
                  </w:tcMar>
                  <w:vAlign w:val="center"/>
                </w:tcPr>
                <w:p w14:paraId="0BCA372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钻孔3</w:t>
                  </w:r>
                </w:p>
              </w:tc>
              <w:tc>
                <w:tcPr>
                  <w:tcW w:w="765" w:type="dxa"/>
                  <w:tcBorders>
                    <w:tl2br w:val="nil"/>
                    <w:tr2bl w:val="nil"/>
                  </w:tcBorders>
                  <w:shd w:val="clear" w:color="auto" w:fill="auto"/>
                  <w:tcMar>
                    <w:top w:w="120" w:type="dxa"/>
                    <w:left w:w="120" w:type="dxa"/>
                    <w:bottom w:w="120" w:type="dxa"/>
                    <w:right w:w="120" w:type="dxa"/>
                  </w:tcMar>
                  <w:vAlign w:val="center"/>
                </w:tcPr>
                <w:p w14:paraId="2652B53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居民点A</w:t>
                  </w:r>
                </w:p>
              </w:tc>
              <w:tc>
                <w:tcPr>
                  <w:tcW w:w="1020" w:type="dxa"/>
                  <w:tcBorders>
                    <w:tl2br w:val="nil"/>
                    <w:tr2bl w:val="nil"/>
                  </w:tcBorders>
                  <w:shd w:val="clear" w:color="auto" w:fill="auto"/>
                  <w:tcMar>
                    <w:top w:w="120" w:type="dxa"/>
                    <w:left w:w="120" w:type="dxa"/>
                    <w:bottom w:w="120" w:type="dxa"/>
                    <w:right w:w="120" w:type="dxa"/>
                  </w:tcMar>
                  <w:vAlign w:val="center"/>
                </w:tcPr>
                <w:p w14:paraId="1B21C20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约1户，4人</w:t>
                  </w:r>
                </w:p>
              </w:tc>
              <w:tc>
                <w:tcPr>
                  <w:tcW w:w="690" w:type="dxa"/>
                  <w:tcBorders>
                    <w:tl2br w:val="nil"/>
                    <w:tr2bl w:val="nil"/>
                  </w:tcBorders>
                  <w:shd w:val="clear" w:color="auto" w:fill="auto"/>
                  <w:tcMar>
                    <w:top w:w="120" w:type="dxa"/>
                    <w:left w:w="120" w:type="dxa"/>
                    <w:bottom w:w="120" w:type="dxa"/>
                    <w:right w:w="120" w:type="dxa"/>
                  </w:tcMar>
                  <w:vAlign w:val="center"/>
                </w:tcPr>
                <w:p w14:paraId="4DB396D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SE</w:t>
                  </w:r>
                </w:p>
              </w:tc>
              <w:tc>
                <w:tcPr>
                  <w:tcW w:w="825" w:type="dxa"/>
                  <w:tcBorders>
                    <w:tl2br w:val="nil"/>
                    <w:tr2bl w:val="nil"/>
                  </w:tcBorders>
                  <w:shd w:val="clear" w:color="auto" w:fill="auto"/>
                  <w:tcMar>
                    <w:top w:w="120" w:type="dxa"/>
                    <w:left w:w="120" w:type="dxa"/>
                    <w:bottom w:w="120" w:type="dxa"/>
                    <w:right w:w="120" w:type="dxa"/>
                  </w:tcMar>
                  <w:vAlign w:val="center"/>
                </w:tcPr>
                <w:p w14:paraId="502B4EF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251</w:t>
                  </w:r>
                </w:p>
              </w:tc>
              <w:tc>
                <w:tcPr>
                  <w:tcW w:w="960" w:type="dxa"/>
                  <w:tcBorders>
                    <w:tl2br w:val="nil"/>
                    <w:tr2bl w:val="nil"/>
                  </w:tcBorders>
                  <w:shd w:val="clear" w:color="auto" w:fill="auto"/>
                  <w:tcMar>
                    <w:top w:w="120" w:type="dxa"/>
                    <w:left w:w="120" w:type="dxa"/>
                    <w:bottom w:w="120" w:type="dxa"/>
                    <w:right w:w="120" w:type="dxa"/>
                  </w:tcMar>
                  <w:vAlign w:val="center"/>
                </w:tcPr>
                <w:p w14:paraId="4CDE495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达标</w:t>
                  </w:r>
                </w:p>
              </w:tc>
              <w:tc>
                <w:tcPr>
                  <w:tcW w:w="2426" w:type="dxa"/>
                  <w:tcBorders>
                    <w:tl2br w:val="nil"/>
                    <w:tr2bl w:val="nil"/>
                  </w:tcBorders>
                  <w:shd w:val="clear" w:color="auto" w:fill="auto"/>
                  <w:tcMar>
                    <w:top w:w="120" w:type="dxa"/>
                    <w:left w:w="120" w:type="dxa"/>
                    <w:bottom w:w="120" w:type="dxa"/>
                    <w:right w:w="120" w:type="dxa"/>
                  </w:tcMar>
                  <w:vAlign w:val="center"/>
                </w:tcPr>
                <w:p w14:paraId="5FF73E1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达标</w:t>
                  </w:r>
                </w:p>
              </w:tc>
            </w:tr>
            <w:tr w14:paraId="0AC1B3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599" w:type="dxa"/>
                  <w:tcBorders>
                    <w:tl2br w:val="nil"/>
                    <w:tr2bl w:val="nil"/>
                  </w:tcBorders>
                  <w:shd w:val="clear" w:color="auto" w:fill="auto"/>
                  <w:tcMar>
                    <w:top w:w="120" w:type="dxa"/>
                    <w:left w:w="120" w:type="dxa"/>
                    <w:bottom w:w="120" w:type="dxa"/>
                    <w:right w:w="120" w:type="dxa"/>
                  </w:tcMar>
                  <w:vAlign w:val="center"/>
                </w:tcPr>
                <w:p w14:paraId="43A8047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w:t>
                  </w:r>
                </w:p>
              </w:tc>
              <w:tc>
                <w:tcPr>
                  <w:tcW w:w="825" w:type="dxa"/>
                  <w:tcBorders>
                    <w:tl2br w:val="nil"/>
                    <w:tr2bl w:val="nil"/>
                  </w:tcBorders>
                  <w:shd w:val="clear" w:color="auto" w:fill="auto"/>
                  <w:tcMar>
                    <w:top w:w="120" w:type="dxa"/>
                    <w:left w:w="120" w:type="dxa"/>
                    <w:bottom w:w="120" w:type="dxa"/>
                    <w:right w:w="120" w:type="dxa"/>
                  </w:tcMar>
                  <w:vAlign w:val="center"/>
                </w:tcPr>
                <w:p w14:paraId="474B1E5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钻孔4</w:t>
                  </w:r>
                </w:p>
              </w:tc>
              <w:tc>
                <w:tcPr>
                  <w:tcW w:w="765" w:type="dxa"/>
                  <w:tcBorders>
                    <w:tl2br w:val="nil"/>
                    <w:tr2bl w:val="nil"/>
                  </w:tcBorders>
                  <w:shd w:val="clear" w:color="auto" w:fill="auto"/>
                  <w:tcMar>
                    <w:top w:w="120" w:type="dxa"/>
                    <w:left w:w="120" w:type="dxa"/>
                    <w:bottom w:w="120" w:type="dxa"/>
                    <w:right w:w="120" w:type="dxa"/>
                  </w:tcMar>
                  <w:vAlign w:val="center"/>
                </w:tcPr>
                <w:p w14:paraId="0A6FA68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居民点A</w:t>
                  </w:r>
                </w:p>
              </w:tc>
              <w:tc>
                <w:tcPr>
                  <w:tcW w:w="1020" w:type="dxa"/>
                  <w:tcBorders>
                    <w:tl2br w:val="nil"/>
                    <w:tr2bl w:val="nil"/>
                  </w:tcBorders>
                  <w:shd w:val="clear" w:color="auto" w:fill="auto"/>
                  <w:tcMar>
                    <w:top w:w="120" w:type="dxa"/>
                    <w:left w:w="120" w:type="dxa"/>
                    <w:bottom w:w="120" w:type="dxa"/>
                    <w:right w:w="120" w:type="dxa"/>
                  </w:tcMar>
                  <w:vAlign w:val="center"/>
                </w:tcPr>
                <w:p w14:paraId="69C1825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约1户，4人</w:t>
                  </w:r>
                </w:p>
              </w:tc>
              <w:tc>
                <w:tcPr>
                  <w:tcW w:w="690" w:type="dxa"/>
                  <w:tcBorders>
                    <w:tl2br w:val="nil"/>
                    <w:tr2bl w:val="nil"/>
                  </w:tcBorders>
                  <w:shd w:val="clear" w:color="auto" w:fill="auto"/>
                  <w:tcMar>
                    <w:top w:w="120" w:type="dxa"/>
                    <w:left w:w="120" w:type="dxa"/>
                    <w:bottom w:w="120" w:type="dxa"/>
                    <w:right w:w="120" w:type="dxa"/>
                  </w:tcMar>
                  <w:vAlign w:val="center"/>
                </w:tcPr>
                <w:p w14:paraId="25EDD643">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SE</w:t>
                  </w:r>
                </w:p>
              </w:tc>
              <w:tc>
                <w:tcPr>
                  <w:tcW w:w="825" w:type="dxa"/>
                  <w:tcBorders>
                    <w:tl2br w:val="nil"/>
                    <w:tr2bl w:val="nil"/>
                  </w:tcBorders>
                  <w:shd w:val="clear" w:color="auto" w:fill="auto"/>
                  <w:tcMar>
                    <w:top w:w="120" w:type="dxa"/>
                    <w:left w:w="120" w:type="dxa"/>
                    <w:bottom w:w="120" w:type="dxa"/>
                    <w:right w:w="120" w:type="dxa"/>
                  </w:tcMar>
                  <w:vAlign w:val="center"/>
                </w:tcPr>
                <w:p w14:paraId="4DF4BC7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276</w:t>
                  </w:r>
                </w:p>
              </w:tc>
              <w:tc>
                <w:tcPr>
                  <w:tcW w:w="960" w:type="dxa"/>
                  <w:tcBorders>
                    <w:tl2br w:val="nil"/>
                    <w:tr2bl w:val="nil"/>
                  </w:tcBorders>
                  <w:shd w:val="clear" w:color="auto" w:fill="auto"/>
                  <w:tcMar>
                    <w:top w:w="120" w:type="dxa"/>
                    <w:left w:w="120" w:type="dxa"/>
                    <w:bottom w:w="120" w:type="dxa"/>
                    <w:right w:w="120" w:type="dxa"/>
                  </w:tcMar>
                  <w:vAlign w:val="center"/>
                </w:tcPr>
                <w:p w14:paraId="5C1D4E3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达标</w:t>
                  </w:r>
                </w:p>
              </w:tc>
              <w:tc>
                <w:tcPr>
                  <w:tcW w:w="2426" w:type="dxa"/>
                  <w:tcBorders>
                    <w:tl2br w:val="nil"/>
                    <w:tr2bl w:val="nil"/>
                  </w:tcBorders>
                  <w:shd w:val="clear" w:color="auto" w:fill="auto"/>
                  <w:tcMar>
                    <w:top w:w="120" w:type="dxa"/>
                    <w:left w:w="120" w:type="dxa"/>
                    <w:bottom w:w="120" w:type="dxa"/>
                    <w:right w:w="120" w:type="dxa"/>
                  </w:tcMar>
                  <w:vAlign w:val="center"/>
                </w:tcPr>
                <w:p w14:paraId="3DB3CE0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达标</w:t>
                  </w:r>
                </w:p>
              </w:tc>
            </w:tr>
            <w:tr w14:paraId="247E55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599" w:type="dxa"/>
                  <w:tcBorders>
                    <w:tl2br w:val="nil"/>
                    <w:tr2bl w:val="nil"/>
                  </w:tcBorders>
                  <w:shd w:val="clear" w:color="auto" w:fill="auto"/>
                  <w:tcMar>
                    <w:top w:w="120" w:type="dxa"/>
                    <w:left w:w="120" w:type="dxa"/>
                    <w:bottom w:w="120" w:type="dxa"/>
                    <w:right w:w="120" w:type="dxa"/>
                  </w:tcMar>
                  <w:vAlign w:val="center"/>
                </w:tcPr>
                <w:p w14:paraId="192C17C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5</w:t>
                  </w:r>
                </w:p>
              </w:tc>
              <w:tc>
                <w:tcPr>
                  <w:tcW w:w="825" w:type="dxa"/>
                  <w:tcBorders>
                    <w:tl2br w:val="nil"/>
                    <w:tr2bl w:val="nil"/>
                  </w:tcBorders>
                  <w:shd w:val="clear" w:color="auto" w:fill="auto"/>
                  <w:tcMar>
                    <w:top w:w="120" w:type="dxa"/>
                    <w:left w:w="120" w:type="dxa"/>
                    <w:bottom w:w="120" w:type="dxa"/>
                    <w:right w:w="120" w:type="dxa"/>
                  </w:tcMar>
                  <w:vAlign w:val="center"/>
                </w:tcPr>
                <w:p w14:paraId="14FE3EE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钻孔5</w:t>
                  </w:r>
                </w:p>
              </w:tc>
              <w:tc>
                <w:tcPr>
                  <w:tcW w:w="765" w:type="dxa"/>
                  <w:tcBorders>
                    <w:tl2br w:val="nil"/>
                    <w:tr2bl w:val="nil"/>
                  </w:tcBorders>
                  <w:shd w:val="clear" w:color="auto" w:fill="auto"/>
                  <w:tcMar>
                    <w:top w:w="120" w:type="dxa"/>
                    <w:left w:w="120" w:type="dxa"/>
                    <w:bottom w:w="120" w:type="dxa"/>
                    <w:right w:w="120" w:type="dxa"/>
                  </w:tcMar>
                  <w:vAlign w:val="center"/>
                </w:tcPr>
                <w:p w14:paraId="0A567A5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居民点A</w:t>
                  </w:r>
                </w:p>
              </w:tc>
              <w:tc>
                <w:tcPr>
                  <w:tcW w:w="1020" w:type="dxa"/>
                  <w:tcBorders>
                    <w:tl2br w:val="nil"/>
                    <w:tr2bl w:val="nil"/>
                  </w:tcBorders>
                  <w:shd w:val="clear" w:color="auto" w:fill="auto"/>
                  <w:tcMar>
                    <w:top w:w="120" w:type="dxa"/>
                    <w:left w:w="120" w:type="dxa"/>
                    <w:bottom w:w="120" w:type="dxa"/>
                    <w:right w:w="120" w:type="dxa"/>
                  </w:tcMar>
                  <w:vAlign w:val="center"/>
                </w:tcPr>
                <w:p w14:paraId="16C641A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约1户，4人</w:t>
                  </w:r>
                </w:p>
              </w:tc>
              <w:tc>
                <w:tcPr>
                  <w:tcW w:w="690" w:type="dxa"/>
                  <w:tcBorders>
                    <w:tl2br w:val="nil"/>
                    <w:tr2bl w:val="nil"/>
                  </w:tcBorders>
                  <w:shd w:val="clear" w:color="auto" w:fill="auto"/>
                  <w:tcMar>
                    <w:top w:w="120" w:type="dxa"/>
                    <w:left w:w="120" w:type="dxa"/>
                    <w:bottom w:w="120" w:type="dxa"/>
                    <w:right w:w="120" w:type="dxa"/>
                  </w:tcMar>
                  <w:vAlign w:val="center"/>
                </w:tcPr>
                <w:p w14:paraId="4643562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SE</w:t>
                  </w:r>
                </w:p>
              </w:tc>
              <w:tc>
                <w:tcPr>
                  <w:tcW w:w="825" w:type="dxa"/>
                  <w:tcBorders>
                    <w:tl2br w:val="nil"/>
                    <w:tr2bl w:val="nil"/>
                  </w:tcBorders>
                  <w:shd w:val="clear" w:color="auto" w:fill="auto"/>
                  <w:tcMar>
                    <w:top w:w="120" w:type="dxa"/>
                    <w:left w:w="120" w:type="dxa"/>
                    <w:bottom w:w="120" w:type="dxa"/>
                    <w:right w:w="120" w:type="dxa"/>
                  </w:tcMar>
                  <w:vAlign w:val="center"/>
                </w:tcPr>
                <w:p w14:paraId="4E84929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291</w:t>
                  </w:r>
                </w:p>
              </w:tc>
              <w:tc>
                <w:tcPr>
                  <w:tcW w:w="960" w:type="dxa"/>
                  <w:tcBorders>
                    <w:tl2br w:val="nil"/>
                    <w:tr2bl w:val="nil"/>
                  </w:tcBorders>
                  <w:shd w:val="clear" w:color="auto" w:fill="auto"/>
                  <w:tcMar>
                    <w:top w:w="120" w:type="dxa"/>
                    <w:left w:w="120" w:type="dxa"/>
                    <w:bottom w:w="120" w:type="dxa"/>
                    <w:right w:w="120" w:type="dxa"/>
                  </w:tcMar>
                  <w:vAlign w:val="center"/>
                </w:tcPr>
                <w:p w14:paraId="4B1E62B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达标</w:t>
                  </w:r>
                </w:p>
              </w:tc>
              <w:tc>
                <w:tcPr>
                  <w:tcW w:w="2426" w:type="dxa"/>
                  <w:tcBorders>
                    <w:tl2br w:val="nil"/>
                    <w:tr2bl w:val="nil"/>
                  </w:tcBorders>
                  <w:shd w:val="clear" w:color="auto" w:fill="auto"/>
                  <w:tcMar>
                    <w:top w:w="120" w:type="dxa"/>
                    <w:left w:w="120" w:type="dxa"/>
                    <w:bottom w:w="120" w:type="dxa"/>
                    <w:right w:w="120" w:type="dxa"/>
                  </w:tcMar>
                  <w:vAlign w:val="center"/>
                </w:tcPr>
                <w:p w14:paraId="46A40F5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达标</w:t>
                  </w:r>
                </w:p>
              </w:tc>
            </w:tr>
            <w:tr w14:paraId="2C225FA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599" w:type="dxa"/>
                  <w:tcBorders>
                    <w:tl2br w:val="nil"/>
                    <w:tr2bl w:val="nil"/>
                  </w:tcBorders>
                  <w:shd w:val="clear" w:color="auto" w:fill="auto"/>
                  <w:tcMar>
                    <w:top w:w="120" w:type="dxa"/>
                    <w:left w:w="120" w:type="dxa"/>
                    <w:bottom w:w="120" w:type="dxa"/>
                    <w:right w:w="120" w:type="dxa"/>
                  </w:tcMar>
                  <w:vAlign w:val="center"/>
                </w:tcPr>
                <w:p w14:paraId="1E1E077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6</w:t>
                  </w:r>
                </w:p>
              </w:tc>
              <w:tc>
                <w:tcPr>
                  <w:tcW w:w="825" w:type="dxa"/>
                  <w:tcBorders>
                    <w:tl2br w:val="nil"/>
                    <w:tr2bl w:val="nil"/>
                  </w:tcBorders>
                  <w:shd w:val="clear" w:color="auto" w:fill="auto"/>
                  <w:tcMar>
                    <w:top w:w="120" w:type="dxa"/>
                    <w:left w:w="120" w:type="dxa"/>
                    <w:bottom w:w="120" w:type="dxa"/>
                    <w:right w:w="120" w:type="dxa"/>
                  </w:tcMar>
                  <w:vAlign w:val="center"/>
                </w:tcPr>
                <w:p w14:paraId="621F727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钻孔6</w:t>
                  </w:r>
                </w:p>
              </w:tc>
              <w:tc>
                <w:tcPr>
                  <w:tcW w:w="765" w:type="dxa"/>
                  <w:tcBorders>
                    <w:tl2br w:val="nil"/>
                    <w:tr2bl w:val="nil"/>
                  </w:tcBorders>
                  <w:shd w:val="clear" w:color="auto" w:fill="auto"/>
                  <w:tcMar>
                    <w:top w:w="120" w:type="dxa"/>
                    <w:left w:w="120" w:type="dxa"/>
                    <w:bottom w:w="120" w:type="dxa"/>
                    <w:right w:w="120" w:type="dxa"/>
                  </w:tcMar>
                  <w:vAlign w:val="center"/>
                </w:tcPr>
                <w:p w14:paraId="1B62F9B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居民点A</w:t>
                  </w:r>
                </w:p>
              </w:tc>
              <w:tc>
                <w:tcPr>
                  <w:tcW w:w="1020" w:type="dxa"/>
                  <w:tcBorders>
                    <w:tl2br w:val="nil"/>
                    <w:tr2bl w:val="nil"/>
                  </w:tcBorders>
                  <w:shd w:val="clear" w:color="auto" w:fill="auto"/>
                  <w:tcMar>
                    <w:top w:w="120" w:type="dxa"/>
                    <w:left w:w="120" w:type="dxa"/>
                    <w:bottom w:w="120" w:type="dxa"/>
                    <w:right w:w="120" w:type="dxa"/>
                  </w:tcMar>
                  <w:vAlign w:val="center"/>
                </w:tcPr>
                <w:p w14:paraId="2DB1CDF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约1户，4人</w:t>
                  </w:r>
                </w:p>
              </w:tc>
              <w:tc>
                <w:tcPr>
                  <w:tcW w:w="690" w:type="dxa"/>
                  <w:tcBorders>
                    <w:tl2br w:val="nil"/>
                    <w:tr2bl w:val="nil"/>
                  </w:tcBorders>
                  <w:shd w:val="clear" w:color="auto" w:fill="auto"/>
                  <w:tcMar>
                    <w:top w:w="120" w:type="dxa"/>
                    <w:left w:w="120" w:type="dxa"/>
                    <w:bottom w:w="120" w:type="dxa"/>
                    <w:right w:w="120" w:type="dxa"/>
                  </w:tcMar>
                  <w:vAlign w:val="center"/>
                </w:tcPr>
                <w:p w14:paraId="0099672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SE</w:t>
                  </w:r>
                </w:p>
              </w:tc>
              <w:tc>
                <w:tcPr>
                  <w:tcW w:w="825" w:type="dxa"/>
                  <w:tcBorders>
                    <w:tl2br w:val="nil"/>
                    <w:tr2bl w:val="nil"/>
                  </w:tcBorders>
                  <w:shd w:val="clear" w:color="auto" w:fill="auto"/>
                  <w:tcMar>
                    <w:top w:w="120" w:type="dxa"/>
                    <w:left w:w="120" w:type="dxa"/>
                    <w:bottom w:w="120" w:type="dxa"/>
                    <w:right w:w="120" w:type="dxa"/>
                  </w:tcMar>
                  <w:vAlign w:val="center"/>
                </w:tcPr>
                <w:p w14:paraId="2BB5596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349</w:t>
                  </w:r>
                </w:p>
              </w:tc>
              <w:tc>
                <w:tcPr>
                  <w:tcW w:w="960" w:type="dxa"/>
                  <w:tcBorders>
                    <w:tl2br w:val="nil"/>
                    <w:tr2bl w:val="nil"/>
                  </w:tcBorders>
                  <w:shd w:val="clear" w:color="auto" w:fill="auto"/>
                  <w:tcMar>
                    <w:top w:w="120" w:type="dxa"/>
                    <w:left w:w="120" w:type="dxa"/>
                    <w:bottom w:w="120" w:type="dxa"/>
                    <w:right w:w="120" w:type="dxa"/>
                  </w:tcMar>
                  <w:vAlign w:val="center"/>
                </w:tcPr>
                <w:p w14:paraId="585BB35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达标</w:t>
                  </w:r>
                </w:p>
              </w:tc>
              <w:tc>
                <w:tcPr>
                  <w:tcW w:w="2426" w:type="dxa"/>
                  <w:tcBorders>
                    <w:tl2br w:val="nil"/>
                    <w:tr2bl w:val="nil"/>
                  </w:tcBorders>
                  <w:shd w:val="clear" w:color="auto" w:fill="auto"/>
                  <w:tcMar>
                    <w:top w:w="120" w:type="dxa"/>
                    <w:left w:w="120" w:type="dxa"/>
                    <w:bottom w:w="120" w:type="dxa"/>
                    <w:right w:w="120" w:type="dxa"/>
                  </w:tcMar>
                  <w:vAlign w:val="center"/>
                </w:tcPr>
                <w:p w14:paraId="0928E98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达标</w:t>
                  </w:r>
                </w:p>
              </w:tc>
            </w:tr>
            <w:tr w14:paraId="2D2730E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599" w:type="dxa"/>
                  <w:tcBorders>
                    <w:tl2br w:val="nil"/>
                    <w:tr2bl w:val="nil"/>
                  </w:tcBorders>
                  <w:shd w:val="clear" w:color="auto" w:fill="auto"/>
                  <w:tcMar>
                    <w:top w:w="120" w:type="dxa"/>
                    <w:left w:w="120" w:type="dxa"/>
                    <w:bottom w:w="120" w:type="dxa"/>
                    <w:right w:w="120" w:type="dxa"/>
                  </w:tcMar>
                  <w:vAlign w:val="center"/>
                </w:tcPr>
                <w:p w14:paraId="25FB8FD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7</w:t>
                  </w:r>
                </w:p>
              </w:tc>
              <w:tc>
                <w:tcPr>
                  <w:tcW w:w="825" w:type="dxa"/>
                  <w:tcBorders>
                    <w:tl2br w:val="nil"/>
                    <w:tr2bl w:val="nil"/>
                  </w:tcBorders>
                  <w:shd w:val="clear" w:color="auto" w:fill="auto"/>
                  <w:tcMar>
                    <w:top w:w="120" w:type="dxa"/>
                    <w:left w:w="120" w:type="dxa"/>
                    <w:bottom w:w="120" w:type="dxa"/>
                    <w:right w:w="120" w:type="dxa"/>
                  </w:tcMar>
                  <w:vAlign w:val="center"/>
                </w:tcPr>
                <w:p w14:paraId="5AD5432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钻孔7</w:t>
                  </w:r>
                </w:p>
              </w:tc>
              <w:tc>
                <w:tcPr>
                  <w:tcW w:w="765" w:type="dxa"/>
                  <w:tcBorders>
                    <w:tl2br w:val="nil"/>
                    <w:tr2bl w:val="nil"/>
                  </w:tcBorders>
                  <w:shd w:val="clear" w:color="auto" w:fill="auto"/>
                  <w:tcMar>
                    <w:top w:w="120" w:type="dxa"/>
                    <w:left w:w="120" w:type="dxa"/>
                    <w:bottom w:w="120" w:type="dxa"/>
                    <w:right w:w="120" w:type="dxa"/>
                  </w:tcMar>
                  <w:vAlign w:val="center"/>
                </w:tcPr>
                <w:p w14:paraId="7C1BB4F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居民点A</w:t>
                  </w:r>
                </w:p>
              </w:tc>
              <w:tc>
                <w:tcPr>
                  <w:tcW w:w="1020" w:type="dxa"/>
                  <w:tcBorders>
                    <w:tl2br w:val="nil"/>
                    <w:tr2bl w:val="nil"/>
                  </w:tcBorders>
                  <w:shd w:val="clear" w:color="auto" w:fill="auto"/>
                  <w:tcMar>
                    <w:top w:w="120" w:type="dxa"/>
                    <w:left w:w="120" w:type="dxa"/>
                    <w:bottom w:w="120" w:type="dxa"/>
                    <w:right w:w="120" w:type="dxa"/>
                  </w:tcMar>
                  <w:vAlign w:val="center"/>
                </w:tcPr>
                <w:p w14:paraId="2C11F9A5">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约1户，4人</w:t>
                  </w:r>
                </w:p>
              </w:tc>
              <w:tc>
                <w:tcPr>
                  <w:tcW w:w="690" w:type="dxa"/>
                  <w:tcBorders>
                    <w:tl2br w:val="nil"/>
                    <w:tr2bl w:val="nil"/>
                  </w:tcBorders>
                  <w:shd w:val="clear" w:color="auto" w:fill="auto"/>
                  <w:tcMar>
                    <w:top w:w="120" w:type="dxa"/>
                    <w:left w:w="120" w:type="dxa"/>
                    <w:bottom w:w="120" w:type="dxa"/>
                    <w:right w:w="120" w:type="dxa"/>
                  </w:tcMar>
                  <w:vAlign w:val="center"/>
                </w:tcPr>
                <w:p w14:paraId="2D1F572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SE</w:t>
                  </w:r>
                </w:p>
              </w:tc>
              <w:tc>
                <w:tcPr>
                  <w:tcW w:w="825" w:type="dxa"/>
                  <w:tcBorders>
                    <w:tl2br w:val="nil"/>
                    <w:tr2bl w:val="nil"/>
                  </w:tcBorders>
                  <w:shd w:val="clear" w:color="auto" w:fill="auto"/>
                  <w:tcMar>
                    <w:top w:w="120" w:type="dxa"/>
                    <w:left w:w="120" w:type="dxa"/>
                    <w:bottom w:w="120" w:type="dxa"/>
                    <w:right w:w="120" w:type="dxa"/>
                  </w:tcMar>
                  <w:vAlign w:val="center"/>
                </w:tcPr>
                <w:p w14:paraId="79990A5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382</w:t>
                  </w:r>
                </w:p>
              </w:tc>
              <w:tc>
                <w:tcPr>
                  <w:tcW w:w="960" w:type="dxa"/>
                  <w:tcBorders>
                    <w:tl2br w:val="nil"/>
                    <w:tr2bl w:val="nil"/>
                  </w:tcBorders>
                  <w:shd w:val="clear" w:color="auto" w:fill="auto"/>
                  <w:tcMar>
                    <w:top w:w="120" w:type="dxa"/>
                    <w:left w:w="120" w:type="dxa"/>
                    <w:bottom w:w="120" w:type="dxa"/>
                    <w:right w:w="120" w:type="dxa"/>
                  </w:tcMar>
                  <w:vAlign w:val="center"/>
                </w:tcPr>
                <w:p w14:paraId="1A5473F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达标</w:t>
                  </w:r>
                </w:p>
              </w:tc>
              <w:tc>
                <w:tcPr>
                  <w:tcW w:w="2426" w:type="dxa"/>
                  <w:tcBorders>
                    <w:tl2br w:val="nil"/>
                    <w:tr2bl w:val="nil"/>
                  </w:tcBorders>
                  <w:shd w:val="clear" w:color="auto" w:fill="auto"/>
                  <w:tcMar>
                    <w:top w:w="120" w:type="dxa"/>
                    <w:left w:w="120" w:type="dxa"/>
                    <w:bottom w:w="120" w:type="dxa"/>
                    <w:right w:w="120" w:type="dxa"/>
                  </w:tcMar>
                  <w:vAlign w:val="center"/>
                </w:tcPr>
                <w:p w14:paraId="7B90889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达标</w:t>
                  </w:r>
                </w:p>
              </w:tc>
            </w:tr>
            <w:tr w14:paraId="3F103DB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599" w:type="dxa"/>
                  <w:tcBorders>
                    <w:tl2br w:val="nil"/>
                    <w:tr2bl w:val="nil"/>
                  </w:tcBorders>
                  <w:shd w:val="clear" w:color="auto" w:fill="auto"/>
                  <w:tcMar>
                    <w:top w:w="120" w:type="dxa"/>
                    <w:left w:w="120" w:type="dxa"/>
                    <w:bottom w:w="120" w:type="dxa"/>
                    <w:right w:w="120" w:type="dxa"/>
                  </w:tcMar>
                  <w:vAlign w:val="center"/>
                </w:tcPr>
                <w:p w14:paraId="296B01E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8</w:t>
                  </w:r>
                </w:p>
              </w:tc>
              <w:tc>
                <w:tcPr>
                  <w:tcW w:w="825" w:type="dxa"/>
                  <w:tcBorders>
                    <w:tl2br w:val="nil"/>
                    <w:tr2bl w:val="nil"/>
                  </w:tcBorders>
                  <w:shd w:val="clear" w:color="auto" w:fill="auto"/>
                  <w:tcMar>
                    <w:top w:w="120" w:type="dxa"/>
                    <w:left w:w="120" w:type="dxa"/>
                    <w:bottom w:w="120" w:type="dxa"/>
                    <w:right w:w="120" w:type="dxa"/>
                  </w:tcMar>
                  <w:vAlign w:val="center"/>
                </w:tcPr>
                <w:p w14:paraId="4FCC18A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钻孔8</w:t>
                  </w:r>
                </w:p>
              </w:tc>
              <w:tc>
                <w:tcPr>
                  <w:tcW w:w="765" w:type="dxa"/>
                  <w:tcBorders>
                    <w:tl2br w:val="nil"/>
                    <w:tr2bl w:val="nil"/>
                  </w:tcBorders>
                  <w:shd w:val="clear" w:color="auto" w:fill="auto"/>
                  <w:tcMar>
                    <w:top w:w="120" w:type="dxa"/>
                    <w:left w:w="120" w:type="dxa"/>
                    <w:bottom w:w="120" w:type="dxa"/>
                    <w:right w:w="120" w:type="dxa"/>
                  </w:tcMar>
                  <w:vAlign w:val="center"/>
                </w:tcPr>
                <w:p w14:paraId="4882DE6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宋郢孜</w:t>
                  </w:r>
                </w:p>
              </w:tc>
              <w:tc>
                <w:tcPr>
                  <w:tcW w:w="1020" w:type="dxa"/>
                  <w:tcBorders>
                    <w:tl2br w:val="nil"/>
                    <w:tr2bl w:val="nil"/>
                  </w:tcBorders>
                  <w:shd w:val="clear" w:color="auto" w:fill="auto"/>
                  <w:tcMar>
                    <w:top w:w="120" w:type="dxa"/>
                    <w:left w:w="120" w:type="dxa"/>
                    <w:bottom w:w="120" w:type="dxa"/>
                    <w:right w:w="120" w:type="dxa"/>
                  </w:tcMar>
                  <w:vAlign w:val="center"/>
                </w:tcPr>
                <w:p w14:paraId="647894B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约160户，550人</w:t>
                  </w:r>
                </w:p>
              </w:tc>
              <w:tc>
                <w:tcPr>
                  <w:tcW w:w="690" w:type="dxa"/>
                  <w:tcBorders>
                    <w:tl2br w:val="nil"/>
                    <w:tr2bl w:val="nil"/>
                  </w:tcBorders>
                  <w:shd w:val="clear" w:color="auto" w:fill="auto"/>
                  <w:tcMar>
                    <w:top w:w="120" w:type="dxa"/>
                    <w:left w:w="120" w:type="dxa"/>
                    <w:bottom w:w="120" w:type="dxa"/>
                    <w:right w:w="120" w:type="dxa"/>
                  </w:tcMar>
                  <w:vAlign w:val="center"/>
                </w:tcPr>
                <w:p w14:paraId="08F6284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SW</w:t>
                  </w:r>
                </w:p>
              </w:tc>
              <w:tc>
                <w:tcPr>
                  <w:tcW w:w="825" w:type="dxa"/>
                  <w:tcBorders>
                    <w:tl2br w:val="nil"/>
                    <w:tr2bl w:val="nil"/>
                  </w:tcBorders>
                  <w:shd w:val="clear" w:color="auto" w:fill="auto"/>
                  <w:tcMar>
                    <w:top w:w="120" w:type="dxa"/>
                    <w:left w:w="120" w:type="dxa"/>
                    <w:bottom w:w="120" w:type="dxa"/>
                    <w:right w:w="120" w:type="dxa"/>
                  </w:tcMar>
                  <w:vAlign w:val="center"/>
                </w:tcPr>
                <w:p w14:paraId="1B6CAC5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372</w:t>
                  </w:r>
                </w:p>
              </w:tc>
              <w:tc>
                <w:tcPr>
                  <w:tcW w:w="960" w:type="dxa"/>
                  <w:tcBorders>
                    <w:tl2br w:val="nil"/>
                    <w:tr2bl w:val="nil"/>
                  </w:tcBorders>
                  <w:shd w:val="clear" w:color="auto" w:fill="auto"/>
                  <w:tcMar>
                    <w:top w:w="120" w:type="dxa"/>
                    <w:left w:w="120" w:type="dxa"/>
                    <w:bottom w:w="120" w:type="dxa"/>
                    <w:right w:w="120" w:type="dxa"/>
                  </w:tcMar>
                  <w:vAlign w:val="center"/>
                </w:tcPr>
                <w:p w14:paraId="16E8D7A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达标</w:t>
                  </w:r>
                </w:p>
              </w:tc>
              <w:tc>
                <w:tcPr>
                  <w:tcW w:w="2426" w:type="dxa"/>
                  <w:tcBorders>
                    <w:tl2br w:val="nil"/>
                    <w:tr2bl w:val="nil"/>
                  </w:tcBorders>
                  <w:shd w:val="clear" w:color="auto" w:fill="auto"/>
                  <w:tcMar>
                    <w:top w:w="120" w:type="dxa"/>
                    <w:left w:w="120" w:type="dxa"/>
                    <w:bottom w:w="120" w:type="dxa"/>
                    <w:right w:w="120" w:type="dxa"/>
                  </w:tcMar>
                  <w:vAlign w:val="center"/>
                </w:tcPr>
                <w:p w14:paraId="199B40E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达标</w:t>
                  </w:r>
                </w:p>
              </w:tc>
            </w:tr>
            <w:tr w14:paraId="75C1CC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599" w:type="dxa"/>
                  <w:tcBorders>
                    <w:tl2br w:val="nil"/>
                    <w:tr2bl w:val="nil"/>
                  </w:tcBorders>
                  <w:shd w:val="clear" w:color="auto" w:fill="auto"/>
                  <w:tcMar>
                    <w:top w:w="120" w:type="dxa"/>
                    <w:left w:w="120" w:type="dxa"/>
                    <w:bottom w:w="120" w:type="dxa"/>
                    <w:right w:w="120" w:type="dxa"/>
                  </w:tcMar>
                  <w:vAlign w:val="center"/>
                </w:tcPr>
                <w:p w14:paraId="43CE89F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9</w:t>
                  </w:r>
                </w:p>
              </w:tc>
              <w:tc>
                <w:tcPr>
                  <w:tcW w:w="825" w:type="dxa"/>
                  <w:tcBorders>
                    <w:tl2br w:val="nil"/>
                    <w:tr2bl w:val="nil"/>
                  </w:tcBorders>
                  <w:shd w:val="clear" w:color="auto" w:fill="auto"/>
                  <w:tcMar>
                    <w:top w:w="120" w:type="dxa"/>
                    <w:left w:w="120" w:type="dxa"/>
                    <w:bottom w:w="120" w:type="dxa"/>
                    <w:right w:w="120" w:type="dxa"/>
                  </w:tcMar>
                  <w:vAlign w:val="center"/>
                </w:tcPr>
                <w:p w14:paraId="4F322ED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钻孔9</w:t>
                  </w:r>
                </w:p>
              </w:tc>
              <w:tc>
                <w:tcPr>
                  <w:tcW w:w="765" w:type="dxa"/>
                  <w:tcBorders>
                    <w:tl2br w:val="nil"/>
                    <w:tr2bl w:val="nil"/>
                  </w:tcBorders>
                  <w:shd w:val="clear" w:color="auto" w:fill="auto"/>
                  <w:tcMar>
                    <w:top w:w="120" w:type="dxa"/>
                    <w:left w:w="120" w:type="dxa"/>
                    <w:bottom w:w="120" w:type="dxa"/>
                    <w:right w:w="120" w:type="dxa"/>
                  </w:tcMar>
                  <w:vAlign w:val="center"/>
                </w:tcPr>
                <w:p w14:paraId="64EC8F20">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宋郢孜</w:t>
                  </w:r>
                </w:p>
              </w:tc>
              <w:tc>
                <w:tcPr>
                  <w:tcW w:w="1020" w:type="dxa"/>
                  <w:tcBorders>
                    <w:tl2br w:val="nil"/>
                    <w:tr2bl w:val="nil"/>
                  </w:tcBorders>
                  <w:shd w:val="clear" w:color="auto" w:fill="auto"/>
                  <w:tcMar>
                    <w:top w:w="120" w:type="dxa"/>
                    <w:left w:w="120" w:type="dxa"/>
                    <w:bottom w:w="120" w:type="dxa"/>
                    <w:right w:w="120" w:type="dxa"/>
                  </w:tcMar>
                  <w:vAlign w:val="center"/>
                </w:tcPr>
                <w:p w14:paraId="0A5854E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约160户，550人</w:t>
                  </w:r>
                </w:p>
              </w:tc>
              <w:tc>
                <w:tcPr>
                  <w:tcW w:w="690" w:type="dxa"/>
                  <w:tcBorders>
                    <w:tl2br w:val="nil"/>
                    <w:tr2bl w:val="nil"/>
                  </w:tcBorders>
                  <w:shd w:val="clear" w:color="auto" w:fill="auto"/>
                  <w:tcMar>
                    <w:top w:w="120" w:type="dxa"/>
                    <w:left w:w="120" w:type="dxa"/>
                    <w:bottom w:w="120" w:type="dxa"/>
                    <w:right w:w="120" w:type="dxa"/>
                  </w:tcMar>
                  <w:vAlign w:val="center"/>
                </w:tcPr>
                <w:p w14:paraId="5D1FBF2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SW</w:t>
                  </w:r>
                </w:p>
              </w:tc>
              <w:tc>
                <w:tcPr>
                  <w:tcW w:w="825" w:type="dxa"/>
                  <w:tcBorders>
                    <w:tl2br w:val="nil"/>
                    <w:tr2bl w:val="nil"/>
                  </w:tcBorders>
                  <w:shd w:val="clear" w:color="auto" w:fill="auto"/>
                  <w:tcMar>
                    <w:top w:w="120" w:type="dxa"/>
                    <w:left w:w="120" w:type="dxa"/>
                    <w:bottom w:w="120" w:type="dxa"/>
                    <w:right w:w="120" w:type="dxa"/>
                  </w:tcMar>
                  <w:vAlign w:val="center"/>
                </w:tcPr>
                <w:p w14:paraId="283DF4C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402</w:t>
                  </w:r>
                </w:p>
              </w:tc>
              <w:tc>
                <w:tcPr>
                  <w:tcW w:w="960" w:type="dxa"/>
                  <w:tcBorders>
                    <w:tl2br w:val="nil"/>
                    <w:tr2bl w:val="nil"/>
                  </w:tcBorders>
                  <w:shd w:val="clear" w:color="auto" w:fill="auto"/>
                  <w:tcMar>
                    <w:top w:w="120" w:type="dxa"/>
                    <w:left w:w="120" w:type="dxa"/>
                    <w:bottom w:w="120" w:type="dxa"/>
                    <w:right w:w="120" w:type="dxa"/>
                  </w:tcMar>
                  <w:vAlign w:val="center"/>
                </w:tcPr>
                <w:p w14:paraId="31D329E2">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达标</w:t>
                  </w:r>
                </w:p>
              </w:tc>
              <w:tc>
                <w:tcPr>
                  <w:tcW w:w="2426" w:type="dxa"/>
                  <w:tcBorders>
                    <w:tl2br w:val="nil"/>
                    <w:tr2bl w:val="nil"/>
                  </w:tcBorders>
                  <w:shd w:val="clear" w:color="auto" w:fill="auto"/>
                  <w:tcMar>
                    <w:top w:w="120" w:type="dxa"/>
                    <w:left w:w="120" w:type="dxa"/>
                    <w:bottom w:w="120" w:type="dxa"/>
                    <w:right w:w="120" w:type="dxa"/>
                  </w:tcMar>
                  <w:vAlign w:val="center"/>
                </w:tcPr>
                <w:p w14:paraId="24982B9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达标</w:t>
                  </w:r>
                </w:p>
              </w:tc>
            </w:tr>
            <w:tr w14:paraId="563F6F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599" w:type="dxa"/>
                  <w:tcBorders>
                    <w:tl2br w:val="nil"/>
                    <w:tr2bl w:val="nil"/>
                  </w:tcBorders>
                  <w:shd w:val="clear" w:color="auto" w:fill="auto"/>
                  <w:tcMar>
                    <w:top w:w="120" w:type="dxa"/>
                    <w:left w:w="120" w:type="dxa"/>
                    <w:bottom w:w="120" w:type="dxa"/>
                    <w:right w:w="120" w:type="dxa"/>
                  </w:tcMar>
                  <w:vAlign w:val="center"/>
                </w:tcPr>
                <w:p w14:paraId="331AFA9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10</w:t>
                  </w:r>
                </w:p>
              </w:tc>
              <w:tc>
                <w:tcPr>
                  <w:tcW w:w="825" w:type="dxa"/>
                  <w:tcBorders>
                    <w:tl2br w:val="nil"/>
                    <w:tr2bl w:val="nil"/>
                  </w:tcBorders>
                  <w:shd w:val="clear" w:color="auto" w:fill="auto"/>
                  <w:tcMar>
                    <w:top w:w="120" w:type="dxa"/>
                    <w:left w:w="120" w:type="dxa"/>
                    <w:bottom w:w="120" w:type="dxa"/>
                    <w:right w:w="120" w:type="dxa"/>
                  </w:tcMar>
                  <w:vAlign w:val="center"/>
                </w:tcPr>
                <w:p w14:paraId="6E0762A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钻孔10</w:t>
                  </w:r>
                </w:p>
              </w:tc>
              <w:tc>
                <w:tcPr>
                  <w:tcW w:w="765" w:type="dxa"/>
                  <w:tcBorders>
                    <w:tl2br w:val="nil"/>
                    <w:tr2bl w:val="nil"/>
                  </w:tcBorders>
                  <w:shd w:val="clear" w:color="auto" w:fill="auto"/>
                  <w:tcMar>
                    <w:top w:w="120" w:type="dxa"/>
                    <w:left w:w="120" w:type="dxa"/>
                    <w:bottom w:w="120" w:type="dxa"/>
                    <w:right w:w="120" w:type="dxa"/>
                  </w:tcMar>
                  <w:vAlign w:val="center"/>
                </w:tcPr>
                <w:p w14:paraId="1D768FD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居民点B</w:t>
                  </w:r>
                </w:p>
              </w:tc>
              <w:tc>
                <w:tcPr>
                  <w:tcW w:w="1020" w:type="dxa"/>
                  <w:tcBorders>
                    <w:tl2br w:val="nil"/>
                    <w:tr2bl w:val="nil"/>
                  </w:tcBorders>
                  <w:shd w:val="clear" w:color="auto" w:fill="auto"/>
                  <w:tcMar>
                    <w:top w:w="120" w:type="dxa"/>
                    <w:left w:w="120" w:type="dxa"/>
                    <w:bottom w:w="120" w:type="dxa"/>
                    <w:right w:w="120" w:type="dxa"/>
                  </w:tcMar>
                  <w:vAlign w:val="center"/>
                </w:tcPr>
                <w:p w14:paraId="3CBEC17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约3户，12人</w:t>
                  </w:r>
                </w:p>
              </w:tc>
              <w:tc>
                <w:tcPr>
                  <w:tcW w:w="690" w:type="dxa"/>
                  <w:tcBorders>
                    <w:tl2br w:val="nil"/>
                    <w:tr2bl w:val="nil"/>
                  </w:tcBorders>
                  <w:shd w:val="clear" w:color="auto" w:fill="auto"/>
                  <w:tcMar>
                    <w:top w:w="120" w:type="dxa"/>
                    <w:left w:w="120" w:type="dxa"/>
                    <w:bottom w:w="120" w:type="dxa"/>
                    <w:right w:w="120" w:type="dxa"/>
                  </w:tcMar>
                  <w:vAlign w:val="center"/>
                </w:tcPr>
                <w:p w14:paraId="2BAC9CFB">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SE</w:t>
                  </w:r>
                </w:p>
              </w:tc>
              <w:tc>
                <w:tcPr>
                  <w:tcW w:w="825" w:type="dxa"/>
                  <w:tcBorders>
                    <w:tl2br w:val="nil"/>
                    <w:tr2bl w:val="nil"/>
                  </w:tcBorders>
                  <w:shd w:val="clear" w:color="auto" w:fill="auto"/>
                  <w:tcMar>
                    <w:top w:w="120" w:type="dxa"/>
                    <w:left w:w="120" w:type="dxa"/>
                    <w:bottom w:w="120" w:type="dxa"/>
                    <w:right w:w="120" w:type="dxa"/>
                  </w:tcMar>
                  <w:vAlign w:val="center"/>
                </w:tcPr>
                <w:p w14:paraId="542641B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145.4</w:t>
                  </w:r>
                </w:p>
              </w:tc>
              <w:tc>
                <w:tcPr>
                  <w:tcW w:w="960" w:type="dxa"/>
                  <w:tcBorders>
                    <w:tl2br w:val="nil"/>
                    <w:tr2bl w:val="nil"/>
                  </w:tcBorders>
                  <w:shd w:val="clear" w:color="auto" w:fill="auto"/>
                  <w:tcMar>
                    <w:top w:w="120" w:type="dxa"/>
                    <w:left w:w="120" w:type="dxa"/>
                    <w:bottom w:w="120" w:type="dxa"/>
                    <w:right w:w="120" w:type="dxa"/>
                  </w:tcMar>
                  <w:vAlign w:val="center"/>
                </w:tcPr>
                <w:p w14:paraId="497A4DF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达标</w:t>
                  </w:r>
                </w:p>
              </w:tc>
              <w:tc>
                <w:tcPr>
                  <w:tcW w:w="2426" w:type="dxa"/>
                  <w:tcBorders>
                    <w:tl2br w:val="nil"/>
                    <w:tr2bl w:val="nil"/>
                  </w:tcBorders>
                  <w:shd w:val="clear" w:color="auto" w:fill="auto"/>
                  <w:tcMar>
                    <w:top w:w="120" w:type="dxa"/>
                    <w:left w:w="120" w:type="dxa"/>
                    <w:bottom w:w="120" w:type="dxa"/>
                    <w:right w:w="120" w:type="dxa"/>
                  </w:tcMar>
                  <w:vAlign w:val="center"/>
                </w:tcPr>
                <w:p w14:paraId="6EE8ED3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超标（3套钻机夜间达标距离193m）</w:t>
                  </w:r>
                </w:p>
              </w:tc>
            </w:tr>
            <w:tr w14:paraId="3729DCE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599" w:type="dxa"/>
                  <w:tcBorders>
                    <w:tl2br w:val="nil"/>
                    <w:tr2bl w:val="nil"/>
                  </w:tcBorders>
                  <w:shd w:val="clear" w:color="auto" w:fill="auto"/>
                  <w:tcMar>
                    <w:top w:w="120" w:type="dxa"/>
                    <w:left w:w="120" w:type="dxa"/>
                    <w:bottom w:w="120" w:type="dxa"/>
                    <w:right w:w="120" w:type="dxa"/>
                  </w:tcMar>
                  <w:vAlign w:val="center"/>
                </w:tcPr>
                <w:p w14:paraId="518464CE">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11</w:t>
                  </w:r>
                </w:p>
              </w:tc>
              <w:tc>
                <w:tcPr>
                  <w:tcW w:w="825" w:type="dxa"/>
                  <w:tcBorders>
                    <w:tl2br w:val="nil"/>
                    <w:tr2bl w:val="nil"/>
                  </w:tcBorders>
                  <w:shd w:val="clear" w:color="auto" w:fill="auto"/>
                  <w:tcMar>
                    <w:top w:w="120" w:type="dxa"/>
                    <w:left w:w="120" w:type="dxa"/>
                    <w:bottom w:w="120" w:type="dxa"/>
                    <w:right w:w="120" w:type="dxa"/>
                  </w:tcMar>
                  <w:vAlign w:val="center"/>
                </w:tcPr>
                <w:p w14:paraId="407C518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钻孔11</w:t>
                  </w:r>
                </w:p>
              </w:tc>
              <w:tc>
                <w:tcPr>
                  <w:tcW w:w="765" w:type="dxa"/>
                  <w:tcBorders>
                    <w:tl2br w:val="nil"/>
                    <w:tr2bl w:val="nil"/>
                  </w:tcBorders>
                  <w:shd w:val="clear" w:color="auto" w:fill="auto"/>
                  <w:tcMar>
                    <w:top w:w="120" w:type="dxa"/>
                    <w:left w:w="120" w:type="dxa"/>
                    <w:bottom w:w="120" w:type="dxa"/>
                    <w:right w:w="120" w:type="dxa"/>
                  </w:tcMar>
                  <w:vAlign w:val="center"/>
                </w:tcPr>
                <w:p w14:paraId="7772EBE6">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宋郢孜</w:t>
                  </w:r>
                </w:p>
              </w:tc>
              <w:tc>
                <w:tcPr>
                  <w:tcW w:w="1020" w:type="dxa"/>
                  <w:tcBorders>
                    <w:tl2br w:val="nil"/>
                    <w:tr2bl w:val="nil"/>
                  </w:tcBorders>
                  <w:shd w:val="clear" w:color="auto" w:fill="auto"/>
                  <w:tcMar>
                    <w:top w:w="120" w:type="dxa"/>
                    <w:left w:w="120" w:type="dxa"/>
                    <w:bottom w:w="120" w:type="dxa"/>
                    <w:right w:w="120" w:type="dxa"/>
                  </w:tcMar>
                  <w:vAlign w:val="center"/>
                </w:tcPr>
                <w:p w14:paraId="3FDD481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约160户，550人</w:t>
                  </w:r>
                </w:p>
              </w:tc>
              <w:tc>
                <w:tcPr>
                  <w:tcW w:w="690" w:type="dxa"/>
                  <w:tcBorders>
                    <w:tl2br w:val="nil"/>
                    <w:tr2bl w:val="nil"/>
                  </w:tcBorders>
                  <w:shd w:val="clear" w:color="auto" w:fill="auto"/>
                  <w:tcMar>
                    <w:top w:w="120" w:type="dxa"/>
                    <w:left w:w="120" w:type="dxa"/>
                    <w:bottom w:w="120" w:type="dxa"/>
                    <w:right w:w="120" w:type="dxa"/>
                  </w:tcMar>
                  <w:vAlign w:val="center"/>
                </w:tcPr>
                <w:p w14:paraId="59B3559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SE</w:t>
                  </w:r>
                </w:p>
              </w:tc>
              <w:tc>
                <w:tcPr>
                  <w:tcW w:w="825" w:type="dxa"/>
                  <w:tcBorders>
                    <w:tl2br w:val="nil"/>
                    <w:tr2bl w:val="nil"/>
                  </w:tcBorders>
                  <w:shd w:val="clear" w:color="auto" w:fill="auto"/>
                  <w:tcMar>
                    <w:top w:w="120" w:type="dxa"/>
                    <w:left w:w="120" w:type="dxa"/>
                    <w:bottom w:w="120" w:type="dxa"/>
                    <w:right w:w="120" w:type="dxa"/>
                  </w:tcMar>
                  <w:vAlign w:val="center"/>
                </w:tcPr>
                <w:p w14:paraId="7A8C5CEC">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394</w:t>
                  </w:r>
                </w:p>
              </w:tc>
              <w:tc>
                <w:tcPr>
                  <w:tcW w:w="960" w:type="dxa"/>
                  <w:tcBorders>
                    <w:tl2br w:val="nil"/>
                    <w:tr2bl w:val="nil"/>
                  </w:tcBorders>
                  <w:shd w:val="clear" w:color="auto" w:fill="auto"/>
                  <w:tcMar>
                    <w:top w:w="120" w:type="dxa"/>
                    <w:left w:w="120" w:type="dxa"/>
                    <w:bottom w:w="120" w:type="dxa"/>
                    <w:right w:w="120" w:type="dxa"/>
                  </w:tcMar>
                  <w:vAlign w:val="center"/>
                </w:tcPr>
                <w:p w14:paraId="1663470F">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达标</w:t>
                  </w:r>
                </w:p>
              </w:tc>
              <w:tc>
                <w:tcPr>
                  <w:tcW w:w="2426" w:type="dxa"/>
                  <w:tcBorders>
                    <w:tl2br w:val="nil"/>
                    <w:tr2bl w:val="nil"/>
                  </w:tcBorders>
                  <w:shd w:val="clear" w:color="auto" w:fill="auto"/>
                  <w:tcMar>
                    <w:top w:w="120" w:type="dxa"/>
                    <w:left w:w="120" w:type="dxa"/>
                    <w:bottom w:w="120" w:type="dxa"/>
                    <w:right w:w="120" w:type="dxa"/>
                  </w:tcMar>
                  <w:vAlign w:val="center"/>
                </w:tcPr>
                <w:p w14:paraId="098D303A">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达标</w:t>
                  </w:r>
                </w:p>
              </w:tc>
            </w:tr>
            <w:tr w14:paraId="3817F67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jc w:val="center"/>
              </w:trPr>
              <w:tc>
                <w:tcPr>
                  <w:tcW w:w="599" w:type="dxa"/>
                  <w:tcBorders>
                    <w:tl2br w:val="nil"/>
                    <w:tr2bl w:val="nil"/>
                  </w:tcBorders>
                  <w:shd w:val="clear" w:color="auto" w:fill="auto"/>
                  <w:tcMar>
                    <w:top w:w="120" w:type="dxa"/>
                    <w:left w:w="120" w:type="dxa"/>
                    <w:bottom w:w="120" w:type="dxa"/>
                    <w:right w:w="120" w:type="dxa"/>
                  </w:tcMar>
                  <w:vAlign w:val="center"/>
                </w:tcPr>
                <w:p w14:paraId="2CBAE28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12</w:t>
                  </w:r>
                </w:p>
              </w:tc>
              <w:tc>
                <w:tcPr>
                  <w:tcW w:w="825" w:type="dxa"/>
                  <w:tcBorders>
                    <w:tl2br w:val="nil"/>
                    <w:tr2bl w:val="nil"/>
                  </w:tcBorders>
                  <w:shd w:val="clear" w:color="auto" w:fill="auto"/>
                  <w:tcMar>
                    <w:top w:w="120" w:type="dxa"/>
                    <w:left w:w="120" w:type="dxa"/>
                    <w:bottom w:w="120" w:type="dxa"/>
                    <w:right w:w="120" w:type="dxa"/>
                  </w:tcMar>
                  <w:vAlign w:val="center"/>
                </w:tcPr>
                <w:p w14:paraId="36D15F5D">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注浆站</w:t>
                  </w:r>
                </w:p>
              </w:tc>
              <w:tc>
                <w:tcPr>
                  <w:tcW w:w="765" w:type="dxa"/>
                  <w:tcBorders>
                    <w:tl2br w:val="nil"/>
                    <w:tr2bl w:val="nil"/>
                  </w:tcBorders>
                  <w:shd w:val="clear" w:color="auto" w:fill="auto"/>
                  <w:tcMar>
                    <w:top w:w="120" w:type="dxa"/>
                    <w:left w:w="120" w:type="dxa"/>
                    <w:bottom w:w="120" w:type="dxa"/>
                    <w:right w:w="120" w:type="dxa"/>
                  </w:tcMar>
                  <w:vAlign w:val="center"/>
                </w:tcPr>
                <w:p w14:paraId="17C7FC19">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大庄村</w:t>
                  </w:r>
                </w:p>
              </w:tc>
              <w:tc>
                <w:tcPr>
                  <w:tcW w:w="1020" w:type="dxa"/>
                  <w:tcBorders>
                    <w:tl2br w:val="nil"/>
                    <w:tr2bl w:val="nil"/>
                  </w:tcBorders>
                  <w:shd w:val="clear" w:color="auto" w:fill="auto"/>
                  <w:tcMar>
                    <w:top w:w="120" w:type="dxa"/>
                    <w:left w:w="120" w:type="dxa"/>
                    <w:bottom w:w="120" w:type="dxa"/>
                    <w:right w:w="120" w:type="dxa"/>
                  </w:tcMar>
                  <w:vAlign w:val="center"/>
                </w:tcPr>
                <w:p w14:paraId="59DADD17">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约890户，2860人</w:t>
                  </w:r>
                </w:p>
              </w:tc>
              <w:tc>
                <w:tcPr>
                  <w:tcW w:w="690" w:type="dxa"/>
                  <w:tcBorders>
                    <w:tl2br w:val="nil"/>
                    <w:tr2bl w:val="nil"/>
                  </w:tcBorders>
                  <w:shd w:val="clear" w:color="auto" w:fill="auto"/>
                  <w:tcMar>
                    <w:top w:w="120" w:type="dxa"/>
                    <w:left w:w="120" w:type="dxa"/>
                    <w:bottom w:w="120" w:type="dxa"/>
                    <w:right w:w="120" w:type="dxa"/>
                  </w:tcMar>
                  <w:vAlign w:val="center"/>
                </w:tcPr>
                <w:p w14:paraId="7FF878E1">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SW</w:t>
                  </w:r>
                </w:p>
              </w:tc>
              <w:tc>
                <w:tcPr>
                  <w:tcW w:w="825" w:type="dxa"/>
                  <w:tcBorders>
                    <w:tl2br w:val="nil"/>
                    <w:tr2bl w:val="nil"/>
                  </w:tcBorders>
                  <w:shd w:val="clear" w:color="auto" w:fill="auto"/>
                  <w:tcMar>
                    <w:top w:w="120" w:type="dxa"/>
                    <w:left w:w="120" w:type="dxa"/>
                    <w:bottom w:w="120" w:type="dxa"/>
                    <w:right w:w="120" w:type="dxa"/>
                  </w:tcMar>
                  <w:vAlign w:val="center"/>
                </w:tcPr>
                <w:p w14:paraId="645BD9A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450</w:t>
                  </w:r>
                </w:p>
              </w:tc>
              <w:tc>
                <w:tcPr>
                  <w:tcW w:w="960" w:type="dxa"/>
                  <w:tcBorders>
                    <w:tl2br w:val="nil"/>
                    <w:tr2bl w:val="nil"/>
                  </w:tcBorders>
                  <w:shd w:val="clear" w:color="auto" w:fill="auto"/>
                  <w:tcMar>
                    <w:top w:w="120" w:type="dxa"/>
                    <w:left w:w="120" w:type="dxa"/>
                    <w:bottom w:w="120" w:type="dxa"/>
                    <w:right w:w="120" w:type="dxa"/>
                  </w:tcMar>
                  <w:vAlign w:val="center"/>
                </w:tcPr>
                <w:p w14:paraId="7B80D388">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达标</w:t>
                  </w:r>
                </w:p>
              </w:tc>
              <w:tc>
                <w:tcPr>
                  <w:tcW w:w="2426" w:type="dxa"/>
                  <w:tcBorders>
                    <w:tl2br w:val="nil"/>
                    <w:tr2bl w:val="nil"/>
                  </w:tcBorders>
                  <w:shd w:val="clear" w:color="auto" w:fill="auto"/>
                  <w:tcMar>
                    <w:top w:w="120" w:type="dxa"/>
                    <w:left w:w="120" w:type="dxa"/>
                    <w:bottom w:w="120" w:type="dxa"/>
                    <w:right w:w="120" w:type="dxa"/>
                  </w:tcMar>
                  <w:vAlign w:val="center"/>
                </w:tcPr>
                <w:p w14:paraId="46E313E4">
                  <w:pPr>
                    <w:keepNext w:val="0"/>
                    <w:keepLines w:val="0"/>
                    <w:pageBreakBefore w:val="0"/>
                    <w:widowControl/>
                    <w:suppressLineNumbers w:val="0"/>
                    <w:kinsoku/>
                    <w:wordWrap/>
                    <w:overflowPunct/>
                    <w:topLinePunct w:val="0"/>
                    <w:autoSpaceDE/>
                    <w:autoSpaceDN/>
                    <w:bidi w:val="0"/>
                    <w:adjustRightInd/>
                    <w:snapToGrid/>
                    <w:spacing w:line="240" w:lineRule="atLeast"/>
                    <w:ind w:firstLine="0" w:firstLineChars="0"/>
                    <w:jc w:val="center"/>
                    <w:textAlignment w:val="center"/>
                    <w:rPr>
                      <w:rFonts w:hint="default" w:ascii="Times New Roman" w:hAnsi="Times New Roman" w:eastAsia="D Y 1 + ZID Hj I" w:cs="Times New Roman"/>
                      <w:i w:val="0"/>
                      <w:iCs w:val="0"/>
                      <w:color w:val="000000"/>
                      <w:kern w:val="0"/>
                      <w:sz w:val="21"/>
                      <w:szCs w:val="21"/>
                      <w:highlight w:val="none"/>
                      <w:u w:val="none"/>
                      <w:lang w:val="en-US" w:eastAsia="zh-CN" w:bidi="ar"/>
                    </w:rPr>
                  </w:pPr>
                  <w:r>
                    <w:rPr>
                      <w:rFonts w:hint="default" w:ascii="Times New Roman" w:hAnsi="Times New Roman" w:eastAsia="D Y 1 + ZID Hj I" w:cs="Times New Roman"/>
                      <w:i w:val="0"/>
                      <w:iCs w:val="0"/>
                      <w:color w:val="000000"/>
                      <w:kern w:val="0"/>
                      <w:sz w:val="21"/>
                      <w:szCs w:val="21"/>
                      <w:highlight w:val="none"/>
                      <w:u w:val="none"/>
                      <w:lang w:val="en-US" w:eastAsia="zh-CN" w:bidi="ar"/>
                    </w:rPr>
                    <w:t>达标</w:t>
                  </w:r>
                </w:p>
              </w:tc>
            </w:tr>
          </w:tbl>
          <w:p w14:paraId="7F7B5371">
            <w:pPr>
              <w:autoSpaceDE w:val="0"/>
              <w:autoSpaceDN w:val="0"/>
              <w:spacing w:line="360" w:lineRule="auto"/>
              <w:ind w:firstLine="480" w:firstLineChars="200"/>
              <w:rPr>
                <w:rFonts w:hint="eastAsia" w:ascii="Times New Roman" w:hAnsi="Times New Roman" w:eastAsia="宋体" w:cs="Times New Roman"/>
                <w:kern w:val="0"/>
                <w:sz w:val="24"/>
                <w:szCs w:val="24"/>
                <w:highlight w:val="none"/>
                <w:lang w:eastAsia="zh-CN"/>
              </w:rPr>
            </w:pPr>
            <w:r>
              <w:rPr>
                <w:rFonts w:hint="default" w:ascii="Times New Roman" w:hAnsi="Times New Roman" w:eastAsia="宋体" w:cs="Times New Roman"/>
                <w:kern w:val="0"/>
                <w:sz w:val="24"/>
                <w:szCs w:val="24"/>
                <w:highlight w:val="none"/>
                <w:lang w:eastAsia="zh-CN"/>
              </w:rPr>
              <w:t>由表可知：</w:t>
            </w:r>
          </w:p>
          <w:p w14:paraId="70E93F3D">
            <w:pPr>
              <w:autoSpaceDE w:val="0"/>
              <w:autoSpaceDN w:val="0"/>
              <w:spacing w:line="360" w:lineRule="auto"/>
              <w:ind w:firstLine="480" w:firstLineChars="200"/>
              <w:rPr>
                <w:rFonts w:hint="default" w:ascii="Times New Roman" w:hAnsi="Times New Roman" w:eastAsia="宋体" w:cs="Times New Roman"/>
                <w:kern w:val="0"/>
                <w:sz w:val="24"/>
                <w:szCs w:val="24"/>
                <w:highlight w:val="none"/>
                <w:lang w:eastAsia="zh-CN"/>
              </w:rPr>
            </w:pPr>
            <w:r>
              <w:rPr>
                <w:rFonts w:hint="default" w:ascii="Times New Roman" w:hAnsi="Times New Roman" w:eastAsia="宋体" w:cs="Times New Roman"/>
                <w:kern w:val="0"/>
                <w:sz w:val="24"/>
                <w:szCs w:val="24"/>
                <w:highlight w:val="none"/>
                <w:lang w:eastAsia="zh-CN"/>
              </w:rPr>
              <w:t>昼间：各声环境保护目标距井场最近距离为145.4～458m，均大于3套钻机组昼间达标距离34m和注浆站设备群昼间达标距离31m，因此昼间各敏感点噪声均可达标。</w:t>
            </w:r>
          </w:p>
          <w:p w14:paraId="54DAAAAC">
            <w:pPr>
              <w:autoSpaceDE w:val="0"/>
              <w:autoSpaceDN w:val="0"/>
              <w:spacing w:line="360" w:lineRule="auto"/>
              <w:ind w:firstLine="480" w:firstLineChars="200"/>
              <w:rPr>
                <w:rFonts w:hint="default" w:ascii="Times New Roman" w:hAnsi="Times New Roman" w:eastAsia="宋体" w:cs="Times New Roman"/>
                <w:kern w:val="0"/>
                <w:sz w:val="24"/>
                <w:szCs w:val="24"/>
                <w:highlight w:val="none"/>
                <w:lang w:eastAsia="zh-CN"/>
              </w:rPr>
            </w:pPr>
            <w:r>
              <w:rPr>
                <w:rFonts w:hint="default" w:ascii="Times New Roman" w:hAnsi="Times New Roman" w:eastAsia="宋体" w:cs="Times New Roman"/>
                <w:kern w:val="0"/>
                <w:sz w:val="24"/>
                <w:szCs w:val="24"/>
                <w:highlight w:val="none"/>
                <w:lang w:eastAsia="zh-CN"/>
              </w:rPr>
              <w:t>夜间：钻孔1（居民点A，162m）和钻孔10（居民点B，145.4m）距离井场较近，小于3套钻机组夜间达标距离193m，夜间噪声可能超过《声环境质量标准》（GB3096-2008）2类标准（50 dB(A)）。其余敏感点距离均大于193m，夜间可达标。</w:t>
            </w:r>
          </w:p>
          <w:p w14:paraId="2187ED51">
            <w:pPr>
              <w:autoSpaceDE w:val="0"/>
              <w:autoSpaceDN w:val="0"/>
              <w:spacing w:line="360" w:lineRule="auto"/>
              <w:ind w:firstLine="480" w:firstLineChars="200"/>
              <w:rPr>
                <w:rFonts w:hint="default" w:ascii="Times New Roman" w:hAnsi="Times New Roman" w:eastAsia="宋体" w:cs="Times New Roman"/>
                <w:kern w:val="0"/>
                <w:sz w:val="24"/>
                <w:szCs w:val="24"/>
                <w:highlight w:val="none"/>
                <w:lang w:eastAsia="zh-CN"/>
              </w:rPr>
            </w:pPr>
            <w:r>
              <w:rPr>
                <w:rFonts w:hint="eastAsia" w:cs="Times New Roman"/>
                <w:kern w:val="0"/>
                <w:sz w:val="24"/>
                <w:szCs w:val="24"/>
                <w:highlight w:val="none"/>
                <w:lang w:val="en-US" w:eastAsia="zh-CN"/>
              </w:rPr>
              <w:t>综上可知，</w:t>
            </w:r>
            <w:r>
              <w:rPr>
                <w:rFonts w:hint="default" w:ascii="Times New Roman" w:hAnsi="Times New Roman" w:eastAsia="宋体" w:cs="Times New Roman"/>
                <w:kern w:val="0"/>
                <w:sz w:val="24"/>
                <w:szCs w:val="24"/>
                <w:highlight w:val="none"/>
                <w:lang w:eastAsia="zh-CN"/>
              </w:rPr>
              <w:t>本项目施工期噪声源较多，单台设备噪声源强65～95 dB(A)，多声源叠加后噪声影响范围较大。昼间各声环境保护目标均可达标；夜间钻孔1（居民点A，162m）和钻孔10（居民点B，145.4m）距离较近，可能超过《声环境质量标准》（GB3096-2008）2类标准，需采取隔声屏障、禁止夜间高噪声作业等措施。在严格落实上述措施后，施工场界噪声可满足《建筑施工场界环境噪声排放标准》（GB12523-2025）限值要求，对周边居民点的影响可控制在可接受范围内。</w:t>
            </w:r>
          </w:p>
          <w:p w14:paraId="6072A79A">
            <w:pPr>
              <w:spacing w:line="360" w:lineRule="auto"/>
              <w:ind w:firstLine="482" w:firstLineChars="200"/>
              <w:rPr>
                <w:b/>
                <w:color w:val="auto"/>
                <w:sz w:val="24"/>
                <w:highlight w:val="none"/>
              </w:rPr>
            </w:pPr>
            <w:r>
              <w:rPr>
                <w:b/>
                <w:color w:val="auto"/>
                <w:sz w:val="24"/>
                <w:highlight w:val="none"/>
              </w:rPr>
              <w:t>（</w:t>
            </w:r>
            <w:r>
              <w:rPr>
                <w:rFonts w:hint="eastAsia"/>
                <w:b/>
                <w:color w:val="auto"/>
                <w:sz w:val="24"/>
                <w:highlight w:val="none"/>
              </w:rPr>
              <w:t>3</w:t>
            </w:r>
            <w:r>
              <w:rPr>
                <w:b/>
                <w:color w:val="auto"/>
                <w:sz w:val="24"/>
                <w:highlight w:val="none"/>
              </w:rPr>
              <w:t>）噪声污染防治措施</w:t>
            </w:r>
          </w:p>
          <w:p w14:paraId="6D9BEB5A">
            <w:pPr>
              <w:pStyle w:val="121"/>
              <w:spacing w:before="0" w:after="0" w:line="360" w:lineRule="auto"/>
              <w:ind w:firstLine="480" w:firstLineChars="200"/>
              <w:rPr>
                <w:rFonts w:eastAsia="宋体"/>
                <w:color w:val="auto"/>
                <w:sz w:val="24"/>
                <w:highlight w:val="none"/>
              </w:rPr>
            </w:pPr>
            <w:r>
              <w:rPr>
                <w:rFonts w:eastAsia="宋体"/>
                <w:color w:val="auto"/>
                <w:sz w:val="24"/>
                <w:highlight w:val="none"/>
              </w:rPr>
              <w:t>本次评价要求建设单位施工期间应落实以下噪声污染防治措施，尽量降低施工噪声对周边环境的影响，具体措施如下：</w:t>
            </w:r>
          </w:p>
          <w:p w14:paraId="3DBA4F6E">
            <w:pPr>
              <w:pStyle w:val="121"/>
              <w:spacing w:before="0" w:after="0" w:line="360" w:lineRule="auto"/>
              <w:ind w:firstLine="480" w:firstLineChars="200"/>
              <w:rPr>
                <w:rFonts w:eastAsia="宋体"/>
                <w:color w:val="auto"/>
                <w:sz w:val="24"/>
                <w:highlight w:val="none"/>
              </w:rPr>
            </w:pPr>
            <w:r>
              <w:rPr>
                <w:rFonts w:eastAsia="宋体"/>
                <w:color w:val="auto"/>
                <w:sz w:val="24"/>
                <w:highlight w:val="none"/>
              </w:rPr>
              <w:t>①合理确定施工场界：划定施工场界时，应在满足施工要求的前提下，尽量使高噪声、作业周期长的施工机械或设备的作业点与场界保持较远的距离，以减少施工噪声的影响。</w:t>
            </w:r>
          </w:p>
          <w:p w14:paraId="0DFEDC97">
            <w:pPr>
              <w:pStyle w:val="121"/>
              <w:spacing w:before="0" w:after="0" w:line="360" w:lineRule="auto"/>
              <w:ind w:firstLine="480" w:firstLineChars="200"/>
              <w:rPr>
                <w:rFonts w:eastAsia="宋体"/>
                <w:color w:val="auto"/>
                <w:sz w:val="24"/>
                <w:highlight w:val="none"/>
              </w:rPr>
            </w:pPr>
            <w:r>
              <w:rPr>
                <w:rFonts w:eastAsia="宋体"/>
                <w:color w:val="auto"/>
                <w:sz w:val="24"/>
                <w:highlight w:val="none"/>
              </w:rPr>
              <w:t>②尽量采用低噪声机械，减小噪声对周边环境的影响。本项目注浆施工设备均在注浆站内，位于室内，泥浆泵等设备设置隔声罩，通过这些措施后可减少项目施工对周边环境噪声的影响。</w:t>
            </w:r>
          </w:p>
          <w:p w14:paraId="1A249817">
            <w:pPr>
              <w:pStyle w:val="121"/>
              <w:spacing w:before="0" w:after="0" w:line="360" w:lineRule="auto"/>
              <w:ind w:firstLine="480" w:firstLineChars="200"/>
              <w:rPr>
                <w:rFonts w:eastAsia="宋体"/>
                <w:color w:val="auto"/>
                <w:sz w:val="24"/>
                <w:highlight w:val="none"/>
              </w:rPr>
            </w:pPr>
            <w:r>
              <w:rPr>
                <w:rFonts w:eastAsia="宋体"/>
                <w:color w:val="auto"/>
                <w:sz w:val="24"/>
                <w:highlight w:val="none"/>
              </w:rPr>
              <w:t>③高噪声设备定期维修、养护，减少机械设备由于松动部件的振动等而增加其工作时的声级；对闲置不用的设备及时关闭。</w:t>
            </w:r>
          </w:p>
          <w:p w14:paraId="43A6A126">
            <w:pPr>
              <w:pStyle w:val="121"/>
              <w:spacing w:before="0" w:after="0" w:line="360" w:lineRule="auto"/>
              <w:ind w:firstLine="480" w:firstLineChars="200"/>
              <w:rPr>
                <w:rFonts w:eastAsia="宋体"/>
                <w:color w:val="auto"/>
                <w:sz w:val="24"/>
                <w:highlight w:val="none"/>
              </w:rPr>
            </w:pPr>
            <w:r>
              <w:rPr>
                <w:rFonts w:eastAsia="宋体"/>
                <w:color w:val="auto"/>
                <w:sz w:val="24"/>
                <w:highlight w:val="none"/>
              </w:rPr>
              <w:t>④按规定操作机械设备，在施工过程中减少碰撞噪声，在支架拆卸等过程中减少碰撞噪声，减轻人为噪声对声环境的影响；施工单位应合理安排施工时间，避免高噪声施工机械在同一区域内使用</w:t>
            </w:r>
            <w:r>
              <w:rPr>
                <w:rFonts w:hint="eastAsia" w:eastAsia="宋体"/>
                <w:color w:val="auto"/>
                <w:sz w:val="24"/>
                <w:highlight w:val="none"/>
                <w:lang w:eastAsia="zh-CN"/>
              </w:rPr>
              <w:t>。</w:t>
            </w:r>
            <w:r>
              <w:rPr>
                <w:rFonts w:eastAsia="宋体"/>
                <w:color w:val="auto"/>
                <w:sz w:val="24"/>
                <w:highlight w:val="none"/>
              </w:rPr>
              <w:t>采用声屏障措施：建设单位应尽量在施工场地周围特别是临时施工场地距离居民区较近一侧设置临时隔音围挡，最大程度的减少对各敏感点的不利影响；</w:t>
            </w:r>
          </w:p>
          <w:p w14:paraId="1D512BF9">
            <w:pPr>
              <w:pStyle w:val="121"/>
              <w:spacing w:before="0" w:after="0" w:line="360" w:lineRule="auto"/>
              <w:ind w:firstLine="480" w:firstLineChars="200"/>
              <w:rPr>
                <w:rFonts w:eastAsia="宋体"/>
                <w:color w:val="auto"/>
                <w:sz w:val="24"/>
                <w:highlight w:val="none"/>
              </w:rPr>
            </w:pPr>
            <w:r>
              <w:rPr>
                <w:rFonts w:eastAsia="宋体"/>
                <w:color w:val="auto"/>
                <w:sz w:val="24"/>
                <w:highlight w:val="none"/>
              </w:rPr>
              <w:t>⑤降低车辆交通噪声：运输车辆应选择周边敏感场所少的运输路线，尽量远离集中居民区，运输活动应尽量安排在白天进行，施工期应加强管理，杜绝超载、超速，在途经环境敏感区域时，应减速慢行，禁止鸣笛，降低车辆交通噪声。</w:t>
            </w:r>
          </w:p>
          <w:p w14:paraId="4C882459">
            <w:pPr>
              <w:autoSpaceDE w:val="0"/>
              <w:autoSpaceDN w:val="0"/>
              <w:spacing w:line="360" w:lineRule="auto"/>
              <w:ind w:firstLine="480" w:firstLineChars="200"/>
              <w:rPr>
                <w:rFonts w:hint="default" w:ascii="Times New Roman" w:hAnsi="Times New Roman" w:eastAsia="宋体" w:cs="Times New Roman"/>
                <w:kern w:val="0"/>
                <w:sz w:val="24"/>
                <w:szCs w:val="24"/>
                <w:highlight w:val="none"/>
                <w:lang w:eastAsia="zh-CN"/>
              </w:rPr>
            </w:pPr>
            <w:r>
              <w:rPr>
                <w:rFonts w:eastAsia="宋体"/>
                <w:color w:val="auto"/>
                <w:sz w:val="24"/>
                <w:highlight w:val="none"/>
              </w:rPr>
              <w:t>⑥施工期在落实以上防治措施后，施工噪声对周边环境的影响将得到有效低。</w:t>
            </w:r>
            <w:r>
              <w:rPr>
                <w:rFonts w:hint="default" w:ascii="Times New Roman" w:hAnsi="Times New Roman" w:eastAsia="宋体" w:cs="Times New Roman"/>
                <w:kern w:val="0"/>
                <w:sz w:val="24"/>
                <w:szCs w:val="24"/>
                <w:highlight w:val="none"/>
                <w:lang w:eastAsia="zh-CN"/>
              </w:rPr>
              <w:t>施工噪声影响是暂时的，随施工结束而消失，不会造成长期环境影响。因此，本项目噪声污染环境影响可接受。</w:t>
            </w:r>
          </w:p>
          <w:p w14:paraId="12307AEA">
            <w:pPr>
              <w:spacing w:line="360" w:lineRule="auto"/>
              <w:ind w:firstLine="482" w:firstLineChars="200"/>
              <w:rPr>
                <w:b/>
                <w:color w:val="auto"/>
                <w:sz w:val="24"/>
                <w:highlight w:val="none"/>
              </w:rPr>
            </w:pPr>
            <w:r>
              <w:rPr>
                <w:b/>
                <w:color w:val="auto"/>
                <w:sz w:val="24"/>
                <w:highlight w:val="none"/>
              </w:rPr>
              <w:t>4、施工固体废物环境影响分析</w:t>
            </w:r>
          </w:p>
          <w:p w14:paraId="779D6CCD">
            <w:pPr>
              <w:spacing w:line="360" w:lineRule="auto"/>
              <w:ind w:firstLine="480" w:firstLineChars="200"/>
              <w:rPr>
                <w:bCs/>
                <w:color w:val="auto"/>
                <w:sz w:val="24"/>
                <w:highlight w:val="none"/>
              </w:rPr>
            </w:pPr>
            <w:r>
              <w:rPr>
                <w:bCs/>
                <w:color w:val="auto"/>
                <w:sz w:val="24"/>
                <w:highlight w:val="none"/>
              </w:rPr>
              <w:t>本项目产生的固体废物主要为一般固废、危险废物和生活垃圾。</w:t>
            </w:r>
          </w:p>
          <w:p w14:paraId="20AC5D87">
            <w:pPr>
              <w:spacing w:line="360" w:lineRule="auto"/>
              <w:ind w:firstLine="482" w:firstLineChars="200"/>
              <w:rPr>
                <w:b/>
                <w:bCs/>
                <w:color w:val="auto"/>
                <w:sz w:val="24"/>
                <w:highlight w:val="none"/>
              </w:rPr>
            </w:pPr>
            <w:r>
              <w:rPr>
                <w:b/>
                <w:bCs/>
                <w:color w:val="auto"/>
                <w:sz w:val="24"/>
                <w:highlight w:val="none"/>
              </w:rPr>
              <w:t>（1）一般固废：</w:t>
            </w:r>
          </w:p>
          <w:p w14:paraId="162458E5">
            <w:pPr>
              <w:spacing w:line="360" w:lineRule="auto"/>
              <w:ind w:firstLine="480" w:firstLineChars="200"/>
              <w:rPr>
                <w:bCs/>
                <w:color w:val="auto"/>
                <w:sz w:val="24"/>
                <w:highlight w:val="none"/>
              </w:rPr>
            </w:pPr>
            <w:r>
              <w:rPr>
                <w:bCs/>
                <w:color w:val="auto"/>
                <w:sz w:val="24"/>
                <w:highlight w:val="none"/>
              </w:rPr>
              <w:t>一般固废主要为废钻井泥浆、钻井岩屑和废包装材料。</w:t>
            </w:r>
          </w:p>
          <w:p w14:paraId="785EA45A">
            <w:pPr>
              <w:pStyle w:val="115"/>
              <w:numPr>
                <w:ilvl w:val="0"/>
                <w:numId w:val="7"/>
              </w:numPr>
              <w:spacing w:line="360" w:lineRule="auto"/>
              <w:ind w:firstLineChars="0"/>
              <w:rPr>
                <w:bCs/>
                <w:color w:val="auto"/>
                <w:sz w:val="24"/>
                <w:highlight w:val="none"/>
              </w:rPr>
            </w:pPr>
            <w:r>
              <w:rPr>
                <w:bCs/>
                <w:color w:val="auto"/>
                <w:sz w:val="24"/>
                <w:highlight w:val="none"/>
              </w:rPr>
              <w:t>废钻井泥浆</w:t>
            </w:r>
          </w:p>
          <w:p w14:paraId="08BC18B0">
            <w:pPr>
              <w:spacing w:line="360" w:lineRule="auto"/>
              <w:ind w:firstLine="480" w:firstLineChars="200"/>
              <w:rPr>
                <w:bCs/>
                <w:color w:val="000000" w:themeColor="text1"/>
                <w:sz w:val="24"/>
                <w:highlight w:val="none"/>
                <w14:textFill>
                  <w14:solidFill>
                    <w14:schemeClr w14:val="tx1"/>
                  </w14:solidFill>
                </w14:textFill>
              </w:rPr>
            </w:pPr>
            <w:r>
              <w:rPr>
                <w:bCs/>
                <w:color w:val="auto"/>
                <w:sz w:val="24"/>
                <w:highlight w:val="none"/>
              </w:rPr>
              <w:t>废钻井泥浆主要来源于被更换的不适于钻井工程和地质要求的钻井泥浆，因部分性能不合格而被排放的钻井泥浆以及钻井工程结束后多余的钻井泥浆。项目钻井泥浆为水基</w:t>
            </w:r>
            <w:r>
              <w:rPr>
                <w:bCs/>
                <w:color w:val="000000" w:themeColor="text1"/>
                <w:sz w:val="24"/>
                <w:highlight w:val="none"/>
                <w14:textFill>
                  <w14:solidFill>
                    <w14:schemeClr w14:val="tx1"/>
                  </w14:solidFill>
                </w14:textFill>
              </w:rPr>
              <w:t>泥浆。根据项目建设单位提供的数据，本项目</w:t>
            </w:r>
            <w:r>
              <w:rPr>
                <w:rFonts w:ascii="Segoe UI" w:hAnsi="Segoe UI" w:eastAsia="Segoe UI" w:cs="Segoe UI"/>
                <w:i w:val="0"/>
                <w:iCs w:val="0"/>
                <w:caps w:val="0"/>
                <w:color w:val="0F1115"/>
                <w:spacing w:val="0"/>
                <w:sz w:val="24"/>
                <w:szCs w:val="24"/>
                <w:shd w:val="clear" w:fill="FFFFFF"/>
              </w:rPr>
              <w:t>废泥浆产生量约为</w:t>
            </w:r>
            <w:r>
              <w:rPr>
                <w:rFonts w:hint="default" w:ascii="Times New Roman" w:hAnsi="Times New Roman" w:eastAsia="宋体" w:cs="Times New Roman"/>
                <w:b w:val="0"/>
                <w:bCs w:val="0"/>
                <w:i w:val="0"/>
                <w:iCs w:val="0"/>
                <w:caps w:val="0"/>
                <w:color w:val="0F1115"/>
                <w:spacing w:val="0"/>
                <w:sz w:val="24"/>
                <w:szCs w:val="24"/>
                <w:shd w:val="clear" w:fill="FFFFFF"/>
              </w:rPr>
              <w:t>0.2</w:t>
            </w:r>
            <w:r>
              <w:rPr>
                <w:rFonts w:hint="eastAsia" w:ascii="Times New Roman" w:hAnsi="Times New Roman" w:eastAsia="宋体" w:cs="Times New Roman"/>
                <w:b w:val="0"/>
                <w:bCs w:val="0"/>
                <w:i w:val="0"/>
                <w:iCs w:val="0"/>
                <w:caps w:val="0"/>
                <w:color w:val="0F1115"/>
                <w:spacing w:val="0"/>
                <w:sz w:val="24"/>
                <w:szCs w:val="24"/>
                <w:shd w:val="clear" w:fill="FFFFFF"/>
                <w:lang w:val="en-US" w:eastAsia="zh-CN"/>
              </w:rPr>
              <w:t>5</w:t>
            </w:r>
            <w:r>
              <w:rPr>
                <w:rFonts w:hint="default" w:ascii="Times New Roman" w:hAnsi="Times New Roman" w:eastAsia="宋体" w:cs="Times New Roman"/>
                <w:b w:val="0"/>
                <w:bCs w:val="0"/>
                <w:i w:val="0"/>
                <w:iCs w:val="0"/>
                <w:caps w:val="0"/>
                <w:color w:val="0F1115"/>
                <w:spacing w:val="0"/>
                <w:sz w:val="24"/>
                <w:szCs w:val="24"/>
                <w:shd w:val="clear" w:fill="FFFFFF"/>
              </w:rPr>
              <w:t>m³/m进尺</w:t>
            </w:r>
            <w:r>
              <w:rPr>
                <w:rFonts w:hint="default" w:ascii="Times New Roman" w:hAnsi="Times New Roman" w:eastAsia="宋体" w:cs="Times New Roman"/>
                <w:b w:val="0"/>
                <w:bCs w:val="0"/>
                <w:i w:val="0"/>
                <w:iCs w:val="0"/>
                <w:caps w:val="0"/>
                <w:color w:val="0F1115"/>
                <w:spacing w:val="0"/>
                <w:sz w:val="24"/>
                <w:szCs w:val="24"/>
                <w:shd w:val="clear" w:fill="FFFFFF"/>
                <w:lang w:eastAsia="zh-CN"/>
              </w:rPr>
              <w:t>，</w:t>
            </w:r>
            <w:r>
              <w:rPr>
                <w:rFonts w:hint="eastAsia" w:ascii="Times New Roman" w:hAnsi="Times New Roman" w:eastAsia="宋体" w:cs="Times New Roman"/>
                <w:b w:val="0"/>
                <w:bCs w:val="0"/>
                <w:i w:val="0"/>
                <w:iCs w:val="0"/>
                <w:caps w:val="0"/>
                <w:color w:val="0F1115"/>
                <w:spacing w:val="0"/>
                <w:sz w:val="24"/>
                <w:szCs w:val="24"/>
                <w:shd w:val="clear" w:fill="FFFFFF"/>
                <w:lang w:val="en-US" w:eastAsia="zh-CN"/>
              </w:rPr>
              <w:t>本项目11个钻孔总钻孔量约为3200m</w:t>
            </w:r>
            <w:r>
              <w:rPr>
                <w:bCs/>
                <w:color w:val="000000" w:themeColor="text1"/>
                <w:sz w:val="24"/>
                <w:highlight w:val="none"/>
                <w14:textFill>
                  <w14:solidFill>
                    <w14:schemeClr w14:val="tx1"/>
                  </w14:solidFill>
                </w14:textFill>
              </w:rPr>
              <w:t>，按照泥浆密度1.</w:t>
            </w:r>
            <w:r>
              <w:rPr>
                <w:rFonts w:hint="eastAsia"/>
                <w:bCs/>
                <w:color w:val="000000" w:themeColor="text1"/>
                <w:sz w:val="24"/>
                <w:highlight w:val="none"/>
                <w:lang w:val="en-US" w:eastAsia="zh-CN"/>
                <w14:textFill>
                  <w14:solidFill>
                    <w14:schemeClr w14:val="tx1"/>
                  </w14:solidFill>
                </w14:textFill>
              </w:rPr>
              <w:t>8</w:t>
            </w:r>
            <w:r>
              <w:rPr>
                <w:bCs/>
                <w:color w:val="000000" w:themeColor="text1"/>
                <w:sz w:val="24"/>
                <w:highlight w:val="none"/>
                <w14:textFill>
                  <w14:solidFill>
                    <w14:schemeClr w14:val="tx1"/>
                  </w14:solidFill>
                </w14:textFill>
              </w:rPr>
              <w:t>g/cm³计算，本项目</w:t>
            </w:r>
            <w:r>
              <w:rPr>
                <w:rFonts w:hint="eastAsia"/>
                <w:bCs/>
                <w:color w:val="000000" w:themeColor="text1"/>
                <w:sz w:val="24"/>
                <w:highlight w:val="none"/>
                <w:lang w:val="en-US" w:eastAsia="zh-CN"/>
                <w14:textFill>
                  <w14:solidFill>
                    <w14:schemeClr w14:val="tx1"/>
                  </w14:solidFill>
                </w14:textFill>
              </w:rPr>
              <w:t>11</w:t>
            </w:r>
            <w:r>
              <w:rPr>
                <w:bCs/>
                <w:color w:val="000000" w:themeColor="text1"/>
                <w:sz w:val="24"/>
                <w:highlight w:val="none"/>
                <w14:textFill>
                  <w14:solidFill>
                    <w14:schemeClr w14:val="tx1"/>
                  </w14:solidFill>
                </w14:textFill>
              </w:rPr>
              <w:t>处钻孔共产生废泥浆量为1</w:t>
            </w:r>
            <w:r>
              <w:rPr>
                <w:rFonts w:hint="eastAsia"/>
                <w:bCs/>
                <w:color w:val="000000" w:themeColor="text1"/>
                <w:sz w:val="24"/>
                <w:highlight w:val="none"/>
                <w:lang w:val="en-US" w:eastAsia="zh-CN"/>
                <w14:textFill>
                  <w14:solidFill>
                    <w14:schemeClr w14:val="tx1"/>
                  </w14:solidFill>
                </w14:textFill>
              </w:rPr>
              <w:t>440</w:t>
            </w:r>
            <w:r>
              <w:rPr>
                <w:bCs/>
                <w:color w:val="000000" w:themeColor="text1"/>
                <w:sz w:val="24"/>
                <w:highlight w:val="none"/>
                <w14:textFill>
                  <w14:solidFill>
                    <w14:schemeClr w14:val="tx1"/>
                  </w14:solidFill>
                </w14:textFill>
              </w:rPr>
              <w:t>t/a。施工过程中的钻井泥浆采用机械净化(固控系统)后循环使用，当泥浆不能满足回用要求后，废泥浆排入泥浆池内暂存，定期由第三方公司回收再利用。</w:t>
            </w:r>
          </w:p>
          <w:p w14:paraId="01B39162">
            <w:pPr>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②钻井岩屑</w:t>
            </w:r>
          </w:p>
          <w:p w14:paraId="1EA861D5">
            <w:pPr>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钻井岩屑是在钻井过程中钻头切屑地层岩石而产生的碎屑，并通过钻井泥浆带出至地面，主要成分为岩石、土壤及钻井泥浆，其产生量与井眼长度、平均井径有关。</w:t>
            </w:r>
          </w:p>
          <w:p w14:paraId="1F71AEDB">
            <w:pPr>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根据项目建设单位提供的数据，本项目</w:t>
            </w:r>
            <w:r>
              <w:rPr>
                <w:rFonts w:hint="eastAsia"/>
                <w:bCs/>
                <w:color w:val="000000" w:themeColor="text1"/>
                <w:sz w:val="24"/>
                <w:highlight w:val="none"/>
                <w:lang w:val="en-US" w:eastAsia="zh-CN"/>
                <w14:textFill>
                  <w14:solidFill>
                    <w14:schemeClr w14:val="tx1"/>
                  </w14:solidFill>
                </w14:textFill>
              </w:rPr>
              <w:t>11</w:t>
            </w:r>
            <w:r>
              <w:rPr>
                <w:bCs/>
                <w:color w:val="000000" w:themeColor="text1"/>
                <w:sz w:val="24"/>
                <w:highlight w:val="none"/>
                <w14:textFill>
                  <w14:solidFill>
                    <w14:schemeClr w14:val="tx1"/>
                  </w14:solidFill>
                </w14:textFill>
              </w:rPr>
              <w:t>处钻孔岩屑产生量为</w:t>
            </w:r>
            <w:r>
              <w:rPr>
                <w:rFonts w:hint="eastAsia"/>
                <w:bCs/>
                <w:color w:val="000000" w:themeColor="text1"/>
                <w:sz w:val="24"/>
                <w:highlight w:val="none"/>
                <w:lang w:val="en-US" w:eastAsia="zh-CN"/>
                <w14:textFill>
                  <w14:solidFill>
                    <w14:schemeClr w14:val="tx1"/>
                  </w14:solidFill>
                </w14:textFill>
              </w:rPr>
              <w:t>250</w:t>
            </w:r>
            <w:r>
              <w:rPr>
                <w:bCs/>
                <w:color w:val="000000" w:themeColor="text1"/>
                <w:sz w:val="24"/>
                <w:highlight w:val="none"/>
                <w14:textFill>
                  <w14:solidFill>
                    <w14:schemeClr w14:val="tx1"/>
                  </w14:solidFill>
                </w14:textFill>
              </w:rPr>
              <w:t>m³，按照密度2.</w:t>
            </w:r>
            <w:r>
              <w:rPr>
                <w:rFonts w:hint="eastAsia"/>
                <w:bCs/>
                <w:color w:val="000000" w:themeColor="text1"/>
                <w:sz w:val="24"/>
                <w:highlight w:val="none"/>
                <w:lang w:val="en-US" w:eastAsia="zh-CN"/>
                <w14:textFill>
                  <w14:solidFill>
                    <w14:schemeClr w14:val="tx1"/>
                  </w14:solidFill>
                </w14:textFill>
              </w:rPr>
              <w:t>7t</w:t>
            </w:r>
            <w:r>
              <w:rPr>
                <w:bCs/>
                <w:color w:val="000000" w:themeColor="text1"/>
                <w:sz w:val="24"/>
                <w:highlight w:val="none"/>
                <w14:textFill>
                  <w14:solidFill>
                    <w14:schemeClr w14:val="tx1"/>
                  </w14:solidFill>
                </w14:textFill>
              </w:rPr>
              <w:t>/m</w:t>
            </w:r>
            <w:r>
              <w:rPr>
                <w:bCs/>
                <w:color w:val="000000" w:themeColor="text1"/>
                <w:sz w:val="24"/>
                <w:highlight w:val="none"/>
                <w:vertAlign w:val="superscript"/>
                <w14:textFill>
                  <w14:solidFill>
                    <w14:schemeClr w14:val="tx1"/>
                  </w14:solidFill>
                </w14:textFill>
              </w:rPr>
              <w:t>3</w:t>
            </w:r>
            <w:r>
              <w:rPr>
                <w:bCs/>
                <w:color w:val="000000" w:themeColor="text1"/>
                <w:sz w:val="24"/>
                <w:highlight w:val="none"/>
                <w14:textFill>
                  <w14:solidFill>
                    <w14:schemeClr w14:val="tx1"/>
                  </w14:solidFill>
                </w14:textFill>
              </w:rPr>
              <w:t>计算，钻孔钻井岩屑产生量为</w:t>
            </w:r>
            <w:r>
              <w:rPr>
                <w:rFonts w:hint="eastAsia"/>
                <w:bCs/>
                <w:color w:val="000000" w:themeColor="text1"/>
                <w:sz w:val="24"/>
                <w:highlight w:val="none"/>
                <w:lang w:val="en-US" w:eastAsia="zh-CN"/>
                <w14:textFill>
                  <w14:solidFill>
                    <w14:schemeClr w14:val="tx1"/>
                  </w14:solidFill>
                </w14:textFill>
              </w:rPr>
              <w:t>675</w:t>
            </w:r>
            <w:r>
              <w:rPr>
                <w:bCs/>
                <w:color w:val="000000" w:themeColor="text1"/>
                <w:sz w:val="24"/>
                <w:highlight w:val="none"/>
                <w14:textFill>
                  <w14:solidFill>
                    <w14:schemeClr w14:val="tx1"/>
                  </w14:solidFill>
                </w14:textFill>
              </w:rPr>
              <w:t>t，产生的废屑暂存于固废池。由于本项目使用水基泥浆钻，该阶段产生的岩屑未被列入《国家危险废物名录》（2025年版）中规定的危险废物。收集后定期交由第三方公司综合利用。</w:t>
            </w:r>
          </w:p>
          <w:p w14:paraId="7E30012D">
            <w:pPr>
              <w:pStyle w:val="115"/>
              <w:spacing w:line="360" w:lineRule="auto"/>
              <w:ind w:left="480" w:firstLine="0" w:firstLineChars="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③废包装材料</w:t>
            </w:r>
          </w:p>
          <w:p w14:paraId="31B8E3B8">
            <w:pPr>
              <w:spacing w:line="360" w:lineRule="auto"/>
              <w:ind w:firstLine="480" w:firstLineChars="200"/>
              <w:rPr>
                <w:b w:val="0"/>
                <w:bCs w:val="0"/>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本项目在钻井过程中会使用一定量的原辅材料，根据企业提供资料，废包装袋产生量约为</w:t>
            </w:r>
            <w:r>
              <w:rPr>
                <w:bCs/>
                <w:color w:val="000000" w:themeColor="text1"/>
                <w:sz w:val="24"/>
                <w:highlight w:val="none"/>
                <w14:textFill>
                  <w14:solidFill>
                    <w14:schemeClr w14:val="tx1"/>
                  </w14:solidFill>
                </w14:textFill>
              </w:rPr>
              <w:t>0.8t</w:t>
            </w:r>
            <w:r>
              <w:rPr>
                <w:color w:val="000000" w:themeColor="text1"/>
                <w:sz w:val="24"/>
                <w:highlight w:val="none"/>
                <w14:textFill>
                  <w14:solidFill>
                    <w14:schemeClr w14:val="tx1"/>
                  </w14:solidFill>
                </w14:textFill>
              </w:rPr>
              <w:t>，集</w:t>
            </w:r>
            <w:r>
              <w:rPr>
                <w:b w:val="0"/>
                <w:bCs w:val="0"/>
                <w:color w:val="000000" w:themeColor="text1"/>
                <w:sz w:val="24"/>
                <w:highlight w:val="none"/>
                <w14:textFill>
                  <w14:solidFill>
                    <w14:schemeClr w14:val="tx1"/>
                  </w14:solidFill>
                </w14:textFill>
              </w:rPr>
              <w:t>中收集后外售处理。</w:t>
            </w:r>
          </w:p>
          <w:p w14:paraId="7B7BA795">
            <w:pPr>
              <w:spacing w:line="360" w:lineRule="auto"/>
              <w:ind w:firstLine="480" w:firstLineChars="200"/>
              <w:rPr>
                <w:rFonts w:hint="default" w:ascii="Times New Roman" w:hAnsi="Times New Roman" w:eastAsia="宋体" w:cs="Times New Roman"/>
                <w:b w:val="0"/>
                <w:bCs w:val="0"/>
                <w:i w:val="0"/>
                <w:iCs w:val="0"/>
                <w:caps w:val="0"/>
                <w:color w:val="0F1115"/>
                <w:spacing w:val="0"/>
                <w:sz w:val="24"/>
                <w:szCs w:val="24"/>
                <w:shd w:val="clear" w:fill="FFFFFF"/>
              </w:rPr>
            </w:pPr>
            <w:r>
              <w:rPr>
                <w:rFonts w:hint="default" w:ascii="Times New Roman" w:hAnsi="Times New Roman" w:eastAsia="宋体" w:cs="Times New Roman"/>
                <w:b w:val="0"/>
                <w:bCs w:val="0"/>
                <w:i w:val="0"/>
                <w:iCs w:val="0"/>
                <w:caps w:val="0"/>
                <w:color w:val="0F1115"/>
                <w:spacing w:val="0"/>
                <w:sz w:val="24"/>
                <w:szCs w:val="24"/>
                <w:shd w:val="clear" w:fill="FFFFFF"/>
              </w:rPr>
              <w:t>④废焊条及焊渣</w:t>
            </w:r>
          </w:p>
          <w:p w14:paraId="747F28A6">
            <w:pPr>
              <w:spacing w:line="360" w:lineRule="auto"/>
              <w:ind w:firstLine="480" w:firstLineChars="200"/>
              <w:rPr>
                <w:rFonts w:hint="default" w:ascii="Times New Roman" w:hAnsi="Times New Roman" w:eastAsia="宋体" w:cs="Times New Roman"/>
              </w:rPr>
            </w:pPr>
            <w:r>
              <w:rPr>
                <w:rFonts w:hint="default" w:ascii="Times New Roman" w:hAnsi="Times New Roman" w:eastAsia="宋体" w:cs="Times New Roman"/>
                <w:b w:val="0"/>
                <w:bCs w:val="0"/>
                <w:i w:val="0"/>
                <w:iCs w:val="0"/>
                <w:caps w:val="0"/>
                <w:color w:val="0F1115"/>
                <w:spacing w:val="0"/>
                <w:sz w:val="24"/>
                <w:szCs w:val="24"/>
                <w:shd w:val="clear" w:fill="FFFFFF"/>
              </w:rPr>
              <w:t>电焊机作业过程中产生少量废焊条头及焊渣，产生量约0.05t/a。废焊条和焊渣属于一般工业固体废物，</w:t>
            </w:r>
            <w:r>
              <w:rPr>
                <w:rFonts w:hint="default" w:ascii="Times New Roman" w:hAnsi="Times New Roman" w:eastAsia="宋体" w:cs="Times New Roman"/>
                <w:i w:val="0"/>
                <w:iCs w:val="0"/>
                <w:caps w:val="0"/>
                <w:color w:val="0F1115"/>
                <w:spacing w:val="0"/>
                <w:sz w:val="24"/>
                <w:szCs w:val="24"/>
                <w:shd w:val="clear" w:fill="FFFFFF"/>
              </w:rPr>
              <w:t>集中收集后交由物资回收公司进行综合利用，严禁随意丢弃。</w:t>
            </w:r>
          </w:p>
          <w:p w14:paraId="0BFBF4E0">
            <w:pPr>
              <w:spacing w:line="360" w:lineRule="auto"/>
              <w:ind w:firstLine="482" w:firstLineChars="200"/>
              <w:rPr>
                <w:b/>
                <w:bCs/>
                <w:color w:val="auto"/>
                <w:sz w:val="24"/>
                <w:highlight w:val="none"/>
              </w:rPr>
            </w:pPr>
            <w:r>
              <w:rPr>
                <w:b/>
                <w:bCs/>
                <w:color w:val="auto"/>
                <w:sz w:val="24"/>
                <w:highlight w:val="none"/>
              </w:rPr>
              <w:t>（2）危险废物：</w:t>
            </w:r>
          </w:p>
          <w:p w14:paraId="47108C98">
            <w:pPr>
              <w:spacing w:line="360" w:lineRule="auto"/>
              <w:ind w:firstLine="480" w:firstLineChars="200"/>
              <w:rPr>
                <w:bCs/>
                <w:color w:val="auto"/>
                <w:sz w:val="24"/>
                <w:highlight w:val="none"/>
              </w:rPr>
            </w:pPr>
            <w:r>
              <w:rPr>
                <w:bCs/>
                <w:color w:val="auto"/>
                <w:sz w:val="24"/>
                <w:highlight w:val="none"/>
              </w:rPr>
              <w:t>危险废物主要为废润滑油、废润滑油桶、分类后的废含油抹布和废含油手套。</w:t>
            </w:r>
          </w:p>
          <w:p w14:paraId="06773231">
            <w:pPr>
              <w:pStyle w:val="115"/>
              <w:numPr>
                <w:ilvl w:val="0"/>
                <w:numId w:val="8"/>
              </w:numPr>
              <w:spacing w:line="360" w:lineRule="auto"/>
              <w:ind w:firstLineChars="0"/>
              <w:rPr>
                <w:bCs/>
                <w:color w:val="auto"/>
                <w:sz w:val="24"/>
                <w:highlight w:val="none"/>
              </w:rPr>
            </w:pPr>
            <w:r>
              <w:rPr>
                <w:bCs/>
                <w:color w:val="auto"/>
                <w:sz w:val="24"/>
                <w:highlight w:val="none"/>
              </w:rPr>
              <w:t>废润滑油</w:t>
            </w:r>
          </w:p>
          <w:p w14:paraId="2BAC05D8">
            <w:pPr>
              <w:spacing w:line="360" w:lineRule="auto"/>
              <w:ind w:firstLine="480" w:firstLineChars="200"/>
              <w:rPr>
                <w:bCs/>
                <w:color w:val="000000" w:themeColor="text1"/>
                <w:sz w:val="24"/>
                <w:highlight w:val="none"/>
                <w14:textFill>
                  <w14:solidFill>
                    <w14:schemeClr w14:val="tx1"/>
                  </w14:solidFill>
                </w14:textFill>
              </w:rPr>
            </w:pPr>
            <w:r>
              <w:rPr>
                <w:bCs/>
                <w:color w:val="auto"/>
                <w:sz w:val="24"/>
                <w:highlight w:val="none"/>
              </w:rPr>
              <w:t>钻井期间，机械设备运行及维护过程中会产生废润滑油，产生量</w:t>
            </w:r>
            <w:r>
              <w:rPr>
                <w:bCs/>
                <w:color w:val="000000" w:themeColor="text1"/>
                <w:sz w:val="24"/>
                <w:highlight w:val="none"/>
                <w14:textFill>
                  <w14:solidFill>
                    <w14:schemeClr w14:val="tx1"/>
                  </w14:solidFill>
                </w14:textFill>
              </w:rPr>
              <w:t>为0.</w:t>
            </w:r>
            <w:r>
              <w:rPr>
                <w:rFonts w:hint="eastAsia"/>
                <w:bCs/>
                <w:color w:val="000000" w:themeColor="text1"/>
                <w:sz w:val="24"/>
                <w:highlight w:val="none"/>
                <w:lang w:val="en-US" w:eastAsia="zh-CN"/>
                <w14:textFill>
                  <w14:solidFill>
                    <w14:schemeClr w14:val="tx1"/>
                  </w14:solidFill>
                </w14:textFill>
              </w:rPr>
              <w:t>2</w:t>
            </w:r>
            <w:r>
              <w:rPr>
                <w:bCs/>
                <w:color w:val="000000" w:themeColor="text1"/>
                <w:sz w:val="24"/>
                <w:highlight w:val="none"/>
                <w14:textFill>
                  <w14:solidFill>
                    <w14:schemeClr w14:val="tx1"/>
                  </w14:solidFill>
                </w14:textFill>
              </w:rPr>
              <w:t>t，</w:t>
            </w:r>
            <w:r>
              <w:rPr>
                <w:color w:val="000000" w:themeColor="text1"/>
                <w:sz w:val="24"/>
                <w:highlight w:val="none"/>
                <w14:textFill>
                  <w14:solidFill>
                    <w14:schemeClr w14:val="tx1"/>
                  </w14:solidFill>
                </w14:textFill>
              </w:rPr>
              <w:t>根据《国家危险废物名录》（2025年版）可知</w:t>
            </w:r>
            <w:r>
              <w:rPr>
                <w:bCs/>
                <w:color w:val="000000" w:themeColor="text1"/>
                <w:sz w:val="24"/>
                <w:highlight w:val="none"/>
                <w14:textFill>
                  <w14:solidFill>
                    <w14:schemeClr w14:val="tx1"/>
                  </w14:solidFill>
                </w14:textFill>
              </w:rPr>
              <w:t>废润滑油</w:t>
            </w:r>
            <w:r>
              <w:rPr>
                <w:color w:val="000000" w:themeColor="text1"/>
                <w:sz w:val="24"/>
                <w:highlight w:val="none"/>
                <w14:textFill>
                  <w14:solidFill>
                    <w14:schemeClr w14:val="tx1"/>
                  </w14:solidFill>
                </w14:textFill>
              </w:rPr>
              <w:t>属于危险废物，</w:t>
            </w:r>
            <w:r>
              <w:rPr>
                <w:bCs/>
                <w:color w:val="000000" w:themeColor="text1"/>
                <w:sz w:val="24"/>
                <w:highlight w:val="none"/>
                <w14:textFill>
                  <w14:solidFill>
                    <w14:schemeClr w14:val="tx1"/>
                  </w14:solidFill>
                </w14:textFill>
              </w:rPr>
              <w:t>废物类别编号为</w:t>
            </w:r>
            <w:r>
              <w:rPr>
                <w:color w:val="000000" w:themeColor="text1"/>
                <w:sz w:val="24"/>
                <w:highlight w:val="none"/>
                <w14:textFill>
                  <w14:solidFill>
                    <w14:schemeClr w14:val="tx1"/>
                  </w14:solidFill>
                </w14:textFill>
              </w:rPr>
              <w:t>HW08，危废代码为900-214-08，集中收集后</w:t>
            </w:r>
            <w:r>
              <w:rPr>
                <w:bCs/>
                <w:color w:val="000000" w:themeColor="text1"/>
                <w:sz w:val="24"/>
                <w:highlight w:val="none"/>
                <w14:textFill>
                  <w14:solidFill>
                    <w14:schemeClr w14:val="tx1"/>
                  </w14:solidFill>
                </w14:textFill>
              </w:rPr>
              <w:t>暂存于危险废物暂存间内，定期交由有资质单位处置。</w:t>
            </w:r>
          </w:p>
          <w:p w14:paraId="101D60F2">
            <w:pPr>
              <w:pStyle w:val="115"/>
              <w:numPr>
                <w:ilvl w:val="0"/>
                <w:numId w:val="8"/>
              </w:numPr>
              <w:spacing w:line="360" w:lineRule="auto"/>
              <w:ind w:firstLineChars="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废润滑油桶</w:t>
            </w:r>
          </w:p>
          <w:p w14:paraId="73BFE9EF">
            <w:pPr>
              <w:spacing w:line="360" w:lineRule="auto"/>
              <w:ind w:firstLine="480" w:firstLineChars="200"/>
              <w:rPr>
                <w:bCs/>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润滑油使用量为</w:t>
            </w:r>
            <w:r>
              <w:rPr>
                <w:bCs/>
                <w:color w:val="000000" w:themeColor="text1"/>
                <w:sz w:val="24"/>
                <w:highlight w:val="none"/>
                <w14:textFill>
                  <w14:solidFill>
                    <w14:schemeClr w14:val="tx1"/>
                  </w14:solidFill>
                </w14:textFill>
              </w:rPr>
              <w:t>0.</w:t>
            </w:r>
            <w:r>
              <w:rPr>
                <w:rFonts w:hint="eastAsia"/>
                <w:bCs/>
                <w:color w:val="000000" w:themeColor="text1"/>
                <w:sz w:val="24"/>
                <w:highlight w:val="none"/>
                <w:lang w:val="en-US" w:eastAsia="zh-CN"/>
                <w14:textFill>
                  <w14:solidFill>
                    <w14:schemeClr w14:val="tx1"/>
                  </w14:solidFill>
                </w14:textFill>
              </w:rPr>
              <w:t>6</w:t>
            </w:r>
            <w:r>
              <w:rPr>
                <w:bCs/>
                <w:color w:val="000000" w:themeColor="text1"/>
                <w:sz w:val="24"/>
                <w:highlight w:val="none"/>
                <w14:textFill>
                  <w14:solidFill>
                    <w14:schemeClr w14:val="tx1"/>
                  </w14:solidFill>
                </w14:textFill>
              </w:rPr>
              <w:t>t/a</w:t>
            </w:r>
            <w:r>
              <w:rPr>
                <w:color w:val="000000" w:themeColor="text1"/>
                <w:sz w:val="24"/>
                <w:highlight w:val="none"/>
                <w14:textFill>
                  <w14:solidFill>
                    <w14:schemeClr w14:val="tx1"/>
                  </w14:solidFill>
                </w14:textFill>
              </w:rPr>
              <w:t>，每桶重200kg，每年</w:t>
            </w:r>
            <w:r>
              <w:rPr>
                <w:rFonts w:hint="eastAsia"/>
                <w:color w:val="000000" w:themeColor="text1"/>
                <w:sz w:val="24"/>
                <w:highlight w:val="none"/>
                <w:lang w:val="en-US" w:eastAsia="zh-CN"/>
                <w14:textFill>
                  <w14:solidFill>
                    <w14:schemeClr w14:val="tx1"/>
                  </w14:solidFill>
                </w14:textFill>
              </w:rPr>
              <w:t>大约</w:t>
            </w:r>
            <w:r>
              <w:rPr>
                <w:color w:val="000000" w:themeColor="text1"/>
                <w:sz w:val="24"/>
                <w:highlight w:val="none"/>
                <w14:textFill>
                  <w14:solidFill>
                    <w14:schemeClr w14:val="tx1"/>
                  </w14:solidFill>
                </w14:textFill>
              </w:rPr>
              <w:t>产生</w:t>
            </w:r>
            <w:r>
              <w:rPr>
                <w:rFonts w:hint="eastAsia"/>
                <w:color w:val="000000" w:themeColor="text1"/>
                <w:sz w:val="24"/>
                <w:highlight w:val="none"/>
                <w:lang w:val="en-US" w:eastAsia="zh-CN"/>
                <w14:textFill>
                  <w14:solidFill>
                    <w14:schemeClr w14:val="tx1"/>
                  </w14:solidFill>
                </w14:textFill>
              </w:rPr>
              <w:t>3</w:t>
            </w:r>
            <w:r>
              <w:rPr>
                <w:color w:val="000000" w:themeColor="text1"/>
                <w:sz w:val="24"/>
                <w:highlight w:val="none"/>
                <w14:textFill>
                  <w14:solidFill>
                    <w14:schemeClr w14:val="tx1"/>
                  </w14:solidFill>
                </w14:textFill>
              </w:rPr>
              <w:t>个润滑油桶。由于每个润滑油空桶重0.01t，故废润滑油桶产生量为0.0</w:t>
            </w:r>
            <w:r>
              <w:rPr>
                <w:rFonts w:hint="eastAsia"/>
                <w:color w:val="000000" w:themeColor="text1"/>
                <w:sz w:val="24"/>
                <w:highlight w:val="none"/>
                <w:lang w:val="en-US" w:eastAsia="zh-CN"/>
                <w14:textFill>
                  <w14:solidFill>
                    <w14:schemeClr w14:val="tx1"/>
                  </w14:solidFill>
                </w14:textFill>
              </w:rPr>
              <w:t>3</w:t>
            </w:r>
            <w:r>
              <w:rPr>
                <w:color w:val="000000" w:themeColor="text1"/>
                <w:sz w:val="24"/>
                <w:highlight w:val="none"/>
                <w14:textFill>
                  <w14:solidFill>
                    <w14:schemeClr w14:val="tx1"/>
                  </w14:solidFill>
                </w14:textFill>
              </w:rPr>
              <w:t>t，根据《国家危险废物名录》（202</w:t>
            </w:r>
            <w:r>
              <w:rPr>
                <w:rFonts w:hint="eastAsia"/>
                <w:color w:val="000000" w:themeColor="text1"/>
                <w:sz w:val="24"/>
                <w:highlight w:val="none"/>
                <w:lang w:val="en-US" w:eastAsia="zh-CN"/>
                <w14:textFill>
                  <w14:solidFill>
                    <w14:schemeClr w14:val="tx1"/>
                  </w14:solidFill>
                </w14:textFill>
              </w:rPr>
              <w:t>5</w:t>
            </w:r>
            <w:r>
              <w:rPr>
                <w:color w:val="000000" w:themeColor="text1"/>
                <w:sz w:val="24"/>
                <w:highlight w:val="none"/>
                <w14:textFill>
                  <w14:solidFill>
                    <w14:schemeClr w14:val="tx1"/>
                  </w14:solidFill>
                </w14:textFill>
              </w:rPr>
              <w:t>年版）可知</w:t>
            </w:r>
            <w:r>
              <w:rPr>
                <w:bCs/>
                <w:color w:val="000000" w:themeColor="text1"/>
                <w:sz w:val="24"/>
                <w:highlight w:val="none"/>
                <w14:textFill>
                  <w14:solidFill>
                    <w14:schemeClr w14:val="tx1"/>
                  </w14:solidFill>
                </w14:textFill>
              </w:rPr>
              <w:t>废润滑油桶</w:t>
            </w:r>
            <w:r>
              <w:rPr>
                <w:color w:val="000000" w:themeColor="text1"/>
                <w:sz w:val="24"/>
                <w:highlight w:val="none"/>
                <w14:textFill>
                  <w14:solidFill>
                    <w14:schemeClr w14:val="tx1"/>
                  </w14:solidFill>
                </w14:textFill>
              </w:rPr>
              <w:t>属于危险废物，</w:t>
            </w:r>
            <w:r>
              <w:rPr>
                <w:bCs/>
                <w:color w:val="000000" w:themeColor="text1"/>
                <w:sz w:val="24"/>
                <w:highlight w:val="none"/>
                <w14:textFill>
                  <w14:solidFill>
                    <w14:schemeClr w14:val="tx1"/>
                  </w14:solidFill>
                </w14:textFill>
              </w:rPr>
              <w:t>废物类别编号为</w:t>
            </w:r>
            <w:r>
              <w:rPr>
                <w:color w:val="000000" w:themeColor="text1"/>
                <w:sz w:val="24"/>
                <w:highlight w:val="none"/>
                <w14:textFill>
                  <w14:solidFill>
                    <w14:schemeClr w14:val="tx1"/>
                  </w14:solidFill>
                </w14:textFill>
              </w:rPr>
              <w:t>HW49，危废代码为900-041-49，集中收集后</w:t>
            </w:r>
            <w:r>
              <w:rPr>
                <w:bCs/>
                <w:color w:val="000000" w:themeColor="text1"/>
                <w:sz w:val="24"/>
                <w:highlight w:val="none"/>
                <w14:textFill>
                  <w14:solidFill>
                    <w14:schemeClr w14:val="tx1"/>
                  </w14:solidFill>
                </w14:textFill>
              </w:rPr>
              <w:t>暂存于危险废物暂存间内，定期交由有资质单位处置。</w:t>
            </w:r>
          </w:p>
          <w:p w14:paraId="3138AE06">
            <w:pPr>
              <w:pStyle w:val="115"/>
              <w:numPr>
                <w:ilvl w:val="0"/>
                <w:numId w:val="8"/>
              </w:numPr>
              <w:spacing w:line="360" w:lineRule="auto"/>
              <w:ind w:firstLineChars="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分类后的废含油抹布和废含油手套</w:t>
            </w:r>
          </w:p>
          <w:p w14:paraId="06B6CA73">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钻井期间，机械设备运转及维护过程中会产生分类后的废含油抹布和废含油手套，根据企业提供资料，分类后的废含油抹布和废含油手套产生量约为0.04t。根据《国家危险废物名录》（2025年版）可知，分类后的废含油抹布和废含油手套属于危险废物，废物类别编号为HW49，废物代码为900-041-49，集中收集暂存于危险废物暂存间内，定期交由有资质单位处置。</w:t>
            </w:r>
          </w:p>
          <w:p w14:paraId="7280BF22">
            <w:pPr>
              <w:spacing w:line="360" w:lineRule="auto"/>
              <w:ind w:firstLine="482" w:firstLineChars="200"/>
              <w:rPr>
                <w:b/>
                <w:color w:val="auto"/>
                <w:sz w:val="24"/>
                <w:highlight w:val="none"/>
              </w:rPr>
            </w:pPr>
            <w:r>
              <w:rPr>
                <w:b/>
                <w:color w:val="auto"/>
                <w:sz w:val="24"/>
                <w:highlight w:val="none"/>
              </w:rPr>
              <w:t>（3）生活垃圾：</w:t>
            </w:r>
          </w:p>
          <w:p w14:paraId="34C67161">
            <w:pPr>
              <w:spacing w:line="360" w:lineRule="auto"/>
              <w:ind w:firstLine="480" w:firstLineChars="200"/>
              <w:rPr>
                <w:color w:val="auto"/>
                <w:sz w:val="24"/>
                <w:highlight w:val="none"/>
              </w:rPr>
            </w:pPr>
            <w:r>
              <w:rPr>
                <w:color w:val="auto"/>
                <w:sz w:val="24"/>
                <w:highlight w:val="none"/>
              </w:rPr>
              <w:t>本项目劳动定员</w:t>
            </w:r>
            <w:r>
              <w:rPr>
                <w:rFonts w:hint="eastAsia"/>
                <w:color w:val="auto"/>
                <w:sz w:val="24"/>
                <w:highlight w:val="none"/>
                <w:lang w:val="en-US" w:eastAsia="zh-CN"/>
              </w:rPr>
              <w:t>20</w:t>
            </w:r>
            <w:r>
              <w:rPr>
                <w:color w:val="auto"/>
                <w:sz w:val="24"/>
                <w:highlight w:val="none"/>
              </w:rPr>
              <w:t>人，施工现场不设施工营地，生活垃圾按0.5kg/人 d计算，则生活垃圾的产生量为</w:t>
            </w:r>
            <w:r>
              <w:rPr>
                <w:rFonts w:hint="eastAsia"/>
                <w:color w:val="auto"/>
                <w:sz w:val="24"/>
                <w:highlight w:val="none"/>
                <w:lang w:val="en-US" w:eastAsia="zh-CN"/>
              </w:rPr>
              <w:t>10.0</w:t>
            </w:r>
            <w:r>
              <w:rPr>
                <w:color w:val="auto"/>
                <w:sz w:val="24"/>
                <w:highlight w:val="none"/>
              </w:rPr>
              <w:t>kg/d（</w:t>
            </w:r>
            <w:r>
              <w:rPr>
                <w:rFonts w:hint="eastAsia"/>
                <w:color w:val="auto"/>
                <w:sz w:val="24"/>
                <w:highlight w:val="none"/>
                <w:lang w:val="en-US" w:eastAsia="zh-CN"/>
              </w:rPr>
              <w:t>3.65</w:t>
            </w:r>
            <w:r>
              <w:rPr>
                <w:color w:val="auto"/>
                <w:sz w:val="24"/>
                <w:highlight w:val="none"/>
              </w:rPr>
              <w:t>t，施工期</w:t>
            </w:r>
            <w:r>
              <w:rPr>
                <w:rFonts w:hint="eastAsia"/>
                <w:color w:val="auto"/>
                <w:sz w:val="24"/>
                <w:highlight w:val="none"/>
                <w:lang w:val="en-US" w:eastAsia="zh-CN"/>
              </w:rPr>
              <w:t>365</w:t>
            </w:r>
            <w:r>
              <w:rPr>
                <w:color w:val="auto"/>
                <w:sz w:val="24"/>
                <w:highlight w:val="none"/>
              </w:rPr>
              <w:t>天计算）。产生的生活垃圾依托附近居民区垃圾桶统一收集后，由环卫部门清运。</w:t>
            </w:r>
          </w:p>
          <w:p w14:paraId="2BC12D58">
            <w:pPr>
              <w:spacing w:line="360" w:lineRule="auto"/>
              <w:ind w:firstLine="470" w:firstLineChars="196"/>
              <w:rPr>
                <w:color w:val="auto"/>
                <w:sz w:val="24"/>
                <w:highlight w:val="none"/>
              </w:rPr>
            </w:pPr>
            <w:r>
              <w:rPr>
                <w:color w:val="auto"/>
                <w:sz w:val="24"/>
                <w:highlight w:val="none"/>
              </w:rPr>
              <w:t>本项目固体废物产生情况见下表。</w:t>
            </w:r>
          </w:p>
          <w:p w14:paraId="57EC259D">
            <w:pPr>
              <w:jc w:val="center"/>
              <w:rPr>
                <w:rFonts w:eastAsia="黑体"/>
                <w:color w:val="000000" w:themeColor="text1"/>
                <w:highlight w:val="none"/>
                <w14:textFill>
                  <w14:solidFill>
                    <w14:schemeClr w14:val="tx1"/>
                  </w14:solidFill>
                </w14:textFill>
              </w:rPr>
            </w:pPr>
            <w:r>
              <w:rPr>
                <w:rFonts w:eastAsia="黑体"/>
                <w:color w:val="000000" w:themeColor="text1"/>
                <w:highlight w:val="none"/>
                <w14:textFill>
                  <w14:solidFill>
                    <w14:schemeClr w14:val="tx1"/>
                  </w14:solidFill>
                </w14:textFill>
              </w:rPr>
              <w:t>表4-</w:t>
            </w:r>
            <w:r>
              <w:rPr>
                <w:rFonts w:hint="eastAsia" w:eastAsia="黑体"/>
                <w:color w:val="000000" w:themeColor="text1"/>
                <w:highlight w:val="none"/>
                <w:lang w:val="en-US" w:eastAsia="zh-CN"/>
                <w14:textFill>
                  <w14:solidFill>
                    <w14:schemeClr w14:val="tx1"/>
                  </w14:solidFill>
                </w14:textFill>
              </w:rPr>
              <w:t>6</w:t>
            </w:r>
            <w:r>
              <w:rPr>
                <w:rFonts w:eastAsia="黑体"/>
                <w:color w:val="000000" w:themeColor="text1"/>
                <w:highlight w:val="none"/>
                <w14:textFill>
                  <w14:solidFill>
                    <w14:schemeClr w14:val="tx1"/>
                  </w14:solidFill>
                </w14:textFill>
              </w:rPr>
              <w:t xml:space="preserve">  固体废物汇总表</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
              <w:gridCol w:w="1371"/>
              <w:gridCol w:w="1032"/>
              <w:gridCol w:w="496"/>
              <w:gridCol w:w="833"/>
              <w:gridCol w:w="631"/>
              <w:gridCol w:w="3321"/>
            </w:tblGrid>
            <w:tr w14:paraId="4AF1F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91" w:type="dxa"/>
                  <w:noWrap w:val="0"/>
                  <w:vAlign w:val="center"/>
                </w:tcPr>
                <w:p w14:paraId="2DF507FD">
                  <w:pPr>
                    <w:spacing w:line="240" w:lineRule="atLeast"/>
                    <w:jc w:val="center"/>
                    <w:rPr>
                      <w:color w:val="auto"/>
                      <w:highlight w:val="none"/>
                    </w:rPr>
                  </w:pPr>
                  <w:r>
                    <w:rPr>
                      <w:color w:val="auto"/>
                      <w:highlight w:val="none"/>
                    </w:rPr>
                    <w:t>序号</w:t>
                  </w:r>
                </w:p>
              </w:tc>
              <w:tc>
                <w:tcPr>
                  <w:tcW w:w="1358" w:type="dxa"/>
                  <w:noWrap w:val="0"/>
                  <w:vAlign w:val="center"/>
                </w:tcPr>
                <w:p w14:paraId="3F5CC07F">
                  <w:pPr>
                    <w:spacing w:line="240" w:lineRule="atLeast"/>
                    <w:jc w:val="center"/>
                    <w:rPr>
                      <w:color w:val="auto"/>
                      <w:highlight w:val="none"/>
                    </w:rPr>
                  </w:pPr>
                  <w:r>
                    <w:rPr>
                      <w:color w:val="auto"/>
                      <w:highlight w:val="none"/>
                    </w:rPr>
                    <w:t>类别</w:t>
                  </w:r>
                </w:p>
              </w:tc>
              <w:tc>
                <w:tcPr>
                  <w:tcW w:w="1022" w:type="dxa"/>
                  <w:noWrap w:val="0"/>
                  <w:vAlign w:val="center"/>
                </w:tcPr>
                <w:p w14:paraId="1CFDFF40">
                  <w:pPr>
                    <w:spacing w:line="240" w:lineRule="atLeast"/>
                    <w:jc w:val="center"/>
                    <w:rPr>
                      <w:color w:val="auto"/>
                      <w:highlight w:val="none"/>
                    </w:rPr>
                  </w:pPr>
                  <w:r>
                    <w:rPr>
                      <w:color w:val="auto"/>
                      <w:highlight w:val="none"/>
                    </w:rPr>
                    <w:t>产生量（t）</w:t>
                  </w:r>
                </w:p>
              </w:tc>
              <w:tc>
                <w:tcPr>
                  <w:tcW w:w="491" w:type="dxa"/>
                  <w:noWrap w:val="0"/>
                  <w:vAlign w:val="center"/>
                </w:tcPr>
                <w:p w14:paraId="4AB37555">
                  <w:pPr>
                    <w:spacing w:line="240" w:lineRule="atLeast"/>
                    <w:jc w:val="center"/>
                    <w:rPr>
                      <w:color w:val="auto"/>
                      <w:highlight w:val="none"/>
                    </w:rPr>
                  </w:pPr>
                  <w:r>
                    <w:rPr>
                      <w:color w:val="auto"/>
                      <w:highlight w:val="none"/>
                    </w:rPr>
                    <w:t>形态</w:t>
                  </w:r>
                </w:p>
              </w:tc>
              <w:tc>
                <w:tcPr>
                  <w:tcW w:w="825" w:type="dxa"/>
                  <w:noWrap w:val="0"/>
                  <w:vAlign w:val="center"/>
                </w:tcPr>
                <w:p w14:paraId="49AACE5E">
                  <w:pPr>
                    <w:spacing w:line="240" w:lineRule="atLeast"/>
                    <w:jc w:val="center"/>
                    <w:rPr>
                      <w:color w:val="auto"/>
                      <w:highlight w:val="none"/>
                    </w:rPr>
                  </w:pPr>
                  <w:r>
                    <w:rPr>
                      <w:color w:val="auto"/>
                      <w:highlight w:val="none"/>
                    </w:rPr>
                    <w:t>主要成分</w:t>
                  </w:r>
                </w:p>
              </w:tc>
              <w:tc>
                <w:tcPr>
                  <w:tcW w:w="625" w:type="dxa"/>
                  <w:noWrap w:val="0"/>
                  <w:vAlign w:val="center"/>
                </w:tcPr>
                <w:p w14:paraId="38FDEEB8">
                  <w:pPr>
                    <w:spacing w:line="240" w:lineRule="atLeast"/>
                    <w:jc w:val="center"/>
                    <w:rPr>
                      <w:color w:val="auto"/>
                      <w:highlight w:val="none"/>
                    </w:rPr>
                  </w:pPr>
                  <w:r>
                    <w:rPr>
                      <w:color w:val="auto"/>
                      <w:highlight w:val="none"/>
                    </w:rPr>
                    <w:t>性质</w:t>
                  </w:r>
                </w:p>
              </w:tc>
              <w:tc>
                <w:tcPr>
                  <w:tcW w:w="3289" w:type="dxa"/>
                  <w:noWrap w:val="0"/>
                  <w:vAlign w:val="center"/>
                </w:tcPr>
                <w:p w14:paraId="1153AEA0">
                  <w:pPr>
                    <w:spacing w:line="240" w:lineRule="atLeast"/>
                    <w:jc w:val="center"/>
                    <w:rPr>
                      <w:color w:val="auto"/>
                      <w:highlight w:val="none"/>
                    </w:rPr>
                  </w:pPr>
                  <w:r>
                    <w:rPr>
                      <w:color w:val="auto"/>
                      <w:highlight w:val="none"/>
                    </w:rPr>
                    <w:t>处理方式</w:t>
                  </w:r>
                </w:p>
              </w:tc>
            </w:tr>
            <w:tr w14:paraId="29D06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91" w:type="dxa"/>
                  <w:noWrap w:val="0"/>
                  <w:vAlign w:val="center"/>
                </w:tcPr>
                <w:p w14:paraId="19DE993D">
                  <w:pPr>
                    <w:spacing w:line="240" w:lineRule="atLeast"/>
                    <w:jc w:val="center"/>
                    <w:rPr>
                      <w:color w:val="auto"/>
                      <w:highlight w:val="none"/>
                    </w:rPr>
                  </w:pPr>
                  <w:r>
                    <w:rPr>
                      <w:color w:val="auto"/>
                      <w:highlight w:val="none"/>
                    </w:rPr>
                    <w:t>1</w:t>
                  </w:r>
                </w:p>
              </w:tc>
              <w:tc>
                <w:tcPr>
                  <w:tcW w:w="1358" w:type="dxa"/>
                  <w:noWrap w:val="0"/>
                  <w:vAlign w:val="center"/>
                </w:tcPr>
                <w:p w14:paraId="46D948B7">
                  <w:pPr>
                    <w:spacing w:line="240" w:lineRule="atLeast"/>
                    <w:jc w:val="center"/>
                    <w:rPr>
                      <w:color w:val="auto"/>
                      <w:highlight w:val="none"/>
                    </w:rPr>
                  </w:pPr>
                  <w:r>
                    <w:rPr>
                      <w:color w:val="auto"/>
                      <w:highlight w:val="none"/>
                    </w:rPr>
                    <w:t>废泥浆</w:t>
                  </w:r>
                </w:p>
              </w:tc>
              <w:tc>
                <w:tcPr>
                  <w:tcW w:w="1022" w:type="dxa"/>
                  <w:noWrap w:val="0"/>
                  <w:vAlign w:val="center"/>
                </w:tcPr>
                <w:p w14:paraId="7F3845A0">
                  <w:pPr>
                    <w:spacing w:line="240" w:lineRule="atLeast"/>
                    <w:jc w:val="center"/>
                    <w:rPr>
                      <w:rFonts w:hint="default" w:eastAsia="宋体"/>
                      <w:color w:val="auto"/>
                      <w:highlight w:val="none"/>
                      <w:lang w:val="en-US" w:eastAsia="zh-CN"/>
                    </w:rPr>
                  </w:pPr>
                  <w:r>
                    <w:rPr>
                      <w:color w:val="auto"/>
                      <w:highlight w:val="none"/>
                    </w:rPr>
                    <w:t>1</w:t>
                  </w:r>
                  <w:r>
                    <w:rPr>
                      <w:rFonts w:hint="eastAsia"/>
                      <w:color w:val="auto"/>
                      <w:highlight w:val="none"/>
                      <w:lang w:val="en-US" w:eastAsia="zh-CN"/>
                    </w:rPr>
                    <w:t>440</w:t>
                  </w:r>
                </w:p>
              </w:tc>
              <w:tc>
                <w:tcPr>
                  <w:tcW w:w="491" w:type="dxa"/>
                  <w:noWrap w:val="0"/>
                  <w:vAlign w:val="center"/>
                </w:tcPr>
                <w:p w14:paraId="46480F8F">
                  <w:pPr>
                    <w:spacing w:line="240" w:lineRule="atLeast"/>
                    <w:jc w:val="center"/>
                    <w:rPr>
                      <w:color w:val="auto"/>
                      <w:highlight w:val="none"/>
                    </w:rPr>
                  </w:pPr>
                  <w:r>
                    <w:rPr>
                      <w:color w:val="auto"/>
                      <w:highlight w:val="none"/>
                    </w:rPr>
                    <w:t>液态</w:t>
                  </w:r>
                </w:p>
              </w:tc>
              <w:tc>
                <w:tcPr>
                  <w:tcW w:w="825" w:type="dxa"/>
                  <w:noWrap w:val="0"/>
                  <w:vAlign w:val="center"/>
                </w:tcPr>
                <w:p w14:paraId="66E18AED">
                  <w:pPr>
                    <w:spacing w:line="240" w:lineRule="atLeast"/>
                    <w:jc w:val="center"/>
                    <w:rPr>
                      <w:color w:val="auto"/>
                      <w:highlight w:val="none"/>
                    </w:rPr>
                  </w:pPr>
                  <w:r>
                    <w:rPr>
                      <w:color w:val="auto"/>
                      <w:highlight w:val="none"/>
                    </w:rPr>
                    <w:t>泥浆</w:t>
                  </w:r>
                </w:p>
              </w:tc>
              <w:tc>
                <w:tcPr>
                  <w:tcW w:w="625" w:type="dxa"/>
                  <w:vMerge w:val="restart"/>
                  <w:noWrap w:val="0"/>
                  <w:vAlign w:val="center"/>
                </w:tcPr>
                <w:p w14:paraId="4EF38AC9">
                  <w:pPr>
                    <w:spacing w:line="240" w:lineRule="atLeast"/>
                    <w:jc w:val="center"/>
                    <w:rPr>
                      <w:color w:val="auto"/>
                      <w:highlight w:val="none"/>
                    </w:rPr>
                  </w:pPr>
                  <w:r>
                    <w:rPr>
                      <w:color w:val="auto"/>
                      <w:highlight w:val="none"/>
                    </w:rPr>
                    <w:t>一般固废</w:t>
                  </w:r>
                </w:p>
              </w:tc>
              <w:tc>
                <w:tcPr>
                  <w:tcW w:w="3289" w:type="dxa"/>
                  <w:noWrap w:val="0"/>
                  <w:vAlign w:val="center"/>
                </w:tcPr>
                <w:p w14:paraId="3429E6FA">
                  <w:pPr>
                    <w:spacing w:line="240" w:lineRule="atLeast"/>
                    <w:jc w:val="left"/>
                    <w:rPr>
                      <w:color w:val="auto"/>
                      <w:highlight w:val="none"/>
                    </w:rPr>
                  </w:pPr>
                  <w:r>
                    <w:rPr>
                      <w:color w:val="auto"/>
                      <w:highlight w:val="none"/>
                    </w:rPr>
                    <w:t>废泥浆暂存于泥浆池中，施工完成后交第三方公司综合利用。</w:t>
                  </w:r>
                </w:p>
              </w:tc>
            </w:tr>
            <w:tr w14:paraId="2FE60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91" w:type="dxa"/>
                  <w:noWrap w:val="0"/>
                  <w:vAlign w:val="center"/>
                </w:tcPr>
                <w:p w14:paraId="445FF555">
                  <w:pPr>
                    <w:spacing w:line="240" w:lineRule="atLeast"/>
                    <w:jc w:val="center"/>
                    <w:rPr>
                      <w:color w:val="auto"/>
                      <w:highlight w:val="none"/>
                    </w:rPr>
                  </w:pPr>
                  <w:r>
                    <w:rPr>
                      <w:color w:val="auto"/>
                      <w:highlight w:val="none"/>
                    </w:rPr>
                    <w:t>2</w:t>
                  </w:r>
                </w:p>
              </w:tc>
              <w:tc>
                <w:tcPr>
                  <w:tcW w:w="1358" w:type="dxa"/>
                  <w:noWrap w:val="0"/>
                  <w:vAlign w:val="center"/>
                </w:tcPr>
                <w:p w14:paraId="2AB79B20">
                  <w:pPr>
                    <w:spacing w:line="240" w:lineRule="atLeast"/>
                    <w:jc w:val="center"/>
                    <w:rPr>
                      <w:color w:val="auto"/>
                      <w:highlight w:val="none"/>
                    </w:rPr>
                  </w:pPr>
                  <w:r>
                    <w:rPr>
                      <w:color w:val="auto"/>
                      <w:highlight w:val="none"/>
                    </w:rPr>
                    <w:t>钻井岩屑</w:t>
                  </w:r>
                </w:p>
              </w:tc>
              <w:tc>
                <w:tcPr>
                  <w:tcW w:w="1022" w:type="dxa"/>
                  <w:noWrap w:val="0"/>
                  <w:vAlign w:val="center"/>
                </w:tcPr>
                <w:p w14:paraId="1405E2B7">
                  <w:pPr>
                    <w:spacing w:line="240" w:lineRule="atLeast"/>
                    <w:jc w:val="center"/>
                    <w:rPr>
                      <w:rFonts w:hint="default" w:eastAsia="宋体"/>
                      <w:color w:val="auto"/>
                      <w:highlight w:val="none"/>
                      <w:lang w:val="en-US" w:eastAsia="zh-CN"/>
                    </w:rPr>
                  </w:pPr>
                  <w:r>
                    <w:rPr>
                      <w:rFonts w:hint="eastAsia"/>
                      <w:color w:val="auto"/>
                      <w:highlight w:val="none"/>
                      <w:lang w:val="en-US" w:eastAsia="zh-CN"/>
                    </w:rPr>
                    <w:t>675</w:t>
                  </w:r>
                </w:p>
              </w:tc>
              <w:tc>
                <w:tcPr>
                  <w:tcW w:w="491" w:type="dxa"/>
                  <w:noWrap w:val="0"/>
                  <w:vAlign w:val="center"/>
                </w:tcPr>
                <w:p w14:paraId="79474A01">
                  <w:pPr>
                    <w:spacing w:line="240" w:lineRule="atLeast"/>
                    <w:jc w:val="center"/>
                    <w:rPr>
                      <w:color w:val="auto"/>
                      <w:highlight w:val="none"/>
                    </w:rPr>
                  </w:pPr>
                  <w:r>
                    <w:rPr>
                      <w:color w:val="auto"/>
                      <w:highlight w:val="none"/>
                    </w:rPr>
                    <w:t>固态</w:t>
                  </w:r>
                </w:p>
              </w:tc>
              <w:tc>
                <w:tcPr>
                  <w:tcW w:w="825" w:type="dxa"/>
                  <w:noWrap w:val="0"/>
                  <w:vAlign w:val="center"/>
                </w:tcPr>
                <w:p w14:paraId="32E6C709">
                  <w:pPr>
                    <w:spacing w:line="240" w:lineRule="atLeast"/>
                    <w:jc w:val="center"/>
                    <w:rPr>
                      <w:color w:val="auto"/>
                      <w:highlight w:val="none"/>
                    </w:rPr>
                  </w:pPr>
                  <w:r>
                    <w:rPr>
                      <w:color w:val="auto"/>
                      <w:highlight w:val="none"/>
                    </w:rPr>
                    <w:t>岩屑</w:t>
                  </w:r>
                </w:p>
              </w:tc>
              <w:tc>
                <w:tcPr>
                  <w:tcW w:w="625" w:type="dxa"/>
                  <w:vMerge w:val="continue"/>
                  <w:noWrap w:val="0"/>
                  <w:vAlign w:val="center"/>
                </w:tcPr>
                <w:p w14:paraId="63852DD4">
                  <w:pPr>
                    <w:spacing w:line="240" w:lineRule="atLeast"/>
                    <w:jc w:val="center"/>
                    <w:rPr>
                      <w:color w:val="auto"/>
                      <w:highlight w:val="none"/>
                    </w:rPr>
                  </w:pPr>
                </w:p>
              </w:tc>
              <w:tc>
                <w:tcPr>
                  <w:tcW w:w="3289" w:type="dxa"/>
                  <w:noWrap w:val="0"/>
                  <w:vAlign w:val="center"/>
                </w:tcPr>
                <w:p w14:paraId="68E44E1A">
                  <w:pPr>
                    <w:spacing w:line="240" w:lineRule="atLeast"/>
                    <w:jc w:val="left"/>
                    <w:rPr>
                      <w:color w:val="auto"/>
                      <w:highlight w:val="none"/>
                    </w:rPr>
                  </w:pPr>
                  <w:r>
                    <w:rPr>
                      <w:color w:val="auto"/>
                      <w:highlight w:val="none"/>
                    </w:rPr>
                    <w:t>岩屑暂存于场岩屑房中定期交第三方公司综合利用。</w:t>
                  </w:r>
                </w:p>
              </w:tc>
            </w:tr>
            <w:tr w14:paraId="160D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1" w:type="dxa"/>
                  <w:noWrap w:val="0"/>
                  <w:vAlign w:val="center"/>
                </w:tcPr>
                <w:p w14:paraId="159C7074">
                  <w:pPr>
                    <w:spacing w:line="240" w:lineRule="atLeast"/>
                    <w:jc w:val="center"/>
                    <w:rPr>
                      <w:color w:val="auto"/>
                      <w:highlight w:val="none"/>
                    </w:rPr>
                  </w:pPr>
                  <w:r>
                    <w:rPr>
                      <w:color w:val="auto"/>
                      <w:highlight w:val="none"/>
                    </w:rPr>
                    <w:t>3</w:t>
                  </w:r>
                </w:p>
              </w:tc>
              <w:tc>
                <w:tcPr>
                  <w:tcW w:w="1358" w:type="dxa"/>
                  <w:noWrap w:val="0"/>
                  <w:vAlign w:val="center"/>
                </w:tcPr>
                <w:p w14:paraId="20F94B88">
                  <w:pPr>
                    <w:spacing w:line="240" w:lineRule="atLeast"/>
                    <w:jc w:val="center"/>
                    <w:rPr>
                      <w:color w:val="auto"/>
                      <w:highlight w:val="none"/>
                    </w:rPr>
                  </w:pPr>
                  <w:r>
                    <w:rPr>
                      <w:color w:val="auto"/>
                      <w:highlight w:val="none"/>
                    </w:rPr>
                    <w:t>废包装材料</w:t>
                  </w:r>
                </w:p>
              </w:tc>
              <w:tc>
                <w:tcPr>
                  <w:tcW w:w="1022" w:type="dxa"/>
                  <w:noWrap w:val="0"/>
                  <w:vAlign w:val="center"/>
                </w:tcPr>
                <w:p w14:paraId="2D0015CB">
                  <w:pPr>
                    <w:spacing w:line="240" w:lineRule="atLeast"/>
                    <w:jc w:val="center"/>
                    <w:rPr>
                      <w:color w:val="auto"/>
                      <w:highlight w:val="none"/>
                    </w:rPr>
                  </w:pPr>
                  <w:r>
                    <w:rPr>
                      <w:color w:val="auto"/>
                      <w:highlight w:val="none"/>
                    </w:rPr>
                    <w:t>0.8</w:t>
                  </w:r>
                </w:p>
              </w:tc>
              <w:tc>
                <w:tcPr>
                  <w:tcW w:w="491" w:type="dxa"/>
                  <w:noWrap w:val="0"/>
                  <w:vAlign w:val="center"/>
                </w:tcPr>
                <w:p w14:paraId="7AFF82A6">
                  <w:pPr>
                    <w:spacing w:line="240" w:lineRule="atLeast"/>
                    <w:jc w:val="center"/>
                    <w:rPr>
                      <w:color w:val="auto"/>
                      <w:highlight w:val="none"/>
                    </w:rPr>
                  </w:pPr>
                  <w:r>
                    <w:rPr>
                      <w:color w:val="auto"/>
                      <w:highlight w:val="none"/>
                    </w:rPr>
                    <w:t>固态</w:t>
                  </w:r>
                </w:p>
              </w:tc>
              <w:tc>
                <w:tcPr>
                  <w:tcW w:w="825" w:type="dxa"/>
                  <w:noWrap w:val="0"/>
                  <w:vAlign w:val="center"/>
                </w:tcPr>
                <w:p w14:paraId="49A8FDF1">
                  <w:pPr>
                    <w:spacing w:line="240" w:lineRule="atLeast"/>
                    <w:jc w:val="center"/>
                    <w:rPr>
                      <w:color w:val="auto"/>
                      <w:highlight w:val="none"/>
                    </w:rPr>
                  </w:pPr>
                  <w:r>
                    <w:rPr>
                      <w:color w:val="auto"/>
                      <w:highlight w:val="none"/>
                    </w:rPr>
                    <w:t>包装材料</w:t>
                  </w:r>
                </w:p>
              </w:tc>
              <w:tc>
                <w:tcPr>
                  <w:tcW w:w="625" w:type="dxa"/>
                  <w:vMerge w:val="continue"/>
                  <w:noWrap w:val="0"/>
                  <w:vAlign w:val="center"/>
                </w:tcPr>
                <w:p w14:paraId="3FAC00C5">
                  <w:pPr>
                    <w:spacing w:line="240" w:lineRule="atLeast"/>
                    <w:jc w:val="center"/>
                    <w:rPr>
                      <w:color w:val="auto"/>
                      <w:highlight w:val="none"/>
                    </w:rPr>
                  </w:pPr>
                </w:p>
              </w:tc>
              <w:tc>
                <w:tcPr>
                  <w:tcW w:w="3289" w:type="dxa"/>
                  <w:noWrap w:val="0"/>
                  <w:vAlign w:val="center"/>
                </w:tcPr>
                <w:p w14:paraId="66863FC1">
                  <w:pPr>
                    <w:spacing w:line="240" w:lineRule="atLeast"/>
                    <w:jc w:val="left"/>
                    <w:rPr>
                      <w:color w:val="auto"/>
                      <w:highlight w:val="none"/>
                    </w:rPr>
                  </w:pPr>
                  <w:r>
                    <w:rPr>
                      <w:color w:val="auto"/>
                      <w:highlight w:val="none"/>
                    </w:rPr>
                    <w:t>废包装材料集中收集于一般工业固体废物暂存间，定期外售处置</w:t>
                  </w:r>
                </w:p>
              </w:tc>
            </w:tr>
            <w:tr w14:paraId="60D53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1" w:type="dxa"/>
                  <w:noWrap w:val="0"/>
                  <w:vAlign w:val="center"/>
                </w:tcPr>
                <w:p w14:paraId="7AEFCD4D">
                  <w:pPr>
                    <w:spacing w:line="240" w:lineRule="atLeast"/>
                    <w:jc w:val="center"/>
                    <w:rPr>
                      <w:rFonts w:hint="eastAsia" w:eastAsia="宋体"/>
                      <w:color w:val="auto"/>
                      <w:highlight w:val="none"/>
                      <w:lang w:val="en-US" w:eastAsia="zh-CN"/>
                    </w:rPr>
                  </w:pPr>
                  <w:r>
                    <w:rPr>
                      <w:rFonts w:hint="eastAsia"/>
                      <w:color w:val="auto"/>
                      <w:highlight w:val="none"/>
                      <w:lang w:val="en-US" w:eastAsia="zh-CN"/>
                    </w:rPr>
                    <w:t>4</w:t>
                  </w:r>
                </w:p>
              </w:tc>
              <w:tc>
                <w:tcPr>
                  <w:tcW w:w="1358" w:type="dxa"/>
                  <w:noWrap w:val="0"/>
                  <w:vAlign w:val="center"/>
                </w:tcPr>
                <w:p w14:paraId="49CB6D91">
                  <w:pPr>
                    <w:spacing w:line="240" w:lineRule="atLeast"/>
                    <w:jc w:val="center"/>
                    <w:rPr>
                      <w:rFonts w:hint="default" w:eastAsia="宋体"/>
                      <w:color w:val="auto"/>
                      <w:highlight w:val="none"/>
                      <w:lang w:val="en-US" w:eastAsia="zh-CN"/>
                    </w:rPr>
                  </w:pPr>
                  <w:r>
                    <w:rPr>
                      <w:rFonts w:hint="eastAsia"/>
                      <w:color w:val="auto"/>
                      <w:highlight w:val="none"/>
                      <w:lang w:val="en-US" w:eastAsia="zh-CN"/>
                    </w:rPr>
                    <w:t>废焊条及焊渣</w:t>
                  </w:r>
                </w:p>
              </w:tc>
              <w:tc>
                <w:tcPr>
                  <w:tcW w:w="1022" w:type="dxa"/>
                  <w:noWrap w:val="0"/>
                  <w:vAlign w:val="center"/>
                </w:tcPr>
                <w:p w14:paraId="41D6B1CA">
                  <w:pPr>
                    <w:spacing w:line="240" w:lineRule="atLeast"/>
                    <w:jc w:val="center"/>
                    <w:rPr>
                      <w:rFonts w:hint="default" w:eastAsia="宋体"/>
                      <w:color w:val="auto"/>
                      <w:highlight w:val="none"/>
                      <w:lang w:val="en-US" w:eastAsia="zh-CN"/>
                    </w:rPr>
                  </w:pPr>
                  <w:r>
                    <w:rPr>
                      <w:rFonts w:hint="eastAsia"/>
                      <w:color w:val="auto"/>
                      <w:highlight w:val="none"/>
                      <w:lang w:val="en-US" w:eastAsia="zh-CN"/>
                    </w:rPr>
                    <w:t>0.05</w:t>
                  </w:r>
                </w:p>
              </w:tc>
              <w:tc>
                <w:tcPr>
                  <w:tcW w:w="491" w:type="dxa"/>
                  <w:noWrap w:val="0"/>
                  <w:vAlign w:val="center"/>
                </w:tcPr>
                <w:p w14:paraId="59D8019F">
                  <w:pPr>
                    <w:spacing w:line="240" w:lineRule="atLeast"/>
                    <w:jc w:val="center"/>
                    <w:rPr>
                      <w:rFonts w:hint="eastAsia" w:eastAsia="宋体"/>
                      <w:color w:val="auto"/>
                      <w:highlight w:val="none"/>
                      <w:lang w:val="en-US" w:eastAsia="zh-CN"/>
                    </w:rPr>
                  </w:pPr>
                  <w:r>
                    <w:rPr>
                      <w:rFonts w:hint="eastAsia"/>
                      <w:color w:val="auto"/>
                      <w:highlight w:val="none"/>
                      <w:lang w:val="en-US" w:eastAsia="zh-CN"/>
                    </w:rPr>
                    <w:t>固态</w:t>
                  </w:r>
                </w:p>
              </w:tc>
              <w:tc>
                <w:tcPr>
                  <w:tcW w:w="825" w:type="dxa"/>
                  <w:noWrap w:val="0"/>
                  <w:vAlign w:val="center"/>
                </w:tcPr>
                <w:p w14:paraId="5DC6B00C">
                  <w:pPr>
                    <w:spacing w:line="240" w:lineRule="atLeast"/>
                    <w:jc w:val="center"/>
                    <w:rPr>
                      <w:rFonts w:hint="eastAsia" w:eastAsia="宋体"/>
                      <w:color w:val="auto"/>
                      <w:highlight w:val="none"/>
                      <w:lang w:val="en-US" w:eastAsia="zh-CN"/>
                    </w:rPr>
                  </w:pPr>
                  <w:r>
                    <w:rPr>
                      <w:rFonts w:hint="eastAsia"/>
                      <w:color w:val="auto"/>
                      <w:highlight w:val="none"/>
                      <w:lang w:val="en-US" w:eastAsia="zh-CN"/>
                    </w:rPr>
                    <w:t>金属及焊药</w:t>
                  </w:r>
                </w:p>
              </w:tc>
              <w:tc>
                <w:tcPr>
                  <w:tcW w:w="625" w:type="dxa"/>
                  <w:vMerge w:val="continue"/>
                  <w:noWrap w:val="0"/>
                  <w:vAlign w:val="center"/>
                </w:tcPr>
                <w:p w14:paraId="697953B7">
                  <w:pPr>
                    <w:spacing w:line="240" w:lineRule="atLeast"/>
                    <w:jc w:val="center"/>
                    <w:rPr>
                      <w:color w:val="auto"/>
                      <w:highlight w:val="none"/>
                    </w:rPr>
                  </w:pPr>
                </w:p>
              </w:tc>
              <w:tc>
                <w:tcPr>
                  <w:tcW w:w="3289" w:type="dxa"/>
                  <w:noWrap w:val="0"/>
                  <w:vAlign w:val="center"/>
                </w:tcPr>
                <w:p w14:paraId="4C293172">
                  <w:pPr>
                    <w:spacing w:line="240" w:lineRule="atLeast"/>
                    <w:jc w:val="left"/>
                    <w:rPr>
                      <w:rFonts w:hint="default" w:eastAsia="宋体"/>
                      <w:color w:val="auto"/>
                      <w:highlight w:val="none"/>
                      <w:lang w:val="en-US" w:eastAsia="zh-CN"/>
                    </w:rPr>
                  </w:pPr>
                  <w:r>
                    <w:rPr>
                      <w:rFonts w:hint="eastAsia"/>
                      <w:color w:val="auto"/>
                      <w:highlight w:val="none"/>
                      <w:lang w:val="en-US" w:eastAsia="zh-CN"/>
                    </w:rPr>
                    <w:t>废焊条及焊渣集中收集后交由物资回收公司综合利用</w:t>
                  </w:r>
                </w:p>
              </w:tc>
            </w:tr>
            <w:tr w14:paraId="5428B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91" w:type="dxa"/>
                  <w:noWrap w:val="0"/>
                  <w:vAlign w:val="center"/>
                </w:tcPr>
                <w:p w14:paraId="23D62E3E">
                  <w:pPr>
                    <w:spacing w:line="240" w:lineRule="atLeast"/>
                    <w:jc w:val="center"/>
                    <w:rPr>
                      <w:color w:val="auto"/>
                      <w:highlight w:val="none"/>
                    </w:rPr>
                  </w:pPr>
                  <w:r>
                    <w:rPr>
                      <w:color w:val="auto"/>
                      <w:highlight w:val="none"/>
                    </w:rPr>
                    <w:t>4</w:t>
                  </w:r>
                </w:p>
              </w:tc>
              <w:tc>
                <w:tcPr>
                  <w:tcW w:w="1358" w:type="dxa"/>
                  <w:noWrap w:val="0"/>
                  <w:vAlign w:val="center"/>
                </w:tcPr>
                <w:p w14:paraId="5445AF98">
                  <w:pPr>
                    <w:spacing w:line="240" w:lineRule="atLeast"/>
                    <w:jc w:val="center"/>
                    <w:rPr>
                      <w:color w:val="auto"/>
                      <w:highlight w:val="none"/>
                    </w:rPr>
                  </w:pPr>
                  <w:r>
                    <w:rPr>
                      <w:color w:val="auto"/>
                      <w:highlight w:val="none"/>
                    </w:rPr>
                    <w:t>废润滑油</w:t>
                  </w:r>
                </w:p>
              </w:tc>
              <w:tc>
                <w:tcPr>
                  <w:tcW w:w="1022" w:type="dxa"/>
                  <w:noWrap w:val="0"/>
                  <w:vAlign w:val="center"/>
                </w:tcPr>
                <w:p w14:paraId="521AE74A">
                  <w:pPr>
                    <w:spacing w:line="240" w:lineRule="atLeast"/>
                    <w:jc w:val="center"/>
                    <w:rPr>
                      <w:rFonts w:hint="eastAsia" w:eastAsia="宋体"/>
                      <w:color w:val="auto"/>
                      <w:highlight w:val="none"/>
                      <w:lang w:val="en-US" w:eastAsia="zh-CN"/>
                    </w:rPr>
                  </w:pPr>
                  <w:r>
                    <w:rPr>
                      <w:color w:val="auto"/>
                      <w:highlight w:val="none"/>
                    </w:rPr>
                    <w:t>0.</w:t>
                  </w:r>
                  <w:r>
                    <w:rPr>
                      <w:rFonts w:hint="eastAsia"/>
                      <w:color w:val="auto"/>
                      <w:highlight w:val="none"/>
                      <w:lang w:val="en-US" w:eastAsia="zh-CN"/>
                    </w:rPr>
                    <w:t>2</w:t>
                  </w:r>
                </w:p>
              </w:tc>
              <w:tc>
                <w:tcPr>
                  <w:tcW w:w="491" w:type="dxa"/>
                  <w:noWrap w:val="0"/>
                  <w:vAlign w:val="center"/>
                </w:tcPr>
                <w:p w14:paraId="0385CF68">
                  <w:pPr>
                    <w:spacing w:line="240" w:lineRule="atLeast"/>
                    <w:jc w:val="center"/>
                    <w:rPr>
                      <w:color w:val="auto"/>
                      <w:highlight w:val="none"/>
                    </w:rPr>
                  </w:pPr>
                  <w:r>
                    <w:rPr>
                      <w:color w:val="auto"/>
                      <w:highlight w:val="none"/>
                    </w:rPr>
                    <w:t>液态</w:t>
                  </w:r>
                </w:p>
              </w:tc>
              <w:tc>
                <w:tcPr>
                  <w:tcW w:w="825" w:type="dxa"/>
                  <w:noWrap w:val="0"/>
                  <w:vAlign w:val="center"/>
                </w:tcPr>
                <w:p w14:paraId="52FDDEA9">
                  <w:pPr>
                    <w:spacing w:line="240" w:lineRule="atLeast"/>
                    <w:jc w:val="center"/>
                    <w:rPr>
                      <w:color w:val="auto"/>
                      <w:highlight w:val="none"/>
                    </w:rPr>
                  </w:pPr>
                  <w:r>
                    <w:rPr>
                      <w:color w:val="auto"/>
                      <w:highlight w:val="none"/>
                    </w:rPr>
                    <w:t>润滑油</w:t>
                  </w:r>
                </w:p>
              </w:tc>
              <w:tc>
                <w:tcPr>
                  <w:tcW w:w="625" w:type="dxa"/>
                  <w:vMerge w:val="restart"/>
                  <w:noWrap w:val="0"/>
                  <w:vAlign w:val="center"/>
                </w:tcPr>
                <w:p w14:paraId="1A0C1954">
                  <w:pPr>
                    <w:spacing w:line="240" w:lineRule="atLeast"/>
                    <w:jc w:val="center"/>
                    <w:rPr>
                      <w:color w:val="auto"/>
                      <w:highlight w:val="none"/>
                    </w:rPr>
                  </w:pPr>
                  <w:r>
                    <w:rPr>
                      <w:color w:val="auto"/>
                      <w:highlight w:val="none"/>
                    </w:rPr>
                    <w:t>危险废物</w:t>
                  </w:r>
                </w:p>
              </w:tc>
              <w:tc>
                <w:tcPr>
                  <w:tcW w:w="3289" w:type="dxa"/>
                  <w:vMerge w:val="restart"/>
                  <w:noWrap w:val="0"/>
                  <w:vAlign w:val="center"/>
                </w:tcPr>
                <w:p w14:paraId="106CF47A">
                  <w:pPr>
                    <w:spacing w:line="240" w:lineRule="atLeast"/>
                    <w:jc w:val="left"/>
                    <w:rPr>
                      <w:color w:val="auto"/>
                      <w:highlight w:val="none"/>
                    </w:rPr>
                  </w:pPr>
                  <w:r>
                    <w:rPr>
                      <w:color w:val="auto"/>
                      <w:highlight w:val="none"/>
                    </w:rPr>
                    <w:t>废机油暂存于施工场地设置的危险废物暂存间，统一收集后定期交由有资质单位处理。</w:t>
                  </w:r>
                </w:p>
              </w:tc>
            </w:tr>
            <w:tr w14:paraId="77F3C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91" w:type="dxa"/>
                  <w:noWrap w:val="0"/>
                  <w:vAlign w:val="center"/>
                </w:tcPr>
                <w:p w14:paraId="4D8603D9">
                  <w:pPr>
                    <w:spacing w:line="240" w:lineRule="atLeast"/>
                    <w:jc w:val="center"/>
                    <w:rPr>
                      <w:color w:val="auto"/>
                      <w:highlight w:val="none"/>
                    </w:rPr>
                  </w:pPr>
                  <w:r>
                    <w:rPr>
                      <w:color w:val="auto"/>
                      <w:highlight w:val="none"/>
                    </w:rPr>
                    <w:t>5</w:t>
                  </w:r>
                </w:p>
              </w:tc>
              <w:tc>
                <w:tcPr>
                  <w:tcW w:w="1358" w:type="dxa"/>
                  <w:noWrap w:val="0"/>
                  <w:vAlign w:val="center"/>
                </w:tcPr>
                <w:p w14:paraId="04A46226">
                  <w:pPr>
                    <w:spacing w:line="240" w:lineRule="atLeast"/>
                    <w:jc w:val="center"/>
                    <w:rPr>
                      <w:color w:val="auto"/>
                      <w:highlight w:val="none"/>
                    </w:rPr>
                  </w:pPr>
                  <w:r>
                    <w:rPr>
                      <w:color w:val="auto"/>
                      <w:highlight w:val="none"/>
                    </w:rPr>
                    <w:t>废润滑油桶</w:t>
                  </w:r>
                </w:p>
              </w:tc>
              <w:tc>
                <w:tcPr>
                  <w:tcW w:w="1022" w:type="dxa"/>
                  <w:noWrap w:val="0"/>
                  <w:vAlign w:val="center"/>
                </w:tcPr>
                <w:p w14:paraId="0E05A1E0">
                  <w:pPr>
                    <w:spacing w:line="240" w:lineRule="atLeast"/>
                    <w:jc w:val="center"/>
                    <w:rPr>
                      <w:rFonts w:hint="eastAsia" w:eastAsia="宋体"/>
                      <w:color w:val="auto"/>
                      <w:highlight w:val="none"/>
                      <w:lang w:val="en-US" w:eastAsia="zh-CN"/>
                    </w:rPr>
                  </w:pPr>
                  <w:r>
                    <w:rPr>
                      <w:color w:val="auto"/>
                      <w:highlight w:val="none"/>
                    </w:rPr>
                    <w:t>0.0</w:t>
                  </w:r>
                  <w:r>
                    <w:rPr>
                      <w:rFonts w:hint="eastAsia"/>
                      <w:color w:val="auto"/>
                      <w:highlight w:val="none"/>
                      <w:lang w:val="en-US" w:eastAsia="zh-CN"/>
                    </w:rPr>
                    <w:t>3</w:t>
                  </w:r>
                </w:p>
              </w:tc>
              <w:tc>
                <w:tcPr>
                  <w:tcW w:w="491" w:type="dxa"/>
                  <w:noWrap w:val="0"/>
                  <w:vAlign w:val="center"/>
                </w:tcPr>
                <w:p w14:paraId="63ED0A29">
                  <w:pPr>
                    <w:spacing w:line="240" w:lineRule="atLeast"/>
                    <w:jc w:val="center"/>
                    <w:rPr>
                      <w:color w:val="auto"/>
                      <w:highlight w:val="none"/>
                    </w:rPr>
                  </w:pPr>
                  <w:r>
                    <w:rPr>
                      <w:color w:val="auto"/>
                      <w:highlight w:val="none"/>
                    </w:rPr>
                    <w:t>固态</w:t>
                  </w:r>
                </w:p>
              </w:tc>
              <w:tc>
                <w:tcPr>
                  <w:tcW w:w="825" w:type="dxa"/>
                  <w:noWrap w:val="0"/>
                  <w:vAlign w:val="center"/>
                </w:tcPr>
                <w:p w14:paraId="17CBDA98">
                  <w:pPr>
                    <w:spacing w:line="240" w:lineRule="atLeast"/>
                    <w:jc w:val="center"/>
                    <w:rPr>
                      <w:color w:val="auto"/>
                      <w:highlight w:val="none"/>
                    </w:rPr>
                  </w:pPr>
                  <w:r>
                    <w:rPr>
                      <w:color w:val="auto"/>
                      <w:highlight w:val="none"/>
                    </w:rPr>
                    <w:t>包装桶</w:t>
                  </w:r>
                </w:p>
              </w:tc>
              <w:tc>
                <w:tcPr>
                  <w:tcW w:w="625" w:type="dxa"/>
                  <w:vMerge w:val="continue"/>
                  <w:noWrap w:val="0"/>
                  <w:vAlign w:val="center"/>
                </w:tcPr>
                <w:p w14:paraId="3D0F499C">
                  <w:pPr>
                    <w:spacing w:line="240" w:lineRule="atLeast"/>
                    <w:jc w:val="center"/>
                    <w:rPr>
                      <w:color w:val="auto"/>
                      <w:highlight w:val="none"/>
                    </w:rPr>
                  </w:pPr>
                </w:p>
              </w:tc>
              <w:tc>
                <w:tcPr>
                  <w:tcW w:w="3289" w:type="dxa"/>
                  <w:vMerge w:val="continue"/>
                  <w:noWrap w:val="0"/>
                  <w:vAlign w:val="center"/>
                </w:tcPr>
                <w:p w14:paraId="0DAA2AF6">
                  <w:pPr>
                    <w:spacing w:line="240" w:lineRule="atLeast"/>
                    <w:jc w:val="center"/>
                    <w:rPr>
                      <w:color w:val="auto"/>
                      <w:highlight w:val="none"/>
                    </w:rPr>
                  </w:pPr>
                </w:p>
              </w:tc>
            </w:tr>
            <w:tr w14:paraId="7D2AD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91" w:type="dxa"/>
                  <w:noWrap w:val="0"/>
                  <w:vAlign w:val="center"/>
                </w:tcPr>
                <w:p w14:paraId="3D1A1111">
                  <w:pPr>
                    <w:spacing w:line="240" w:lineRule="atLeast"/>
                    <w:jc w:val="center"/>
                    <w:rPr>
                      <w:color w:val="auto"/>
                      <w:highlight w:val="none"/>
                    </w:rPr>
                  </w:pPr>
                  <w:r>
                    <w:rPr>
                      <w:color w:val="auto"/>
                      <w:highlight w:val="none"/>
                    </w:rPr>
                    <w:t>6</w:t>
                  </w:r>
                </w:p>
              </w:tc>
              <w:tc>
                <w:tcPr>
                  <w:tcW w:w="1358" w:type="dxa"/>
                  <w:noWrap w:val="0"/>
                  <w:vAlign w:val="center"/>
                </w:tcPr>
                <w:p w14:paraId="0A7E9978">
                  <w:pPr>
                    <w:spacing w:line="240" w:lineRule="atLeast"/>
                    <w:jc w:val="center"/>
                    <w:rPr>
                      <w:color w:val="auto"/>
                      <w:highlight w:val="none"/>
                    </w:rPr>
                  </w:pPr>
                  <w:r>
                    <w:rPr>
                      <w:color w:val="auto"/>
                      <w:highlight w:val="none"/>
                    </w:rPr>
                    <w:t>分类后的废含油抹布和废含油手套</w:t>
                  </w:r>
                </w:p>
              </w:tc>
              <w:tc>
                <w:tcPr>
                  <w:tcW w:w="1022" w:type="dxa"/>
                  <w:noWrap w:val="0"/>
                  <w:vAlign w:val="center"/>
                </w:tcPr>
                <w:p w14:paraId="166F107B">
                  <w:pPr>
                    <w:spacing w:line="240" w:lineRule="atLeast"/>
                    <w:jc w:val="center"/>
                    <w:rPr>
                      <w:color w:val="auto"/>
                      <w:highlight w:val="none"/>
                    </w:rPr>
                  </w:pPr>
                  <w:r>
                    <w:rPr>
                      <w:color w:val="auto"/>
                      <w:highlight w:val="none"/>
                    </w:rPr>
                    <w:t>0.04</w:t>
                  </w:r>
                </w:p>
              </w:tc>
              <w:tc>
                <w:tcPr>
                  <w:tcW w:w="491" w:type="dxa"/>
                  <w:noWrap w:val="0"/>
                  <w:vAlign w:val="center"/>
                </w:tcPr>
                <w:p w14:paraId="6C8A0003">
                  <w:pPr>
                    <w:spacing w:line="240" w:lineRule="atLeast"/>
                    <w:jc w:val="center"/>
                    <w:rPr>
                      <w:color w:val="auto"/>
                      <w:highlight w:val="none"/>
                    </w:rPr>
                  </w:pPr>
                  <w:r>
                    <w:rPr>
                      <w:color w:val="auto"/>
                      <w:highlight w:val="none"/>
                    </w:rPr>
                    <w:t>固态</w:t>
                  </w:r>
                </w:p>
              </w:tc>
              <w:tc>
                <w:tcPr>
                  <w:tcW w:w="825" w:type="dxa"/>
                  <w:noWrap w:val="0"/>
                  <w:vAlign w:val="center"/>
                </w:tcPr>
                <w:p w14:paraId="73C7A055">
                  <w:pPr>
                    <w:spacing w:line="240" w:lineRule="atLeast"/>
                    <w:jc w:val="center"/>
                    <w:rPr>
                      <w:color w:val="auto"/>
                      <w:highlight w:val="none"/>
                    </w:rPr>
                  </w:pPr>
                  <w:r>
                    <w:rPr>
                      <w:color w:val="auto"/>
                      <w:highlight w:val="none"/>
                    </w:rPr>
                    <w:t>含油抹布和手套</w:t>
                  </w:r>
                </w:p>
              </w:tc>
              <w:tc>
                <w:tcPr>
                  <w:tcW w:w="625" w:type="dxa"/>
                  <w:vMerge w:val="continue"/>
                  <w:noWrap w:val="0"/>
                  <w:vAlign w:val="center"/>
                </w:tcPr>
                <w:p w14:paraId="576823F1">
                  <w:pPr>
                    <w:spacing w:line="240" w:lineRule="atLeast"/>
                    <w:jc w:val="center"/>
                    <w:rPr>
                      <w:color w:val="auto"/>
                      <w:highlight w:val="none"/>
                    </w:rPr>
                  </w:pPr>
                </w:p>
              </w:tc>
              <w:tc>
                <w:tcPr>
                  <w:tcW w:w="3289" w:type="dxa"/>
                  <w:vMerge w:val="continue"/>
                  <w:noWrap w:val="0"/>
                  <w:vAlign w:val="center"/>
                </w:tcPr>
                <w:p w14:paraId="43266A81">
                  <w:pPr>
                    <w:spacing w:line="240" w:lineRule="atLeast"/>
                    <w:jc w:val="center"/>
                    <w:rPr>
                      <w:color w:val="auto"/>
                      <w:highlight w:val="none"/>
                    </w:rPr>
                  </w:pPr>
                </w:p>
              </w:tc>
            </w:tr>
            <w:tr w14:paraId="094D9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91" w:type="dxa"/>
                  <w:noWrap w:val="0"/>
                  <w:vAlign w:val="center"/>
                </w:tcPr>
                <w:p w14:paraId="36088729">
                  <w:pPr>
                    <w:spacing w:line="240" w:lineRule="atLeast"/>
                    <w:jc w:val="center"/>
                    <w:rPr>
                      <w:color w:val="auto"/>
                      <w:highlight w:val="none"/>
                    </w:rPr>
                  </w:pPr>
                  <w:r>
                    <w:rPr>
                      <w:color w:val="auto"/>
                      <w:highlight w:val="none"/>
                    </w:rPr>
                    <w:t>7</w:t>
                  </w:r>
                </w:p>
              </w:tc>
              <w:tc>
                <w:tcPr>
                  <w:tcW w:w="1358" w:type="dxa"/>
                  <w:noWrap w:val="0"/>
                  <w:vAlign w:val="center"/>
                </w:tcPr>
                <w:p w14:paraId="0A1644FA">
                  <w:pPr>
                    <w:spacing w:line="240" w:lineRule="atLeast"/>
                    <w:jc w:val="center"/>
                    <w:rPr>
                      <w:color w:val="auto"/>
                      <w:highlight w:val="none"/>
                    </w:rPr>
                  </w:pPr>
                  <w:r>
                    <w:rPr>
                      <w:color w:val="auto"/>
                      <w:highlight w:val="none"/>
                    </w:rPr>
                    <w:t>生活垃圾</w:t>
                  </w:r>
                </w:p>
              </w:tc>
              <w:tc>
                <w:tcPr>
                  <w:tcW w:w="1022" w:type="dxa"/>
                  <w:noWrap w:val="0"/>
                  <w:vAlign w:val="center"/>
                </w:tcPr>
                <w:p w14:paraId="5D19AF17">
                  <w:pPr>
                    <w:spacing w:line="240" w:lineRule="atLeast"/>
                    <w:jc w:val="center"/>
                    <w:rPr>
                      <w:rFonts w:hint="default" w:eastAsia="宋体"/>
                      <w:color w:val="auto"/>
                      <w:highlight w:val="none"/>
                      <w:lang w:val="en-US" w:eastAsia="zh-CN"/>
                    </w:rPr>
                  </w:pPr>
                  <w:r>
                    <w:rPr>
                      <w:rFonts w:hint="eastAsia"/>
                      <w:color w:val="auto"/>
                      <w:highlight w:val="none"/>
                      <w:lang w:val="en-US" w:eastAsia="zh-CN"/>
                    </w:rPr>
                    <w:t>3.65</w:t>
                  </w:r>
                </w:p>
              </w:tc>
              <w:tc>
                <w:tcPr>
                  <w:tcW w:w="491" w:type="dxa"/>
                  <w:noWrap w:val="0"/>
                  <w:vAlign w:val="center"/>
                </w:tcPr>
                <w:p w14:paraId="14696822">
                  <w:pPr>
                    <w:spacing w:line="240" w:lineRule="atLeast"/>
                    <w:jc w:val="center"/>
                    <w:rPr>
                      <w:color w:val="auto"/>
                      <w:highlight w:val="none"/>
                    </w:rPr>
                  </w:pPr>
                  <w:r>
                    <w:rPr>
                      <w:color w:val="auto"/>
                      <w:highlight w:val="none"/>
                    </w:rPr>
                    <w:t>固态</w:t>
                  </w:r>
                </w:p>
              </w:tc>
              <w:tc>
                <w:tcPr>
                  <w:tcW w:w="825" w:type="dxa"/>
                  <w:noWrap w:val="0"/>
                  <w:vAlign w:val="center"/>
                </w:tcPr>
                <w:p w14:paraId="24AEE1BA">
                  <w:pPr>
                    <w:spacing w:line="240" w:lineRule="atLeast"/>
                    <w:jc w:val="center"/>
                    <w:rPr>
                      <w:color w:val="auto"/>
                      <w:highlight w:val="none"/>
                    </w:rPr>
                  </w:pPr>
                  <w:r>
                    <w:rPr>
                      <w:color w:val="auto"/>
                      <w:highlight w:val="none"/>
                    </w:rPr>
                    <w:t>/</w:t>
                  </w:r>
                </w:p>
              </w:tc>
              <w:tc>
                <w:tcPr>
                  <w:tcW w:w="625" w:type="dxa"/>
                  <w:noWrap w:val="0"/>
                  <w:vAlign w:val="center"/>
                </w:tcPr>
                <w:p w14:paraId="2AD2BD28">
                  <w:pPr>
                    <w:spacing w:line="240" w:lineRule="atLeast"/>
                    <w:jc w:val="center"/>
                    <w:rPr>
                      <w:color w:val="auto"/>
                      <w:highlight w:val="none"/>
                    </w:rPr>
                  </w:pPr>
                  <w:r>
                    <w:rPr>
                      <w:color w:val="auto"/>
                      <w:highlight w:val="none"/>
                    </w:rPr>
                    <w:t>/</w:t>
                  </w:r>
                </w:p>
              </w:tc>
              <w:tc>
                <w:tcPr>
                  <w:tcW w:w="3289" w:type="dxa"/>
                  <w:noWrap w:val="0"/>
                  <w:vAlign w:val="center"/>
                </w:tcPr>
                <w:p w14:paraId="4CCFBAFC">
                  <w:pPr>
                    <w:spacing w:line="240" w:lineRule="atLeast"/>
                    <w:jc w:val="center"/>
                    <w:rPr>
                      <w:color w:val="auto"/>
                      <w:highlight w:val="none"/>
                    </w:rPr>
                  </w:pPr>
                  <w:r>
                    <w:rPr>
                      <w:color w:val="auto"/>
                      <w:highlight w:val="none"/>
                    </w:rPr>
                    <w:t>环卫部门清运。</w:t>
                  </w:r>
                </w:p>
              </w:tc>
            </w:tr>
          </w:tbl>
          <w:p w14:paraId="349EDA70">
            <w:pPr>
              <w:spacing w:line="240" w:lineRule="atLeast"/>
              <w:jc w:val="center"/>
              <w:rPr>
                <w:rFonts w:eastAsia="黑体"/>
                <w:color w:val="000000" w:themeColor="text1"/>
                <w:szCs w:val="20"/>
                <w:highlight w:val="none"/>
                <w14:textFill>
                  <w14:solidFill>
                    <w14:schemeClr w14:val="tx1"/>
                  </w14:solidFill>
                </w14:textFill>
              </w:rPr>
            </w:pPr>
            <w:r>
              <w:rPr>
                <w:rFonts w:eastAsia="黑体"/>
                <w:color w:val="000000" w:themeColor="text1"/>
                <w:szCs w:val="20"/>
                <w:highlight w:val="none"/>
                <w14:textFill>
                  <w14:solidFill>
                    <w14:schemeClr w14:val="tx1"/>
                  </w14:solidFill>
                </w14:textFill>
              </w:rPr>
              <w:t>表4-</w:t>
            </w:r>
            <w:r>
              <w:rPr>
                <w:rFonts w:hint="eastAsia" w:eastAsia="黑体"/>
                <w:color w:val="000000" w:themeColor="text1"/>
                <w:szCs w:val="20"/>
                <w:highlight w:val="none"/>
                <w:lang w:val="en-US" w:eastAsia="zh-CN"/>
                <w14:textFill>
                  <w14:solidFill>
                    <w14:schemeClr w14:val="tx1"/>
                  </w14:solidFill>
                </w14:textFill>
              </w:rPr>
              <w:t>7</w:t>
            </w:r>
            <w:r>
              <w:rPr>
                <w:rFonts w:eastAsia="黑体"/>
                <w:color w:val="000000" w:themeColor="text1"/>
                <w:szCs w:val="20"/>
                <w:highlight w:val="none"/>
                <w14:textFill>
                  <w14:solidFill>
                    <w14:schemeClr w14:val="tx1"/>
                  </w14:solidFill>
                </w14:textFill>
              </w:rPr>
              <w:t xml:space="preserve">  项目危险废物汇总表</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
              <w:gridCol w:w="994"/>
              <w:gridCol w:w="864"/>
              <w:gridCol w:w="1359"/>
              <w:gridCol w:w="1024"/>
              <w:gridCol w:w="981"/>
              <w:gridCol w:w="1067"/>
              <w:gridCol w:w="564"/>
              <w:gridCol w:w="839"/>
            </w:tblGrid>
            <w:tr w14:paraId="3DD55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dxa"/>
                  <w:noWrap w:val="0"/>
                  <w:vAlign w:val="center"/>
                </w:tcPr>
                <w:p w14:paraId="6D6B7555">
                  <w:pPr>
                    <w:pStyle w:val="117"/>
                    <w:spacing w:line="240" w:lineRule="atLeast"/>
                    <w:rPr>
                      <w:rFonts w:cs="Times New Roman"/>
                      <w:b/>
                      <w:bCs/>
                      <w:color w:val="auto"/>
                      <w:sz w:val="21"/>
                      <w:szCs w:val="21"/>
                      <w:highlight w:val="none"/>
                    </w:rPr>
                  </w:pPr>
                  <w:r>
                    <w:rPr>
                      <w:rFonts w:cs="Times New Roman"/>
                      <w:b/>
                      <w:bCs/>
                      <w:color w:val="auto"/>
                      <w:sz w:val="21"/>
                      <w:szCs w:val="21"/>
                      <w:highlight w:val="none"/>
                    </w:rPr>
                    <w:t>序号</w:t>
                  </w:r>
                </w:p>
              </w:tc>
              <w:tc>
                <w:tcPr>
                  <w:tcW w:w="951" w:type="dxa"/>
                  <w:noWrap w:val="0"/>
                  <w:vAlign w:val="center"/>
                </w:tcPr>
                <w:p w14:paraId="49C525A5">
                  <w:pPr>
                    <w:pStyle w:val="117"/>
                    <w:spacing w:line="240" w:lineRule="atLeast"/>
                    <w:rPr>
                      <w:rFonts w:cs="Times New Roman"/>
                      <w:b/>
                      <w:bCs/>
                      <w:color w:val="auto"/>
                      <w:sz w:val="21"/>
                      <w:szCs w:val="21"/>
                      <w:highlight w:val="none"/>
                    </w:rPr>
                  </w:pPr>
                  <w:r>
                    <w:rPr>
                      <w:rFonts w:cs="Times New Roman"/>
                      <w:b/>
                      <w:bCs/>
                      <w:color w:val="auto"/>
                      <w:sz w:val="21"/>
                      <w:szCs w:val="21"/>
                      <w:highlight w:val="none"/>
                    </w:rPr>
                    <w:t>危险废物名称</w:t>
                  </w:r>
                </w:p>
              </w:tc>
              <w:tc>
                <w:tcPr>
                  <w:tcW w:w="827" w:type="dxa"/>
                  <w:noWrap w:val="0"/>
                  <w:vAlign w:val="center"/>
                </w:tcPr>
                <w:p w14:paraId="2A31DD11">
                  <w:pPr>
                    <w:pStyle w:val="117"/>
                    <w:spacing w:line="240" w:lineRule="atLeast"/>
                    <w:rPr>
                      <w:rFonts w:cs="Times New Roman"/>
                      <w:b/>
                      <w:bCs/>
                      <w:color w:val="auto"/>
                      <w:sz w:val="21"/>
                      <w:szCs w:val="21"/>
                      <w:highlight w:val="none"/>
                    </w:rPr>
                  </w:pPr>
                  <w:r>
                    <w:rPr>
                      <w:rFonts w:cs="Times New Roman"/>
                      <w:b/>
                      <w:bCs/>
                      <w:color w:val="auto"/>
                      <w:sz w:val="21"/>
                      <w:szCs w:val="21"/>
                      <w:highlight w:val="none"/>
                    </w:rPr>
                    <w:t>废物类别</w:t>
                  </w:r>
                </w:p>
              </w:tc>
              <w:tc>
                <w:tcPr>
                  <w:tcW w:w="1301" w:type="dxa"/>
                  <w:noWrap w:val="0"/>
                  <w:vAlign w:val="center"/>
                </w:tcPr>
                <w:p w14:paraId="3B0A6285">
                  <w:pPr>
                    <w:pStyle w:val="117"/>
                    <w:spacing w:line="240" w:lineRule="atLeast"/>
                    <w:rPr>
                      <w:rFonts w:cs="Times New Roman"/>
                      <w:b/>
                      <w:bCs/>
                      <w:color w:val="auto"/>
                      <w:sz w:val="21"/>
                      <w:szCs w:val="21"/>
                      <w:highlight w:val="none"/>
                    </w:rPr>
                  </w:pPr>
                  <w:r>
                    <w:rPr>
                      <w:rFonts w:cs="Times New Roman"/>
                      <w:b/>
                      <w:bCs/>
                      <w:color w:val="auto"/>
                      <w:sz w:val="21"/>
                      <w:szCs w:val="21"/>
                      <w:highlight w:val="none"/>
                    </w:rPr>
                    <w:t>废物</w:t>
                  </w:r>
                </w:p>
                <w:p w14:paraId="21187E26">
                  <w:pPr>
                    <w:pStyle w:val="117"/>
                    <w:spacing w:line="240" w:lineRule="atLeast"/>
                    <w:rPr>
                      <w:rFonts w:cs="Times New Roman"/>
                      <w:b/>
                      <w:bCs/>
                      <w:color w:val="auto"/>
                      <w:sz w:val="21"/>
                      <w:szCs w:val="21"/>
                      <w:highlight w:val="none"/>
                    </w:rPr>
                  </w:pPr>
                  <w:r>
                    <w:rPr>
                      <w:rFonts w:cs="Times New Roman"/>
                      <w:b/>
                      <w:bCs/>
                      <w:color w:val="auto"/>
                      <w:sz w:val="21"/>
                      <w:szCs w:val="21"/>
                      <w:highlight w:val="none"/>
                    </w:rPr>
                    <w:t>代码</w:t>
                  </w:r>
                </w:p>
              </w:tc>
              <w:tc>
                <w:tcPr>
                  <w:tcW w:w="980" w:type="dxa"/>
                  <w:noWrap w:val="0"/>
                  <w:vAlign w:val="center"/>
                </w:tcPr>
                <w:p w14:paraId="50450A5F">
                  <w:pPr>
                    <w:pStyle w:val="117"/>
                    <w:spacing w:line="240" w:lineRule="atLeast"/>
                    <w:rPr>
                      <w:rFonts w:cs="Times New Roman"/>
                      <w:b/>
                      <w:bCs/>
                      <w:color w:val="auto"/>
                      <w:sz w:val="21"/>
                      <w:szCs w:val="21"/>
                      <w:highlight w:val="none"/>
                    </w:rPr>
                  </w:pPr>
                  <w:r>
                    <w:rPr>
                      <w:rFonts w:cs="Times New Roman"/>
                      <w:b/>
                      <w:bCs/>
                      <w:color w:val="auto"/>
                      <w:sz w:val="21"/>
                      <w:szCs w:val="21"/>
                      <w:highlight w:val="none"/>
                    </w:rPr>
                    <w:t>产生量（t）</w:t>
                  </w:r>
                </w:p>
              </w:tc>
              <w:tc>
                <w:tcPr>
                  <w:tcW w:w="939" w:type="dxa"/>
                  <w:noWrap w:val="0"/>
                  <w:vAlign w:val="center"/>
                </w:tcPr>
                <w:p w14:paraId="11B11AC8">
                  <w:pPr>
                    <w:pStyle w:val="117"/>
                    <w:spacing w:line="240" w:lineRule="atLeast"/>
                    <w:rPr>
                      <w:rFonts w:cs="Times New Roman"/>
                      <w:b/>
                      <w:bCs/>
                      <w:color w:val="auto"/>
                      <w:sz w:val="21"/>
                      <w:szCs w:val="21"/>
                      <w:highlight w:val="none"/>
                    </w:rPr>
                  </w:pPr>
                  <w:r>
                    <w:rPr>
                      <w:rFonts w:cs="Times New Roman"/>
                      <w:b/>
                      <w:bCs/>
                      <w:color w:val="auto"/>
                      <w:sz w:val="21"/>
                      <w:szCs w:val="21"/>
                      <w:highlight w:val="none"/>
                    </w:rPr>
                    <w:t>贮存场所（设施）名称</w:t>
                  </w:r>
                </w:p>
              </w:tc>
              <w:tc>
                <w:tcPr>
                  <w:tcW w:w="1022" w:type="dxa"/>
                  <w:noWrap w:val="0"/>
                  <w:vAlign w:val="center"/>
                </w:tcPr>
                <w:p w14:paraId="02DC7857">
                  <w:pPr>
                    <w:pStyle w:val="117"/>
                    <w:spacing w:line="240" w:lineRule="atLeast"/>
                    <w:rPr>
                      <w:rFonts w:cs="Times New Roman"/>
                      <w:b/>
                      <w:bCs/>
                      <w:color w:val="auto"/>
                      <w:sz w:val="21"/>
                      <w:szCs w:val="21"/>
                      <w:highlight w:val="none"/>
                    </w:rPr>
                  </w:pPr>
                  <w:r>
                    <w:rPr>
                      <w:rFonts w:cs="Times New Roman"/>
                      <w:b/>
                      <w:bCs/>
                      <w:color w:val="auto"/>
                      <w:sz w:val="21"/>
                      <w:szCs w:val="21"/>
                      <w:highlight w:val="none"/>
                    </w:rPr>
                    <w:t>贮存能力（t/a）</w:t>
                  </w:r>
                </w:p>
              </w:tc>
              <w:tc>
                <w:tcPr>
                  <w:tcW w:w="540" w:type="dxa"/>
                  <w:noWrap w:val="0"/>
                  <w:vAlign w:val="center"/>
                </w:tcPr>
                <w:p w14:paraId="6389FC11">
                  <w:pPr>
                    <w:pStyle w:val="117"/>
                    <w:spacing w:line="240" w:lineRule="atLeast"/>
                    <w:rPr>
                      <w:rFonts w:cs="Times New Roman"/>
                      <w:b/>
                      <w:bCs/>
                      <w:color w:val="auto"/>
                      <w:sz w:val="21"/>
                      <w:szCs w:val="21"/>
                      <w:highlight w:val="none"/>
                    </w:rPr>
                  </w:pPr>
                  <w:r>
                    <w:rPr>
                      <w:rFonts w:cs="Times New Roman"/>
                      <w:b/>
                      <w:bCs/>
                      <w:color w:val="auto"/>
                      <w:sz w:val="21"/>
                      <w:szCs w:val="21"/>
                      <w:highlight w:val="none"/>
                    </w:rPr>
                    <w:t>贮存周期</w:t>
                  </w:r>
                </w:p>
              </w:tc>
              <w:tc>
                <w:tcPr>
                  <w:tcW w:w="802" w:type="dxa"/>
                  <w:noWrap w:val="0"/>
                  <w:vAlign w:val="center"/>
                </w:tcPr>
                <w:p w14:paraId="041A8D71">
                  <w:pPr>
                    <w:pStyle w:val="117"/>
                    <w:spacing w:line="240" w:lineRule="atLeast"/>
                    <w:rPr>
                      <w:rFonts w:cs="Times New Roman"/>
                      <w:b/>
                      <w:bCs/>
                      <w:color w:val="auto"/>
                      <w:sz w:val="21"/>
                      <w:szCs w:val="21"/>
                      <w:highlight w:val="none"/>
                    </w:rPr>
                  </w:pPr>
                  <w:r>
                    <w:rPr>
                      <w:rFonts w:cs="Times New Roman"/>
                      <w:b/>
                      <w:bCs/>
                      <w:color w:val="auto"/>
                      <w:sz w:val="21"/>
                      <w:szCs w:val="21"/>
                      <w:highlight w:val="none"/>
                    </w:rPr>
                    <w:t>污染防治措施</w:t>
                  </w:r>
                </w:p>
              </w:tc>
            </w:tr>
            <w:tr w14:paraId="4D2B5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dxa"/>
                  <w:noWrap w:val="0"/>
                  <w:vAlign w:val="center"/>
                </w:tcPr>
                <w:p w14:paraId="56038319">
                  <w:pPr>
                    <w:pStyle w:val="117"/>
                    <w:spacing w:line="240" w:lineRule="atLeast"/>
                    <w:rPr>
                      <w:rFonts w:cs="Times New Roman"/>
                      <w:color w:val="auto"/>
                      <w:sz w:val="21"/>
                      <w:szCs w:val="21"/>
                      <w:highlight w:val="none"/>
                    </w:rPr>
                  </w:pPr>
                  <w:r>
                    <w:rPr>
                      <w:rFonts w:cs="Times New Roman"/>
                      <w:color w:val="auto"/>
                      <w:sz w:val="21"/>
                      <w:szCs w:val="21"/>
                      <w:highlight w:val="none"/>
                    </w:rPr>
                    <w:t>1</w:t>
                  </w:r>
                </w:p>
              </w:tc>
              <w:tc>
                <w:tcPr>
                  <w:tcW w:w="951" w:type="dxa"/>
                  <w:noWrap w:val="0"/>
                  <w:vAlign w:val="center"/>
                </w:tcPr>
                <w:p w14:paraId="53681730">
                  <w:pPr>
                    <w:spacing w:line="240" w:lineRule="atLeast"/>
                    <w:jc w:val="center"/>
                    <w:rPr>
                      <w:color w:val="auto"/>
                      <w:highlight w:val="none"/>
                    </w:rPr>
                  </w:pPr>
                  <w:r>
                    <w:rPr>
                      <w:color w:val="auto"/>
                      <w:highlight w:val="none"/>
                    </w:rPr>
                    <w:t>废润滑油</w:t>
                  </w:r>
                </w:p>
              </w:tc>
              <w:tc>
                <w:tcPr>
                  <w:tcW w:w="827" w:type="dxa"/>
                  <w:noWrap w:val="0"/>
                  <w:vAlign w:val="center"/>
                </w:tcPr>
                <w:p w14:paraId="38117D36">
                  <w:pPr>
                    <w:topLinePunct/>
                    <w:spacing w:line="240" w:lineRule="atLeast"/>
                    <w:jc w:val="center"/>
                    <w:rPr>
                      <w:color w:val="auto"/>
                      <w:szCs w:val="21"/>
                      <w:highlight w:val="none"/>
                    </w:rPr>
                  </w:pPr>
                  <w:r>
                    <w:rPr>
                      <w:color w:val="auto"/>
                      <w:szCs w:val="21"/>
                      <w:highlight w:val="none"/>
                    </w:rPr>
                    <w:t>HW08</w:t>
                  </w:r>
                </w:p>
              </w:tc>
              <w:tc>
                <w:tcPr>
                  <w:tcW w:w="1301" w:type="dxa"/>
                  <w:noWrap w:val="0"/>
                  <w:vAlign w:val="center"/>
                </w:tcPr>
                <w:p w14:paraId="561EC906">
                  <w:pPr>
                    <w:spacing w:line="240" w:lineRule="atLeast"/>
                    <w:jc w:val="center"/>
                    <w:rPr>
                      <w:color w:val="auto"/>
                      <w:szCs w:val="21"/>
                      <w:highlight w:val="none"/>
                    </w:rPr>
                  </w:pPr>
                  <w:r>
                    <w:rPr>
                      <w:color w:val="auto"/>
                      <w:szCs w:val="21"/>
                      <w:highlight w:val="none"/>
                    </w:rPr>
                    <w:t>900-214-08</w:t>
                  </w:r>
                </w:p>
              </w:tc>
              <w:tc>
                <w:tcPr>
                  <w:tcW w:w="980" w:type="dxa"/>
                  <w:noWrap w:val="0"/>
                  <w:vAlign w:val="center"/>
                </w:tcPr>
                <w:p w14:paraId="2EAC2976">
                  <w:pPr>
                    <w:spacing w:line="240" w:lineRule="atLeast"/>
                    <w:jc w:val="center"/>
                    <w:rPr>
                      <w:rFonts w:hint="eastAsia" w:eastAsia="宋体"/>
                      <w:color w:val="auto"/>
                      <w:szCs w:val="21"/>
                      <w:highlight w:val="none"/>
                      <w:lang w:val="en-US" w:eastAsia="zh-CN"/>
                    </w:rPr>
                  </w:pPr>
                  <w:r>
                    <w:rPr>
                      <w:color w:val="auto"/>
                      <w:szCs w:val="21"/>
                      <w:highlight w:val="none"/>
                    </w:rPr>
                    <w:t>0.</w:t>
                  </w:r>
                  <w:r>
                    <w:rPr>
                      <w:rFonts w:hint="eastAsia"/>
                      <w:color w:val="auto"/>
                      <w:szCs w:val="21"/>
                      <w:highlight w:val="none"/>
                      <w:lang w:val="en-US" w:eastAsia="zh-CN"/>
                    </w:rPr>
                    <w:t>2</w:t>
                  </w:r>
                </w:p>
              </w:tc>
              <w:tc>
                <w:tcPr>
                  <w:tcW w:w="939" w:type="dxa"/>
                  <w:vMerge w:val="restart"/>
                  <w:noWrap w:val="0"/>
                  <w:vAlign w:val="center"/>
                </w:tcPr>
                <w:p w14:paraId="2D1851B1">
                  <w:pPr>
                    <w:pStyle w:val="117"/>
                    <w:spacing w:line="240" w:lineRule="atLeast"/>
                    <w:rPr>
                      <w:rFonts w:cs="Times New Roman"/>
                      <w:color w:val="auto"/>
                      <w:sz w:val="21"/>
                      <w:szCs w:val="21"/>
                      <w:highlight w:val="none"/>
                    </w:rPr>
                  </w:pPr>
                  <w:r>
                    <w:rPr>
                      <w:rFonts w:cs="Times New Roman"/>
                      <w:color w:val="auto"/>
                      <w:sz w:val="21"/>
                      <w:szCs w:val="21"/>
                      <w:highlight w:val="none"/>
                    </w:rPr>
                    <w:t>危险废物暂存间</w:t>
                  </w:r>
                </w:p>
              </w:tc>
              <w:tc>
                <w:tcPr>
                  <w:tcW w:w="1022" w:type="dxa"/>
                  <w:noWrap w:val="0"/>
                  <w:vAlign w:val="center"/>
                </w:tcPr>
                <w:p w14:paraId="7046B1EA">
                  <w:pPr>
                    <w:spacing w:line="240" w:lineRule="atLeast"/>
                    <w:jc w:val="center"/>
                    <w:rPr>
                      <w:color w:val="auto"/>
                      <w:szCs w:val="21"/>
                      <w:highlight w:val="none"/>
                    </w:rPr>
                  </w:pPr>
                  <w:r>
                    <w:rPr>
                      <w:color w:val="auto"/>
                      <w:szCs w:val="21"/>
                      <w:highlight w:val="none"/>
                    </w:rPr>
                    <w:t>1</w:t>
                  </w:r>
                </w:p>
              </w:tc>
              <w:tc>
                <w:tcPr>
                  <w:tcW w:w="540" w:type="dxa"/>
                  <w:noWrap w:val="0"/>
                  <w:vAlign w:val="center"/>
                </w:tcPr>
                <w:p w14:paraId="1E924D45">
                  <w:pPr>
                    <w:pStyle w:val="117"/>
                    <w:spacing w:line="240" w:lineRule="atLeast"/>
                    <w:rPr>
                      <w:rFonts w:cs="Times New Roman"/>
                      <w:color w:val="auto"/>
                      <w:sz w:val="21"/>
                      <w:szCs w:val="21"/>
                      <w:highlight w:val="none"/>
                    </w:rPr>
                  </w:pPr>
                  <w:r>
                    <w:rPr>
                      <w:rFonts w:cs="Times New Roman"/>
                      <w:color w:val="auto"/>
                      <w:sz w:val="21"/>
                      <w:szCs w:val="21"/>
                      <w:highlight w:val="none"/>
                    </w:rPr>
                    <w:t>12个月</w:t>
                  </w:r>
                </w:p>
              </w:tc>
              <w:tc>
                <w:tcPr>
                  <w:tcW w:w="802" w:type="dxa"/>
                  <w:vMerge w:val="restart"/>
                  <w:noWrap w:val="0"/>
                  <w:vAlign w:val="center"/>
                </w:tcPr>
                <w:p w14:paraId="6E3EF008">
                  <w:pPr>
                    <w:pStyle w:val="117"/>
                    <w:spacing w:line="240" w:lineRule="atLeast"/>
                    <w:rPr>
                      <w:rFonts w:cs="Times New Roman"/>
                      <w:color w:val="auto"/>
                      <w:sz w:val="21"/>
                      <w:szCs w:val="21"/>
                      <w:highlight w:val="none"/>
                    </w:rPr>
                  </w:pPr>
                  <w:r>
                    <w:rPr>
                      <w:rFonts w:cs="Times New Roman"/>
                      <w:color w:val="auto"/>
                      <w:sz w:val="21"/>
                      <w:szCs w:val="21"/>
                      <w:highlight w:val="none"/>
                    </w:rPr>
                    <w:t>定期交由有资质单位处置</w:t>
                  </w:r>
                </w:p>
              </w:tc>
            </w:tr>
            <w:tr w14:paraId="02ED4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5" w:type="dxa"/>
                  <w:noWrap w:val="0"/>
                  <w:vAlign w:val="center"/>
                </w:tcPr>
                <w:p w14:paraId="7F75A120">
                  <w:pPr>
                    <w:pStyle w:val="117"/>
                    <w:spacing w:line="240" w:lineRule="atLeast"/>
                    <w:rPr>
                      <w:rFonts w:cs="Times New Roman"/>
                      <w:color w:val="auto"/>
                      <w:sz w:val="21"/>
                      <w:szCs w:val="21"/>
                      <w:highlight w:val="none"/>
                    </w:rPr>
                  </w:pPr>
                  <w:r>
                    <w:rPr>
                      <w:rFonts w:cs="Times New Roman"/>
                      <w:color w:val="auto"/>
                      <w:sz w:val="21"/>
                      <w:szCs w:val="21"/>
                      <w:highlight w:val="none"/>
                    </w:rPr>
                    <w:t>2</w:t>
                  </w:r>
                </w:p>
              </w:tc>
              <w:tc>
                <w:tcPr>
                  <w:tcW w:w="951" w:type="dxa"/>
                  <w:noWrap w:val="0"/>
                  <w:vAlign w:val="center"/>
                </w:tcPr>
                <w:p w14:paraId="654ECFCB">
                  <w:pPr>
                    <w:spacing w:line="240" w:lineRule="atLeast"/>
                    <w:jc w:val="center"/>
                    <w:rPr>
                      <w:color w:val="auto"/>
                      <w:highlight w:val="none"/>
                    </w:rPr>
                  </w:pPr>
                  <w:r>
                    <w:rPr>
                      <w:color w:val="auto"/>
                      <w:highlight w:val="none"/>
                    </w:rPr>
                    <w:t>废润滑油桶</w:t>
                  </w:r>
                </w:p>
              </w:tc>
              <w:tc>
                <w:tcPr>
                  <w:tcW w:w="827" w:type="dxa"/>
                  <w:noWrap w:val="0"/>
                  <w:vAlign w:val="center"/>
                </w:tcPr>
                <w:p w14:paraId="4A4C1065">
                  <w:pPr>
                    <w:topLinePunct/>
                    <w:spacing w:line="240" w:lineRule="atLeast"/>
                    <w:jc w:val="center"/>
                    <w:rPr>
                      <w:color w:val="auto"/>
                      <w:szCs w:val="21"/>
                      <w:highlight w:val="none"/>
                    </w:rPr>
                  </w:pPr>
                  <w:r>
                    <w:rPr>
                      <w:color w:val="auto"/>
                      <w:szCs w:val="21"/>
                      <w:highlight w:val="none"/>
                    </w:rPr>
                    <w:t>HW08</w:t>
                  </w:r>
                </w:p>
              </w:tc>
              <w:tc>
                <w:tcPr>
                  <w:tcW w:w="1301" w:type="dxa"/>
                  <w:noWrap w:val="0"/>
                  <w:vAlign w:val="center"/>
                </w:tcPr>
                <w:p w14:paraId="6C9A1453">
                  <w:pPr>
                    <w:spacing w:line="240" w:lineRule="atLeast"/>
                    <w:jc w:val="center"/>
                    <w:rPr>
                      <w:color w:val="auto"/>
                      <w:szCs w:val="21"/>
                      <w:highlight w:val="none"/>
                    </w:rPr>
                  </w:pPr>
                  <w:r>
                    <w:rPr>
                      <w:color w:val="auto"/>
                      <w:szCs w:val="21"/>
                      <w:highlight w:val="none"/>
                    </w:rPr>
                    <w:t>900-249-08</w:t>
                  </w:r>
                </w:p>
              </w:tc>
              <w:tc>
                <w:tcPr>
                  <w:tcW w:w="980" w:type="dxa"/>
                  <w:noWrap w:val="0"/>
                  <w:vAlign w:val="center"/>
                </w:tcPr>
                <w:p w14:paraId="48549565">
                  <w:pPr>
                    <w:spacing w:line="240" w:lineRule="atLeast"/>
                    <w:jc w:val="center"/>
                    <w:rPr>
                      <w:rFonts w:hint="eastAsia" w:eastAsia="宋体"/>
                      <w:color w:val="auto"/>
                      <w:szCs w:val="21"/>
                      <w:highlight w:val="none"/>
                      <w:lang w:val="en-US" w:eastAsia="zh-CN"/>
                    </w:rPr>
                  </w:pPr>
                  <w:r>
                    <w:rPr>
                      <w:color w:val="auto"/>
                      <w:szCs w:val="21"/>
                      <w:highlight w:val="none"/>
                    </w:rPr>
                    <w:t>0.0</w:t>
                  </w:r>
                  <w:r>
                    <w:rPr>
                      <w:rFonts w:hint="eastAsia"/>
                      <w:color w:val="auto"/>
                      <w:szCs w:val="21"/>
                      <w:highlight w:val="none"/>
                      <w:lang w:val="en-US" w:eastAsia="zh-CN"/>
                    </w:rPr>
                    <w:t>3</w:t>
                  </w:r>
                </w:p>
              </w:tc>
              <w:tc>
                <w:tcPr>
                  <w:tcW w:w="939" w:type="dxa"/>
                  <w:vMerge w:val="continue"/>
                  <w:noWrap w:val="0"/>
                  <w:vAlign w:val="center"/>
                </w:tcPr>
                <w:p w14:paraId="0D002743">
                  <w:pPr>
                    <w:pStyle w:val="117"/>
                    <w:spacing w:line="240" w:lineRule="atLeast"/>
                    <w:rPr>
                      <w:rFonts w:cs="Times New Roman"/>
                      <w:color w:val="auto"/>
                      <w:sz w:val="21"/>
                      <w:szCs w:val="21"/>
                      <w:highlight w:val="none"/>
                    </w:rPr>
                  </w:pPr>
                </w:p>
              </w:tc>
              <w:tc>
                <w:tcPr>
                  <w:tcW w:w="1022" w:type="dxa"/>
                  <w:noWrap w:val="0"/>
                  <w:vAlign w:val="center"/>
                </w:tcPr>
                <w:p w14:paraId="631553C0">
                  <w:pPr>
                    <w:spacing w:line="240" w:lineRule="atLeast"/>
                    <w:jc w:val="center"/>
                    <w:rPr>
                      <w:rFonts w:hint="eastAsia" w:eastAsia="宋体"/>
                      <w:color w:val="auto"/>
                      <w:szCs w:val="21"/>
                      <w:highlight w:val="none"/>
                      <w:lang w:val="en-US" w:eastAsia="zh-CN"/>
                    </w:rPr>
                  </w:pPr>
                  <w:r>
                    <w:rPr>
                      <w:color w:val="auto"/>
                      <w:szCs w:val="21"/>
                      <w:highlight w:val="none"/>
                    </w:rPr>
                    <w:t>0.5</w:t>
                  </w:r>
                  <w:r>
                    <w:rPr>
                      <w:rFonts w:hint="eastAsia"/>
                      <w:color w:val="auto"/>
                      <w:szCs w:val="21"/>
                      <w:highlight w:val="none"/>
                      <w:lang w:val="en-US" w:eastAsia="zh-CN"/>
                    </w:rPr>
                    <w:t>5</w:t>
                  </w:r>
                </w:p>
              </w:tc>
              <w:tc>
                <w:tcPr>
                  <w:tcW w:w="540" w:type="dxa"/>
                  <w:noWrap w:val="0"/>
                  <w:vAlign w:val="center"/>
                </w:tcPr>
                <w:p w14:paraId="48AE1C96">
                  <w:pPr>
                    <w:pStyle w:val="117"/>
                    <w:spacing w:line="240" w:lineRule="atLeast"/>
                    <w:rPr>
                      <w:rFonts w:cs="Times New Roman"/>
                      <w:color w:val="auto"/>
                      <w:sz w:val="21"/>
                      <w:szCs w:val="21"/>
                      <w:highlight w:val="none"/>
                    </w:rPr>
                  </w:pPr>
                  <w:r>
                    <w:rPr>
                      <w:rFonts w:cs="Times New Roman"/>
                      <w:color w:val="auto"/>
                      <w:sz w:val="21"/>
                      <w:szCs w:val="21"/>
                      <w:highlight w:val="none"/>
                    </w:rPr>
                    <w:t>12个月</w:t>
                  </w:r>
                </w:p>
              </w:tc>
              <w:tc>
                <w:tcPr>
                  <w:tcW w:w="802" w:type="dxa"/>
                  <w:vMerge w:val="continue"/>
                  <w:noWrap w:val="0"/>
                  <w:vAlign w:val="center"/>
                </w:tcPr>
                <w:p w14:paraId="3985A297">
                  <w:pPr>
                    <w:pStyle w:val="117"/>
                    <w:spacing w:line="240" w:lineRule="atLeast"/>
                    <w:rPr>
                      <w:rFonts w:cs="Times New Roman"/>
                      <w:color w:val="auto"/>
                      <w:sz w:val="21"/>
                      <w:szCs w:val="21"/>
                      <w:highlight w:val="none"/>
                    </w:rPr>
                  </w:pPr>
                </w:p>
              </w:tc>
            </w:tr>
            <w:tr w14:paraId="1FA64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dxa"/>
                  <w:noWrap w:val="0"/>
                  <w:vAlign w:val="center"/>
                </w:tcPr>
                <w:p w14:paraId="2AA411B2">
                  <w:pPr>
                    <w:pStyle w:val="117"/>
                    <w:spacing w:line="240" w:lineRule="atLeast"/>
                    <w:rPr>
                      <w:rFonts w:cs="Times New Roman"/>
                      <w:color w:val="auto"/>
                      <w:sz w:val="21"/>
                      <w:szCs w:val="21"/>
                      <w:highlight w:val="none"/>
                    </w:rPr>
                  </w:pPr>
                  <w:r>
                    <w:rPr>
                      <w:rFonts w:cs="Times New Roman"/>
                      <w:color w:val="auto"/>
                      <w:sz w:val="21"/>
                      <w:szCs w:val="21"/>
                      <w:highlight w:val="none"/>
                    </w:rPr>
                    <w:t>3</w:t>
                  </w:r>
                </w:p>
              </w:tc>
              <w:tc>
                <w:tcPr>
                  <w:tcW w:w="951" w:type="dxa"/>
                  <w:noWrap w:val="0"/>
                  <w:vAlign w:val="center"/>
                </w:tcPr>
                <w:p w14:paraId="0BA624CF">
                  <w:pPr>
                    <w:spacing w:line="240" w:lineRule="atLeast"/>
                    <w:jc w:val="center"/>
                    <w:rPr>
                      <w:color w:val="auto"/>
                      <w:highlight w:val="none"/>
                    </w:rPr>
                  </w:pPr>
                  <w:r>
                    <w:rPr>
                      <w:color w:val="auto"/>
                      <w:highlight w:val="none"/>
                    </w:rPr>
                    <w:t>分类后的废含油抹布和废含油手套</w:t>
                  </w:r>
                </w:p>
              </w:tc>
              <w:tc>
                <w:tcPr>
                  <w:tcW w:w="827" w:type="dxa"/>
                  <w:noWrap w:val="0"/>
                  <w:vAlign w:val="center"/>
                </w:tcPr>
                <w:p w14:paraId="2085C6E1">
                  <w:pPr>
                    <w:topLinePunct/>
                    <w:spacing w:line="240" w:lineRule="atLeast"/>
                    <w:jc w:val="center"/>
                    <w:rPr>
                      <w:color w:val="auto"/>
                      <w:szCs w:val="21"/>
                      <w:highlight w:val="none"/>
                    </w:rPr>
                  </w:pPr>
                  <w:r>
                    <w:rPr>
                      <w:color w:val="auto"/>
                      <w:szCs w:val="21"/>
                      <w:highlight w:val="none"/>
                    </w:rPr>
                    <w:t>HW08</w:t>
                  </w:r>
                </w:p>
              </w:tc>
              <w:tc>
                <w:tcPr>
                  <w:tcW w:w="1301" w:type="dxa"/>
                  <w:noWrap w:val="0"/>
                  <w:vAlign w:val="center"/>
                </w:tcPr>
                <w:p w14:paraId="7EC5DE82">
                  <w:pPr>
                    <w:spacing w:line="240" w:lineRule="atLeast"/>
                    <w:jc w:val="center"/>
                    <w:rPr>
                      <w:color w:val="auto"/>
                      <w:szCs w:val="21"/>
                      <w:highlight w:val="none"/>
                    </w:rPr>
                  </w:pPr>
                  <w:r>
                    <w:rPr>
                      <w:color w:val="auto"/>
                      <w:szCs w:val="21"/>
                      <w:highlight w:val="none"/>
                    </w:rPr>
                    <w:t>900-041-049</w:t>
                  </w:r>
                </w:p>
              </w:tc>
              <w:tc>
                <w:tcPr>
                  <w:tcW w:w="980" w:type="dxa"/>
                  <w:noWrap w:val="0"/>
                  <w:vAlign w:val="center"/>
                </w:tcPr>
                <w:p w14:paraId="1B7BF6D5">
                  <w:pPr>
                    <w:spacing w:line="240" w:lineRule="atLeast"/>
                    <w:jc w:val="center"/>
                    <w:rPr>
                      <w:color w:val="auto"/>
                      <w:szCs w:val="21"/>
                      <w:highlight w:val="none"/>
                    </w:rPr>
                  </w:pPr>
                  <w:r>
                    <w:rPr>
                      <w:color w:val="auto"/>
                      <w:szCs w:val="21"/>
                      <w:highlight w:val="none"/>
                    </w:rPr>
                    <w:t>0.04</w:t>
                  </w:r>
                </w:p>
              </w:tc>
              <w:tc>
                <w:tcPr>
                  <w:tcW w:w="939" w:type="dxa"/>
                  <w:vMerge w:val="continue"/>
                  <w:noWrap w:val="0"/>
                  <w:vAlign w:val="center"/>
                </w:tcPr>
                <w:p w14:paraId="110B3980">
                  <w:pPr>
                    <w:pStyle w:val="117"/>
                    <w:spacing w:line="240" w:lineRule="atLeast"/>
                    <w:rPr>
                      <w:rFonts w:cs="Times New Roman"/>
                      <w:color w:val="auto"/>
                      <w:sz w:val="21"/>
                      <w:szCs w:val="21"/>
                      <w:highlight w:val="none"/>
                    </w:rPr>
                  </w:pPr>
                </w:p>
              </w:tc>
              <w:tc>
                <w:tcPr>
                  <w:tcW w:w="1022" w:type="dxa"/>
                  <w:noWrap w:val="0"/>
                  <w:vAlign w:val="center"/>
                </w:tcPr>
                <w:p w14:paraId="68564417">
                  <w:pPr>
                    <w:spacing w:line="240" w:lineRule="atLeast"/>
                    <w:jc w:val="center"/>
                    <w:rPr>
                      <w:color w:val="auto"/>
                      <w:szCs w:val="21"/>
                      <w:highlight w:val="none"/>
                    </w:rPr>
                  </w:pPr>
                  <w:r>
                    <w:rPr>
                      <w:color w:val="auto"/>
                      <w:szCs w:val="21"/>
                      <w:highlight w:val="none"/>
                    </w:rPr>
                    <w:t>0.2</w:t>
                  </w:r>
                </w:p>
              </w:tc>
              <w:tc>
                <w:tcPr>
                  <w:tcW w:w="540" w:type="dxa"/>
                  <w:noWrap w:val="0"/>
                  <w:vAlign w:val="center"/>
                </w:tcPr>
                <w:p w14:paraId="781B9D90">
                  <w:pPr>
                    <w:pStyle w:val="117"/>
                    <w:spacing w:line="240" w:lineRule="atLeast"/>
                    <w:rPr>
                      <w:rFonts w:cs="Times New Roman"/>
                      <w:color w:val="auto"/>
                      <w:sz w:val="21"/>
                      <w:szCs w:val="21"/>
                      <w:highlight w:val="none"/>
                    </w:rPr>
                  </w:pPr>
                  <w:r>
                    <w:rPr>
                      <w:rFonts w:cs="Times New Roman"/>
                      <w:color w:val="auto"/>
                      <w:sz w:val="21"/>
                      <w:szCs w:val="21"/>
                      <w:highlight w:val="none"/>
                    </w:rPr>
                    <w:t>12个月</w:t>
                  </w:r>
                </w:p>
              </w:tc>
              <w:tc>
                <w:tcPr>
                  <w:tcW w:w="802" w:type="dxa"/>
                  <w:vMerge w:val="continue"/>
                  <w:noWrap w:val="0"/>
                  <w:vAlign w:val="center"/>
                </w:tcPr>
                <w:p w14:paraId="7B24BC36">
                  <w:pPr>
                    <w:pStyle w:val="117"/>
                    <w:spacing w:line="240" w:lineRule="atLeast"/>
                    <w:rPr>
                      <w:rFonts w:cs="Times New Roman"/>
                      <w:color w:val="auto"/>
                      <w:sz w:val="21"/>
                      <w:szCs w:val="21"/>
                      <w:highlight w:val="none"/>
                    </w:rPr>
                  </w:pPr>
                </w:p>
              </w:tc>
            </w:tr>
          </w:tbl>
          <w:p w14:paraId="445DEAE6">
            <w:pPr>
              <w:spacing w:line="360" w:lineRule="auto"/>
              <w:ind w:firstLine="482" w:firstLineChars="200"/>
              <w:rPr>
                <w:b/>
                <w:bCs/>
                <w:color w:val="auto"/>
                <w:sz w:val="24"/>
                <w:highlight w:val="none"/>
              </w:rPr>
            </w:pPr>
            <w:r>
              <w:rPr>
                <w:b/>
                <w:bCs/>
                <w:color w:val="auto"/>
                <w:sz w:val="24"/>
                <w:highlight w:val="none"/>
              </w:rPr>
              <w:t>固废环境保护措施</w:t>
            </w:r>
          </w:p>
          <w:p w14:paraId="1D8C922D">
            <w:pPr>
              <w:spacing w:line="360" w:lineRule="auto"/>
              <w:ind w:firstLine="480" w:firstLineChars="200"/>
              <w:rPr>
                <w:bCs/>
                <w:color w:val="auto"/>
                <w:sz w:val="24"/>
                <w:highlight w:val="none"/>
              </w:rPr>
            </w:pPr>
            <w:r>
              <w:rPr>
                <w:bCs/>
                <w:color w:val="auto"/>
                <w:sz w:val="24"/>
                <w:highlight w:val="none"/>
              </w:rPr>
              <w:t>贮存场所（设施）污染防治设施：</w:t>
            </w:r>
          </w:p>
          <w:p w14:paraId="743A13FC">
            <w:pPr>
              <w:spacing w:line="360" w:lineRule="auto"/>
              <w:ind w:firstLine="480" w:firstLineChars="200"/>
              <w:rPr>
                <w:color w:val="auto"/>
                <w:sz w:val="24"/>
                <w:highlight w:val="none"/>
              </w:rPr>
            </w:pPr>
            <w:r>
              <w:rPr>
                <w:color w:val="auto"/>
                <w:sz w:val="24"/>
                <w:highlight w:val="none"/>
              </w:rPr>
              <w:t>所有纳入危险废物范畴的固体废物在企业内的存放地设置符合</w:t>
            </w:r>
            <w:r>
              <w:rPr>
                <w:color w:val="auto"/>
                <w:kern w:val="0"/>
                <w:sz w:val="24"/>
                <w:highlight w:val="none"/>
              </w:rPr>
              <w:t>《危险废物贮存污染控制标准》（GB18597-2023）</w:t>
            </w:r>
            <w:r>
              <w:rPr>
                <w:color w:val="auto"/>
                <w:sz w:val="24"/>
                <w:highlight w:val="none"/>
              </w:rPr>
              <w:t>的专用标志。危险废物必须使用专用的容器贮存，除非在常温常压下不水解、不挥发的固体危险废物可在贮存设施内分别堆放。贮存容器应有明显标志，并且标明废物的特性，是否具有耐腐蚀、与所贮存的废物发生反应等特性。贮存场所严格按照“四防”（防风、防雨、防晒、防渗漏）要求进行设置，有集排水设施且贮存场所符合消防要求，贮存场所内采用安全照明设施，并设置观察窗口。</w:t>
            </w:r>
          </w:p>
          <w:p w14:paraId="5C13A951">
            <w:pPr>
              <w:pStyle w:val="115"/>
              <w:numPr>
                <w:ilvl w:val="0"/>
                <w:numId w:val="9"/>
              </w:numPr>
              <w:spacing w:line="360" w:lineRule="auto"/>
              <w:ind w:firstLineChars="0"/>
              <w:rPr>
                <w:color w:val="auto"/>
                <w:sz w:val="24"/>
                <w:highlight w:val="none"/>
              </w:rPr>
            </w:pPr>
            <w:r>
              <w:rPr>
                <w:color w:val="auto"/>
                <w:sz w:val="24"/>
                <w:highlight w:val="none"/>
              </w:rPr>
              <w:t>一般固废暂存场所</w:t>
            </w:r>
          </w:p>
          <w:p w14:paraId="23D8E2F5">
            <w:pPr>
              <w:spacing w:line="360" w:lineRule="auto"/>
              <w:ind w:firstLine="480" w:firstLineChars="200"/>
              <w:rPr>
                <w:color w:val="auto"/>
                <w:sz w:val="24"/>
                <w:highlight w:val="none"/>
              </w:rPr>
            </w:pPr>
            <w:r>
              <w:rPr>
                <w:color w:val="auto"/>
                <w:sz w:val="24"/>
                <w:highlight w:val="none"/>
              </w:rPr>
              <w:t>一般工业固体废物暂存间按照《一般工业固体废物贮存和填埋污染控制标准》（GB18599-2020）要求设置，一般工业固体废物不得露天堆放，应做好放风、防雨、防晒设施，防外水入侵要求。本项目要求井场内建设1处一般固废堆放场所。</w:t>
            </w:r>
          </w:p>
          <w:p w14:paraId="3E983068">
            <w:pPr>
              <w:pStyle w:val="115"/>
              <w:numPr>
                <w:ilvl w:val="0"/>
                <w:numId w:val="9"/>
              </w:numPr>
              <w:spacing w:line="360" w:lineRule="auto"/>
              <w:ind w:firstLineChars="0"/>
              <w:rPr>
                <w:color w:val="auto"/>
                <w:sz w:val="24"/>
                <w:highlight w:val="none"/>
              </w:rPr>
            </w:pPr>
            <w:r>
              <w:rPr>
                <w:color w:val="auto"/>
                <w:sz w:val="24"/>
                <w:highlight w:val="none"/>
              </w:rPr>
              <w:t>危险废物暂存场所</w:t>
            </w:r>
          </w:p>
          <w:p w14:paraId="289EF2D2">
            <w:pPr>
              <w:spacing w:line="360" w:lineRule="auto"/>
              <w:ind w:firstLine="480" w:firstLineChars="200"/>
              <w:rPr>
                <w:color w:val="auto"/>
                <w:sz w:val="24"/>
                <w:highlight w:val="none"/>
              </w:rPr>
            </w:pPr>
            <w:r>
              <w:rPr>
                <w:color w:val="auto"/>
                <w:sz w:val="24"/>
                <w:highlight w:val="none"/>
              </w:rPr>
              <w:t>本项目</w:t>
            </w:r>
            <w:r>
              <w:rPr>
                <w:rFonts w:hint="eastAsia"/>
                <w:color w:val="auto"/>
                <w:sz w:val="24"/>
                <w:highlight w:val="none"/>
                <w:lang w:val="en-US" w:eastAsia="zh-CN"/>
              </w:rPr>
              <w:t>在注浆站</w:t>
            </w:r>
            <w:r>
              <w:rPr>
                <w:rFonts w:hint="eastAsia"/>
                <w:color w:val="auto"/>
                <w:sz w:val="24"/>
                <w:highlight w:val="none"/>
              </w:rPr>
              <w:t>建设1座</w:t>
            </w:r>
            <w:r>
              <w:rPr>
                <w:color w:val="auto"/>
                <w:sz w:val="24"/>
                <w:highlight w:val="none"/>
              </w:rPr>
              <w:t>危废库，井场产生的危险废物经密闭规范输送至危废库内规范存储。库房内部各类危废划区堆放；同时应建有堵截泄漏的裙脚；地面与裙脚要用坚固防渗的材料建造；应有隔离设施、报警装置和防风、防晒、防雨设施；</w:t>
            </w:r>
          </w:p>
          <w:p w14:paraId="0127C5E3">
            <w:pPr>
              <w:spacing w:line="360" w:lineRule="auto"/>
              <w:ind w:firstLine="480" w:firstLineChars="200"/>
              <w:rPr>
                <w:color w:val="auto"/>
                <w:sz w:val="24"/>
                <w:highlight w:val="none"/>
              </w:rPr>
            </w:pPr>
            <w:r>
              <w:rPr>
                <w:color w:val="auto"/>
                <w:sz w:val="24"/>
                <w:highlight w:val="none"/>
              </w:rPr>
              <w:t>各类危废干湿分区，不同化学属性的固废间采用实体墙隔离，不同种类危废存放区域贴/挂标示标牌；</w:t>
            </w:r>
          </w:p>
          <w:p w14:paraId="4121369C">
            <w:pPr>
              <w:spacing w:line="360" w:lineRule="auto"/>
              <w:ind w:firstLine="480" w:firstLineChars="200"/>
              <w:rPr>
                <w:color w:val="auto"/>
                <w:sz w:val="24"/>
                <w:highlight w:val="none"/>
              </w:rPr>
            </w:pPr>
            <w:r>
              <w:rPr>
                <w:color w:val="auto"/>
                <w:sz w:val="24"/>
                <w:highlight w:val="none"/>
              </w:rPr>
              <w:t>干区进行地面硬化；湿区地面进行防腐、防渗处理，参照</w:t>
            </w:r>
            <w:r>
              <w:rPr>
                <w:color w:val="auto"/>
                <w:kern w:val="0"/>
                <w:sz w:val="24"/>
                <w:highlight w:val="none"/>
              </w:rPr>
              <w:t>《危险废物贮存污染控制标准》（GB18597-2023）</w:t>
            </w:r>
            <w:r>
              <w:rPr>
                <w:color w:val="auto"/>
                <w:sz w:val="24"/>
                <w:highlight w:val="none"/>
              </w:rPr>
              <w:t>相关要求，基础防渗层为黏土层时，其厚度应达1m以上，渗透系数应小于10</w:t>
            </w:r>
            <w:r>
              <w:rPr>
                <w:color w:val="auto"/>
                <w:sz w:val="24"/>
                <w:highlight w:val="none"/>
                <w:vertAlign w:val="superscript"/>
              </w:rPr>
              <w:t>-7</w:t>
            </w:r>
            <w:r>
              <w:rPr>
                <w:color w:val="auto"/>
                <w:sz w:val="24"/>
                <w:highlight w:val="none"/>
              </w:rPr>
              <w:t>cm/s；基础防渗层亦可用厚度2mm以上的高密度聚乙烯和其他人工防渗材料组成，渗透系数应小于10</w:t>
            </w:r>
            <w:r>
              <w:rPr>
                <w:color w:val="auto"/>
                <w:sz w:val="24"/>
                <w:highlight w:val="none"/>
                <w:vertAlign w:val="superscript"/>
              </w:rPr>
              <w:t>-10</w:t>
            </w:r>
            <w:r>
              <w:rPr>
                <w:color w:val="auto"/>
                <w:sz w:val="24"/>
                <w:highlight w:val="none"/>
              </w:rPr>
              <w:t>cm/s；</w:t>
            </w:r>
          </w:p>
          <w:p w14:paraId="445C8F75">
            <w:pPr>
              <w:spacing w:line="360" w:lineRule="auto"/>
              <w:ind w:firstLine="480" w:firstLineChars="200"/>
              <w:rPr>
                <w:color w:val="auto"/>
                <w:sz w:val="24"/>
                <w:highlight w:val="none"/>
              </w:rPr>
            </w:pPr>
            <w:r>
              <w:rPr>
                <w:color w:val="auto"/>
                <w:sz w:val="24"/>
                <w:highlight w:val="none"/>
              </w:rPr>
              <w:t>暂存区外围周边贴挂明显的标示标牌，注明主要暂存危废的种类、数量、危废编号等信息；</w:t>
            </w:r>
          </w:p>
          <w:p w14:paraId="409B05D5">
            <w:pPr>
              <w:spacing w:line="360" w:lineRule="auto"/>
              <w:ind w:firstLine="480" w:firstLineChars="200"/>
              <w:rPr>
                <w:color w:val="auto"/>
                <w:sz w:val="24"/>
                <w:highlight w:val="none"/>
              </w:rPr>
            </w:pPr>
            <w:r>
              <w:rPr>
                <w:color w:val="auto"/>
                <w:sz w:val="24"/>
                <w:highlight w:val="none"/>
              </w:rPr>
              <w:t>合理选择危废包装物。危废贮存容器、材质满足相应的强度要求，日常确保完好无损；容器材质和衬里与危险废物相容；盛装液体废物的桶开孔直径应不超过70mm，并有放气孔。</w:t>
            </w:r>
          </w:p>
          <w:p w14:paraId="0EFE5222">
            <w:pPr>
              <w:spacing w:line="360" w:lineRule="auto"/>
              <w:ind w:firstLine="480" w:firstLineChars="200"/>
              <w:rPr>
                <w:color w:val="auto"/>
                <w:sz w:val="24"/>
                <w:highlight w:val="none"/>
              </w:rPr>
            </w:pPr>
            <w:r>
              <w:rPr>
                <w:color w:val="auto"/>
                <w:sz w:val="24"/>
                <w:highlight w:val="none"/>
              </w:rPr>
              <w:t>③运输过程污染防治措施</w:t>
            </w:r>
          </w:p>
          <w:p w14:paraId="5F641CE6">
            <w:pPr>
              <w:spacing w:line="360" w:lineRule="auto"/>
              <w:ind w:firstLine="480" w:firstLineChars="200"/>
              <w:rPr>
                <w:color w:val="auto"/>
                <w:sz w:val="24"/>
                <w:highlight w:val="none"/>
              </w:rPr>
            </w:pPr>
            <w:r>
              <w:rPr>
                <w:color w:val="auto"/>
                <w:sz w:val="24"/>
                <w:highlight w:val="none"/>
              </w:rPr>
              <w:t>项目所处理的危险废物采用专门的车辆，密闭运输，严格禁止抛洒滴漏，杜绝在运输过程中造成环境的二次污染。在危险废物的运输中执行《危险废物转移联单管理办法》中有关的规定和要求。</w:t>
            </w:r>
          </w:p>
          <w:p w14:paraId="4778A583">
            <w:pPr>
              <w:spacing w:line="360" w:lineRule="auto"/>
              <w:ind w:firstLine="480" w:firstLineChars="200"/>
              <w:rPr>
                <w:color w:val="auto"/>
                <w:sz w:val="24"/>
                <w:highlight w:val="none"/>
              </w:rPr>
            </w:pPr>
            <w:r>
              <w:rPr>
                <w:color w:val="auto"/>
                <w:sz w:val="24"/>
                <w:highlight w:val="none"/>
              </w:rPr>
              <w:t>④日常管理要求</w:t>
            </w:r>
          </w:p>
          <w:p w14:paraId="79C60313">
            <w:pPr>
              <w:spacing w:line="360" w:lineRule="auto"/>
              <w:ind w:firstLine="480" w:firstLineChars="200"/>
              <w:rPr>
                <w:color w:val="auto"/>
                <w:sz w:val="24"/>
                <w:highlight w:val="none"/>
              </w:rPr>
            </w:pPr>
            <w:r>
              <w:rPr>
                <w:color w:val="auto"/>
                <w:sz w:val="24"/>
                <w:highlight w:val="none"/>
              </w:rPr>
              <w:t>项目固废处置时，尽可能采用减量化、资源化利用措施。委托处置的应与处置单位签订委托处理合同，报生态环境主管部门备案。危险废物转移需执行报批和转移联单等制度。各固废在外运处置前，须在厂内安全暂存，确保固废不产生二次污染。</w:t>
            </w:r>
          </w:p>
          <w:p w14:paraId="52AAC2BA">
            <w:pPr>
              <w:spacing w:line="360" w:lineRule="auto"/>
              <w:ind w:firstLine="480" w:firstLineChars="200"/>
              <w:rPr>
                <w:color w:val="auto"/>
                <w:sz w:val="24"/>
                <w:highlight w:val="none"/>
              </w:rPr>
            </w:pPr>
            <w:r>
              <w:rPr>
                <w:color w:val="auto"/>
                <w:sz w:val="24"/>
                <w:highlight w:val="none"/>
              </w:rPr>
              <w:t>a、履行申报登记制度；</w:t>
            </w:r>
          </w:p>
          <w:p w14:paraId="26FF93B0">
            <w:pPr>
              <w:spacing w:line="360" w:lineRule="auto"/>
              <w:ind w:firstLine="480" w:firstLineChars="200"/>
              <w:rPr>
                <w:color w:val="auto"/>
                <w:sz w:val="24"/>
                <w:highlight w:val="none"/>
              </w:rPr>
            </w:pPr>
            <w:r>
              <w:rPr>
                <w:color w:val="auto"/>
                <w:sz w:val="24"/>
                <w:highlight w:val="none"/>
              </w:rPr>
              <w:t>b、建立台账管理制度，企业须做好危险废物情况的记录，记录上需注明危险废物的名称、来源、数量、特性和包装容器的类别；</w:t>
            </w:r>
          </w:p>
          <w:p w14:paraId="407EA95D">
            <w:pPr>
              <w:spacing w:line="360" w:lineRule="auto"/>
              <w:ind w:firstLine="480" w:firstLineChars="200"/>
              <w:rPr>
                <w:color w:val="auto"/>
                <w:sz w:val="24"/>
                <w:highlight w:val="none"/>
              </w:rPr>
            </w:pPr>
            <w:r>
              <w:rPr>
                <w:color w:val="auto"/>
                <w:sz w:val="24"/>
                <w:highlight w:val="none"/>
              </w:rPr>
              <w:t>c、委托处置应执行报批和转移联单等制度；</w:t>
            </w:r>
          </w:p>
          <w:p w14:paraId="458F7AE7">
            <w:pPr>
              <w:spacing w:line="360" w:lineRule="auto"/>
              <w:ind w:firstLine="480" w:firstLineChars="200"/>
              <w:rPr>
                <w:color w:val="auto"/>
                <w:sz w:val="24"/>
                <w:highlight w:val="none"/>
              </w:rPr>
            </w:pPr>
            <w:r>
              <w:rPr>
                <w:color w:val="auto"/>
                <w:sz w:val="24"/>
                <w:highlight w:val="none"/>
              </w:rPr>
              <w:t>d、定期对暂存的危险废物包装容器及贮存设施进行检查，及早发现破损，及时采取措施清理更换；</w:t>
            </w:r>
          </w:p>
          <w:p w14:paraId="151D3877">
            <w:pPr>
              <w:spacing w:line="360" w:lineRule="auto"/>
              <w:ind w:firstLine="480" w:firstLineChars="200"/>
              <w:rPr>
                <w:color w:val="auto"/>
                <w:sz w:val="24"/>
                <w:highlight w:val="none"/>
              </w:rPr>
            </w:pPr>
            <w:r>
              <w:rPr>
                <w:color w:val="auto"/>
                <w:sz w:val="24"/>
                <w:highlight w:val="none"/>
              </w:rPr>
              <w:t>e、直接从事收集、贮存、运输、利用、处置危险废物的人员，应当接受专业培训，经考核合格，方可从事该项工作；</w:t>
            </w:r>
          </w:p>
          <w:p w14:paraId="7F92BFED">
            <w:pPr>
              <w:spacing w:line="360" w:lineRule="auto"/>
              <w:ind w:firstLine="480" w:firstLineChars="200"/>
              <w:rPr>
                <w:color w:val="auto"/>
                <w:sz w:val="24"/>
                <w:highlight w:val="none"/>
              </w:rPr>
            </w:pPr>
            <w:r>
              <w:rPr>
                <w:color w:val="auto"/>
                <w:sz w:val="24"/>
                <w:highlight w:val="none"/>
              </w:rPr>
              <w:t>f、固废贮存（处置）场所规范化设置，固体废物贮存(处置)场所应在醒目处设置标志牌；</w:t>
            </w:r>
          </w:p>
          <w:p w14:paraId="37554BF3">
            <w:pPr>
              <w:spacing w:line="360" w:lineRule="auto"/>
              <w:ind w:firstLine="480" w:firstLineChars="200"/>
              <w:rPr>
                <w:color w:val="auto"/>
                <w:sz w:val="24"/>
                <w:highlight w:val="none"/>
              </w:rPr>
            </w:pPr>
            <w:r>
              <w:rPr>
                <w:color w:val="auto"/>
                <w:sz w:val="24"/>
                <w:highlight w:val="none"/>
              </w:rPr>
              <w:t>g、危废应根据其化学特性选择合适的容器和存放地点，通过密闭容器存放，不可混合贮存，容器标签必须标明废物种类、贮存时间，定期处理；</w:t>
            </w:r>
          </w:p>
          <w:p w14:paraId="2BE5C40A">
            <w:pPr>
              <w:widowControl/>
              <w:spacing w:line="360" w:lineRule="auto"/>
              <w:ind w:left="420"/>
              <w:rPr>
                <w:b/>
                <w:bCs/>
                <w:color w:val="auto"/>
                <w:kern w:val="0"/>
                <w:sz w:val="24"/>
                <w:highlight w:val="none"/>
                <w:lang w:bidi="ar"/>
              </w:rPr>
            </w:pPr>
            <w:r>
              <w:rPr>
                <w:b/>
                <w:bCs/>
                <w:color w:val="auto"/>
                <w:kern w:val="0"/>
                <w:sz w:val="24"/>
                <w:highlight w:val="none"/>
                <w:lang w:bidi="ar"/>
              </w:rPr>
              <w:t>5、土壤环境影响分析</w:t>
            </w:r>
          </w:p>
          <w:p w14:paraId="504F07D0">
            <w:pPr>
              <w:spacing w:line="360" w:lineRule="auto"/>
              <w:ind w:firstLine="480" w:firstLineChars="200"/>
              <w:rPr>
                <w:color w:val="auto"/>
                <w:sz w:val="24"/>
                <w:highlight w:val="none"/>
              </w:rPr>
            </w:pPr>
            <w:r>
              <w:rPr>
                <w:color w:val="auto"/>
                <w:sz w:val="24"/>
                <w:highlight w:val="none"/>
              </w:rPr>
              <w:t>①污染类型</w:t>
            </w:r>
          </w:p>
          <w:p w14:paraId="6E79D02B">
            <w:pPr>
              <w:spacing w:line="360" w:lineRule="auto"/>
              <w:ind w:firstLine="480" w:firstLineChars="200"/>
              <w:rPr>
                <w:color w:val="auto"/>
                <w:sz w:val="24"/>
                <w:highlight w:val="none"/>
              </w:rPr>
            </w:pPr>
            <w:r>
              <w:rPr>
                <w:color w:val="auto"/>
                <w:sz w:val="24"/>
                <w:highlight w:val="none"/>
              </w:rPr>
              <w:t>根据《环境影响评价技术导则土壤环境（试行）》（HJ964-2018）要求，土壤环境影响划分为污染影响型和生态影响型，本项目属于生态影响型建设项目。</w:t>
            </w:r>
          </w:p>
          <w:p w14:paraId="622F75CD">
            <w:pPr>
              <w:spacing w:line="360" w:lineRule="auto"/>
              <w:ind w:firstLine="470" w:firstLineChars="196"/>
              <w:rPr>
                <w:color w:val="auto"/>
                <w:sz w:val="24"/>
                <w:highlight w:val="none"/>
              </w:rPr>
            </w:pPr>
            <w:r>
              <w:rPr>
                <w:color w:val="auto"/>
                <w:sz w:val="24"/>
                <w:highlight w:val="none"/>
              </w:rPr>
              <w:t>②行业分类</w:t>
            </w:r>
          </w:p>
          <w:p w14:paraId="4603235F">
            <w:pPr>
              <w:spacing w:line="360" w:lineRule="auto"/>
              <w:ind w:firstLine="470" w:firstLineChars="196"/>
              <w:rPr>
                <w:color w:val="auto"/>
                <w:sz w:val="24"/>
                <w:highlight w:val="none"/>
              </w:rPr>
            </w:pPr>
            <w:r>
              <w:rPr>
                <w:color w:val="auto"/>
                <w:sz w:val="24"/>
                <w:highlight w:val="none"/>
              </w:rPr>
              <w:t>根据《环境影响评价技术导则土壤环境（试行）》（HJ964-2018）附录A土壤环境影响评价项目类别分类表，结合建设项目行业特征、工艺特点或规模大小，将建设项目分为</w:t>
            </w:r>
            <w:r>
              <w:rPr>
                <w:color w:val="auto"/>
                <w:sz w:val="24"/>
                <w:highlight w:val="none"/>
              </w:rPr>
              <w:fldChar w:fldCharType="begin"/>
            </w:r>
            <w:r>
              <w:rPr>
                <w:color w:val="auto"/>
                <w:sz w:val="24"/>
                <w:highlight w:val="none"/>
              </w:rPr>
              <w:instrText xml:space="preserve"> = 1 \* ROMAN \* MERGEFORMAT </w:instrText>
            </w:r>
            <w:r>
              <w:rPr>
                <w:color w:val="auto"/>
                <w:sz w:val="24"/>
                <w:highlight w:val="none"/>
              </w:rPr>
              <w:fldChar w:fldCharType="separate"/>
            </w:r>
            <w:r>
              <w:rPr>
                <w:color w:val="auto"/>
                <w:sz w:val="24"/>
                <w:highlight w:val="none"/>
              </w:rPr>
              <w:t>I</w:t>
            </w:r>
            <w:r>
              <w:rPr>
                <w:color w:val="auto"/>
                <w:sz w:val="24"/>
                <w:highlight w:val="none"/>
              </w:rPr>
              <w:fldChar w:fldCharType="end"/>
            </w:r>
            <w:r>
              <w:rPr>
                <w:color w:val="auto"/>
                <w:sz w:val="24"/>
                <w:highlight w:val="none"/>
              </w:rPr>
              <w:t>、</w:t>
            </w:r>
            <w:r>
              <w:rPr>
                <w:color w:val="auto"/>
                <w:sz w:val="24"/>
                <w:highlight w:val="none"/>
              </w:rPr>
              <w:fldChar w:fldCharType="begin"/>
            </w:r>
            <w:r>
              <w:rPr>
                <w:color w:val="auto"/>
                <w:sz w:val="24"/>
                <w:highlight w:val="none"/>
              </w:rPr>
              <w:instrText xml:space="preserve"> = 2 \* ROMAN \* MERGEFORMAT </w:instrText>
            </w:r>
            <w:r>
              <w:rPr>
                <w:color w:val="auto"/>
                <w:sz w:val="24"/>
                <w:highlight w:val="none"/>
              </w:rPr>
              <w:fldChar w:fldCharType="separate"/>
            </w:r>
            <w:r>
              <w:rPr>
                <w:color w:val="auto"/>
                <w:sz w:val="24"/>
                <w:highlight w:val="none"/>
              </w:rPr>
              <w:t>II</w:t>
            </w:r>
            <w:r>
              <w:rPr>
                <w:color w:val="auto"/>
                <w:sz w:val="24"/>
                <w:highlight w:val="none"/>
              </w:rPr>
              <w:fldChar w:fldCharType="end"/>
            </w:r>
            <w:r>
              <w:rPr>
                <w:color w:val="auto"/>
                <w:sz w:val="24"/>
                <w:highlight w:val="none"/>
              </w:rPr>
              <w:t>、</w:t>
            </w:r>
            <w:r>
              <w:rPr>
                <w:color w:val="auto"/>
                <w:sz w:val="24"/>
                <w:highlight w:val="none"/>
              </w:rPr>
              <w:fldChar w:fldCharType="begin"/>
            </w:r>
            <w:r>
              <w:rPr>
                <w:color w:val="auto"/>
                <w:sz w:val="24"/>
                <w:highlight w:val="none"/>
              </w:rPr>
              <w:instrText xml:space="preserve"> = 3 \* ROMAN \* MERGEFORMAT </w:instrText>
            </w:r>
            <w:r>
              <w:rPr>
                <w:color w:val="auto"/>
                <w:sz w:val="24"/>
                <w:highlight w:val="none"/>
              </w:rPr>
              <w:fldChar w:fldCharType="separate"/>
            </w:r>
            <w:r>
              <w:rPr>
                <w:color w:val="auto"/>
                <w:sz w:val="24"/>
                <w:highlight w:val="none"/>
              </w:rPr>
              <w:t>III</w:t>
            </w:r>
            <w:r>
              <w:rPr>
                <w:color w:val="auto"/>
                <w:sz w:val="24"/>
                <w:highlight w:val="none"/>
              </w:rPr>
              <w:fldChar w:fldCharType="end"/>
            </w:r>
            <w:r>
              <w:rPr>
                <w:color w:val="auto"/>
                <w:sz w:val="24"/>
                <w:highlight w:val="none"/>
              </w:rPr>
              <w:t>、</w:t>
            </w:r>
            <w:r>
              <w:rPr>
                <w:color w:val="auto"/>
                <w:sz w:val="24"/>
                <w:highlight w:val="none"/>
              </w:rPr>
              <w:fldChar w:fldCharType="begin"/>
            </w:r>
            <w:r>
              <w:rPr>
                <w:color w:val="auto"/>
                <w:sz w:val="24"/>
                <w:highlight w:val="none"/>
              </w:rPr>
              <w:instrText xml:space="preserve"> = 4 \* ROMAN \* MERGEFORMAT </w:instrText>
            </w:r>
            <w:r>
              <w:rPr>
                <w:color w:val="auto"/>
                <w:sz w:val="24"/>
                <w:highlight w:val="none"/>
              </w:rPr>
              <w:fldChar w:fldCharType="separate"/>
            </w:r>
            <w:r>
              <w:rPr>
                <w:color w:val="auto"/>
                <w:sz w:val="24"/>
                <w:highlight w:val="none"/>
              </w:rPr>
              <w:t>IV</w:t>
            </w:r>
            <w:r>
              <w:rPr>
                <w:color w:val="auto"/>
                <w:sz w:val="24"/>
                <w:highlight w:val="none"/>
              </w:rPr>
              <w:fldChar w:fldCharType="end"/>
            </w:r>
            <w:r>
              <w:rPr>
                <w:color w:val="auto"/>
                <w:sz w:val="24"/>
                <w:highlight w:val="none"/>
              </w:rPr>
              <w:t>类四类，</w:t>
            </w:r>
            <w:r>
              <w:rPr>
                <w:color w:val="auto"/>
                <w:sz w:val="24"/>
                <w:highlight w:val="none"/>
              </w:rPr>
              <w:fldChar w:fldCharType="begin"/>
            </w:r>
            <w:r>
              <w:rPr>
                <w:color w:val="auto"/>
                <w:sz w:val="24"/>
                <w:highlight w:val="none"/>
              </w:rPr>
              <w:instrText xml:space="preserve"> = 1 \* ROMAN \* MERGEFORMAT </w:instrText>
            </w:r>
            <w:r>
              <w:rPr>
                <w:color w:val="auto"/>
                <w:sz w:val="24"/>
                <w:highlight w:val="none"/>
              </w:rPr>
              <w:fldChar w:fldCharType="separate"/>
            </w:r>
            <w:r>
              <w:rPr>
                <w:color w:val="auto"/>
                <w:sz w:val="24"/>
                <w:highlight w:val="none"/>
              </w:rPr>
              <w:t>I</w:t>
            </w:r>
            <w:r>
              <w:rPr>
                <w:color w:val="auto"/>
                <w:sz w:val="24"/>
                <w:highlight w:val="none"/>
              </w:rPr>
              <w:fldChar w:fldCharType="end"/>
            </w:r>
            <w:r>
              <w:rPr>
                <w:color w:val="auto"/>
                <w:sz w:val="24"/>
                <w:highlight w:val="none"/>
              </w:rPr>
              <w:t>、</w:t>
            </w:r>
            <w:r>
              <w:rPr>
                <w:color w:val="auto"/>
                <w:sz w:val="24"/>
                <w:highlight w:val="none"/>
              </w:rPr>
              <w:fldChar w:fldCharType="begin"/>
            </w:r>
            <w:r>
              <w:rPr>
                <w:color w:val="auto"/>
                <w:sz w:val="24"/>
                <w:highlight w:val="none"/>
              </w:rPr>
              <w:instrText xml:space="preserve"> = 2 \* ROMAN \* MERGEFORMAT </w:instrText>
            </w:r>
            <w:r>
              <w:rPr>
                <w:color w:val="auto"/>
                <w:sz w:val="24"/>
                <w:highlight w:val="none"/>
              </w:rPr>
              <w:fldChar w:fldCharType="separate"/>
            </w:r>
            <w:r>
              <w:rPr>
                <w:color w:val="auto"/>
                <w:sz w:val="24"/>
                <w:highlight w:val="none"/>
              </w:rPr>
              <w:t>II</w:t>
            </w:r>
            <w:r>
              <w:rPr>
                <w:color w:val="auto"/>
                <w:sz w:val="24"/>
                <w:highlight w:val="none"/>
              </w:rPr>
              <w:fldChar w:fldCharType="end"/>
            </w:r>
            <w:r>
              <w:rPr>
                <w:color w:val="auto"/>
                <w:sz w:val="24"/>
                <w:highlight w:val="none"/>
              </w:rPr>
              <w:t>、</w:t>
            </w:r>
            <w:r>
              <w:rPr>
                <w:color w:val="auto"/>
                <w:sz w:val="24"/>
                <w:highlight w:val="none"/>
              </w:rPr>
              <w:fldChar w:fldCharType="begin"/>
            </w:r>
            <w:r>
              <w:rPr>
                <w:color w:val="auto"/>
                <w:sz w:val="24"/>
                <w:highlight w:val="none"/>
              </w:rPr>
              <w:instrText xml:space="preserve"> = 3 \* ROMAN \* MERGEFORMAT </w:instrText>
            </w:r>
            <w:r>
              <w:rPr>
                <w:color w:val="auto"/>
                <w:sz w:val="24"/>
                <w:highlight w:val="none"/>
              </w:rPr>
              <w:fldChar w:fldCharType="separate"/>
            </w:r>
            <w:r>
              <w:rPr>
                <w:color w:val="auto"/>
                <w:sz w:val="24"/>
                <w:highlight w:val="none"/>
              </w:rPr>
              <w:t>III</w:t>
            </w:r>
            <w:r>
              <w:rPr>
                <w:color w:val="auto"/>
                <w:sz w:val="24"/>
                <w:highlight w:val="none"/>
              </w:rPr>
              <w:fldChar w:fldCharType="end"/>
            </w:r>
            <w:r>
              <w:rPr>
                <w:color w:val="auto"/>
                <w:sz w:val="24"/>
                <w:highlight w:val="none"/>
              </w:rPr>
              <w:t>类建设项目的土壤环境影响评价应执行本标准，</w:t>
            </w:r>
            <w:r>
              <w:rPr>
                <w:color w:val="auto"/>
                <w:sz w:val="24"/>
                <w:highlight w:val="none"/>
              </w:rPr>
              <w:fldChar w:fldCharType="begin"/>
            </w:r>
            <w:r>
              <w:rPr>
                <w:color w:val="auto"/>
                <w:sz w:val="24"/>
                <w:highlight w:val="none"/>
              </w:rPr>
              <w:instrText xml:space="preserve"> = 4 \* ROMAN \* MERGEFORMAT </w:instrText>
            </w:r>
            <w:r>
              <w:rPr>
                <w:color w:val="auto"/>
                <w:sz w:val="24"/>
                <w:highlight w:val="none"/>
              </w:rPr>
              <w:fldChar w:fldCharType="separate"/>
            </w:r>
            <w:r>
              <w:rPr>
                <w:color w:val="auto"/>
                <w:sz w:val="24"/>
                <w:highlight w:val="none"/>
              </w:rPr>
              <w:t>IV</w:t>
            </w:r>
            <w:r>
              <w:rPr>
                <w:color w:val="auto"/>
                <w:sz w:val="24"/>
                <w:highlight w:val="none"/>
              </w:rPr>
              <w:fldChar w:fldCharType="end"/>
            </w:r>
            <w:r>
              <w:rPr>
                <w:color w:val="auto"/>
                <w:sz w:val="24"/>
                <w:highlight w:val="none"/>
              </w:rPr>
              <w:t>类建设项目不开展土壤环境影响评价。</w:t>
            </w:r>
            <w:r>
              <w:rPr>
                <w:bCs/>
                <w:color w:val="auto"/>
                <w:kern w:val="0"/>
                <w:sz w:val="24"/>
                <w:highlight w:val="none"/>
              </w:rPr>
              <w:t>本项目为本项目为陆地矿产资源地质勘察，属于土壤环境影响评价类别“其他行业”，属于</w:t>
            </w:r>
            <w:r>
              <w:rPr>
                <w:color w:val="auto"/>
                <w:sz w:val="24"/>
                <w:highlight w:val="none"/>
              </w:rPr>
              <w:fldChar w:fldCharType="begin"/>
            </w:r>
            <w:r>
              <w:rPr>
                <w:color w:val="auto"/>
                <w:sz w:val="24"/>
                <w:highlight w:val="none"/>
              </w:rPr>
              <w:instrText xml:space="preserve"> = 4 \* ROMAN \* MERGEFORMAT </w:instrText>
            </w:r>
            <w:r>
              <w:rPr>
                <w:color w:val="auto"/>
                <w:sz w:val="24"/>
                <w:highlight w:val="none"/>
              </w:rPr>
              <w:fldChar w:fldCharType="separate"/>
            </w:r>
            <w:r>
              <w:rPr>
                <w:color w:val="auto"/>
                <w:sz w:val="24"/>
                <w:highlight w:val="none"/>
              </w:rPr>
              <w:t>IV</w:t>
            </w:r>
            <w:r>
              <w:rPr>
                <w:color w:val="auto"/>
                <w:sz w:val="24"/>
                <w:highlight w:val="none"/>
              </w:rPr>
              <w:fldChar w:fldCharType="end"/>
            </w:r>
            <w:r>
              <w:rPr>
                <w:bCs/>
                <w:color w:val="auto"/>
                <w:kern w:val="0"/>
                <w:sz w:val="24"/>
                <w:highlight w:val="none"/>
              </w:rPr>
              <w:t>类项目</w:t>
            </w:r>
            <w:r>
              <w:rPr>
                <w:color w:val="auto"/>
                <w:sz w:val="24"/>
                <w:highlight w:val="none"/>
              </w:rPr>
              <w:t>，因此本项目不开展土壤环境影响评价，只进行简单分析。</w:t>
            </w:r>
          </w:p>
          <w:p w14:paraId="322202B1">
            <w:pPr>
              <w:spacing w:line="360" w:lineRule="auto"/>
              <w:ind w:firstLine="480" w:firstLineChars="200"/>
              <w:rPr>
                <w:color w:val="auto"/>
                <w:sz w:val="24"/>
                <w:highlight w:val="none"/>
              </w:rPr>
            </w:pPr>
            <w:r>
              <w:rPr>
                <w:color w:val="auto"/>
                <w:sz w:val="24"/>
                <w:highlight w:val="none"/>
              </w:rPr>
              <w:t>正常工况下，钻井工程对土壤无影响，事故工程下，钻井过程对土壤可能产生不利影响的途径主要有以下几个方面：</w:t>
            </w:r>
          </w:p>
          <w:p w14:paraId="5352A885">
            <w:pPr>
              <w:spacing w:line="360" w:lineRule="auto"/>
              <w:ind w:firstLine="480" w:firstLineChars="200"/>
              <w:rPr>
                <w:color w:val="auto"/>
                <w:sz w:val="24"/>
                <w:highlight w:val="none"/>
              </w:rPr>
            </w:pPr>
            <w:r>
              <w:rPr>
                <w:color w:val="auto"/>
                <w:sz w:val="24"/>
                <w:highlight w:val="none"/>
              </w:rPr>
              <w:t>①大气沉降影响分析</w:t>
            </w:r>
          </w:p>
          <w:p w14:paraId="041D5CE5">
            <w:pPr>
              <w:spacing w:line="360" w:lineRule="auto"/>
              <w:ind w:firstLine="480" w:firstLineChars="200"/>
              <w:rPr>
                <w:color w:val="auto"/>
                <w:sz w:val="24"/>
                <w:highlight w:val="none"/>
              </w:rPr>
            </w:pPr>
            <w:r>
              <w:rPr>
                <w:color w:val="auto"/>
                <w:sz w:val="24"/>
                <w:highlight w:val="none"/>
              </w:rPr>
              <w:t>建设项目仅施工期有少量废气产生，且施工时间短，大气污染物中不含重金属及粉尘。因此，本次评价不考虑大气沉降对土壤的影响。</w:t>
            </w:r>
          </w:p>
          <w:p w14:paraId="64843AEA">
            <w:pPr>
              <w:spacing w:line="360" w:lineRule="auto"/>
              <w:ind w:firstLine="480" w:firstLineChars="200"/>
              <w:rPr>
                <w:color w:val="auto"/>
                <w:sz w:val="24"/>
                <w:highlight w:val="none"/>
              </w:rPr>
            </w:pPr>
            <w:r>
              <w:rPr>
                <w:color w:val="auto"/>
                <w:sz w:val="24"/>
                <w:highlight w:val="none"/>
              </w:rPr>
              <w:t>②</w:t>
            </w:r>
            <w:r>
              <w:rPr>
                <w:rFonts w:hint="eastAsia"/>
                <w:color w:val="auto"/>
                <w:sz w:val="24"/>
                <w:highlight w:val="none"/>
                <w:lang w:val="en-US" w:eastAsia="zh-CN"/>
              </w:rPr>
              <w:t>入渗</w:t>
            </w:r>
            <w:r>
              <w:rPr>
                <w:color w:val="auto"/>
                <w:sz w:val="24"/>
                <w:highlight w:val="none"/>
              </w:rPr>
              <w:t>影响分析</w:t>
            </w:r>
          </w:p>
          <w:p w14:paraId="6F14978C">
            <w:pPr>
              <w:spacing w:line="360" w:lineRule="auto"/>
              <w:ind w:firstLine="480" w:firstLineChars="200"/>
              <w:rPr>
                <w:color w:val="auto"/>
                <w:sz w:val="24"/>
                <w:highlight w:val="none"/>
              </w:rPr>
            </w:pPr>
            <w:r>
              <w:rPr>
                <w:color w:val="auto"/>
                <w:sz w:val="24"/>
                <w:highlight w:val="none"/>
              </w:rPr>
              <w:t>本项目属于钻井期短期影响，项目产生的固体废物均外运处置，不长期储存，钻井污染物渗透进入土壤环境的量很小，通过采取的源头控制和分区防渗措施，进一步有效减少污染物的渗透。固体废物渗透进入井场及周边土壤的量很少，渗入点分散、量小，不会对土壤环境产生明显不利影响，不会造成评价范围及周边土壤环境质量超标。</w:t>
            </w:r>
          </w:p>
          <w:p w14:paraId="11ACA066">
            <w:pPr>
              <w:spacing w:line="360" w:lineRule="auto"/>
              <w:ind w:firstLine="480" w:firstLineChars="200"/>
              <w:rPr>
                <w:color w:val="auto"/>
                <w:sz w:val="24"/>
                <w:highlight w:val="none"/>
              </w:rPr>
            </w:pPr>
            <w:r>
              <w:rPr>
                <w:color w:val="auto"/>
                <w:sz w:val="24"/>
                <w:highlight w:val="none"/>
              </w:rPr>
              <w:t>③地面漫流影响分析</w:t>
            </w:r>
          </w:p>
          <w:p w14:paraId="107EEF09">
            <w:pPr>
              <w:spacing w:line="360" w:lineRule="auto"/>
              <w:ind w:firstLine="480" w:firstLineChars="200"/>
              <w:rPr>
                <w:rFonts w:hint="default" w:ascii="Times New Roman" w:hAnsi="Times New Roman" w:eastAsia="宋体" w:cs="Times New Roman"/>
                <w:color w:val="FF0000"/>
                <w:kern w:val="2"/>
                <w:sz w:val="24"/>
                <w:szCs w:val="24"/>
                <w:highlight w:val="none"/>
                <w:lang w:val="en-US" w:eastAsia="zh-CN" w:bidi="ar-SA"/>
              </w:rPr>
            </w:pPr>
            <w:r>
              <w:rPr>
                <w:color w:val="auto"/>
                <w:sz w:val="24"/>
                <w:highlight w:val="none"/>
              </w:rPr>
              <w:t>项目区初期雨水收集回用情况，经沉淀处理后全部回用于生产，不排放。雨水收集为利用场地周边水沟改造为初期雨水收集池，</w:t>
            </w:r>
            <w:r>
              <w:rPr>
                <w:rFonts w:hint="eastAsia"/>
                <w:color w:val="auto"/>
                <w:sz w:val="24"/>
                <w:highlight w:val="none"/>
                <w:lang w:val="en-US" w:eastAsia="zh-CN"/>
              </w:rPr>
              <w:t>完成</w:t>
            </w:r>
            <w:r>
              <w:rPr>
                <w:color w:val="auto"/>
                <w:sz w:val="24"/>
                <w:highlight w:val="none"/>
              </w:rPr>
              <w:t>收集项目区初期雨水要求。项目区初期雨水经收集沉淀后全部回用于注浆工序。不对外环境排放。</w:t>
            </w:r>
          </w:p>
          <w:p w14:paraId="35145C58">
            <w:pPr>
              <w:widowControl/>
              <w:spacing w:line="360" w:lineRule="auto"/>
              <w:ind w:left="420"/>
              <w:rPr>
                <w:b/>
                <w:bCs/>
                <w:color w:val="auto"/>
                <w:kern w:val="0"/>
                <w:sz w:val="24"/>
                <w:highlight w:val="none"/>
                <w:lang w:bidi="ar"/>
              </w:rPr>
            </w:pPr>
            <w:r>
              <w:rPr>
                <w:b/>
                <w:bCs/>
                <w:color w:val="auto"/>
                <w:kern w:val="0"/>
                <w:sz w:val="24"/>
                <w:highlight w:val="none"/>
                <w:lang w:bidi="ar"/>
              </w:rPr>
              <w:t>6、地下水环境影响分析</w:t>
            </w:r>
          </w:p>
          <w:p w14:paraId="3FA4BC4E">
            <w:pPr>
              <w:spacing w:line="360" w:lineRule="auto"/>
              <w:ind w:firstLine="480" w:firstLineChars="200"/>
              <w:rPr>
                <w:color w:val="000000" w:themeColor="text1"/>
                <w:sz w:val="24"/>
                <w:highlight w:val="none"/>
                <w14:textFill>
                  <w14:solidFill>
                    <w14:schemeClr w14:val="tx1"/>
                  </w14:solidFill>
                </w14:textFill>
              </w:rPr>
            </w:pPr>
            <w:r>
              <w:rPr>
                <w:color w:val="auto"/>
                <w:sz w:val="24"/>
                <w:highlight w:val="none"/>
              </w:rPr>
              <w:t>钻井工程在井场内实施，井身有套管保护，故井筒不易发生泄露事故。对地下水环境可能造成影响的污染源主要是场地内暂存的钻井工程废水、废泥浆等的渗滤液以及钻井泥浆连续混配过程中的跑、冒、滴、漏，开井返排阶段返排</w:t>
            </w:r>
            <w:r>
              <w:rPr>
                <w:color w:val="000000" w:themeColor="text1"/>
                <w:sz w:val="24"/>
                <w:highlight w:val="none"/>
                <w14:textFill>
                  <w14:solidFill>
                    <w14:schemeClr w14:val="tx1"/>
                  </w14:solidFill>
                </w14:textFill>
              </w:rPr>
              <w:t>废水收集贮存的跑、冒、滴、漏污染地下水环境。</w:t>
            </w:r>
          </w:p>
          <w:p w14:paraId="31836980">
            <w:pPr>
              <w:spacing w:line="360" w:lineRule="auto"/>
              <w:ind w:firstLine="480" w:firstLineChars="200"/>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根据《环境影响评价技术导则 地下水环境》（HJ 610-2016），地下水污染防渗分区分为三个级别：重点防渗区、一般防渗区、简单防渗区。防渗分区的划分依据防污性能、污染控制难易程度和污染物类型三项因素</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instrText xml:space="preserve"> HYPERLINK "https://sthj.ln.gov.cn/sthj/zfxxgk/fdzdgknr/xzxkxxgk/czzj/hbzxzjxm/2025021716443616323/2025021716435298923.pdf" \l "122#110" \t "https://chat.deepseek.com/a/chat/s/_blank" </w:instrTex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fldChar w:fldCharType="end"/>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0C8219F6">
            <w:pPr>
              <w:spacing w:line="360" w:lineRule="auto"/>
              <w:ind w:firstLine="480" w:firstLineChars="200"/>
              <w:rPr>
                <w:rFonts w:hint="default"/>
                <w:color w:val="000000" w:themeColor="text1"/>
                <w:sz w:val="24"/>
                <w:highlight w:val="none"/>
                <w:lang w:val="en-US"/>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本项目地下水及土壤污染防治坚持</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源头控制、分区防控、污染监控、应急响应</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的原则。</w:t>
            </w:r>
            <w:r>
              <w:rPr>
                <w:rFonts w:hint="eastAsia" w:cs="Times New Roman"/>
                <w:color w:val="000000" w:themeColor="text1"/>
                <w:kern w:val="2"/>
                <w:sz w:val="24"/>
                <w:szCs w:val="24"/>
                <w:highlight w:val="none"/>
                <w:lang w:val="en-US" w:eastAsia="zh-CN" w:bidi="ar-SA"/>
                <w14:textFill>
                  <w14:solidFill>
                    <w14:schemeClr w14:val="tx1"/>
                  </w14:solidFill>
                </w14:textFill>
              </w:rPr>
              <w:t>具体划分区域如下：</w:t>
            </w:r>
          </w:p>
          <w:p w14:paraId="7353F411">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重点防渗区：危废库</w:t>
            </w:r>
          </w:p>
          <w:p w14:paraId="6FA6E416">
            <w:pPr>
              <w:spacing w:line="360" w:lineRule="auto"/>
              <w:ind w:firstLine="480" w:firstLineChars="200"/>
              <w:rPr>
                <w:color w:val="auto"/>
                <w:sz w:val="24"/>
                <w:highlight w:val="none"/>
              </w:rPr>
            </w:pPr>
            <w:r>
              <w:rPr>
                <w:color w:val="000000" w:themeColor="text1"/>
                <w:sz w:val="24"/>
                <w:highlight w:val="none"/>
                <w14:textFill>
                  <w14:solidFill>
                    <w14:schemeClr w14:val="tx1"/>
                  </w14:solidFill>
                </w14:textFill>
              </w:rPr>
              <w:t>一般防渗区：钻井井口区域、泥浆</w:t>
            </w:r>
            <w:r>
              <w:rPr>
                <w:color w:val="auto"/>
                <w:sz w:val="24"/>
                <w:highlight w:val="none"/>
              </w:rPr>
              <w:t>池、材料堆放区及泥浆循环系统等进行一般防渗区域。</w:t>
            </w:r>
          </w:p>
          <w:p w14:paraId="0BE4FFF1">
            <w:pPr>
              <w:spacing w:line="360" w:lineRule="auto"/>
              <w:ind w:firstLine="480" w:firstLineChars="200"/>
              <w:rPr>
                <w:color w:val="auto"/>
                <w:sz w:val="24"/>
                <w:highlight w:val="none"/>
              </w:rPr>
            </w:pPr>
            <w:r>
              <w:rPr>
                <w:color w:val="auto"/>
                <w:sz w:val="24"/>
                <w:highlight w:val="none"/>
              </w:rPr>
              <w:t>简单防渗区：除一般防渗区以外的其他区域。</w:t>
            </w:r>
          </w:p>
          <w:p w14:paraId="61C7E92C">
            <w:pPr>
              <w:spacing w:line="360" w:lineRule="auto"/>
              <w:ind w:firstLine="480" w:firstLineChars="200"/>
              <w:rPr>
                <w:color w:val="auto"/>
                <w:sz w:val="24"/>
                <w:highlight w:val="none"/>
              </w:rPr>
            </w:pPr>
            <w:r>
              <w:rPr>
                <w:color w:val="auto"/>
                <w:sz w:val="24"/>
                <w:highlight w:val="none"/>
              </w:rPr>
              <w:t>防渗技术要求如下：</w:t>
            </w:r>
          </w:p>
          <w:p w14:paraId="603AB927">
            <w:pPr>
              <w:spacing w:line="360" w:lineRule="auto"/>
              <w:ind w:firstLine="480" w:firstLineChars="200"/>
              <w:rPr>
                <w:color w:val="auto"/>
                <w:sz w:val="24"/>
                <w:highlight w:val="none"/>
              </w:rPr>
            </w:pPr>
            <w:r>
              <w:rPr>
                <w:color w:val="auto"/>
                <w:sz w:val="24"/>
                <w:highlight w:val="none"/>
              </w:rPr>
              <w:t>重点防渗区：执行</w:t>
            </w:r>
            <w:r>
              <w:rPr>
                <w:color w:val="auto"/>
                <w:kern w:val="0"/>
                <w:sz w:val="24"/>
                <w:highlight w:val="none"/>
              </w:rPr>
              <w:t>《危险废物贮存污染控制标准》（GB18597-2023）</w:t>
            </w:r>
            <w:r>
              <w:rPr>
                <w:color w:val="auto"/>
                <w:sz w:val="24"/>
                <w:highlight w:val="none"/>
              </w:rPr>
              <w:t>相关要求，基础防渗层为黏土层时，其厚度应达1m以上，渗透系数应小于10</w:t>
            </w:r>
            <w:r>
              <w:rPr>
                <w:color w:val="auto"/>
                <w:sz w:val="24"/>
                <w:highlight w:val="none"/>
                <w:vertAlign w:val="superscript"/>
              </w:rPr>
              <w:t>-7</w:t>
            </w:r>
            <w:r>
              <w:rPr>
                <w:color w:val="auto"/>
                <w:sz w:val="24"/>
                <w:highlight w:val="none"/>
              </w:rPr>
              <w:t>cm/s；基础防渗层亦可用厚度2mm以上的高密度聚乙烯和其他人工防渗材料组成，渗透系数应小于10</w:t>
            </w:r>
            <w:r>
              <w:rPr>
                <w:color w:val="auto"/>
                <w:sz w:val="24"/>
                <w:highlight w:val="none"/>
                <w:vertAlign w:val="superscript"/>
              </w:rPr>
              <w:t>-10</w:t>
            </w:r>
            <w:r>
              <w:rPr>
                <w:color w:val="auto"/>
                <w:sz w:val="24"/>
                <w:highlight w:val="none"/>
              </w:rPr>
              <w:t>cm/s），或其他防渗性能等效的材料；</w:t>
            </w:r>
          </w:p>
          <w:p w14:paraId="0797D99E">
            <w:pPr>
              <w:spacing w:line="360" w:lineRule="auto"/>
              <w:ind w:firstLine="480" w:firstLineChars="200"/>
              <w:rPr>
                <w:color w:val="auto"/>
                <w:kern w:val="0"/>
                <w:sz w:val="24"/>
                <w:highlight w:val="none"/>
              </w:rPr>
            </w:pPr>
            <w:r>
              <w:rPr>
                <w:color w:val="auto"/>
                <w:sz w:val="24"/>
                <w:highlight w:val="none"/>
              </w:rPr>
              <w:t>一般防渗区：</w:t>
            </w:r>
            <w:r>
              <w:rPr>
                <w:color w:val="auto"/>
                <w:kern w:val="0"/>
                <w:sz w:val="24"/>
                <w:highlight w:val="none"/>
              </w:rPr>
              <w:t>执行《一般工业固体废物贮存和填埋污染控制标准》（GB 18599-2020）相关要求，采用改性压实粘土类衬层或具有同等以上隔水效力的其他材料防渗衬层，其防渗性能应至少相当于渗透系数为1.0×10</w:t>
            </w:r>
            <w:r>
              <w:rPr>
                <w:color w:val="auto"/>
                <w:kern w:val="0"/>
                <w:sz w:val="24"/>
                <w:highlight w:val="none"/>
                <w:vertAlign w:val="superscript"/>
              </w:rPr>
              <w:t>-5</w:t>
            </w:r>
            <w:r>
              <w:rPr>
                <w:color w:val="auto"/>
                <w:kern w:val="0"/>
                <w:sz w:val="24"/>
                <w:highlight w:val="none"/>
              </w:rPr>
              <w:t>cm/s且厚度为0.75m的天然基础层。</w:t>
            </w:r>
          </w:p>
          <w:p w14:paraId="3C92731A">
            <w:pPr>
              <w:spacing w:line="360" w:lineRule="auto"/>
              <w:ind w:firstLine="480" w:firstLineChars="200"/>
              <w:rPr>
                <w:color w:val="auto"/>
                <w:sz w:val="24"/>
                <w:highlight w:val="none"/>
              </w:rPr>
            </w:pPr>
            <w:r>
              <w:rPr>
                <w:color w:val="auto"/>
                <w:sz w:val="24"/>
                <w:highlight w:val="none"/>
              </w:rPr>
              <w:t>简单防渗区：一般地面硬化。</w:t>
            </w:r>
          </w:p>
          <w:p w14:paraId="3F020741">
            <w:pPr>
              <w:spacing w:line="360" w:lineRule="auto"/>
              <w:ind w:firstLine="480" w:firstLineChars="200"/>
              <w:rPr>
                <w:color w:val="auto"/>
                <w:sz w:val="24"/>
                <w:highlight w:val="none"/>
              </w:rPr>
            </w:pPr>
            <w:r>
              <w:rPr>
                <w:color w:val="auto"/>
                <w:sz w:val="24"/>
                <w:highlight w:val="none"/>
              </w:rPr>
              <w:t>项目在钻井施工过程中孔内泥浆护壁，内外压差平衡，地表下入套管。一般不会出现地下水涌水现象；钻进过程中采用泥浆钻进，比重为1.4左右，超过水的比重，不存在井下涌水，对供水含水层无影响。注：当钻探地层过程中，若出现地下水涌水现象，施工方将立即启动应急预案。首先采取提高泥浆比重（压井）等措施平衡地层压力；若涌水仍无法控制，将采用专业注浆设备，向孔内注入符合环保标准的水泥浆（或专用封堵材料）进行封堵，确保不造成地下水串层污染及水资源浪费。</w:t>
            </w:r>
          </w:p>
          <w:p w14:paraId="5EC663BD">
            <w:pPr>
              <w:pStyle w:val="7"/>
              <w:spacing w:line="360" w:lineRule="auto"/>
              <w:ind w:firstLine="482"/>
              <w:rPr>
                <w:b/>
                <w:bCs/>
                <w:color w:val="auto"/>
                <w:sz w:val="24"/>
                <w:highlight w:val="none"/>
              </w:rPr>
            </w:pPr>
            <w:r>
              <w:rPr>
                <w:b/>
                <w:bCs/>
                <w:color w:val="auto"/>
                <w:sz w:val="24"/>
                <w:highlight w:val="none"/>
              </w:rPr>
              <w:t>7、水土流失影响分析</w:t>
            </w:r>
          </w:p>
          <w:p w14:paraId="452D008A">
            <w:pPr>
              <w:pStyle w:val="10"/>
              <w:spacing w:line="360" w:lineRule="auto"/>
              <w:ind w:firstLine="480" w:firstLineChars="200"/>
              <w:jc w:val="both"/>
              <w:rPr>
                <w:color w:val="auto"/>
                <w:szCs w:val="24"/>
                <w:highlight w:val="none"/>
              </w:rPr>
            </w:pPr>
            <w:r>
              <w:rPr>
                <w:color w:val="auto"/>
                <w:szCs w:val="24"/>
                <w:highlight w:val="none"/>
              </w:rPr>
              <w:t>（1）水土流失</w:t>
            </w:r>
          </w:p>
          <w:p w14:paraId="2493D0CE">
            <w:pPr>
              <w:pStyle w:val="10"/>
              <w:spacing w:line="360" w:lineRule="auto"/>
              <w:ind w:firstLine="480" w:firstLineChars="200"/>
              <w:jc w:val="both"/>
              <w:rPr>
                <w:color w:val="auto"/>
                <w:szCs w:val="24"/>
                <w:highlight w:val="none"/>
              </w:rPr>
            </w:pPr>
            <w:r>
              <w:rPr>
                <w:color w:val="auto"/>
                <w:szCs w:val="24"/>
                <w:highlight w:val="none"/>
              </w:rPr>
              <w:t>施工期间，土石方的搬运工程量较大，可能造成的水土流失量也较大。因此，工程施工期是本工程水土流失最严重的时期，也是本工程水土流失的防治重点。而在工程运行期间，只要处理好弃土场各项水土保持措施充分发挥作用，就不会产生大的水土流失。</w:t>
            </w:r>
          </w:p>
          <w:p w14:paraId="30B31280">
            <w:pPr>
              <w:pStyle w:val="10"/>
              <w:spacing w:line="360" w:lineRule="auto"/>
              <w:ind w:firstLine="480" w:firstLineChars="200"/>
              <w:jc w:val="both"/>
              <w:rPr>
                <w:color w:val="auto"/>
                <w:szCs w:val="24"/>
                <w:highlight w:val="none"/>
              </w:rPr>
            </w:pPr>
            <w:r>
              <w:rPr>
                <w:color w:val="auto"/>
                <w:szCs w:val="24"/>
                <w:highlight w:val="none"/>
              </w:rPr>
              <w:t>①施工中开挖土方及时去清运，并按要求碾压密实以缩短堆置时间，如不能马上进行回填的，需堆置在堤防建设范围或堤防管理带范围内，以缩短土方的二次搬运距离，并做好临时防护措施和排水措施，使施工期间的水土流失降低到最低限度。</w:t>
            </w:r>
          </w:p>
          <w:p w14:paraId="3BE326A5">
            <w:pPr>
              <w:pStyle w:val="10"/>
              <w:spacing w:line="360" w:lineRule="auto"/>
              <w:ind w:firstLine="480" w:firstLineChars="200"/>
              <w:jc w:val="both"/>
              <w:rPr>
                <w:color w:val="auto"/>
                <w:szCs w:val="24"/>
                <w:highlight w:val="none"/>
              </w:rPr>
            </w:pPr>
            <w:r>
              <w:rPr>
                <w:color w:val="auto"/>
                <w:szCs w:val="24"/>
                <w:highlight w:val="none"/>
              </w:rPr>
              <w:t>②本工程开挖土方直接用于堤身回填，边开挖边回填。雨季施工时，雨水的冲刷，容易产生水土流失。</w:t>
            </w:r>
          </w:p>
          <w:p w14:paraId="53081607">
            <w:pPr>
              <w:pStyle w:val="10"/>
              <w:spacing w:line="360" w:lineRule="auto"/>
              <w:ind w:firstLine="480" w:firstLineChars="200"/>
              <w:jc w:val="both"/>
              <w:rPr>
                <w:color w:val="auto"/>
                <w:szCs w:val="24"/>
                <w:highlight w:val="none"/>
              </w:rPr>
            </w:pPr>
            <w:r>
              <w:rPr>
                <w:color w:val="auto"/>
                <w:szCs w:val="24"/>
                <w:highlight w:val="none"/>
              </w:rPr>
              <w:t>③表土剥离后集中堆存于场地一角，为防治堆放期表土产生水土流失，影响土壤肥力，表土堆放场地周围设置袋装土临时拦挡</w:t>
            </w:r>
            <w:r>
              <w:rPr>
                <w:rFonts w:hint="eastAsia"/>
                <w:color w:val="auto"/>
                <w:szCs w:val="24"/>
                <w:highlight w:val="none"/>
              </w:rPr>
              <w:t>；</w:t>
            </w:r>
            <w:r>
              <w:rPr>
                <w:color w:val="auto"/>
                <w:szCs w:val="24"/>
                <w:highlight w:val="none"/>
              </w:rPr>
              <w:t>其次，为减小降雨对表土的冲刷作用，减少表土流失量，在表土堆积过程中应尽量压实，并在表面覆盖土工布，堆存时间较长时播撒草籽</w:t>
            </w:r>
            <w:r>
              <w:rPr>
                <w:rFonts w:hint="eastAsia"/>
                <w:color w:val="auto"/>
                <w:szCs w:val="24"/>
                <w:highlight w:val="none"/>
              </w:rPr>
              <w:t>；</w:t>
            </w:r>
            <w:r>
              <w:rPr>
                <w:color w:val="auto"/>
                <w:szCs w:val="24"/>
                <w:highlight w:val="none"/>
              </w:rPr>
              <w:t>再次，应在其临时表土堆放周边修建临时排水沟，以阻挡周边雨水</w:t>
            </w:r>
            <w:r>
              <w:rPr>
                <w:rFonts w:hint="eastAsia"/>
                <w:color w:val="auto"/>
                <w:szCs w:val="24"/>
                <w:highlight w:val="none"/>
              </w:rPr>
              <w:t>；</w:t>
            </w:r>
            <w:r>
              <w:rPr>
                <w:color w:val="auto"/>
                <w:szCs w:val="24"/>
                <w:highlight w:val="none"/>
              </w:rPr>
              <w:t>最后，在施工后期，拆除编织土袋尽快将表土用于覆土，尽可能减少堆放时间。同时本项目已编制完成复垦方案并取得批复，施工结束后按照复垦方案对临时占地及时进行复垦，恢复原有生态环境功能。采取以上措施可以最大程度减轻水土流失的影响。</w:t>
            </w:r>
          </w:p>
          <w:p w14:paraId="24754860">
            <w:pPr>
              <w:pStyle w:val="10"/>
              <w:spacing w:line="360" w:lineRule="auto"/>
              <w:ind w:firstLine="480" w:firstLineChars="200"/>
              <w:jc w:val="both"/>
              <w:rPr>
                <w:color w:val="auto"/>
                <w:szCs w:val="24"/>
                <w:highlight w:val="none"/>
              </w:rPr>
            </w:pPr>
            <w:r>
              <w:rPr>
                <w:color w:val="auto"/>
                <w:szCs w:val="24"/>
                <w:highlight w:val="none"/>
              </w:rPr>
              <w:t>④施工设计：为减少水土流失，保护土壤、植被，美化环境，防止水土流失，须进行必要的绿化。主体工程结束后，堤防斜坡植草，以达到固士、保水的目的，防止水土流失。</w:t>
            </w:r>
          </w:p>
          <w:p w14:paraId="36DB3E4D">
            <w:pPr>
              <w:widowControl/>
              <w:spacing w:line="360" w:lineRule="auto"/>
              <w:ind w:left="420"/>
              <w:rPr>
                <w:b/>
                <w:bCs/>
                <w:color w:val="auto"/>
                <w:kern w:val="0"/>
                <w:sz w:val="24"/>
                <w:highlight w:val="none"/>
                <w:lang w:bidi="ar"/>
              </w:rPr>
            </w:pPr>
            <w:r>
              <w:rPr>
                <w:b/>
                <w:bCs/>
                <w:color w:val="auto"/>
                <w:kern w:val="0"/>
                <w:sz w:val="24"/>
                <w:highlight w:val="none"/>
                <w:lang w:bidi="ar"/>
              </w:rPr>
              <w:t>8、环境风险分析</w:t>
            </w:r>
          </w:p>
          <w:p w14:paraId="70013C8E">
            <w:pPr>
              <w:spacing w:line="360" w:lineRule="auto"/>
              <w:ind w:firstLine="480" w:firstLineChars="200"/>
              <w:rPr>
                <w:color w:val="auto"/>
                <w:sz w:val="24"/>
                <w:highlight w:val="none"/>
              </w:rPr>
            </w:pPr>
            <w:r>
              <w:rPr>
                <w:color w:val="auto"/>
                <w:sz w:val="24"/>
                <w:highlight w:val="none"/>
              </w:rPr>
              <w:t>环境风险评价是分析和预测项目存在的潜在危险、有害因素，项目运行期间可能发生的突发性事件或事故（一般不包括人为破坏及自然灾害），引起有毒有害和易燃易爆等物质泄漏，所造成的人身安全与环境影响和损害程度，提出合理可行的防范、应急与减缓措施，以使建设项目事故率、损失和环境影响达到可接受水平。</w:t>
            </w:r>
          </w:p>
          <w:p w14:paraId="29FC657D">
            <w:pPr>
              <w:spacing w:line="360" w:lineRule="auto"/>
              <w:ind w:firstLine="480" w:firstLineChars="200"/>
              <w:rPr>
                <w:color w:val="auto"/>
                <w:sz w:val="24"/>
                <w:highlight w:val="none"/>
              </w:rPr>
            </w:pPr>
            <w:r>
              <w:rPr>
                <w:color w:val="auto"/>
                <w:sz w:val="24"/>
                <w:highlight w:val="none"/>
              </w:rPr>
              <w:t>①评价依据</w:t>
            </w:r>
          </w:p>
          <w:p w14:paraId="5E9B3B3C">
            <w:pPr>
              <w:spacing w:line="360" w:lineRule="auto"/>
              <w:ind w:firstLine="480" w:firstLineChars="200"/>
              <w:rPr>
                <w:color w:val="auto"/>
                <w:sz w:val="24"/>
                <w:highlight w:val="none"/>
              </w:rPr>
            </w:pPr>
            <w:r>
              <w:rPr>
                <w:color w:val="auto"/>
                <w:sz w:val="24"/>
                <w:highlight w:val="none"/>
              </w:rPr>
              <w:t>a、环境风险调查</w:t>
            </w:r>
          </w:p>
          <w:p w14:paraId="732A54BD">
            <w:pPr>
              <w:spacing w:line="360" w:lineRule="auto"/>
              <w:ind w:firstLine="480" w:firstLineChars="200"/>
              <w:rPr>
                <w:color w:val="auto"/>
                <w:sz w:val="24"/>
                <w:highlight w:val="none"/>
              </w:rPr>
            </w:pPr>
            <w:r>
              <w:rPr>
                <w:color w:val="auto"/>
                <w:sz w:val="24"/>
                <w:highlight w:val="none"/>
              </w:rPr>
              <w:t>拟建项目使用的原辅材料主要为水泥、润滑油、钻井液；涉及的固体废物有废钻井泥浆、钻井岩屑、废包装材料、废润滑油、废润滑油桶、分类后的废含油抹布和废含油手套和生活垃圾。</w:t>
            </w:r>
          </w:p>
          <w:p w14:paraId="330B75C0">
            <w:pPr>
              <w:spacing w:line="360" w:lineRule="auto"/>
              <w:ind w:firstLine="480" w:firstLineChars="200"/>
              <w:rPr>
                <w:color w:val="auto"/>
                <w:sz w:val="24"/>
                <w:highlight w:val="none"/>
              </w:rPr>
            </w:pPr>
            <w:r>
              <w:rPr>
                <w:color w:val="auto"/>
                <w:sz w:val="24"/>
                <w:highlight w:val="none"/>
              </w:rPr>
              <w:t>根据《危险化学品名录》《建设项目环境风险评价技术导则》（HJ169-2018）附录B中突发环境事件风险物质及临界值，本项目废润滑油为突发环境事件危险物质。主要危险物质数量及分布情况详见下表。</w:t>
            </w:r>
          </w:p>
          <w:p w14:paraId="69CE4465">
            <w:pPr>
              <w:jc w:val="center"/>
              <w:rPr>
                <w:rFonts w:eastAsia="黑体"/>
                <w:color w:val="auto"/>
                <w:highlight w:val="none"/>
              </w:rPr>
            </w:pPr>
            <w:r>
              <w:rPr>
                <w:rFonts w:eastAsia="黑体"/>
                <w:color w:val="000000" w:themeColor="text1"/>
                <w:highlight w:val="none"/>
                <w14:textFill>
                  <w14:solidFill>
                    <w14:schemeClr w14:val="tx1"/>
                  </w14:solidFill>
                </w14:textFill>
              </w:rPr>
              <w:t>表4-</w:t>
            </w:r>
            <w:r>
              <w:rPr>
                <w:rFonts w:hint="eastAsia" w:eastAsia="黑体"/>
                <w:color w:val="000000" w:themeColor="text1"/>
                <w:highlight w:val="none"/>
                <w:lang w:val="en-US" w:eastAsia="zh-CN"/>
                <w14:textFill>
                  <w14:solidFill>
                    <w14:schemeClr w14:val="tx1"/>
                  </w14:solidFill>
                </w14:textFill>
              </w:rPr>
              <w:t>8</w:t>
            </w:r>
            <w:r>
              <w:rPr>
                <w:rFonts w:eastAsia="黑体"/>
                <w:color w:val="000000" w:themeColor="text1"/>
                <w:highlight w:val="none"/>
                <w14:textFill>
                  <w14:solidFill>
                    <w14:schemeClr w14:val="tx1"/>
                  </w14:solidFill>
                </w14:textFill>
              </w:rPr>
              <w:t xml:space="preserve">  项目危险物质数量及分</w:t>
            </w:r>
            <w:r>
              <w:rPr>
                <w:rFonts w:eastAsia="黑体"/>
                <w:color w:val="auto"/>
                <w:highlight w:val="none"/>
              </w:rPr>
              <w:t>布情况一览表</w:t>
            </w:r>
          </w:p>
          <w:tbl>
            <w:tblPr>
              <w:tblStyle w:val="2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48"/>
              <w:gridCol w:w="794"/>
              <w:gridCol w:w="913"/>
              <w:gridCol w:w="2035"/>
              <w:gridCol w:w="1563"/>
              <w:gridCol w:w="1075"/>
              <w:gridCol w:w="899"/>
            </w:tblGrid>
            <w:tr w14:paraId="239268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48" w:type="dxa"/>
                  <w:noWrap w:val="0"/>
                  <w:vAlign w:val="center"/>
                </w:tcPr>
                <w:p w14:paraId="568D0EB2">
                  <w:pPr>
                    <w:autoSpaceDE w:val="0"/>
                    <w:autoSpaceDN w:val="0"/>
                    <w:spacing w:line="240" w:lineRule="atLeast"/>
                    <w:jc w:val="center"/>
                    <w:rPr>
                      <w:b/>
                      <w:color w:val="auto"/>
                      <w:kern w:val="0"/>
                      <w:szCs w:val="21"/>
                      <w:highlight w:val="none"/>
                    </w:rPr>
                  </w:pPr>
                  <w:r>
                    <w:rPr>
                      <w:b/>
                      <w:color w:val="auto"/>
                      <w:kern w:val="0"/>
                      <w:szCs w:val="21"/>
                      <w:highlight w:val="none"/>
                    </w:rPr>
                    <w:t>序号</w:t>
                  </w:r>
                </w:p>
              </w:tc>
              <w:tc>
                <w:tcPr>
                  <w:tcW w:w="794" w:type="dxa"/>
                  <w:noWrap w:val="0"/>
                  <w:vAlign w:val="center"/>
                </w:tcPr>
                <w:p w14:paraId="662F5CF8">
                  <w:pPr>
                    <w:autoSpaceDE w:val="0"/>
                    <w:autoSpaceDN w:val="0"/>
                    <w:spacing w:line="240" w:lineRule="atLeast"/>
                    <w:jc w:val="center"/>
                    <w:rPr>
                      <w:b/>
                      <w:color w:val="auto"/>
                      <w:kern w:val="0"/>
                      <w:szCs w:val="21"/>
                      <w:highlight w:val="none"/>
                    </w:rPr>
                  </w:pPr>
                  <w:r>
                    <w:rPr>
                      <w:b/>
                      <w:color w:val="auto"/>
                      <w:kern w:val="0"/>
                      <w:szCs w:val="21"/>
                      <w:highlight w:val="none"/>
                    </w:rPr>
                    <w:t>风险物质</w:t>
                  </w:r>
                </w:p>
              </w:tc>
              <w:tc>
                <w:tcPr>
                  <w:tcW w:w="913" w:type="dxa"/>
                  <w:noWrap w:val="0"/>
                  <w:vAlign w:val="center"/>
                </w:tcPr>
                <w:p w14:paraId="6B87A8FA">
                  <w:pPr>
                    <w:autoSpaceDE w:val="0"/>
                    <w:autoSpaceDN w:val="0"/>
                    <w:spacing w:line="240" w:lineRule="atLeast"/>
                    <w:jc w:val="center"/>
                    <w:rPr>
                      <w:b/>
                      <w:color w:val="auto"/>
                      <w:kern w:val="0"/>
                      <w:szCs w:val="21"/>
                      <w:highlight w:val="none"/>
                    </w:rPr>
                  </w:pPr>
                  <w:r>
                    <w:rPr>
                      <w:b/>
                      <w:color w:val="auto"/>
                      <w:kern w:val="0"/>
                      <w:szCs w:val="21"/>
                      <w:highlight w:val="none"/>
                    </w:rPr>
                    <w:t>储存位置</w:t>
                  </w:r>
                </w:p>
              </w:tc>
              <w:tc>
                <w:tcPr>
                  <w:tcW w:w="2035" w:type="dxa"/>
                  <w:noWrap w:val="0"/>
                  <w:vAlign w:val="center"/>
                </w:tcPr>
                <w:p w14:paraId="2D7460BB">
                  <w:pPr>
                    <w:autoSpaceDE w:val="0"/>
                    <w:autoSpaceDN w:val="0"/>
                    <w:spacing w:line="240" w:lineRule="atLeast"/>
                    <w:jc w:val="center"/>
                    <w:rPr>
                      <w:b/>
                      <w:color w:val="auto"/>
                      <w:kern w:val="0"/>
                      <w:szCs w:val="21"/>
                      <w:highlight w:val="none"/>
                    </w:rPr>
                  </w:pPr>
                  <w:r>
                    <w:rPr>
                      <w:b/>
                      <w:color w:val="auto"/>
                      <w:kern w:val="0"/>
                      <w:szCs w:val="21"/>
                      <w:highlight w:val="none"/>
                    </w:rPr>
                    <w:t>主要成分</w:t>
                  </w:r>
                </w:p>
              </w:tc>
              <w:tc>
                <w:tcPr>
                  <w:tcW w:w="1563" w:type="dxa"/>
                  <w:noWrap w:val="0"/>
                  <w:vAlign w:val="center"/>
                </w:tcPr>
                <w:p w14:paraId="23D2CAFB">
                  <w:pPr>
                    <w:autoSpaceDE w:val="0"/>
                    <w:autoSpaceDN w:val="0"/>
                    <w:spacing w:line="240" w:lineRule="atLeast"/>
                    <w:jc w:val="center"/>
                    <w:rPr>
                      <w:b/>
                      <w:color w:val="auto"/>
                      <w:kern w:val="0"/>
                      <w:szCs w:val="21"/>
                      <w:highlight w:val="none"/>
                    </w:rPr>
                  </w:pPr>
                  <w:r>
                    <w:rPr>
                      <w:b/>
                      <w:color w:val="auto"/>
                      <w:kern w:val="0"/>
                      <w:szCs w:val="21"/>
                      <w:highlight w:val="none"/>
                    </w:rPr>
                    <w:t>厂区最大存在量（t）</w:t>
                  </w:r>
                </w:p>
              </w:tc>
              <w:tc>
                <w:tcPr>
                  <w:tcW w:w="1075" w:type="dxa"/>
                  <w:noWrap w:val="0"/>
                  <w:vAlign w:val="center"/>
                </w:tcPr>
                <w:p w14:paraId="52F9D537">
                  <w:pPr>
                    <w:autoSpaceDE w:val="0"/>
                    <w:autoSpaceDN w:val="0"/>
                    <w:spacing w:line="240" w:lineRule="atLeast"/>
                    <w:jc w:val="center"/>
                    <w:rPr>
                      <w:b/>
                      <w:color w:val="auto"/>
                      <w:kern w:val="0"/>
                      <w:szCs w:val="21"/>
                      <w:highlight w:val="none"/>
                    </w:rPr>
                  </w:pPr>
                  <w:r>
                    <w:rPr>
                      <w:b/>
                      <w:color w:val="auto"/>
                      <w:kern w:val="0"/>
                      <w:szCs w:val="21"/>
                      <w:highlight w:val="none"/>
                    </w:rPr>
                    <w:t>临界量（t）</w:t>
                  </w:r>
                </w:p>
              </w:tc>
              <w:tc>
                <w:tcPr>
                  <w:tcW w:w="899" w:type="dxa"/>
                  <w:noWrap w:val="0"/>
                  <w:vAlign w:val="center"/>
                </w:tcPr>
                <w:p w14:paraId="463ECF4A">
                  <w:pPr>
                    <w:autoSpaceDE w:val="0"/>
                    <w:autoSpaceDN w:val="0"/>
                    <w:spacing w:line="240" w:lineRule="atLeast"/>
                    <w:jc w:val="center"/>
                    <w:rPr>
                      <w:b/>
                      <w:color w:val="auto"/>
                      <w:kern w:val="0"/>
                      <w:szCs w:val="21"/>
                      <w:highlight w:val="none"/>
                    </w:rPr>
                  </w:pPr>
                  <w:r>
                    <w:rPr>
                      <w:b/>
                      <w:color w:val="auto"/>
                      <w:kern w:val="0"/>
                      <w:szCs w:val="21"/>
                      <w:highlight w:val="none"/>
                    </w:rPr>
                    <w:t>Q值</w:t>
                  </w:r>
                </w:p>
              </w:tc>
            </w:tr>
            <w:tr w14:paraId="6C7A71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48" w:type="dxa"/>
                  <w:noWrap w:val="0"/>
                  <w:vAlign w:val="center"/>
                </w:tcPr>
                <w:p w14:paraId="1F18BB14">
                  <w:pPr>
                    <w:autoSpaceDE w:val="0"/>
                    <w:autoSpaceDN w:val="0"/>
                    <w:spacing w:line="240" w:lineRule="atLeast"/>
                    <w:jc w:val="center"/>
                    <w:rPr>
                      <w:color w:val="auto"/>
                      <w:kern w:val="0"/>
                      <w:szCs w:val="21"/>
                      <w:highlight w:val="none"/>
                    </w:rPr>
                  </w:pPr>
                  <w:r>
                    <w:rPr>
                      <w:color w:val="auto"/>
                      <w:kern w:val="0"/>
                      <w:szCs w:val="21"/>
                      <w:highlight w:val="none"/>
                    </w:rPr>
                    <w:t>1</w:t>
                  </w:r>
                </w:p>
              </w:tc>
              <w:tc>
                <w:tcPr>
                  <w:tcW w:w="794" w:type="dxa"/>
                  <w:noWrap w:val="0"/>
                  <w:vAlign w:val="center"/>
                </w:tcPr>
                <w:p w14:paraId="7120947D">
                  <w:pPr>
                    <w:autoSpaceDE w:val="0"/>
                    <w:autoSpaceDN w:val="0"/>
                    <w:spacing w:line="240" w:lineRule="atLeast"/>
                    <w:jc w:val="center"/>
                    <w:rPr>
                      <w:color w:val="auto"/>
                      <w:kern w:val="0"/>
                      <w:szCs w:val="21"/>
                      <w:highlight w:val="none"/>
                    </w:rPr>
                  </w:pPr>
                  <w:r>
                    <w:rPr>
                      <w:color w:val="auto"/>
                      <w:kern w:val="0"/>
                      <w:szCs w:val="21"/>
                      <w:highlight w:val="none"/>
                    </w:rPr>
                    <w:t>润滑油</w:t>
                  </w:r>
                </w:p>
              </w:tc>
              <w:tc>
                <w:tcPr>
                  <w:tcW w:w="913" w:type="dxa"/>
                  <w:noWrap w:val="0"/>
                  <w:vAlign w:val="center"/>
                </w:tcPr>
                <w:p w14:paraId="45D5B5B5">
                  <w:pPr>
                    <w:spacing w:line="240" w:lineRule="atLeast"/>
                    <w:jc w:val="center"/>
                    <w:rPr>
                      <w:color w:val="auto"/>
                      <w:kern w:val="0"/>
                      <w:szCs w:val="21"/>
                      <w:highlight w:val="none"/>
                    </w:rPr>
                  </w:pPr>
                  <w:r>
                    <w:rPr>
                      <w:color w:val="auto"/>
                      <w:kern w:val="0"/>
                      <w:szCs w:val="21"/>
                      <w:highlight w:val="none"/>
                    </w:rPr>
                    <w:t>材料房</w:t>
                  </w:r>
                </w:p>
              </w:tc>
              <w:tc>
                <w:tcPr>
                  <w:tcW w:w="2035" w:type="dxa"/>
                  <w:noWrap w:val="0"/>
                  <w:vAlign w:val="center"/>
                </w:tcPr>
                <w:p w14:paraId="16FFAE4D">
                  <w:pPr>
                    <w:autoSpaceDE w:val="0"/>
                    <w:autoSpaceDN w:val="0"/>
                    <w:spacing w:line="240" w:lineRule="atLeast"/>
                    <w:jc w:val="center"/>
                    <w:rPr>
                      <w:color w:val="auto"/>
                      <w:kern w:val="0"/>
                      <w:szCs w:val="21"/>
                      <w:highlight w:val="none"/>
                    </w:rPr>
                  </w:pPr>
                  <w:r>
                    <w:rPr>
                      <w:color w:val="auto"/>
                      <w:kern w:val="0"/>
                      <w:szCs w:val="21"/>
                      <w:highlight w:val="none"/>
                    </w:rPr>
                    <w:t>润滑油</w:t>
                  </w:r>
                </w:p>
              </w:tc>
              <w:tc>
                <w:tcPr>
                  <w:tcW w:w="1563" w:type="dxa"/>
                  <w:noWrap w:val="0"/>
                  <w:vAlign w:val="center"/>
                </w:tcPr>
                <w:p w14:paraId="33B17500">
                  <w:pPr>
                    <w:autoSpaceDE w:val="0"/>
                    <w:autoSpaceDN w:val="0"/>
                    <w:spacing w:line="240" w:lineRule="atLeast"/>
                    <w:jc w:val="center"/>
                    <w:rPr>
                      <w:rFonts w:hint="eastAsia" w:eastAsia="宋体"/>
                      <w:color w:val="auto"/>
                      <w:kern w:val="0"/>
                      <w:szCs w:val="21"/>
                      <w:highlight w:val="none"/>
                      <w:lang w:val="en-US" w:eastAsia="zh-CN"/>
                    </w:rPr>
                  </w:pPr>
                  <w:r>
                    <w:rPr>
                      <w:color w:val="auto"/>
                      <w:kern w:val="0"/>
                      <w:szCs w:val="21"/>
                      <w:highlight w:val="none"/>
                    </w:rPr>
                    <w:t>0.8</w:t>
                  </w:r>
                  <w:r>
                    <w:rPr>
                      <w:rFonts w:hint="eastAsia"/>
                      <w:color w:val="auto"/>
                      <w:kern w:val="0"/>
                      <w:szCs w:val="21"/>
                      <w:highlight w:val="none"/>
                      <w:lang w:val="en-US" w:eastAsia="zh-CN"/>
                    </w:rPr>
                    <w:t>0</w:t>
                  </w:r>
                </w:p>
              </w:tc>
              <w:tc>
                <w:tcPr>
                  <w:tcW w:w="1075" w:type="dxa"/>
                  <w:noWrap w:val="0"/>
                  <w:vAlign w:val="center"/>
                </w:tcPr>
                <w:p w14:paraId="7FA1E8FD">
                  <w:pPr>
                    <w:autoSpaceDE w:val="0"/>
                    <w:autoSpaceDN w:val="0"/>
                    <w:spacing w:line="240" w:lineRule="atLeast"/>
                    <w:jc w:val="center"/>
                    <w:rPr>
                      <w:color w:val="auto"/>
                      <w:kern w:val="0"/>
                      <w:szCs w:val="21"/>
                      <w:highlight w:val="none"/>
                    </w:rPr>
                  </w:pPr>
                  <w:r>
                    <w:rPr>
                      <w:color w:val="auto"/>
                      <w:kern w:val="0"/>
                      <w:szCs w:val="21"/>
                      <w:highlight w:val="none"/>
                    </w:rPr>
                    <w:t>2500</w:t>
                  </w:r>
                </w:p>
              </w:tc>
              <w:tc>
                <w:tcPr>
                  <w:tcW w:w="899" w:type="dxa"/>
                  <w:noWrap w:val="0"/>
                  <w:vAlign w:val="center"/>
                </w:tcPr>
                <w:p w14:paraId="5045C4F3">
                  <w:pPr>
                    <w:autoSpaceDE w:val="0"/>
                    <w:autoSpaceDN w:val="0"/>
                    <w:spacing w:line="240" w:lineRule="atLeast"/>
                    <w:jc w:val="center"/>
                    <w:rPr>
                      <w:rFonts w:hint="eastAsia" w:eastAsia="宋体"/>
                      <w:color w:val="auto"/>
                      <w:kern w:val="0"/>
                      <w:szCs w:val="21"/>
                      <w:highlight w:val="none"/>
                      <w:lang w:val="en-US" w:eastAsia="zh-CN"/>
                    </w:rPr>
                  </w:pPr>
                  <w:r>
                    <w:rPr>
                      <w:color w:val="auto"/>
                      <w:kern w:val="0"/>
                      <w:szCs w:val="21"/>
                      <w:highlight w:val="none"/>
                    </w:rPr>
                    <w:t>0.0003</w:t>
                  </w:r>
                  <w:r>
                    <w:rPr>
                      <w:rFonts w:hint="eastAsia"/>
                      <w:color w:val="auto"/>
                      <w:kern w:val="0"/>
                      <w:szCs w:val="21"/>
                      <w:highlight w:val="none"/>
                      <w:lang w:val="en-US" w:eastAsia="zh-CN"/>
                    </w:rPr>
                    <w:t>2</w:t>
                  </w:r>
                </w:p>
              </w:tc>
            </w:tr>
            <w:tr w14:paraId="7754CD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48" w:type="dxa"/>
                  <w:noWrap w:val="0"/>
                  <w:vAlign w:val="center"/>
                </w:tcPr>
                <w:p w14:paraId="09524750">
                  <w:pPr>
                    <w:autoSpaceDE w:val="0"/>
                    <w:autoSpaceDN w:val="0"/>
                    <w:spacing w:line="240" w:lineRule="atLeast"/>
                    <w:jc w:val="center"/>
                    <w:rPr>
                      <w:color w:val="auto"/>
                      <w:kern w:val="0"/>
                      <w:szCs w:val="21"/>
                      <w:highlight w:val="none"/>
                    </w:rPr>
                  </w:pPr>
                  <w:r>
                    <w:rPr>
                      <w:color w:val="auto"/>
                      <w:kern w:val="0"/>
                      <w:szCs w:val="21"/>
                      <w:highlight w:val="none"/>
                    </w:rPr>
                    <w:t>2</w:t>
                  </w:r>
                </w:p>
              </w:tc>
              <w:tc>
                <w:tcPr>
                  <w:tcW w:w="794" w:type="dxa"/>
                  <w:noWrap w:val="0"/>
                  <w:vAlign w:val="center"/>
                </w:tcPr>
                <w:p w14:paraId="7F20722C">
                  <w:pPr>
                    <w:autoSpaceDE w:val="0"/>
                    <w:autoSpaceDN w:val="0"/>
                    <w:spacing w:line="240" w:lineRule="atLeast"/>
                    <w:jc w:val="center"/>
                    <w:rPr>
                      <w:color w:val="auto"/>
                      <w:kern w:val="0"/>
                      <w:szCs w:val="21"/>
                      <w:highlight w:val="none"/>
                    </w:rPr>
                  </w:pPr>
                  <w:r>
                    <w:rPr>
                      <w:color w:val="auto"/>
                      <w:kern w:val="0"/>
                      <w:szCs w:val="21"/>
                      <w:highlight w:val="none"/>
                    </w:rPr>
                    <w:t>废润滑油</w:t>
                  </w:r>
                </w:p>
              </w:tc>
              <w:tc>
                <w:tcPr>
                  <w:tcW w:w="913" w:type="dxa"/>
                  <w:noWrap w:val="0"/>
                  <w:vAlign w:val="center"/>
                </w:tcPr>
                <w:p w14:paraId="7AA02FFA">
                  <w:pPr>
                    <w:spacing w:line="240" w:lineRule="atLeast"/>
                    <w:jc w:val="center"/>
                    <w:rPr>
                      <w:color w:val="auto"/>
                      <w:kern w:val="0"/>
                      <w:szCs w:val="21"/>
                      <w:highlight w:val="none"/>
                    </w:rPr>
                  </w:pPr>
                  <w:r>
                    <w:rPr>
                      <w:color w:val="auto"/>
                      <w:kern w:val="0"/>
                      <w:szCs w:val="21"/>
                      <w:highlight w:val="none"/>
                    </w:rPr>
                    <w:t>危废库</w:t>
                  </w:r>
                </w:p>
              </w:tc>
              <w:tc>
                <w:tcPr>
                  <w:tcW w:w="2035" w:type="dxa"/>
                  <w:noWrap w:val="0"/>
                  <w:vAlign w:val="center"/>
                </w:tcPr>
                <w:p w14:paraId="3904DA27">
                  <w:pPr>
                    <w:autoSpaceDE w:val="0"/>
                    <w:autoSpaceDN w:val="0"/>
                    <w:spacing w:line="240" w:lineRule="atLeast"/>
                    <w:jc w:val="center"/>
                    <w:rPr>
                      <w:color w:val="auto"/>
                      <w:kern w:val="0"/>
                      <w:szCs w:val="21"/>
                      <w:highlight w:val="none"/>
                    </w:rPr>
                  </w:pPr>
                  <w:r>
                    <w:rPr>
                      <w:color w:val="auto"/>
                      <w:kern w:val="0"/>
                      <w:szCs w:val="21"/>
                      <w:highlight w:val="none"/>
                    </w:rPr>
                    <w:t>废润滑油</w:t>
                  </w:r>
                </w:p>
              </w:tc>
              <w:tc>
                <w:tcPr>
                  <w:tcW w:w="1563" w:type="dxa"/>
                  <w:noWrap w:val="0"/>
                  <w:vAlign w:val="center"/>
                </w:tcPr>
                <w:p w14:paraId="3FAB22A1">
                  <w:pPr>
                    <w:autoSpaceDE w:val="0"/>
                    <w:autoSpaceDN w:val="0"/>
                    <w:spacing w:line="240" w:lineRule="atLeast"/>
                    <w:jc w:val="center"/>
                    <w:rPr>
                      <w:rFonts w:hint="eastAsia" w:eastAsia="宋体"/>
                      <w:color w:val="auto"/>
                      <w:kern w:val="0"/>
                      <w:szCs w:val="21"/>
                      <w:highlight w:val="none"/>
                      <w:lang w:val="en-US" w:eastAsia="zh-CN"/>
                    </w:rPr>
                  </w:pPr>
                  <w:r>
                    <w:rPr>
                      <w:color w:val="auto"/>
                      <w:kern w:val="0"/>
                      <w:szCs w:val="21"/>
                      <w:highlight w:val="none"/>
                    </w:rPr>
                    <w:t>0.5</w:t>
                  </w:r>
                  <w:r>
                    <w:rPr>
                      <w:rFonts w:hint="eastAsia"/>
                      <w:color w:val="auto"/>
                      <w:kern w:val="0"/>
                      <w:szCs w:val="21"/>
                      <w:highlight w:val="none"/>
                      <w:lang w:val="en-US" w:eastAsia="zh-CN"/>
                    </w:rPr>
                    <w:t>0</w:t>
                  </w:r>
                </w:p>
              </w:tc>
              <w:tc>
                <w:tcPr>
                  <w:tcW w:w="1075" w:type="dxa"/>
                  <w:noWrap w:val="0"/>
                  <w:vAlign w:val="center"/>
                </w:tcPr>
                <w:p w14:paraId="44EC3AEC">
                  <w:pPr>
                    <w:autoSpaceDE w:val="0"/>
                    <w:autoSpaceDN w:val="0"/>
                    <w:spacing w:line="240" w:lineRule="atLeast"/>
                    <w:jc w:val="center"/>
                    <w:rPr>
                      <w:color w:val="auto"/>
                      <w:kern w:val="0"/>
                      <w:szCs w:val="21"/>
                      <w:highlight w:val="none"/>
                    </w:rPr>
                  </w:pPr>
                  <w:r>
                    <w:rPr>
                      <w:color w:val="auto"/>
                      <w:kern w:val="0"/>
                      <w:szCs w:val="21"/>
                      <w:highlight w:val="none"/>
                    </w:rPr>
                    <w:t>2500</w:t>
                  </w:r>
                </w:p>
              </w:tc>
              <w:tc>
                <w:tcPr>
                  <w:tcW w:w="899" w:type="dxa"/>
                  <w:noWrap w:val="0"/>
                  <w:vAlign w:val="center"/>
                </w:tcPr>
                <w:p w14:paraId="1D71F80D">
                  <w:pPr>
                    <w:autoSpaceDE w:val="0"/>
                    <w:autoSpaceDN w:val="0"/>
                    <w:spacing w:line="240" w:lineRule="atLeast"/>
                    <w:jc w:val="center"/>
                    <w:rPr>
                      <w:rFonts w:hint="eastAsia" w:eastAsia="宋体"/>
                      <w:color w:val="auto"/>
                      <w:kern w:val="0"/>
                      <w:szCs w:val="21"/>
                      <w:highlight w:val="none"/>
                      <w:lang w:val="en-US" w:eastAsia="zh-CN"/>
                    </w:rPr>
                  </w:pPr>
                  <w:r>
                    <w:rPr>
                      <w:color w:val="auto"/>
                      <w:kern w:val="0"/>
                      <w:szCs w:val="21"/>
                      <w:highlight w:val="none"/>
                    </w:rPr>
                    <w:t>0.0002</w:t>
                  </w:r>
                  <w:r>
                    <w:rPr>
                      <w:rFonts w:hint="eastAsia"/>
                      <w:color w:val="auto"/>
                      <w:kern w:val="0"/>
                      <w:szCs w:val="21"/>
                      <w:highlight w:val="none"/>
                      <w:lang w:val="en-US" w:eastAsia="zh-CN"/>
                    </w:rPr>
                    <w:t>0</w:t>
                  </w:r>
                </w:p>
              </w:tc>
            </w:tr>
            <w:tr w14:paraId="54636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48" w:type="dxa"/>
                  <w:noWrap w:val="0"/>
                  <w:vAlign w:val="center"/>
                </w:tcPr>
                <w:p w14:paraId="14848A20">
                  <w:pPr>
                    <w:autoSpaceDE w:val="0"/>
                    <w:autoSpaceDN w:val="0"/>
                    <w:spacing w:line="240" w:lineRule="atLeast"/>
                    <w:jc w:val="center"/>
                    <w:rPr>
                      <w:color w:val="auto"/>
                      <w:kern w:val="0"/>
                      <w:szCs w:val="21"/>
                      <w:highlight w:val="none"/>
                    </w:rPr>
                  </w:pPr>
                  <w:r>
                    <w:rPr>
                      <w:color w:val="auto"/>
                      <w:kern w:val="0"/>
                      <w:szCs w:val="21"/>
                      <w:highlight w:val="none"/>
                    </w:rPr>
                    <w:t>3</w:t>
                  </w:r>
                </w:p>
              </w:tc>
              <w:tc>
                <w:tcPr>
                  <w:tcW w:w="794" w:type="dxa"/>
                  <w:noWrap w:val="0"/>
                  <w:vAlign w:val="center"/>
                </w:tcPr>
                <w:p w14:paraId="0D055CC0">
                  <w:pPr>
                    <w:autoSpaceDE w:val="0"/>
                    <w:autoSpaceDN w:val="0"/>
                    <w:spacing w:line="240" w:lineRule="atLeast"/>
                    <w:jc w:val="center"/>
                    <w:rPr>
                      <w:color w:val="auto"/>
                      <w:kern w:val="0"/>
                      <w:szCs w:val="21"/>
                      <w:highlight w:val="none"/>
                    </w:rPr>
                  </w:pPr>
                  <w:r>
                    <w:rPr>
                      <w:color w:val="auto"/>
                      <w:kern w:val="0"/>
                      <w:szCs w:val="21"/>
                      <w:highlight w:val="none"/>
                    </w:rPr>
                    <w:t>柴油</w:t>
                  </w:r>
                </w:p>
              </w:tc>
              <w:tc>
                <w:tcPr>
                  <w:tcW w:w="913" w:type="dxa"/>
                  <w:noWrap w:val="0"/>
                  <w:vAlign w:val="center"/>
                </w:tcPr>
                <w:p w14:paraId="7840DCCC">
                  <w:pPr>
                    <w:spacing w:line="240" w:lineRule="atLeast"/>
                    <w:jc w:val="center"/>
                    <w:rPr>
                      <w:color w:val="auto"/>
                      <w:kern w:val="0"/>
                      <w:szCs w:val="21"/>
                      <w:highlight w:val="none"/>
                    </w:rPr>
                  </w:pPr>
                  <w:r>
                    <w:rPr>
                      <w:color w:val="auto"/>
                      <w:kern w:val="0"/>
                      <w:szCs w:val="21"/>
                      <w:highlight w:val="none"/>
                    </w:rPr>
                    <w:t>应急柴油机</w:t>
                  </w:r>
                </w:p>
              </w:tc>
              <w:tc>
                <w:tcPr>
                  <w:tcW w:w="2035" w:type="dxa"/>
                  <w:noWrap w:val="0"/>
                  <w:vAlign w:val="center"/>
                </w:tcPr>
                <w:p w14:paraId="0BFEE8BA">
                  <w:pPr>
                    <w:autoSpaceDE w:val="0"/>
                    <w:autoSpaceDN w:val="0"/>
                    <w:spacing w:line="240" w:lineRule="atLeast"/>
                    <w:jc w:val="center"/>
                    <w:rPr>
                      <w:color w:val="auto"/>
                      <w:kern w:val="0"/>
                      <w:szCs w:val="21"/>
                      <w:highlight w:val="none"/>
                    </w:rPr>
                  </w:pPr>
                  <w:r>
                    <w:rPr>
                      <w:color w:val="auto"/>
                      <w:kern w:val="0"/>
                      <w:szCs w:val="21"/>
                      <w:highlight w:val="none"/>
                    </w:rPr>
                    <w:t>柴油（</w:t>
                  </w:r>
                  <w:r>
                    <w:rPr>
                      <w:rFonts w:hint="eastAsia"/>
                      <w:color w:val="auto"/>
                      <w:kern w:val="0"/>
                      <w:szCs w:val="21"/>
                      <w:highlight w:val="none"/>
                      <w:lang w:val="en-US" w:eastAsia="zh-CN"/>
                    </w:rPr>
                    <w:t>3</w:t>
                  </w:r>
                  <w:r>
                    <w:rPr>
                      <w:color w:val="auto"/>
                      <w:kern w:val="0"/>
                      <w:szCs w:val="21"/>
                      <w:highlight w:val="none"/>
                    </w:rPr>
                    <w:t>台柴油机内部在线量）</w:t>
                  </w:r>
                </w:p>
              </w:tc>
              <w:tc>
                <w:tcPr>
                  <w:tcW w:w="1563" w:type="dxa"/>
                  <w:noWrap w:val="0"/>
                  <w:vAlign w:val="center"/>
                </w:tcPr>
                <w:p w14:paraId="49327484">
                  <w:pPr>
                    <w:autoSpaceDE w:val="0"/>
                    <w:autoSpaceDN w:val="0"/>
                    <w:spacing w:line="240" w:lineRule="atLeast"/>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2.5</w:t>
                  </w:r>
                </w:p>
              </w:tc>
              <w:tc>
                <w:tcPr>
                  <w:tcW w:w="1075" w:type="dxa"/>
                  <w:noWrap w:val="0"/>
                  <w:vAlign w:val="center"/>
                </w:tcPr>
                <w:p w14:paraId="5B03428F">
                  <w:pPr>
                    <w:autoSpaceDE w:val="0"/>
                    <w:autoSpaceDN w:val="0"/>
                    <w:spacing w:line="240" w:lineRule="atLeast"/>
                    <w:jc w:val="center"/>
                    <w:rPr>
                      <w:color w:val="auto"/>
                      <w:kern w:val="0"/>
                      <w:szCs w:val="21"/>
                      <w:highlight w:val="none"/>
                    </w:rPr>
                  </w:pPr>
                  <w:r>
                    <w:rPr>
                      <w:color w:val="auto"/>
                      <w:kern w:val="0"/>
                      <w:szCs w:val="21"/>
                      <w:highlight w:val="none"/>
                    </w:rPr>
                    <w:t>2500</w:t>
                  </w:r>
                </w:p>
              </w:tc>
              <w:tc>
                <w:tcPr>
                  <w:tcW w:w="899" w:type="dxa"/>
                  <w:noWrap w:val="0"/>
                  <w:vAlign w:val="center"/>
                </w:tcPr>
                <w:p w14:paraId="13E78894">
                  <w:pPr>
                    <w:autoSpaceDE w:val="0"/>
                    <w:autoSpaceDN w:val="0"/>
                    <w:spacing w:line="240" w:lineRule="atLeast"/>
                    <w:jc w:val="center"/>
                    <w:rPr>
                      <w:rFonts w:hint="default" w:eastAsia="宋体"/>
                      <w:color w:val="auto"/>
                      <w:kern w:val="0"/>
                      <w:szCs w:val="21"/>
                      <w:highlight w:val="none"/>
                      <w:lang w:val="en-US" w:eastAsia="zh-CN"/>
                    </w:rPr>
                  </w:pPr>
                  <w:r>
                    <w:rPr>
                      <w:color w:val="auto"/>
                      <w:kern w:val="0"/>
                      <w:szCs w:val="21"/>
                      <w:highlight w:val="none"/>
                    </w:rPr>
                    <w:t>0.001</w:t>
                  </w:r>
                  <w:r>
                    <w:rPr>
                      <w:rFonts w:hint="eastAsia"/>
                      <w:color w:val="auto"/>
                      <w:kern w:val="0"/>
                      <w:szCs w:val="21"/>
                      <w:highlight w:val="none"/>
                      <w:lang w:val="en-US" w:eastAsia="zh-CN"/>
                    </w:rPr>
                    <w:t>00</w:t>
                  </w:r>
                </w:p>
              </w:tc>
            </w:tr>
            <w:tr w14:paraId="66E85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928" w:type="dxa"/>
                  <w:gridSpan w:val="6"/>
                  <w:noWrap w:val="0"/>
                  <w:vAlign w:val="center"/>
                </w:tcPr>
                <w:p w14:paraId="7E2F7510">
                  <w:pPr>
                    <w:autoSpaceDE w:val="0"/>
                    <w:autoSpaceDN w:val="0"/>
                    <w:spacing w:line="240" w:lineRule="atLeast"/>
                    <w:jc w:val="center"/>
                    <w:rPr>
                      <w:color w:val="auto"/>
                      <w:kern w:val="0"/>
                      <w:szCs w:val="21"/>
                      <w:highlight w:val="none"/>
                    </w:rPr>
                  </w:pPr>
                  <w:r>
                    <w:rPr>
                      <w:color w:val="auto"/>
                      <w:kern w:val="0"/>
                      <w:szCs w:val="21"/>
                      <w:highlight w:val="none"/>
                    </w:rPr>
                    <w:t>合计</w:t>
                  </w:r>
                </w:p>
              </w:tc>
              <w:tc>
                <w:tcPr>
                  <w:tcW w:w="899" w:type="dxa"/>
                  <w:noWrap w:val="0"/>
                  <w:vAlign w:val="center"/>
                </w:tcPr>
                <w:p w14:paraId="27960866">
                  <w:pPr>
                    <w:autoSpaceDE w:val="0"/>
                    <w:autoSpaceDN w:val="0"/>
                    <w:spacing w:line="240" w:lineRule="atLeast"/>
                    <w:jc w:val="center"/>
                    <w:rPr>
                      <w:rFonts w:hint="default" w:eastAsia="宋体"/>
                      <w:color w:val="auto"/>
                      <w:kern w:val="0"/>
                      <w:szCs w:val="21"/>
                      <w:highlight w:val="none"/>
                      <w:lang w:val="en-US" w:eastAsia="zh-CN"/>
                    </w:rPr>
                  </w:pPr>
                  <w:r>
                    <w:rPr>
                      <w:color w:val="auto"/>
                      <w:kern w:val="0"/>
                      <w:szCs w:val="21"/>
                      <w:highlight w:val="none"/>
                    </w:rPr>
                    <w:t>0.00</w:t>
                  </w:r>
                  <w:r>
                    <w:rPr>
                      <w:rFonts w:hint="eastAsia"/>
                      <w:color w:val="auto"/>
                      <w:kern w:val="0"/>
                      <w:szCs w:val="21"/>
                      <w:highlight w:val="none"/>
                      <w:lang w:val="en-US" w:eastAsia="zh-CN"/>
                    </w:rPr>
                    <w:t>152</w:t>
                  </w:r>
                </w:p>
              </w:tc>
            </w:tr>
          </w:tbl>
          <w:p w14:paraId="6B13615B">
            <w:pPr>
              <w:spacing w:line="360" w:lineRule="auto"/>
              <w:ind w:firstLine="480" w:firstLineChars="200"/>
              <w:rPr>
                <w:color w:val="auto"/>
                <w:sz w:val="24"/>
                <w:highlight w:val="none"/>
              </w:rPr>
            </w:pPr>
            <w:r>
              <w:rPr>
                <w:color w:val="auto"/>
                <w:sz w:val="24"/>
                <w:highlight w:val="none"/>
              </w:rPr>
              <w:t>b、环境风险潜势初判</w:t>
            </w:r>
          </w:p>
          <w:p w14:paraId="22D2260A">
            <w:pPr>
              <w:spacing w:line="360" w:lineRule="auto"/>
              <w:ind w:firstLine="480" w:firstLineChars="200"/>
              <w:rPr>
                <w:color w:val="auto"/>
                <w:highlight w:val="none"/>
              </w:rPr>
            </w:pPr>
            <w:r>
              <w:rPr>
                <w:caps/>
                <w:color w:val="auto"/>
                <w:sz w:val="24"/>
                <w:highlight w:val="none"/>
              </w:rPr>
              <w:t>根据《建设项目环境风险评价技术导则》（HJ169-2018），计算所涉及的每种危险物质在厂界内的最大存在总量与其在HJ169-2018附录B中对应临界量的比值Q。在不同厂区的同一种物质，按其在厂界内的最大存在总量计算。</w:t>
            </w:r>
          </w:p>
          <w:p w14:paraId="1533DF59">
            <w:pPr>
              <w:spacing w:line="360" w:lineRule="auto"/>
              <w:ind w:firstLine="600" w:firstLineChars="250"/>
              <w:rPr>
                <w:color w:val="auto"/>
                <w:sz w:val="24"/>
                <w:highlight w:val="none"/>
              </w:rPr>
            </w:pPr>
            <w:r>
              <w:rPr>
                <w:color w:val="auto"/>
                <w:sz w:val="24"/>
                <w:highlight w:val="none"/>
              </w:rPr>
              <w:t>当只涉及一种危险物质时，计算该物质的总量与其临界量比值，即为Q；当存在多种危险物质时，则按下式计算物质总量与其临界量比值（Q）；</w:t>
            </w:r>
          </w:p>
          <w:p w14:paraId="68B8BEF2">
            <w:pPr>
              <w:spacing w:line="360" w:lineRule="auto"/>
              <w:ind w:firstLine="600" w:firstLineChars="250"/>
              <w:jc w:val="center"/>
              <w:rPr>
                <w:color w:val="auto"/>
                <w:sz w:val="24"/>
                <w:highlight w:val="none"/>
              </w:rPr>
            </w:pPr>
            <w:r>
              <w:rPr>
                <w:color w:val="auto"/>
                <w:sz w:val="24"/>
                <w:highlight w:val="none"/>
              </w:rPr>
              <w:t>Q=q</w:t>
            </w:r>
            <w:r>
              <w:rPr>
                <w:color w:val="auto"/>
                <w:sz w:val="24"/>
                <w:highlight w:val="none"/>
                <w:vertAlign w:val="subscript"/>
              </w:rPr>
              <w:t>1</w:t>
            </w:r>
            <w:r>
              <w:rPr>
                <w:color w:val="auto"/>
                <w:sz w:val="24"/>
                <w:highlight w:val="none"/>
              </w:rPr>
              <w:t>/Q</w:t>
            </w:r>
            <w:r>
              <w:rPr>
                <w:color w:val="auto"/>
                <w:sz w:val="24"/>
                <w:highlight w:val="none"/>
                <w:vertAlign w:val="subscript"/>
              </w:rPr>
              <w:t>1</w:t>
            </w:r>
            <w:r>
              <w:rPr>
                <w:color w:val="auto"/>
                <w:sz w:val="24"/>
                <w:highlight w:val="none"/>
              </w:rPr>
              <w:t>+q</w:t>
            </w:r>
            <w:r>
              <w:rPr>
                <w:color w:val="auto"/>
                <w:sz w:val="24"/>
                <w:highlight w:val="none"/>
                <w:vertAlign w:val="subscript"/>
              </w:rPr>
              <w:t>2</w:t>
            </w:r>
            <w:r>
              <w:rPr>
                <w:color w:val="auto"/>
                <w:sz w:val="24"/>
                <w:highlight w:val="none"/>
              </w:rPr>
              <w:t>/Q</w:t>
            </w:r>
            <w:r>
              <w:rPr>
                <w:color w:val="auto"/>
                <w:sz w:val="24"/>
                <w:highlight w:val="none"/>
                <w:vertAlign w:val="subscript"/>
              </w:rPr>
              <w:t>2</w:t>
            </w:r>
            <w:r>
              <w:rPr>
                <w:color w:val="auto"/>
                <w:sz w:val="24"/>
                <w:highlight w:val="none"/>
              </w:rPr>
              <w:t>+……+q</w:t>
            </w:r>
            <w:r>
              <w:rPr>
                <w:color w:val="auto"/>
                <w:sz w:val="24"/>
                <w:highlight w:val="none"/>
                <w:vertAlign w:val="subscript"/>
              </w:rPr>
              <w:t>n</w:t>
            </w:r>
            <w:r>
              <w:rPr>
                <w:color w:val="auto"/>
                <w:sz w:val="24"/>
                <w:highlight w:val="none"/>
              </w:rPr>
              <w:t>/Q</w:t>
            </w:r>
            <w:r>
              <w:rPr>
                <w:color w:val="auto"/>
                <w:sz w:val="24"/>
                <w:highlight w:val="none"/>
                <w:vertAlign w:val="subscript"/>
              </w:rPr>
              <w:t>n</w:t>
            </w:r>
          </w:p>
          <w:p w14:paraId="060E04D0">
            <w:pPr>
              <w:spacing w:line="360" w:lineRule="auto"/>
              <w:ind w:firstLine="600" w:firstLineChars="250"/>
              <w:rPr>
                <w:color w:val="auto"/>
                <w:sz w:val="24"/>
                <w:highlight w:val="none"/>
              </w:rPr>
            </w:pPr>
            <w:r>
              <w:rPr>
                <w:color w:val="auto"/>
                <w:sz w:val="24"/>
                <w:highlight w:val="none"/>
              </w:rPr>
              <w:t>式中：q</w:t>
            </w:r>
            <w:r>
              <w:rPr>
                <w:color w:val="auto"/>
                <w:sz w:val="24"/>
                <w:highlight w:val="none"/>
                <w:vertAlign w:val="subscript"/>
              </w:rPr>
              <w:t>1</w:t>
            </w:r>
            <w:r>
              <w:rPr>
                <w:color w:val="auto"/>
                <w:sz w:val="24"/>
                <w:highlight w:val="none"/>
              </w:rPr>
              <w:t>，q</w:t>
            </w:r>
            <w:r>
              <w:rPr>
                <w:color w:val="auto"/>
                <w:sz w:val="24"/>
                <w:highlight w:val="none"/>
                <w:vertAlign w:val="subscript"/>
              </w:rPr>
              <w:t>2</w:t>
            </w:r>
            <w:r>
              <w:rPr>
                <w:color w:val="auto"/>
                <w:sz w:val="24"/>
                <w:highlight w:val="none"/>
              </w:rPr>
              <w:t>，…，q</w:t>
            </w:r>
            <w:r>
              <w:rPr>
                <w:color w:val="auto"/>
                <w:sz w:val="24"/>
                <w:highlight w:val="none"/>
                <w:vertAlign w:val="subscript"/>
              </w:rPr>
              <w:t>n</w:t>
            </w:r>
            <w:r>
              <w:rPr>
                <w:color w:val="auto"/>
                <w:sz w:val="24"/>
                <w:highlight w:val="none"/>
              </w:rPr>
              <w:t>——每种危险物质的最大存在总量，t；</w:t>
            </w:r>
          </w:p>
          <w:p w14:paraId="2419BD1D">
            <w:pPr>
              <w:spacing w:line="360" w:lineRule="auto"/>
              <w:ind w:firstLine="1200" w:firstLineChars="500"/>
              <w:rPr>
                <w:color w:val="auto"/>
                <w:sz w:val="24"/>
                <w:highlight w:val="none"/>
              </w:rPr>
            </w:pPr>
            <w:r>
              <w:rPr>
                <w:color w:val="auto"/>
                <w:sz w:val="24"/>
                <w:highlight w:val="none"/>
              </w:rPr>
              <w:t>Q</w:t>
            </w:r>
            <w:r>
              <w:rPr>
                <w:color w:val="auto"/>
                <w:sz w:val="24"/>
                <w:highlight w:val="none"/>
                <w:vertAlign w:val="subscript"/>
              </w:rPr>
              <w:t>1</w:t>
            </w:r>
            <w:r>
              <w:rPr>
                <w:color w:val="auto"/>
                <w:sz w:val="24"/>
                <w:highlight w:val="none"/>
              </w:rPr>
              <w:t>， Q</w:t>
            </w:r>
            <w:r>
              <w:rPr>
                <w:color w:val="auto"/>
                <w:sz w:val="24"/>
                <w:highlight w:val="none"/>
                <w:vertAlign w:val="subscript"/>
              </w:rPr>
              <w:t>2</w:t>
            </w:r>
            <w:r>
              <w:rPr>
                <w:color w:val="auto"/>
                <w:sz w:val="24"/>
                <w:highlight w:val="none"/>
              </w:rPr>
              <w:t>，…，Q</w:t>
            </w:r>
            <w:r>
              <w:rPr>
                <w:color w:val="auto"/>
                <w:sz w:val="24"/>
                <w:highlight w:val="none"/>
                <w:vertAlign w:val="subscript"/>
              </w:rPr>
              <w:t>n</w:t>
            </w:r>
            <w:r>
              <w:rPr>
                <w:color w:val="auto"/>
                <w:sz w:val="24"/>
                <w:highlight w:val="none"/>
              </w:rPr>
              <w:t>——每种危险物质的临界量，t。</w:t>
            </w:r>
          </w:p>
          <w:p w14:paraId="2851B84A">
            <w:pPr>
              <w:spacing w:line="360" w:lineRule="auto"/>
              <w:ind w:firstLine="600" w:firstLineChars="250"/>
              <w:rPr>
                <w:color w:val="auto"/>
                <w:sz w:val="24"/>
                <w:highlight w:val="none"/>
              </w:rPr>
            </w:pPr>
            <w:r>
              <w:rPr>
                <w:color w:val="auto"/>
                <w:sz w:val="24"/>
                <w:highlight w:val="none"/>
              </w:rPr>
              <w:t>当Q＜1时，该项目环境风险潜势为Ⅰ。</w:t>
            </w:r>
          </w:p>
          <w:p w14:paraId="1B0027B3">
            <w:pPr>
              <w:spacing w:line="360" w:lineRule="auto"/>
              <w:ind w:firstLine="600" w:firstLineChars="250"/>
              <w:rPr>
                <w:color w:val="auto"/>
                <w:sz w:val="24"/>
                <w:highlight w:val="none"/>
              </w:rPr>
            </w:pPr>
            <w:r>
              <w:rPr>
                <w:color w:val="auto"/>
                <w:sz w:val="24"/>
                <w:highlight w:val="none"/>
              </w:rPr>
              <w:t>当Q≥1时，将Q值划分为：（1）1≤Q＜10；（2）10≤Q＜100；（3）Q≥100。</w:t>
            </w:r>
          </w:p>
          <w:p w14:paraId="2FDC7073">
            <w:pPr>
              <w:spacing w:line="360" w:lineRule="auto"/>
              <w:ind w:firstLine="600" w:firstLineChars="250"/>
              <w:rPr>
                <w:color w:val="auto"/>
                <w:sz w:val="24"/>
                <w:highlight w:val="none"/>
              </w:rPr>
            </w:pPr>
            <w:r>
              <w:rPr>
                <w:color w:val="auto"/>
                <w:sz w:val="24"/>
                <w:highlight w:val="none"/>
              </w:rPr>
              <w:t>根据以上</w:t>
            </w:r>
            <w:r>
              <w:rPr>
                <w:color w:val="000000" w:themeColor="text1"/>
                <w:sz w:val="24"/>
                <w:highlight w:val="none"/>
                <w14:textFill>
                  <w14:solidFill>
                    <w14:schemeClr w14:val="tx1"/>
                  </w14:solidFill>
                </w14:textFill>
              </w:rPr>
              <w:t>分析，本项目Q值为0.001</w:t>
            </w:r>
            <w:r>
              <w:rPr>
                <w:rFonts w:hint="eastAsia"/>
                <w:color w:val="000000" w:themeColor="text1"/>
                <w:sz w:val="24"/>
                <w:highlight w:val="none"/>
                <w:lang w:val="en-US" w:eastAsia="zh-CN"/>
                <w14:textFill>
                  <w14:solidFill>
                    <w14:schemeClr w14:val="tx1"/>
                  </w14:solidFill>
                </w14:textFill>
              </w:rPr>
              <w:t>52</w:t>
            </w:r>
            <w:r>
              <w:rPr>
                <w:color w:val="000000" w:themeColor="text1"/>
                <w:sz w:val="24"/>
                <w:highlight w:val="none"/>
                <w14:textFill>
                  <w14:solidFill>
                    <w14:schemeClr w14:val="tx1"/>
                  </w14:solidFill>
                </w14:textFill>
              </w:rPr>
              <w:t>，</w:t>
            </w:r>
            <w:r>
              <w:rPr>
                <w:color w:val="auto"/>
                <w:sz w:val="24"/>
                <w:highlight w:val="none"/>
              </w:rPr>
              <w:t>小于1，故环境风险潜势为Ⅰ。</w:t>
            </w:r>
          </w:p>
          <w:p w14:paraId="7CE33C4D">
            <w:pPr>
              <w:spacing w:line="360" w:lineRule="auto"/>
              <w:ind w:firstLine="480" w:firstLineChars="200"/>
              <w:rPr>
                <w:color w:val="auto"/>
                <w:sz w:val="24"/>
                <w:szCs w:val="20"/>
                <w:highlight w:val="none"/>
              </w:rPr>
            </w:pPr>
            <w:r>
              <w:rPr>
                <w:color w:val="auto"/>
                <w:sz w:val="24"/>
                <w:highlight w:val="none"/>
              </w:rPr>
              <w:t>c、评价等级</w:t>
            </w:r>
          </w:p>
          <w:p w14:paraId="63412472">
            <w:pPr>
              <w:spacing w:line="360" w:lineRule="auto"/>
              <w:ind w:firstLine="480" w:firstLineChars="200"/>
              <w:rPr>
                <w:color w:val="auto"/>
                <w:sz w:val="24"/>
                <w:highlight w:val="none"/>
              </w:rPr>
            </w:pPr>
            <w:r>
              <w:rPr>
                <w:color w:val="auto"/>
                <w:sz w:val="24"/>
                <w:highlight w:val="none"/>
              </w:rPr>
              <w:t>由上表可知，拟建项目Q值小于1，其项目环境风险潜势为I级，依据《建设项目环境风险评价导则》（HJ/T169-2018）中的要求，本项目仅展开简单分析。</w:t>
            </w:r>
          </w:p>
          <w:p w14:paraId="7AEF0CDA">
            <w:pPr>
              <w:spacing w:line="240" w:lineRule="atLeast"/>
              <w:jc w:val="center"/>
              <w:rPr>
                <w:rFonts w:eastAsia="黑体"/>
                <w:color w:val="auto"/>
                <w:szCs w:val="20"/>
                <w:highlight w:val="none"/>
              </w:rPr>
            </w:pPr>
            <w:r>
              <w:rPr>
                <w:rFonts w:eastAsia="黑体"/>
                <w:color w:val="auto"/>
                <w:szCs w:val="20"/>
                <w:highlight w:val="none"/>
              </w:rPr>
              <w:t>表4-</w:t>
            </w:r>
            <w:r>
              <w:rPr>
                <w:rFonts w:hint="eastAsia" w:eastAsia="黑体"/>
                <w:color w:val="auto"/>
                <w:szCs w:val="20"/>
                <w:highlight w:val="none"/>
                <w:lang w:val="en-US" w:eastAsia="zh-CN"/>
              </w:rPr>
              <w:t>9</w:t>
            </w:r>
            <w:r>
              <w:rPr>
                <w:rFonts w:eastAsia="黑体"/>
                <w:color w:val="auto"/>
                <w:szCs w:val="20"/>
                <w:highlight w:val="none"/>
              </w:rPr>
              <w:t xml:space="preserve">  评价工作等级划分</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4"/>
              <w:gridCol w:w="1712"/>
              <w:gridCol w:w="1623"/>
              <w:gridCol w:w="1614"/>
              <w:gridCol w:w="1616"/>
            </w:tblGrid>
            <w:tr w14:paraId="28633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2" w:type="dxa"/>
                  <w:noWrap w:val="0"/>
                  <w:vAlign w:val="center"/>
                </w:tcPr>
                <w:p w14:paraId="0696D48E">
                  <w:pPr>
                    <w:widowControl/>
                    <w:spacing w:line="276" w:lineRule="auto"/>
                    <w:jc w:val="center"/>
                    <w:rPr>
                      <w:b/>
                      <w:color w:val="auto"/>
                      <w:szCs w:val="21"/>
                      <w:highlight w:val="none"/>
                    </w:rPr>
                  </w:pPr>
                  <w:r>
                    <w:rPr>
                      <w:b/>
                      <w:color w:val="auto"/>
                      <w:szCs w:val="21"/>
                      <w:highlight w:val="none"/>
                    </w:rPr>
                    <w:t>环境风险潜势</w:t>
                  </w:r>
                </w:p>
              </w:tc>
              <w:tc>
                <w:tcPr>
                  <w:tcW w:w="1624" w:type="dxa"/>
                  <w:noWrap w:val="0"/>
                  <w:vAlign w:val="center"/>
                </w:tcPr>
                <w:p w14:paraId="23966C5A">
                  <w:pPr>
                    <w:widowControl/>
                    <w:spacing w:line="276" w:lineRule="auto"/>
                    <w:jc w:val="center"/>
                    <w:rPr>
                      <w:b/>
                      <w:color w:val="auto"/>
                      <w:szCs w:val="21"/>
                      <w:highlight w:val="none"/>
                    </w:rPr>
                  </w:pPr>
                  <w:r>
                    <w:rPr>
                      <w:b/>
                      <w:color w:val="auto"/>
                      <w:szCs w:val="21"/>
                      <w:highlight w:val="none"/>
                    </w:rPr>
                    <w:t>Ⅳ、Ⅳ</w:t>
                  </w:r>
                  <w:r>
                    <w:rPr>
                      <w:b/>
                      <w:color w:val="auto"/>
                      <w:szCs w:val="21"/>
                      <w:highlight w:val="none"/>
                      <w:vertAlign w:val="superscript"/>
                    </w:rPr>
                    <w:t>+</w:t>
                  </w:r>
                </w:p>
              </w:tc>
              <w:tc>
                <w:tcPr>
                  <w:tcW w:w="1540" w:type="dxa"/>
                  <w:noWrap w:val="0"/>
                  <w:vAlign w:val="center"/>
                </w:tcPr>
                <w:p w14:paraId="0687AD2D">
                  <w:pPr>
                    <w:widowControl/>
                    <w:spacing w:line="276" w:lineRule="auto"/>
                    <w:jc w:val="center"/>
                    <w:rPr>
                      <w:b/>
                      <w:color w:val="auto"/>
                      <w:szCs w:val="21"/>
                      <w:highlight w:val="none"/>
                    </w:rPr>
                  </w:pPr>
                  <w:r>
                    <w:rPr>
                      <w:b/>
                      <w:color w:val="auto"/>
                      <w:szCs w:val="21"/>
                      <w:highlight w:val="none"/>
                    </w:rPr>
                    <w:t>Ⅲ</w:t>
                  </w:r>
                </w:p>
              </w:tc>
              <w:tc>
                <w:tcPr>
                  <w:tcW w:w="1531" w:type="dxa"/>
                  <w:noWrap w:val="0"/>
                  <w:vAlign w:val="center"/>
                </w:tcPr>
                <w:p w14:paraId="082F2FC1">
                  <w:pPr>
                    <w:widowControl/>
                    <w:spacing w:line="276" w:lineRule="auto"/>
                    <w:jc w:val="center"/>
                    <w:rPr>
                      <w:b/>
                      <w:color w:val="auto"/>
                      <w:szCs w:val="21"/>
                      <w:highlight w:val="none"/>
                    </w:rPr>
                  </w:pPr>
                  <w:r>
                    <w:rPr>
                      <w:b/>
                      <w:color w:val="auto"/>
                      <w:szCs w:val="21"/>
                      <w:highlight w:val="none"/>
                    </w:rPr>
                    <w:t>Ⅱ</w:t>
                  </w:r>
                </w:p>
              </w:tc>
              <w:tc>
                <w:tcPr>
                  <w:tcW w:w="1533" w:type="dxa"/>
                  <w:tcBorders>
                    <w:bottom w:val="single" w:color="auto" w:sz="4" w:space="0"/>
                  </w:tcBorders>
                  <w:noWrap w:val="0"/>
                  <w:vAlign w:val="center"/>
                </w:tcPr>
                <w:p w14:paraId="0B414E7E">
                  <w:pPr>
                    <w:widowControl/>
                    <w:spacing w:line="276" w:lineRule="auto"/>
                    <w:jc w:val="center"/>
                    <w:rPr>
                      <w:b/>
                      <w:color w:val="auto"/>
                      <w:szCs w:val="21"/>
                      <w:highlight w:val="none"/>
                    </w:rPr>
                  </w:pPr>
                  <w:r>
                    <w:rPr>
                      <w:b/>
                      <w:color w:val="auto"/>
                      <w:szCs w:val="21"/>
                      <w:highlight w:val="none"/>
                    </w:rPr>
                    <w:t>Ⅰ</w:t>
                  </w:r>
                </w:p>
              </w:tc>
            </w:tr>
            <w:tr w14:paraId="23B07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2" w:type="dxa"/>
                  <w:shd w:val="clear" w:color="auto" w:fill="auto"/>
                  <w:noWrap w:val="0"/>
                  <w:vAlign w:val="center"/>
                </w:tcPr>
                <w:p w14:paraId="2094BA12">
                  <w:pPr>
                    <w:widowControl/>
                    <w:spacing w:line="276" w:lineRule="auto"/>
                    <w:jc w:val="center"/>
                    <w:rPr>
                      <w:color w:val="auto"/>
                      <w:szCs w:val="21"/>
                      <w:highlight w:val="none"/>
                    </w:rPr>
                  </w:pPr>
                  <w:r>
                    <w:rPr>
                      <w:color w:val="auto"/>
                      <w:szCs w:val="21"/>
                      <w:highlight w:val="none"/>
                    </w:rPr>
                    <w:t>评价工作等级</w:t>
                  </w:r>
                </w:p>
              </w:tc>
              <w:tc>
                <w:tcPr>
                  <w:tcW w:w="1624" w:type="dxa"/>
                  <w:shd w:val="clear" w:color="auto" w:fill="auto"/>
                  <w:noWrap w:val="0"/>
                  <w:vAlign w:val="center"/>
                </w:tcPr>
                <w:p w14:paraId="1D0022FD">
                  <w:pPr>
                    <w:widowControl/>
                    <w:spacing w:line="276" w:lineRule="auto"/>
                    <w:jc w:val="center"/>
                    <w:rPr>
                      <w:color w:val="auto"/>
                      <w:szCs w:val="21"/>
                      <w:highlight w:val="none"/>
                    </w:rPr>
                  </w:pPr>
                  <w:r>
                    <w:rPr>
                      <w:color w:val="auto"/>
                      <w:szCs w:val="21"/>
                      <w:highlight w:val="none"/>
                    </w:rPr>
                    <w:t>一</w:t>
                  </w:r>
                </w:p>
              </w:tc>
              <w:tc>
                <w:tcPr>
                  <w:tcW w:w="1540" w:type="dxa"/>
                  <w:shd w:val="clear" w:color="auto" w:fill="auto"/>
                  <w:noWrap w:val="0"/>
                  <w:vAlign w:val="center"/>
                </w:tcPr>
                <w:p w14:paraId="5B913857">
                  <w:pPr>
                    <w:widowControl/>
                    <w:spacing w:line="276" w:lineRule="auto"/>
                    <w:jc w:val="center"/>
                    <w:rPr>
                      <w:color w:val="auto"/>
                      <w:szCs w:val="21"/>
                      <w:highlight w:val="none"/>
                    </w:rPr>
                  </w:pPr>
                  <w:r>
                    <w:rPr>
                      <w:color w:val="auto"/>
                      <w:szCs w:val="21"/>
                      <w:highlight w:val="none"/>
                    </w:rPr>
                    <w:t>二</w:t>
                  </w:r>
                </w:p>
              </w:tc>
              <w:tc>
                <w:tcPr>
                  <w:tcW w:w="1531" w:type="dxa"/>
                  <w:tcBorders>
                    <w:right w:val="single" w:color="auto" w:sz="4" w:space="0"/>
                  </w:tcBorders>
                  <w:shd w:val="clear" w:color="auto" w:fill="auto"/>
                  <w:noWrap w:val="0"/>
                  <w:vAlign w:val="center"/>
                </w:tcPr>
                <w:p w14:paraId="1A3C0B17">
                  <w:pPr>
                    <w:widowControl/>
                    <w:spacing w:line="276" w:lineRule="auto"/>
                    <w:jc w:val="center"/>
                    <w:rPr>
                      <w:color w:val="auto"/>
                      <w:szCs w:val="21"/>
                      <w:highlight w:val="none"/>
                    </w:rPr>
                  </w:pPr>
                  <w:r>
                    <w:rPr>
                      <w:color w:val="auto"/>
                      <w:szCs w:val="21"/>
                      <w:highlight w:val="none"/>
                    </w:rPr>
                    <w:t>三</w:t>
                  </w:r>
                </w:p>
              </w:tc>
              <w:tc>
                <w:tcPr>
                  <w:tcW w:w="15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ECD21D">
                  <w:pPr>
                    <w:widowControl/>
                    <w:spacing w:line="276" w:lineRule="auto"/>
                    <w:jc w:val="center"/>
                    <w:rPr>
                      <w:color w:val="auto"/>
                      <w:szCs w:val="21"/>
                      <w:highlight w:val="none"/>
                    </w:rPr>
                  </w:pPr>
                  <w:r>
                    <w:rPr>
                      <w:color w:val="auto"/>
                      <w:szCs w:val="21"/>
                      <w:highlight w:val="none"/>
                    </w:rPr>
                    <w:t>简单分析</w:t>
                  </w:r>
                  <w:r>
                    <w:rPr>
                      <w:color w:val="auto"/>
                      <w:szCs w:val="21"/>
                      <w:highlight w:val="none"/>
                      <w:vertAlign w:val="superscript"/>
                    </w:rPr>
                    <w:t>a</w:t>
                  </w:r>
                </w:p>
              </w:tc>
            </w:tr>
            <w:tr w14:paraId="0546E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0" w:type="dxa"/>
                  <w:gridSpan w:val="5"/>
                  <w:noWrap w:val="0"/>
                  <w:vAlign w:val="center"/>
                </w:tcPr>
                <w:p w14:paraId="2F5FB6EC">
                  <w:pPr>
                    <w:widowControl/>
                    <w:spacing w:line="276" w:lineRule="auto"/>
                    <w:rPr>
                      <w:color w:val="auto"/>
                      <w:szCs w:val="21"/>
                      <w:highlight w:val="none"/>
                    </w:rPr>
                  </w:pPr>
                  <w:r>
                    <w:rPr>
                      <w:color w:val="auto"/>
                      <w:szCs w:val="21"/>
                      <w:highlight w:val="none"/>
                      <w:vertAlign w:val="superscript"/>
                    </w:rPr>
                    <w:t>a</w:t>
                  </w:r>
                  <w:r>
                    <w:rPr>
                      <w:color w:val="auto"/>
                      <w:szCs w:val="21"/>
                      <w:highlight w:val="none"/>
                    </w:rPr>
                    <w:t>：是相当于详细评价工作内容而言，在描述危险物质、环境影响途径、环境危害后果、风险防范措施等方面给出定性说明。</w:t>
                  </w:r>
                </w:p>
              </w:tc>
            </w:tr>
          </w:tbl>
          <w:p w14:paraId="3D2100C5">
            <w:pPr>
              <w:pStyle w:val="115"/>
              <w:numPr>
                <w:ilvl w:val="0"/>
                <w:numId w:val="9"/>
              </w:numPr>
              <w:spacing w:line="360" w:lineRule="auto"/>
              <w:ind w:firstLineChars="0"/>
              <w:rPr>
                <w:caps/>
                <w:color w:val="auto"/>
                <w:sz w:val="24"/>
                <w:highlight w:val="none"/>
              </w:rPr>
            </w:pPr>
            <w:r>
              <w:rPr>
                <w:caps/>
                <w:color w:val="auto"/>
                <w:sz w:val="24"/>
                <w:highlight w:val="none"/>
              </w:rPr>
              <w:t>环境风险识别及分析</w:t>
            </w:r>
          </w:p>
          <w:p w14:paraId="2A8D3C09">
            <w:pPr>
              <w:spacing w:line="360" w:lineRule="auto"/>
              <w:ind w:firstLine="480" w:firstLineChars="200"/>
              <w:rPr>
                <w:color w:val="auto"/>
                <w:sz w:val="24"/>
                <w:szCs w:val="28"/>
                <w:highlight w:val="none"/>
              </w:rPr>
            </w:pPr>
            <w:r>
              <w:rPr>
                <w:color w:val="auto"/>
                <w:sz w:val="24"/>
                <w:szCs w:val="28"/>
                <w:highlight w:val="none"/>
              </w:rPr>
              <w:t>根据导则要求，环境风险评价的风险识别范围主要包括生产设施风险识别以及生产过程中物质风险识别。拟建项目施工期环境风险识别结果见下表。</w:t>
            </w:r>
          </w:p>
          <w:p w14:paraId="4A02C8E0">
            <w:pPr>
              <w:jc w:val="center"/>
              <w:rPr>
                <w:rFonts w:eastAsia="黑体"/>
                <w:color w:val="auto"/>
                <w:highlight w:val="none"/>
              </w:rPr>
            </w:pPr>
            <w:r>
              <w:rPr>
                <w:rFonts w:eastAsia="黑体"/>
                <w:color w:val="auto"/>
                <w:highlight w:val="none"/>
              </w:rPr>
              <w:t>表4-</w:t>
            </w:r>
            <w:r>
              <w:rPr>
                <w:rFonts w:hint="eastAsia" w:eastAsia="黑体"/>
                <w:color w:val="auto"/>
                <w:highlight w:val="none"/>
                <w:lang w:val="en-US" w:eastAsia="zh-CN"/>
              </w:rPr>
              <w:t>10</w:t>
            </w:r>
            <w:r>
              <w:rPr>
                <w:rFonts w:eastAsia="黑体"/>
                <w:color w:val="auto"/>
                <w:highlight w:val="none"/>
              </w:rPr>
              <w:t xml:space="preserve">  环境风险识别一览表</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857"/>
              <w:gridCol w:w="962"/>
              <w:gridCol w:w="1139"/>
              <w:gridCol w:w="3275"/>
              <w:gridCol w:w="1304"/>
            </w:tblGrid>
            <w:tr w14:paraId="730B9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3" w:type="pct"/>
                  <w:noWrap w:val="0"/>
                  <w:vAlign w:val="center"/>
                </w:tcPr>
                <w:p w14:paraId="72BC148C">
                  <w:pPr>
                    <w:overflowPunct w:val="0"/>
                    <w:spacing w:line="240" w:lineRule="atLeast"/>
                    <w:jc w:val="center"/>
                    <w:textAlignment w:val="baseline"/>
                    <w:rPr>
                      <w:b/>
                      <w:color w:val="auto"/>
                      <w:kern w:val="0"/>
                      <w:szCs w:val="21"/>
                      <w:highlight w:val="none"/>
                    </w:rPr>
                  </w:pPr>
                  <w:r>
                    <w:rPr>
                      <w:b/>
                      <w:color w:val="auto"/>
                      <w:kern w:val="0"/>
                      <w:szCs w:val="21"/>
                      <w:highlight w:val="none"/>
                    </w:rPr>
                    <w:t>系统名称</w:t>
                  </w:r>
                </w:p>
              </w:tc>
              <w:tc>
                <w:tcPr>
                  <w:tcW w:w="524" w:type="pct"/>
                  <w:noWrap w:val="0"/>
                  <w:vAlign w:val="center"/>
                </w:tcPr>
                <w:p w14:paraId="17745D44">
                  <w:pPr>
                    <w:overflowPunct w:val="0"/>
                    <w:spacing w:line="240" w:lineRule="atLeast"/>
                    <w:jc w:val="center"/>
                    <w:textAlignment w:val="baseline"/>
                    <w:rPr>
                      <w:b/>
                      <w:color w:val="auto"/>
                      <w:kern w:val="0"/>
                      <w:szCs w:val="21"/>
                      <w:highlight w:val="none"/>
                    </w:rPr>
                  </w:pPr>
                  <w:r>
                    <w:rPr>
                      <w:b/>
                      <w:color w:val="auto"/>
                      <w:kern w:val="0"/>
                      <w:szCs w:val="21"/>
                      <w:highlight w:val="none"/>
                    </w:rPr>
                    <w:t>危险单元</w:t>
                  </w:r>
                </w:p>
              </w:tc>
              <w:tc>
                <w:tcPr>
                  <w:tcW w:w="588" w:type="pct"/>
                  <w:noWrap w:val="0"/>
                  <w:vAlign w:val="center"/>
                </w:tcPr>
                <w:p w14:paraId="166B4068">
                  <w:pPr>
                    <w:overflowPunct w:val="0"/>
                    <w:spacing w:line="240" w:lineRule="atLeast"/>
                    <w:jc w:val="center"/>
                    <w:textAlignment w:val="baseline"/>
                    <w:rPr>
                      <w:b/>
                      <w:color w:val="auto"/>
                      <w:kern w:val="0"/>
                      <w:szCs w:val="21"/>
                      <w:highlight w:val="none"/>
                    </w:rPr>
                  </w:pPr>
                  <w:r>
                    <w:rPr>
                      <w:b/>
                      <w:color w:val="auto"/>
                      <w:kern w:val="0"/>
                      <w:szCs w:val="21"/>
                      <w:highlight w:val="none"/>
                    </w:rPr>
                    <w:t>主要危险物质</w:t>
                  </w:r>
                </w:p>
              </w:tc>
              <w:tc>
                <w:tcPr>
                  <w:tcW w:w="696" w:type="pct"/>
                  <w:noWrap w:val="0"/>
                  <w:vAlign w:val="center"/>
                </w:tcPr>
                <w:p w14:paraId="1F8D3900">
                  <w:pPr>
                    <w:overflowPunct w:val="0"/>
                    <w:spacing w:line="240" w:lineRule="atLeast"/>
                    <w:jc w:val="center"/>
                    <w:textAlignment w:val="baseline"/>
                    <w:rPr>
                      <w:b/>
                      <w:color w:val="auto"/>
                      <w:kern w:val="0"/>
                      <w:szCs w:val="21"/>
                      <w:highlight w:val="none"/>
                    </w:rPr>
                  </w:pPr>
                  <w:r>
                    <w:rPr>
                      <w:b/>
                      <w:color w:val="auto"/>
                      <w:kern w:val="0"/>
                      <w:szCs w:val="21"/>
                      <w:highlight w:val="none"/>
                    </w:rPr>
                    <w:t>环境风险类型</w:t>
                  </w:r>
                </w:p>
              </w:tc>
              <w:tc>
                <w:tcPr>
                  <w:tcW w:w="2000" w:type="pct"/>
                  <w:noWrap w:val="0"/>
                  <w:vAlign w:val="center"/>
                </w:tcPr>
                <w:p w14:paraId="47D0C9F7">
                  <w:pPr>
                    <w:overflowPunct w:val="0"/>
                    <w:spacing w:line="240" w:lineRule="atLeast"/>
                    <w:jc w:val="center"/>
                    <w:textAlignment w:val="baseline"/>
                    <w:rPr>
                      <w:b/>
                      <w:color w:val="auto"/>
                      <w:kern w:val="0"/>
                      <w:szCs w:val="21"/>
                      <w:highlight w:val="none"/>
                    </w:rPr>
                  </w:pPr>
                  <w:r>
                    <w:rPr>
                      <w:b/>
                      <w:color w:val="auto"/>
                      <w:kern w:val="0"/>
                      <w:szCs w:val="21"/>
                      <w:highlight w:val="none"/>
                    </w:rPr>
                    <w:t>环境影响途径</w:t>
                  </w:r>
                </w:p>
              </w:tc>
              <w:tc>
                <w:tcPr>
                  <w:tcW w:w="796" w:type="pct"/>
                  <w:noWrap w:val="0"/>
                  <w:vAlign w:val="center"/>
                </w:tcPr>
                <w:p w14:paraId="26CB5B3F">
                  <w:pPr>
                    <w:overflowPunct w:val="0"/>
                    <w:spacing w:line="240" w:lineRule="atLeast"/>
                    <w:jc w:val="center"/>
                    <w:textAlignment w:val="baseline"/>
                    <w:rPr>
                      <w:b/>
                      <w:color w:val="auto"/>
                      <w:kern w:val="0"/>
                      <w:szCs w:val="21"/>
                      <w:highlight w:val="none"/>
                    </w:rPr>
                  </w:pPr>
                  <w:r>
                    <w:rPr>
                      <w:b/>
                      <w:color w:val="auto"/>
                      <w:kern w:val="0"/>
                      <w:szCs w:val="21"/>
                      <w:highlight w:val="none"/>
                    </w:rPr>
                    <w:t>可能受影响的环境敏感目标</w:t>
                  </w:r>
                </w:p>
              </w:tc>
            </w:tr>
            <w:tr w14:paraId="7D6AA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3" w:type="pct"/>
                  <w:vMerge w:val="restart"/>
                  <w:noWrap w:val="0"/>
                  <w:vAlign w:val="center"/>
                </w:tcPr>
                <w:p w14:paraId="61F74E60">
                  <w:pPr>
                    <w:overflowPunct w:val="0"/>
                    <w:spacing w:line="240" w:lineRule="atLeast"/>
                    <w:jc w:val="center"/>
                    <w:textAlignment w:val="baseline"/>
                    <w:rPr>
                      <w:color w:val="auto"/>
                      <w:kern w:val="0"/>
                      <w:szCs w:val="21"/>
                      <w:highlight w:val="none"/>
                    </w:rPr>
                  </w:pPr>
                  <w:r>
                    <w:rPr>
                      <w:color w:val="auto"/>
                      <w:kern w:val="0"/>
                      <w:szCs w:val="21"/>
                      <w:highlight w:val="none"/>
                    </w:rPr>
                    <w:t>储运</w:t>
                  </w:r>
                </w:p>
                <w:p w14:paraId="3E590D66">
                  <w:pPr>
                    <w:overflowPunct w:val="0"/>
                    <w:spacing w:line="240" w:lineRule="atLeast"/>
                    <w:jc w:val="center"/>
                    <w:textAlignment w:val="baseline"/>
                    <w:rPr>
                      <w:color w:val="auto"/>
                      <w:kern w:val="0"/>
                      <w:szCs w:val="21"/>
                      <w:highlight w:val="none"/>
                    </w:rPr>
                  </w:pPr>
                  <w:r>
                    <w:rPr>
                      <w:color w:val="auto"/>
                      <w:kern w:val="0"/>
                      <w:szCs w:val="21"/>
                      <w:highlight w:val="none"/>
                    </w:rPr>
                    <w:t>设施</w:t>
                  </w:r>
                </w:p>
              </w:tc>
              <w:tc>
                <w:tcPr>
                  <w:tcW w:w="524" w:type="pct"/>
                  <w:noWrap w:val="0"/>
                  <w:vAlign w:val="center"/>
                </w:tcPr>
                <w:p w14:paraId="7340E7A1">
                  <w:pPr>
                    <w:overflowPunct w:val="0"/>
                    <w:spacing w:line="240" w:lineRule="atLeast"/>
                    <w:jc w:val="center"/>
                    <w:textAlignment w:val="baseline"/>
                    <w:rPr>
                      <w:color w:val="auto"/>
                      <w:kern w:val="0"/>
                      <w:szCs w:val="21"/>
                      <w:highlight w:val="none"/>
                    </w:rPr>
                  </w:pPr>
                  <w:r>
                    <w:rPr>
                      <w:color w:val="auto"/>
                      <w:kern w:val="0"/>
                      <w:szCs w:val="21"/>
                      <w:highlight w:val="none"/>
                    </w:rPr>
                    <w:t>危险废物暂存间</w:t>
                  </w:r>
                </w:p>
              </w:tc>
              <w:tc>
                <w:tcPr>
                  <w:tcW w:w="588" w:type="pct"/>
                  <w:noWrap w:val="0"/>
                  <w:vAlign w:val="center"/>
                </w:tcPr>
                <w:p w14:paraId="3FAEB1E6">
                  <w:pPr>
                    <w:overflowPunct w:val="0"/>
                    <w:spacing w:line="240" w:lineRule="atLeast"/>
                    <w:jc w:val="center"/>
                    <w:textAlignment w:val="baseline"/>
                    <w:rPr>
                      <w:color w:val="auto"/>
                      <w:kern w:val="0"/>
                      <w:szCs w:val="21"/>
                      <w:highlight w:val="none"/>
                    </w:rPr>
                  </w:pPr>
                  <w:r>
                    <w:rPr>
                      <w:color w:val="auto"/>
                      <w:kern w:val="0"/>
                      <w:szCs w:val="21"/>
                      <w:highlight w:val="none"/>
                    </w:rPr>
                    <w:t>废润滑油</w:t>
                  </w:r>
                </w:p>
              </w:tc>
              <w:tc>
                <w:tcPr>
                  <w:tcW w:w="696" w:type="pct"/>
                  <w:noWrap w:val="0"/>
                  <w:vAlign w:val="center"/>
                </w:tcPr>
                <w:p w14:paraId="7670249A">
                  <w:pPr>
                    <w:overflowPunct w:val="0"/>
                    <w:spacing w:line="240" w:lineRule="atLeast"/>
                    <w:jc w:val="center"/>
                    <w:textAlignment w:val="baseline"/>
                    <w:rPr>
                      <w:color w:val="auto"/>
                      <w:kern w:val="0"/>
                      <w:szCs w:val="21"/>
                      <w:highlight w:val="none"/>
                    </w:rPr>
                  </w:pPr>
                  <w:r>
                    <w:rPr>
                      <w:color w:val="auto"/>
                      <w:kern w:val="0"/>
                      <w:szCs w:val="21"/>
                      <w:highlight w:val="none"/>
                    </w:rPr>
                    <w:t>盛装容器破损导致泄漏</w:t>
                  </w:r>
                </w:p>
              </w:tc>
              <w:tc>
                <w:tcPr>
                  <w:tcW w:w="2000" w:type="pct"/>
                  <w:noWrap w:val="0"/>
                  <w:vAlign w:val="center"/>
                </w:tcPr>
                <w:p w14:paraId="1B1C6E69">
                  <w:pPr>
                    <w:overflowPunct w:val="0"/>
                    <w:spacing w:line="240" w:lineRule="atLeast"/>
                    <w:jc w:val="left"/>
                    <w:textAlignment w:val="baseline"/>
                    <w:rPr>
                      <w:color w:val="auto"/>
                      <w:kern w:val="0"/>
                      <w:szCs w:val="21"/>
                      <w:highlight w:val="none"/>
                    </w:rPr>
                  </w:pPr>
                  <w:r>
                    <w:rPr>
                      <w:color w:val="auto"/>
                      <w:kern w:val="0"/>
                      <w:szCs w:val="21"/>
                      <w:highlight w:val="none"/>
                    </w:rPr>
                    <w:t>存装废润滑油的装置破损导致泄漏液体或火灾事故产生的废气对环境空气产生不利影响</w:t>
                  </w:r>
                </w:p>
              </w:tc>
              <w:tc>
                <w:tcPr>
                  <w:tcW w:w="796" w:type="pct"/>
                  <w:noWrap w:val="0"/>
                  <w:vAlign w:val="center"/>
                </w:tcPr>
                <w:p w14:paraId="481C079A">
                  <w:pPr>
                    <w:overflowPunct w:val="0"/>
                    <w:spacing w:line="240" w:lineRule="atLeast"/>
                    <w:jc w:val="left"/>
                    <w:textAlignment w:val="baseline"/>
                    <w:rPr>
                      <w:color w:val="auto"/>
                      <w:kern w:val="0"/>
                      <w:szCs w:val="21"/>
                      <w:highlight w:val="none"/>
                    </w:rPr>
                  </w:pPr>
                  <w:r>
                    <w:rPr>
                      <w:color w:val="auto"/>
                      <w:kern w:val="0"/>
                      <w:szCs w:val="21"/>
                      <w:highlight w:val="none"/>
                    </w:rPr>
                    <w:t>下风向居民点、区域土壤、地下水</w:t>
                  </w:r>
                </w:p>
              </w:tc>
            </w:tr>
            <w:tr w14:paraId="237D9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3" w:type="pct"/>
                  <w:vMerge w:val="continue"/>
                  <w:noWrap w:val="0"/>
                  <w:vAlign w:val="center"/>
                </w:tcPr>
                <w:p w14:paraId="5E5DF64D">
                  <w:pPr>
                    <w:overflowPunct w:val="0"/>
                    <w:spacing w:line="240" w:lineRule="atLeast"/>
                    <w:jc w:val="center"/>
                    <w:textAlignment w:val="baseline"/>
                    <w:rPr>
                      <w:color w:val="auto"/>
                      <w:kern w:val="0"/>
                      <w:szCs w:val="21"/>
                      <w:highlight w:val="none"/>
                    </w:rPr>
                  </w:pPr>
                </w:p>
              </w:tc>
              <w:tc>
                <w:tcPr>
                  <w:tcW w:w="524" w:type="pct"/>
                  <w:noWrap w:val="0"/>
                  <w:vAlign w:val="center"/>
                </w:tcPr>
                <w:p w14:paraId="37ADAC7A">
                  <w:pPr>
                    <w:overflowPunct w:val="0"/>
                    <w:spacing w:line="240" w:lineRule="atLeast"/>
                    <w:jc w:val="center"/>
                    <w:textAlignment w:val="baseline"/>
                    <w:rPr>
                      <w:color w:val="auto"/>
                      <w:kern w:val="0"/>
                      <w:szCs w:val="21"/>
                      <w:highlight w:val="none"/>
                    </w:rPr>
                  </w:pPr>
                  <w:r>
                    <w:rPr>
                      <w:color w:val="auto"/>
                      <w:kern w:val="0"/>
                      <w:szCs w:val="21"/>
                      <w:highlight w:val="none"/>
                    </w:rPr>
                    <w:t>仓库</w:t>
                  </w:r>
                </w:p>
              </w:tc>
              <w:tc>
                <w:tcPr>
                  <w:tcW w:w="588" w:type="pct"/>
                  <w:noWrap w:val="0"/>
                  <w:vAlign w:val="center"/>
                </w:tcPr>
                <w:p w14:paraId="4B7482BC">
                  <w:pPr>
                    <w:overflowPunct w:val="0"/>
                    <w:spacing w:line="240" w:lineRule="atLeast"/>
                    <w:jc w:val="center"/>
                    <w:textAlignment w:val="baseline"/>
                    <w:rPr>
                      <w:color w:val="auto"/>
                      <w:kern w:val="0"/>
                      <w:szCs w:val="21"/>
                      <w:highlight w:val="none"/>
                    </w:rPr>
                  </w:pPr>
                  <w:r>
                    <w:rPr>
                      <w:color w:val="auto"/>
                      <w:kern w:val="0"/>
                      <w:szCs w:val="21"/>
                      <w:highlight w:val="none"/>
                    </w:rPr>
                    <w:t>润滑油</w:t>
                  </w:r>
                </w:p>
              </w:tc>
              <w:tc>
                <w:tcPr>
                  <w:tcW w:w="696" w:type="pct"/>
                  <w:noWrap w:val="0"/>
                  <w:vAlign w:val="center"/>
                </w:tcPr>
                <w:p w14:paraId="02A4018B">
                  <w:pPr>
                    <w:overflowPunct w:val="0"/>
                    <w:spacing w:line="240" w:lineRule="atLeast"/>
                    <w:jc w:val="center"/>
                    <w:textAlignment w:val="baseline"/>
                    <w:rPr>
                      <w:color w:val="auto"/>
                      <w:kern w:val="0"/>
                      <w:szCs w:val="21"/>
                      <w:highlight w:val="none"/>
                    </w:rPr>
                  </w:pPr>
                  <w:r>
                    <w:rPr>
                      <w:color w:val="auto"/>
                      <w:kern w:val="0"/>
                      <w:szCs w:val="21"/>
                      <w:highlight w:val="none"/>
                    </w:rPr>
                    <w:t>盛装容器破损导致泄漏</w:t>
                  </w:r>
                </w:p>
              </w:tc>
              <w:tc>
                <w:tcPr>
                  <w:tcW w:w="2000" w:type="pct"/>
                  <w:noWrap w:val="0"/>
                  <w:vAlign w:val="center"/>
                </w:tcPr>
                <w:p w14:paraId="722485E6">
                  <w:pPr>
                    <w:overflowPunct w:val="0"/>
                    <w:spacing w:line="240" w:lineRule="atLeast"/>
                    <w:jc w:val="left"/>
                    <w:textAlignment w:val="baseline"/>
                    <w:rPr>
                      <w:color w:val="auto"/>
                      <w:kern w:val="0"/>
                      <w:szCs w:val="21"/>
                      <w:highlight w:val="none"/>
                    </w:rPr>
                  </w:pPr>
                  <w:r>
                    <w:rPr>
                      <w:color w:val="auto"/>
                      <w:kern w:val="0"/>
                      <w:szCs w:val="21"/>
                      <w:highlight w:val="none"/>
                    </w:rPr>
                    <w:t>存装润滑油的装置破损导致泄漏液体或火灾事故产生的废气对环境空气产生不利影响</w:t>
                  </w:r>
                </w:p>
              </w:tc>
              <w:tc>
                <w:tcPr>
                  <w:tcW w:w="796" w:type="pct"/>
                  <w:noWrap w:val="0"/>
                  <w:vAlign w:val="center"/>
                </w:tcPr>
                <w:p w14:paraId="06C347D6">
                  <w:pPr>
                    <w:overflowPunct w:val="0"/>
                    <w:spacing w:line="240" w:lineRule="atLeast"/>
                    <w:jc w:val="left"/>
                    <w:textAlignment w:val="baseline"/>
                    <w:rPr>
                      <w:color w:val="auto"/>
                      <w:kern w:val="0"/>
                      <w:szCs w:val="21"/>
                      <w:highlight w:val="none"/>
                    </w:rPr>
                  </w:pPr>
                  <w:r>
                    <w:rPr>
                      <w:color w:val="auto"/>
                      <w:kern w:val="0"/>
                      <w:szCs w:val="21"/>
                      <w:highlight w:val="none"/>
                    </w:rPr>
                    <w:t>下风向居民点、区域土壤、地下水</w:t>
                  </w:r>
                </w:p>
              </w:tc>
            </w:tr>
            <w:tr w14:paraId="607BA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3" w:type="pct"/>
                  <w:noWrap w:val="0"/>
                  <w:vAlign w:val="center"/>
                </w:tcPr>
                <w:p w14:paraId="224FFCB6">
                  <w:pPr>
                    <w:overflowPunct w:val="0"/>
                    <w:spacing w:line="240" w:lineRule="atLeast"/>
                    <w:jc w:val="center"/>
                    <w:textAlignment w:val="baseline"/>
                    <w:rPr>
                      <w:color w:val="auto"/>
                      <w:kern w:val="0"/>
                      <w:szCs w:val="21"/>
                      <w:highlight w:val="none"/>
                    </w:rPr>
                  </w:pPr>
                  <w:r>
                    <w:rPr>
                      <w:color w:val="auto"/>
                      <w:kern w:val="0"/>
                      <w:szCs w:val="21"/>
                      <w:highlight w:val="none"/>
                    </w:rPr>
                    <w:t>备用柴油机</w:t>
                  </w:r>
                </w:p>
              </w:tc>
              <w:tc>
                <w:tcPr>
                  <w:tcW w:w="524" w:type="pct"/>
                  <w:noWrap w:val="0"/>
                  <w:vAlign w:val="center"/>
                </w:tcPr>
                <w:p w14:paraId="38C5A4AB">
                  <w:pPr>
                    <w:overflowPunct w:val="0"/>
                    <w:spacing w:line="240" w:lineRule="atLeast"/>
                    <w:jc w:val="center"/>
                    <w:textAlignment w:val="baseline"/>
                    <w:rPr>
                      <w:color w:val="auto"/>
                      <w:kern w:val="0"/>
                      <w:szCs w:val="21"/>
                      <w:highlight w:val="none"/>
                    </w:rPr>
                  </w:pPr>
                  <w:r>
                    <w:rPr>
                      <w:color w:val="auto"/>
                      <w:kern w:val="0"/>
                      <w:szCs w:val="21"/>
                      <w:highlight w:val="none"/>
                    </w:rPr>
                    <w:t>柴油机内在线量</w:t>
                  </w:r>
                </w:p>
              </w:tc>
              <w:tc>
                <w:tcPr>
                  <w:tcW w:w="588" w:type="pct"/>
                  <w:noWrap w:val="0"/>
                  <w:vAlign w:val="center"/>
                </w:tcPr>
                <w:p w14:paraId="425C508C">
                  <w:pPr>
                    <w:overflowPunct w:val="0"/>
                    <w:spacing w:line="240" w:lineRule="atLeast"/>
                    <w:jc w:val="center"/>
                    <w:textAlignment w:val="baseline"/>
                    <w:rPr>
                      <w:color w:val="auto"/>
                      <w:kern w:val="0"/>
                      <w:szCs w:val="21"/>
                      <w:highlight w:val="none"/>
                    </w:rPr>
                  </w:pPr>
                  <w:r>
                    <w:rPr>
                      <w:color w:val="auto"/>
                      <w:kern w:val="0"/>
                      <w:szCs w:val="21"/>
                      <w:highlight w:val="none"/>
                    </w:rPr>
                    <w:t>柴油</w:t>
                  </w:r>
                </w:p>
              </w:tc>
              <w:tc>
                <w:tcPr>
                  <w:tcW w:w="696" w:type="pct"/>
                  <w:noWrap w:val="0"/>
                  <w:vAlign w:val="center"/>
                </w:tcPr>
                <w:p w14:paraId="0A57C662">
                  <w:pPr>
                    <w:overflowPunct w:val="0"/>
                    <w:spacing w:line="240" w:lineRule="atLeast"/>
                    <w:jc w:val="center"/>
                    <w:textAlignment w:val="baseline"/>
                    <w:rPr>
                      <w:color w:val="auto"/>
                      <w:kern w:val="0"/>
                      <w:szCs w:val="21"/>
                      <w:highlight w:val="none"/>
                    </w:rPr>
                  </w:pPr>
                  <w:r>
                    <w:rPr>
                      <w:color w:val="auto"/>
                      <w:kern w:val="0"/>
                      <w:szCs w:val="21"/>
                      <w:highlight w:val="none"/>
                    </w:rPr>
                    <w:t>盛装容器破损导致泄漏</w:t>
                  </w:r>
                </w:p>
              </w:tc>
              <w:tc>
                <w:tcPr>
                  <w:tcW w:w="2000" w:type="pct"/>
                  <w:noWrap w:val="0"/>
                  <w:vAlign w:val="center"/>
                </w:tcPr>
                <w:p w14:paraId="46E5C8F4">
                  <w:pPr>
                    <w:overflowPunct w:val="0"/>
                    <w:spacing w:line="240" w:lineRule="atLeast"/>
                    <w:jc w:val="left"/>
                    <w:textAlignment w:val="baseline"/>
                    <w:rPr>
                      <w:color w:val="auto"/>
                      <w:kern w:val="0"/>
                      <w:szCs w:val="21"/>
                      <w:highlight w:val="none"/>
                    </w:rPr>
                  </w:pPr>
                  <w:r>
                    <w:rPr>
                      <w:color w:val="auto"/>
                      <w:kern w:val="0"/>
                      <w:szCs w:val="21"/>
                      <w:highlight w:val="none"/>
                    </w:rPr>
                    <w:t>存装润滑油的装置破损导致泄漏液体或火灾事故产生的废气对环境空气产生不利影响</w:t>
                  </w:r>
                </w:p>
              </w:tc>
              <w:tc>
                <w:tcPr>
                  <w:tcW w:w="796" w:type="pct"/>
                  <w:noWrap w:val="0"/>
                  <w:vAlign w:val="center"/>
                </w:tcPr>
                <w:p w14:paraId="729D9FC5">
                  <w:pPr>
                    <w:overflowPunct w:val="0"/>
                    <w:spacing w:line="240" w:lineRule="atLeast"/>
                    <w:jc w:val="left"/>
                    <w:textAlignment w:val="baseline"/>
                    <w:rPr>
                      <w:color w:val="auto"/>
                      <w:kern w:val="0"/>
                      <w:szCs w:val="21"/>
                      <w:highlight w:val="none"/>
                    </w:rPr>
                  </w:pPr>
                  <w:r>
                    <w:rPr>
                      <w:color w:val="auto"/>
                      <w:kern w:val="0"/>
                      <w:szCs w:val="21"/>
                      <w:highlight w:val="none"/>
                    </w:rPr>
                    <w:t>下风向居民点、区域土壤、地下水</w:t>
                  </w:r>
                </w:p>
              </w:tc>
            </w:tr>
          </w:tbl>
          <w:p w14:paraId="428A6168">
            <w:pPr>
              <w:spacing w:line="360" w:lineRule="auto"/>
              <w:ind w:firstLine="480" w:firstLineChars="200"/>
              <w:rPr>
                <w:caps/>
                <w:color w:val="auto"/>
                <w:sz w:val="24"/>
                <w:highlight w:val="none"/>
              </w:rPr>
            </w:pPr>
            <w:r>
              <w:rPr>
                <w:caps/>
                <w:color w:val="auto"/>
                <w:sz w:val="24"/>
                <w:highlight w:val="none"/>
              </w:rPr>
              <w:t>③环境风险识防范措施及应急要求</w:t>
            </w:r>
          </w:p>
          <w:p w14:paraId="0F1FFD06">
            <w:pPr>
              <w:tabs>
                <w:tab w:val="left" w:pos="1650"/>
              </w:tabs>
              <w:spacing w:line="360" w:lineRule="auto"/>
              <w:ind w:firstLine="480" w:firstLineChars="200"/>
              <w:rPr>
                <w:color w:val="auto"/>
                <w:sz w:val="24"/>
                <w:highlight w:val="none"/>
              </w:rPr>
            </w:pPr>
            <w:r>
              <w:rPr>
                <w:color w:val="auto"/>
                <w:sz w:val="24"/>
                <w:highlight w:val="none"/>
              </w:rPr>
              <w:t>a.贮运工程风险防范措施：原料不得露天堆放，储存于阴凉通风仓间内；远离火种、热源，防止阳光直射，应与易燃或可燃物分开存放；搬运时轻装轻卸，防止原料桶破损或倾倒；划定禁火区，在明显地点设有警示标志，输配电线、灯具、火灾事故照明和疏散指示标志均应符合安全要求，严禁未安装灭火装置的车辆出入生产装置区。</w:t>
            </w:r>
          </w:p>
          <w:p w14:paraId="7CE23B08">
            <w:pPr>
              <w:tabs>
                <w:tab w:val="left" w:pos="1650"/>
              </w:tabs>
              <w:spacing w:line="360" w:lineRule="auto"/>
              <w:ind w:firstLine="480" w:firstLineChars="200"/>
              <w:rPr>
                <w:color w:val="auto"/>
                <w:sz w:val="24"/>
                <w:highlight w:val="none"/>
              </w:rPr>
            </w:pPr>
            <w:r>
              <w:rPr>
                <w:color w:val="auto"/>
                <w:sz w:val="24"/>
                <w:highlight w:val="none"/>
              </w:rPr>
              <w:t>b.在危废库设置环形收集沟，并进行地面防渗；危废库内液体物质发生泄露沟，引流入环形沟收集。桶装废润滑油单层码放，禁止多层堆叠。危险废物暂存间地面、裙角等按照</w:t>
            </w:r>
            <w:r>
              <w:rPr>
                <w:color w:val="auto"/>
                <w:kern w:val="0"/>
                <w:sz w:val="24"/>
                <w:highlight w:val="none"/>
              </w:rPr>
              <w:t>《危险废物贮存污染控制标准》（GB18597-2023）</w:t>
            </w:r>
            <w:r>
              <w:rPr>
                <w:color w:val="auto"/>
                <w:sz w:val="24"/>
                <w:highlight w:val="none"/>
              </w:rPr>
              <w:t>的相关要求进行建设，并设置导流沟和集液池。危险废物暂存间安排专人管理，并记录台账。加强危废的转运管理，避免转移过程出现倾倒。</w:t>
            </w:r>
          </w:p>
          <w:p w14:paraId="044CE54F">
            <w:pPr>
              <w:tabs>
                <w:tab w:val="left" w:pos="1650"/>
              </w:tabs>
              <w:spacing w:line="360" w:lineRule="auto"/>
              <w:ind w:firstLine="480" w:firstLineChars="200"/>
              <w:rPr>
                <w:color w:val="auto"/>
                <w:sz w:val="24"/>
                <w:highlight w:val="none"/>
              </w:rPr>
            </w:pPr>
            <w:r>
              <w:rPr>
                <w:color w:val="auto"/>
                <w:sz w:val="24"/>
                <w:highlight w:val="none"/>
              </w:rPr>
              <w:t>c.机油、废机油的贮存场所应具备防渗、防火、防雨等条件，桶装机油可放置在防渗托盘上；</w:t>
            </w:r>
          </w:p>
          <w:p w14:paraId="79F1C513">
            <w:pPr>
              <w:tabs>
                <w:tab w:val="left" w:pos="1650"/>
              </w:tabs>
              <w:spacing w:line="360" w:lineRule="auto"/>
              <w:ind w:firstLine="480" w:firstLineChars="200"/>
              <w:rPr>
                <w:color w:val="auto"/>
                <w:sz w:val="24"/>
                <w:highlight w:val="none"/>
              </w:rPr>
            </w:pPr>
            <w:r>
              <w:rPr>
                <w:color w:val="auto"/>
                <w:sz w:val="24"/>
                <w:highlight w:val="none"/>
              </w:rPr>
              <w:t>d.</w:t>
            </w:r>
            <w:r>
              <w:rPr>
                <w:rFonts w:hint="eastAsia"/>
                <w:color w:val="auto"/>
                <w:sz w:val="24"/>
                <w:highlight w:val="none"/>
              </w:rPr>
              <w:t>危废库</w:t>
            </w:r>
            <w:r>
              <w:rPr>
                <w:color w:val="auto"/>
                <w:sz w:val="24"/>
                <w:highlight w:val="none"/>
              </w:rPr>
              <w:t>需配备黄沙盒、应急桶等，用于泄漏的液态物质的应急暂存。</w:t>
            </w:r>
          </w:p>
        </w:tc>
      </w:tr>
      <w:tr w14:paraId="589E79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9" w:type="pct"/>
            <w:noWrap w:val="0"/>
            <w:tcMar>
              <w:left w:w="28" w:type="dxa"/>
              <w:right w:w="28" w:type="dxa"/>
            </w:tcMar>
            <w:vAlign w:val="center"/>
          </w:tcPr>
          <w:p w14:paraId="4796EEF0">
            <w:pPr>
              <w:pStyle w:val="26"/>
              <w:adjustRightInd w:val="0"/>
              <w:snapToGrid w:val="0"/>
              <w:spacing w:before="0" w:beforeAutospacing="0" w:after="0" w:afterAutospacing="0"/>
              <w:jc w:val="center"/>
              <w:rPr>
                <w:rFonts w:ascii="Times New Roman" w:hAnsi="Times New Roman"/>
                <w:color w:val="auto"/>
                <w:highlight w:val="none"/>
              </w:rPr>
            </w:pPr>
            <w:r>
              <w:rPr>
                <w:rFonts w:ascii="Times New Roman" w:hAnsi="Times New Roman"/>
                <w:bCs/>
                <w:color w:val="auto"/>
                <w:spacing w:val="10"/>
                <w:kern w:val="2"/>
                <w:szCs w:val="24"/>
                <w:highlight w:val="none"/>
              </w:rPr>
              <w:t>运营期生态环境影响分析</w:t>
            </w:r>
          </w:p>
        </w:tc>
        <w:tc>
          <w:tcPr>
            <w:tcW w:w="4750" w:type="pct"/>
            <w:noWrap w:val="0"/>
            <w:tcMar>
              <w:left w:w="28" w:type="dxa"/>
              <w:right w:w="28" w:type="dxa"/>
            </w:tcMar>
            <w:vAlign w:val="center"/>
          </w:tcPr>
          <w:p w14:paraId="52BC7027">
            <w:pPr>
              <w:tabs>
                <w:tab w:val="left" w:pos="1650"/>
              </w:tabs>
              <w:spacing w:line="360" w:lineRule="auto"/>
              <w:ind w:firstLine="480" w:firstLineChars="200"/>
            </w:pPr>
            <w:r>
              <w:rPr>
                <w:bCs/>
                <w:color w:val="auto"/>
                <w:sz w:val="24"/>
                <w:highlight w:val="none"/>
              </w:rPr>
              <w:t>本项目施工期结束后，将拆除施工现场其它建筑物后并恢复施工占地土地利用类型。因此，本项目的生态环境的影响主要表现在施工期，不涉及运营期生态环境影响。</w:t>
            </w:r>
          </w:p>
        </w:tc>
      </w:tr>
      <w:tr w14:paraId="3403FE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42" w:hRule="atLeast"/>
          <w:jc w:val="center"/>
        </w:trPr>
        <w:tc>
          <w:tcPr>
            <w:tcW w:w="249" w:type="pct"/>
            <w:noWrap w:val="0"/>
            <w:tcMar>
              <w:left w:w="28" w:type="dxa"/>
              <w:right w:w="28" w:type="dxa"/>
            </w:tcMar>
            <w:vAlign w:val="center"/>
          </w:tcPr>
          <w:p w14:paraId="497D24BC">
            <w:pPr>
              <w:pStyle w:val="26"/>
              <w:adjustRightInd w:val="0"/>
              <w:snapToGrid w:val="0"/>
              <w:spacing w:before="0" w:beforeAutospacing="0" w:after="0" w:afterAutospacing="0"/>
              <w:jc w:val="center"/>
              <w:rPr>
                <w:rFonts w:ascii="Times New Roman" w:hAnsi="Times New Roman"/>
                <w:bCs/>
                <w:color w:val="auto"/>
                <w:spacing w:val="10"/>
                <w:kern w:val="2"/>
                <w:szCs w:val="24"/>
                <w:highlight w:val="none"/>
              </w:rPr>
            </w:pPr>
            <w:r>
              <w:rPr>
                <w:rFonts w:ascii="Times New Roman" w:hAnsi="Times New Roman"/>
                <w:bCs/>
                <w:color w:val="auto"/>
                <w:kern w:val="2"/>
                <w:szCs w:val="24"/>
                <w:highlight w:val="none"/>
              </w:rPr>
              <w:t>选址选线环境合理性分析</w:t>
            </w:r>
          </w:p>
        </w:tc>
        <w:tc>
          <w:tcPr>
            <w:tcW w:w="4750" w:type="pct"/>
            <w:noWrap w:val="0"/>
            <w:tcMar>
              <w:left w:w="28" w:type="dxa"/>
              <w:right w:w="28" w:type="dxa"/>
            </w:tcMar>
            <w:vAlign w:val="center"/>
          </w:tcPr>
          <w:p w14:paraId="19C623B4">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本项目选址位于</w:t>
            </w:r>
            <w:r>
              <w:rPr>
                <w:rFonts w:ascii="Segoe UI" w:hAnsi="Segoe UI" w:eastAsia="Segoe UI" w:cs="Segoe UI"/>
                <w:i w:val="0"/>
                <w:iCs w:val="0"/>
                <w:caps w:val="0"/>
                <w:color w:val="0F1115"/>
                <w:spacing w:val="0"/>
                <w:sz w:val="24"/>
                <w:szCs w:val="24"/>
                <w:shd w:val="clear" w:fill="FFFFFF"/>
              </w:rPr>
              <w:t>安徽省淮南市凤台县新集镇王集村，安徽省淮南市新集一矿3608(6)采区东翼</w:t>
            </w:r>
            <w:r>
              <w:rPr>
                <w:rFonts w:ascii="Times New Roman" w:hAnsi="Times New Roman"/>
                <w:color w:val="auto"/>
                <w:highlight w:val="none"/>
              </w:rPr>
              <w:t>，项目临时用地系租用所在村镇耕地和建设用地作为本项目的临时建设用地，占地类型为农用地</w:t>
            </w:r>
            <w:r>
              <w:rPr>
                <w:rFonts w:hint="eastAsia" w:ascii="Times New Roman" w:hAnsi="Times New Roman"/>
                <w:color w:val="auto"/>
                <w:highlight w:val="none"/>
                <w:lang w:val="en-US" w:eastAsia="zh-CN"/>
              </w:rPr>
              <w:t>和建设用地</w:t>
            </w:r>
            <w:r>
              <w:rPr>
                <w:rFonts w:ascii="Times New Roman" w:hAnsi="Times New Roman"/>
                <w:color w:val="000000" w:themeColor="text1"/>
                <w:highlight w:val="none"/>
                <w14:textFill>
                  <w14:solidFill>
                    <w14:schemeClr w14:val="tx1"/>
                  </w14:solidFill>
                </w14:textFill>
              </w:rPr>
              <w:t>。因煤层所在位置及地质条件特殊性，本项目无法避开</w:t>
            </w:r>
            <w:r>
              <w:rPr>
                <w:rFonts w:hint="eastAsia" w:ascii="Times New Roman" w:hAnsi="Times New Roman"/>
                <w:color w:val="000000" w:themeColor="text1"/>
                <w:highlight w:val="none"/>
                <w:lang w:val="en-US" w:eastAsia="zh-CN"/>
                <w14:textFill>
                  <w14:solidFill>
                    <w14:schemeClr w14:val="tx1"/>
                  </w14:solidFill>
                </w14:textFill>
              </w:rPr>
              <w:t>永久</w:t>
            </w:r>
            <w:r>
              <w:rPr>
                <w:rFonts w:ascii="Times New Roman" w:hAnsi="Times New Roman"/>
                <w:color w:val="000000" w:themeColor="text1"/>
                <w:highlight w:val="none"/>
                <w14:textFill>
                  <w14:solidFill>
                    <w14:schemeClr w14:val="tx1"/>
                  </w14:solidFill>
                </w14:textFill>
              </w:rPr>
              <w:t>基本农田，临时占用</w:t>
            </w:r>
            <w:r>
              <w:rPr>
                <w:rFonts w:hint="eastAsia" w:ascii="Times New Roman" w:hAnsi="Times New Roman"/>
                <w:color w:val="000000" w:themeColor="text1"/>
                <w:highlight w:val="none"/>
                <w:lang w:val="en-US" w:eastAsia="zh-CN"/>
                <w14:textFill>
                  <w14:solidFill>
                    <w14:schemeClr w14:val="tx1"/>
                  </w14:solidFill>
                </w14:textFill>
              </w:rPr>
              <w:t>永久</w:t>
            </w:r>
            <w:r>
              <w:rPr>
                <w:rFonts w:ascii="Times New Roman" w:hAnsi="Times New Roman"/>
                <w:color w:val="000000" w:themeColor="text1"/>
                <w:highlight w:val="none"/>
                <w14:textFill>
                  <w14:solidFill>
                    <w14:schemeClr w14:val="tx1"/>
                  </w14:solidFill>
                </w14:textFill>
              </w:rPr>
              <w:t>基本农田约</w:t>
            </w:r>
            <w:r>
              <w:rPr>
                <w:rFonts w:hint="eastAsia" w:ascii="Times New Roman" w:hAnsi="Times New Roman"/>
                <w:color w:val="000000" w:themeColor="text1"/>
                <w:highlight w:val="none"/>
                <w:lang w:val="en-US" w:eastAsia="zh-CN"/>
                <w14:textFill>
                  <w14:solidFill>
                    <w14:schemeClr w14:val="tx1"/>
                  </w14:solidFill>
                </w14:textFill>
              </w:rPr>
              <w:t>0.0845</w:t>
            </w:r>
            <w:r>
              <w:rPr>
                <w:rFonts w:ascii="Times New Roman" w:hAnsi="Times New Roman"/>
                <w:color w:val="000000" w:themeColor="text1"/>
                <w:highlight w:val="none"/>
                <w14:textFill>
                  <w14:solidFill>
                    <w14:schemeClr w14:val="tx1"/>
                  </w14:solidFill>
                </w14:textFill>
              </w:rPr>
              <w:t>公顷。项目区</w:t>
            </w:r>
            <w:r>
              <w:rPr>
                <w:rFonts w:ascii="Times New Roman" w:hAnsi="Times New Roman"/>
                <w:color w:val="auto"/>
                <w:highlight w:val="none"/>
              </w:rPr>
              <w:t>现状种植当季农作物。</w:t>
            </w:r>
          </w:p>
          <w:p w14:paraId="016FF5D3">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经现场勘查，本项目施工范围内无自然保护区、风景名胜区、世界文化和自然遗产、饮用水水源保护区，无文物保护单位，无具有特殊历史、文化、科学、民族意义的保护地等环境敏感区，调查未见珍稀、濒危野生动物和保护物种。不在《安徽省生态功能区划》禁止开发区、重点保护区范围内，生态环境总体不敏感。</w:t>
            </w:r>
          </w:p>
          <w:p w14:paraId="3B14B160">
            <w:pPr>
              <w:tabs>
                <w:tab w:val="left" w:pos="1650"/>
              </w:tabs>
              <w:spacing w:line="360" w:lineRule="auto"/>
              <w:ind w:firstLine="420" w:firstLineChars="200"/>
              <w:rPr>
                <w:rFonts w:ascii="Times New Roman" w:hAnsi="Times New Roman"/>
                <w:color w:val="auto"/>
                <w:highlight w:val="none"/>
              </w:rPr>
            </w:pPr>
            <w:r>
              <w:rPr>
                <w:rFonts w:ascii="Times New Roman" w:hAnsi="Times New Roman"/>
                <w:color w:val="auto"/>
                <w:highlight w:val="none"/>
              </w:rPr>
              <w:t>本项目施工过程中产生少量废气、噪声及固体废物，均采取了有效可行的污染防治措施，项目施工对周边环境影响很小，项目建设不会改变区域环境功能，勘查活动不会对地下水含水层、水质、水位产生影响，对周边居民的影响小，环境影响可接受，因此本项目从环境保护角度分析项目选址是合理可行的。</w:t>
            </w:r>
          </w:p>
          <w:p w14:paraId="13C70326">
            <w:pPr>
              <w:pStyle w:val="2"/>
              <w:rPr>
                <w:rFonts w:ascii="Times New Roman" w:hAnsi="Times New Roman"/>
                <w:color w:val="auto"/>
                <w:highlight w:val="none"/>
              </w:rPr>
            </w:pPr>
          </w:p>
          <w:p w14:paraId="18ADFEF5">
            <w:pPr>
              <w:rPr>
                <w:rFonts w:ascii="Times New Roman" w:hAnsi="Times New Roman"/>
                <w:color w:val="auto"/>
                <w:highlight w:val="none"/>
              </w:rPr>
            </w:pPr>
          </w:p>
          <w:p w14:paraId="53A3935D">
            <w:pPr>
              <w:pStyle w:val="2"/>
              <w:rPr>
                <w:rFonts w:ascii="Times New Roman" w:hAnsi="Times New Roman"/>
                <w:color w:val="auto"/>
                <w:highlight w:val="none"/>
              </w:rPr>
            </w:pPr>
          </w:p>
          <w:p w14:paraId="294234E9">
            <w:pPr>
              <w:rPr>
                <w:rFonts w:ascii="Times New Roman" w:hAnsi="Times New Roman"/>
                <w:color w:val="auto"/>
                <w:highlight w:val="none"/>
              </w:rPr>
            </w:pPr>
          </w:p>
          <w:p w14:paraId="7FA2060D">
            <w:pPr>
              <w:pStyle w:val="2"/>
              <w:rPr>
                <w:rFonts w:ascii="Times New Roman" w:hAnsi="Times New Roman"/>
                <w:color w:val="auto"/>
                <w:highlight w:val="none"/>
              </w:rPr>
            </w:pPr>
          </w:p>
          <w:p w14:paraId="5BFAF0B7">
            <w:pPr>
              <w:rPr>
                <w:rFonts w:ascii="Times New Roman" w:hAnsi="Times New Roman"/>
                <w:color w:val="auto"/>
                <w:highlight w:val="none"/>
              </w:rPr>
            </w:pPr>
          </w:p>
          <w:p w14:paraId="2E613850">
            <w:pPr>
              <w:pStyle w:val="2"/>
              <w:rPr>
                <w:rFonts w:ascii="Times New Roman" w:hAnsi="Times New Roman"/>
                <w:color w:val="auto"/>
                <w:highlight w:val="none"/>
              </w:rPr>
            </w:pPr>
          </w:p>
          <w:p w14:paraId="7BA41B0D"/>
        </w:tc>
      </w:tr>
    </w:tbl>
    <w:p w14:paraId="7E4112EA">
      <w:pPr>
        <w:pStyle w:val="26"/>
        <w:jc w:val="center"/>
        <w:rPr>
          <w:rFonts w:ascii="Times New Roman" w:hAnsi="Times New Roman" w:eastAsia="黑体"/>
          <w:snapToGrid w:val="0"/>
          <w:color w:val="auto"/>
          <w:sz w:val="36"/>
          <w:szCs w:val="36"/>
          <w:highlight w:val="none"/>
        </w:rPr>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pPr>
    </w:p>
    <w:p w14:paraId="7495586F">
      <w:pPr>
        <w:pStyle w:val="26"/>
        <w:jc w:val="center"/>
        <w:outlineLvl w:val="0"/>
        <w:rPr>
          <w:rFonts w:ascii="Times New Roman" w:hAnsi="Times New Roman" w:eastAsia="黑体"/>
          <w:snapToGrid w:val="0"/>
          <w:color w:val="auto"/>
          <w:sz w:val="30"/>
          <w:szCs w:val="30"/>
          <w:highlight w:val="none"/>
        </w:rPr>
      </w:pPr>
      <w:r>
        <w:rPr>
          <w:rFonts w:ascii="Times New Roman" w:hAnsi="Times New Roman" w:eastAsia="黑体"/>
          <w:snapToGrid w:val="0"/>
          <w:color w:val="auto"/>
          <w:sz w:val="30"/>
          <w:szCs w:val="30"/>
          <w:highlight w:val="none"/>
        </w:rPr>
        <w:t>五、主要生态环境保护措施</w:t>
      </w:r>
    </w:p>
    <w:tbl>
      <w:tblPr>
        <w:tblStyle w:val="29"/>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91"/>
        <w:gridCol w:w="7758"/>
      </w:tblGrid>
      <w:tr w14:paraId="6AB731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9" w:type="pct"/>
            <w:noWrap w:val="0"/>
            <w:tcMar>
              <w:left w:w="28" w:type="dxa"/>
              <w:right w:w="28" w:type="dxa"/>
            </w:tcMar>
            <w:vAlign w:val="center"/>
          </w:tcPr>
          <w:p w14:paraId="68917FCE">
            <w:pPr>
              <w:adjustRightInd w:val="0"/>
              <w:snapToGrid w:val="0"/>
              <w:jc w:val="center"/>
              <w:rPr>
                <w:bCs/>
                <w:color w:val="auto"/>
                <w:szCs w:val="21"/>
                <w:highlight w:val="none"/>
              </w:rPr>
            </w:pPr>
            <w:r>
              <w:rPr>
                <w:bCs/>
                <w:color w:val="auto"/>
                <w:spacing w:val="10"/>
                <w:sz w:val="24"/>
                <w:highlight w:val="none"/>
              </w:rPr>
              <w:t>施工期生态环境保护措施</w:t>
            </w:r>
          </w:p>
        </w:tc>
        <w:tc>
          <w:tcPr>
            <w:tcW w:w="4591" w:type="pct"/>
            <w:noWrap w:val="0"/>
            <w:vAlign w:val="top"/>
          </w:tcPr>
          <w:p w14:paraId="002AA9CE">
            <w:pPr>
              <w:spacing w:line="360" w:lineRule="auto"/>
              <w:ind w:firstLine="482" w:firstLineChars="200"/>
              <w:rPr>
                <w:b/>
                <w:bCs/>
                <w:color w:val="auto"/>
                <w:sz w:val="24"/>
                <w:highlight w:val="none"/>
              </w:rPr>
            </w:pPr>
            <w:r>
              <w:rPr>
                <w:b/>
                <w:bCs/>
                <w:color w:val="auto"/>
                <w:sz w:val="24"/>
                <w:highlight w:val="none"/>
              </w:rPr>
              <w:t>1、大气污染物防治措施</w:t>
            </w:r>
          </w:p>
          <w:p w14:paraId="18039CEC">
            <w:pPr>
              <w:spacing w:line="360" w:lineRule="auto"/>
              <w:ind w:firstLine="480" w:firstLineChars="200"/>
              <w:rPr>
                <w:color w:val="auto"/>
                <w:sz w:val="24"/>
                <w:highlight w:val="none"/>
              </w:rPr>
            </w:pPr>
            <w:r>
              <w:rPr>
                <w:color w:val="auto"/>
                <w:sz w:val="24"/>
                <w:highlight w:val="none"/>
              </w:rPr>
              <w:t>项目施工过程中的大气污染主要来自于施工场地的扬尘、施工机械的尾气和运输车辆产生的尾气。这些废气的影响是局部的、暂时的，影响的程度及范围有限，随着施工期的结束而逐渐消失。</w:t>
            </w:r>
          </w:p>
          <w:p w14:paraId="1386C2CA">
            <w:pPr>
              <w:spacing w:line="360" w:lineRule="auto"/>
              <w:ind w:firstLine="480" w:firstLineChars="200"/>
              <w:rPr>
                <w:color w:val="auto"/>
                <w:sz w:val="24"/>
                <w:highlight w:val="none"/>
                <w:lang w:bidi="ar"/>
              </w:rPr>
            </w:pPr>
            <w:r>
              <w:rPr>
                <w:color w:val="auto"/>
                <w:sz w:val="24"/>
                <w:highlight w:val="none"/>
              </w:rPr>
              <w:t>施工期间应特别注意施工扬尘的防治问题，须制定必要的防治措施，以减少施工扬尘对周围环境的影响。</w:t>
            </w:r>
            <w:r>
              <w:rPr>
                <w:color w:val="auto"/>
                <w:sz w:val="24"/>
                <w:highlight w:val="none"/>
                <w:lang w:bidi="ar"/>
              </w:rPr>
              <w:t>对于施工场地的扬尘治理，还要做到“六个百分百”措施：</w:t>
            </w:r>
          </w:p>
          <w:p w14:paraId="78F4EA4C">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①现场封闭管理百分之百施工现场硬质围挡应连续设置，围挡不低于2.5m，做到坚固、平稳、整洁、美观。在建工程外立面应用安全网实现全封闭围护。</w:t>
            </w:r>
          </w:p>
          <w:p w14:paraId="54012E1D">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②场区道路硬化百分之百</w:t>
            </w:r>
          </w:p>
          <w:p w14:paraId="25C39A73">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主要通道、进出道路、材料加工区及办公生活区地面进行硬化处理。</w:t>
            </w:r>
          </w:p>
          <w:p w14:paraId="44AC0160">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③渣土物料蓬盖百分之百</w:t>
            </w:r>
          </w:p>
          <w:p w14:paraId="17941953">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施工现场内裸露的场地和集中堆放的土方应采取覆盖、固化或绿化等防尘措施。易产生扬尘的物料要篷盖。</w:t>
            </w:r>
          </w:p>
          <w:p w14:paraId="135A08DF">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④洒水清扫保洁百分之百</w:t>
            </w:r>
          </w:p>
          <w:p w14:paraId="78A86357">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施工现场设专人负责卫生保洁，每天上午、下午各进行二次洒水降尘，遇到干旱和大风天气时，应增加洒水降尘次数，确保无浮土扬尘。开挖、回填等土方作业时，要辅以洒水压尘等措施。工程竣工后，施工现场的临设、围</w:t>
            </w:r>
            <w:r>
              <w:rPr>
                <w:rFonts w:hint="eastAsia" w:ascii="Times New Roman" w:hAnsi="Times New Roman"/>
                <w:color w:val="auto"/>
                <w:highlight w:val="none"/>
                <w:lang w:val="en-US" w:eastAsia="zh-CN" w:bidi="ar"/>
              </w:rPr>
              <w:t>档</w:t>
            </w:r>
            <w:r>
              <w:rPr>
                <w:rFonts w:ascii="Times New Roman" w:hAnsi="Times New Roman"/>
                <w:color w:val="auto"/>
                <w:highlight w:val="none"/>
                <w:lang w:bidi="ar"/>
              </w:rPr>
              <w:t>、垃圾等必须及时清理完毕，清理时必须采取有效的降尘措施。</w:t>
            </w:r>
          </w:p>
          <w:p w14:paraId="5C2F9657">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⑤物料密闭运输百分之百易产生扬尘的建筑材料、渣土应采取密闭搬运、存储或采用防尘布苫盖等防尘措施。严禁熔融沥青、焚烧垃圾等有毒有害物质，禁止无牌无证车辆进入施工现场。</w:t>
            </w:r>
          </w:p>
          <w:p w14:paraId="4AA63561">
            <w:pPr>
              <w:spacing w:line="360" w:lineRule="auto"/>
              <w:ind w:firstLine="480" w:firstLineChars="200"/>
              <w:rPr>
                <w:color w:val="auto"/>
                <w:sz w:val="24"/>
                <w:highlight w:val="none"/>
              </w:rPr>
            </w:pPr>
            <w:r>
              <w:rPr>
                <w:color w:val="auto"/>
                <w:sz w:val="24"/>
                <w:highlight w:val="none"/>
              </w:rPr>
              <w:t>要加强现场管理，做好文明标化施工，采取配置工地滞尘防护网、设置</w:t>
            </w:r>
            <w:r>
              <w:rPr>
                <w:rFonts w:hint="eastAsia"/>
                <w:color w:val="auto"/>
                <w:sz w:val="24"/>
                <w:highlight w:val="none"/>
                <w:lang w:eastAsia="zh-CN"/>
              </w:rPr>
              <w:t>围挡</w:t>
            </w:r>
            <w:r>
              <w:rPr>
                <w:color w:val="auto"/>
                <w:sz w:val="24"/>
                <w:highlight w:val="none"/>
              </w:rPr>
              <w:t>和硬化道路</w:t>
            </w:r>
            <w:r>
              <w:rPr>
                <w:rFonts w:hint="eastAsia"/>
                <w:color w:val="auto"/>
                <w:sz w:val="24"/>
                <w:highlight w:val="none"/>
                <w:lang w:eastAsia="zh-CN"/>
              </w:rPr>
              <w:t>，以</w:t>
            </w:r>
            <w:r>
              <w:rPr>
                <w:color w:val="auto"/>
                <w:sz w:val="24"/>
                <w:highlight w:val="none"/>
              </w:rPr>
              <w:t>及车辆出场冲洗等措施，最大程度减少扬尘对周围大气环境的危害，必要时采用水雾以降低和防止二次扬尘。其次，在土方挖掘、平整阶段，运土车辆必须做到净车出场，最大限度减少泥土</w:t>
            </w:r>
            <w:r>
              <w:rPr>
                <w:rFonts w:hint="eastAsia"/>
                <w:color w:val="auto"/>
                <w:sz w:val="24"/>
                <w:highlight w:val="none"/>
                <w:lang w:val="en-US" w:eastAsia="zh-CN"/>
              </w:rPr>
              <w:t>撒</w:t>
            </w:r>
            <w:r>
              <w:rPr>
                <w:rFonts w:hint="eastAsia"/>
                <w:color w:val="auto"/>
                <w:sz w:val="24"/>
                <w:highlight w:val="none"/>
                <w:lang w:eastAsia="zh-CN"/>
              </w:rPr>
              <w:t>落</w:t>
            </w:r>
            <w:r>
              <w:rPr>
                <w:color w:val="auto"/>
                <w:sz w:val="24"/>
                <w:highlight w:val="none"/>
              </w:rPr>
              <w:t>构成扬尘污染，在运输、装卸建筑材料时，应采用封闭车辆运输，尤其是泥砂等。</w:t>
            </w:r>
          </w:p>
          <w:p w14:paraId="52854C27">
            <w:pPr>
              <w:spacing w:line="360" w:lineRule="auto"/>
              <w:ind w:firstLine="480" w:firstLineChars="200"/>
              <w:rPr>
                <w:color w:val="auto"/>
                <w:sz w:val="24"/>
                <w:highlight w:val="none"/>
              </w:rPr>
            </w:pPr>
            <w:r>
              <w:rPr>
                <w:color w:val="auto"/>
                <w:sz w:val="24"/>
                <w:highlight w:val="none"/>
              </w:rPr>
              <w:t>为减轻扬尘对区域环境空气质量的不利影响，项目施工区需做到地面硬化，以减少表土的裸露，项目区不得在施工区域内搅拌、调配混凝土。结合《安徽省大气污染防治行动计划实施方案》、《大气污染防治行动计划》（国发〔2013〕37号）、《安徽省建筑工程施工和预拌混凝土生产扬尘污染防治标准（试行）》中相关要求，项目施工期扬尘污染防治措施见下表。</w:t>
            </w:r>
          </w:p>
          <w:p w14:paraId="032CDD72">
            <w:pPr>
              <w:spacing w:line="240" w:lineRule="atLeast"/>
              <w:jc w:val="center"/>
              <w:rPr>
                <w:rFonts w:eastAsia="黑体"/>
                <w:color w:val="auto"/>
                <w:szCs w:val="20"/>
                <w:highlight w:val="none"/>
              </w:rPr>
            </w:pPr>
            <w:r>
              <w:rPr>
                <w:rFonts w:eastAsia="黑体"/>
                <w:color w:val="auto"/>
                <w:szCs w:val="20"/>
                <w:highlight w:val="none"/>
              </w:rPr>
              <w:t>表5-1  施工期废气污染防治措施</w:t>
            </w:r>
          </w:p>
          <w:tbl>
            <w:tblPr>
              <w:tblStyle w:val="29"/>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50"/>
              <w:gridCol w:w="6680"/>
            </w:tblGrid>
            <w:tr w14:paraId="4A6647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60" w:type="pct"/>
                  <w:noWrap w:val="0"/>
                  <w:vAlign w:val="center"/>
                </w:tcPr>
                <w:p w14:paraId="69756FA0">
                  <w:pPr>
                    <w:autoSpaceDE w:val="0"/>
                    <w:autoSpaceDN w:val="0"/>
                    <w:snapToGrid w:val="0"/>
                    <w:jc w:val="center"/>
                    <w:rPr>
                      <w:b/>
                      <w:bCs/>
                      <w:color w:val="auto"/>
                      <w:szCs w:val="21"/>
                      <w:highlight w:val="none"/>
                    </w:rPr>
                  </w:pPr>
                  <w:r>
                    <w:rPr>
                      <w:b/>
                      <w:bCs/>
                      <w:color w:val="auto"/>
                      <w:szCs w:val="21"/>
                      <w:highlight w:val="none"/>
                    </w:rPr>
                    <w:t>依据</w:t>
                  </w:r>
                </w:p>
              </w:tc>
              <w:tc>
                <w:tcPr>
                  <w:tcW w:w="4539" w:type="pct"/>
                  <w:noWrap w:val="0"/>
                  <w:vAlign w:val="center"/>
                </w:tcPr>
                <w:p w14:paraId="51026EAB">
                  <w:pPr>
                    <w:autoSpaceDE w:val="0"/>
                    <w:autoSpaceDN w:val="0"/>
                    <w:snapToGrid w:val="0"/>
                    <w:jc w:val="center"/>
                    <w:rPr>
                      <w:b/>
                      <w:bCs/>
                      <w:color w:val="auto"/>
                      <w:szCs w:val="21"/>
                      <w:highlight w:val="none"/>
                    </w:rPr>
                  </w:pPr>
                  <w:r>
                    <w:rPr>
                      <w:b/>
                      <w:bCs/>
                      <w:color w:val="auto"/>
                      <w:szCs w:val="21"/>
                      <w:highlight w:val="none"/>
                    </w:rPr>
                    <w:t>施工期扬尘污染防治措施</w:t>
                  </w:r>
                </w:p>
              </w:tc>
            </w:tr>
            <w:tr w14:paraId="00A6CE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60" w:type="pct"/>
                  <w:noWrap w:val="0"/>
                  <w:vAlign w:val="center"/>
                </w:tcPr>
                <w:p w14:paraId="6F928077">
                  <w:pPr>
                    <w:autoSpaceDE w:val="0"/>
                    <w:autoSpaceDN w:val="0"/>
                    <w:snapToGrid w:val="0"/>
                    <w:jc w:val="center"/>
                    <w:rPr>
                      <w:color w:val="auto"/>
                      <w:szCs w:val="21"/>
                      <w:highlight w:val="none"/>
                    </w:rPr>
                  </w:pPr>
                  <w:r>
                    <w:rPr>
                      <w:color w:val="auto"/>
                      <w:szCs w:val="21"/>
                      <w:highlight w:val="none"/>
                    </w:rPr>
                    <w:t>《安徽省大气污染防治行动计划实施方案》、《大气污染防治行动计划》（国发〔2013〕37号）、《安徽省建筑工程施工和预拌混凝土生产扬尘污染防治标准（试行）》</w:t>
                  </w:r>
                </w:p>
              </w:tc>
              <w:tc>
                <w:tcPr>
                  <w:tcW w:w="4539" w:type="pct"/>
                  <w:noWrap w:val="0"/>
                  <w:vAlign w:val="center"/>
                </w:tcPr>
                <w:p w14:paraId="23545EB7">
                  <w:pPr>
                    <w:autoSpaceDE w:val="0"/>
                    <w:autoSpaceDN w:val="0"/>
                    <w:snapToGrid w:val="0"/>
                    <w:ind w:firstLine="420" w:firstLineChars="200"/>
                    <w:jc w:val="left"/>
                    <w:rPr>
                      <w:color w:val="auto"/>
                      <w:szCs w:val="21"/>
                      <w:highlight w:val="none"/>
                    </w:rPr>
                  </w:pPr>
                  <w:r>
                    <w:rPr>
                      <w:color w:val="auto"/>
                      <w:szCs w:val="21"/>
                      <w:highlight w:val="none"/>
                    </w:rPr>
                    <w:t>施工现场实行围挡封闭。主要路段施工现场围挡高度不得低于2.5米，一般路段施工现场围挡高度不得低于1.8米。围档底边应当封闭并设置防溢沉淀井，不得有泥浆外漏。</w:t>
                  </w:r>
                </w:p>
                <w:p w14:paraId="7D89E53A">
                  <w:pPr>
                    <w:autoSpaceDE w:val="0"/>
                    <w:autoSpaceDN w:val="0"/>
                    <w:snapToGrid w:val="0"/>
                    <w:ind w:firstLine="420" w:firstLineChars="200"/>
                    <w:jc w:val="left"/>
                    <w:rPr>
                      <w:color w:val="auto"/>
                      <w:szCs w:val="21"/>
                      <w:highlight w:val="none"/>
                    </w:rPr>
                  </w:pPr>
                  <w:r>
                    <w:rPr>
                      <w:color w:val="auto"/>
                      <w:szCs w:val="21"/>
                      <w:highlight w:val="none"/>
                    </w:rPr>
                    <w:t>施工现场出入口道路实施地面硬化并配备车辆冲洗设施。对驶出施工现场的机动车辆冲洗干净，方可上路。</w:t>
                  </w:r>
                </w:p>
                <w:p w14:paraId="458FF705">
                  <w:pPr>
                    <w:autoSpaceDE w:val="0"/>
                    <w:autoSpaceDN w:val="0"/>
                    <w:snapToGrid w:val="0"/>
                    <w:ind w:firstLine="420" w:firstLineChars="200"/>
                    <w:jc w:val="left"/>
                    <w:rPr>
                      <w:color w:val="auto"/>
                      <w:szCs w:val="21"/>
                      <w:highlight w:val="none"/>
                    </w:rPr>
                  </w:pPr>
                  <w:r>
                    <w:rPr>
                      <w:color w:val="auto"/>
                      <w:szCs w:val="21"/>
                      <w:highlight w:val="none"/>
                    </w:rPr>
                    <w:t>施工现场内道路、加工区实施地面硬化。硬化后的地面，不得有浮土、积土，裸露场地应当采取覆盖或绿化措施。施工现场设置洒水降尘设施，安排专人定时洒水降尘。</w:t>
                  </w:r>
                </w:p>
                <w:p w14:paraId="6C8B5EFD">
                  <w:pPr>
                    <w:autoSpaceDE w:val="0"/>
                    <w:autoSpaceDN w:val="0"/>
                    <w:snapToGrid w:val="0"/>
                    <w:ind w:firstLine="420" w:firstLineChars="200"/>
                    <w:jc w:val="left"/>
                    <w:rPr>
                      <w:color w:val="auto"/>
                      <w:szCs w:val="21"/>
                      <w:highlight w:val="none"/>
                    </w:rPr>
                  </w:pPr>
                  <w:r>
                    <w:rPr>
                      <w:color w:val="auto"/>
                      <w:szCs w:val="21"/>
                      <w:highlight w:val="none"/>
                    </w:rPr>
                    <w:t>施工现场土方开挖后尽快完成回填，不能及时回填的场地，采取覆盖等防尘措施；砂石等散体材料集中堆放并覆盖。</w:t>
                  </w:r>
                </w:p>
                <w:p w14:paraId="6A0112C9">
                  <w:pPr>
                    <w:autoSpaceDE w:val="0"/>
                    <w:autoSpaceDN w:val="0"/>
                    <w:snapToGrid w:val="0"/>
                    <w:ind w:firstLine="420" w:firstLineChars="200"/>
                    <w:jc w:val="left"/>
                    <w:rPr>
                      <w:color w:val="auto"/>
                      <w:szCs w:val="21"/>
                      <w:highlight w:val="none"/>
                    </w:rPr>
                  </w:pPr>
                  <w:r>
                    <w:rPr>
                      <w:color w:val="auto"/>
                      <w:szCs w:val="21"/>
                      <w:highlight w:val="none"/>
                    </w:rPr>
                    <w:t>渣土等建筑垃圾集中、分类堆放，严密遮盖，采用封闭式管道或装袋清运，严禁高处抛洒。需要运输、处理的，按照市、县（区）政府市容环境卫生行政主管部门规定的时间、线路和要求，清运到指定的场所处理。清运过程中对出施工区路面采取清扫+罐车冲洗措施，保持路面洁净减少扬尘产生。外脚手架应当设置悬挂密目式安全网封闭，并保持严密整洁。</w:t>
                  </w:r>
                </w:p>
                <w:p w14:paraId="47B113E6">
                  <w:pPr>
                    <w:autoSpaceDE w:val="0"/>
                    <w:autoSpaceDN w:val="0"/>
                    <w:snapToGrid w:val="0"/>
                    <w:ind w:firstLine="420" w:firstLineChars="200"/>
                    <w:jc w:val="left"/>
                    <w:rPr>
                      <w:color w:val="auto"/>
                      <w:szCs w:val="21"/>
                      <w:highlight w:val="none"/>
                    </w:rPr>
                  </w:pPr>
                  <w:r>
                    <w:rPr>
                      <w:color w:val="auto"/>
                      <w:szCs w:val="21"/>
                      <w:highlight w:val="none"/>
                    </w:rPr>
                    <w:t>施工现场禁止焚烧沥青、油毡、橡胶、塑料、皮革、垃圾以及其他产生有毒有害烟尘和恶臭气体的物质。施工现场使用商品混凝土和预拌砂浆，搅拌混凝土和砂浆采取封闭、降尘措施。运进或运出工地的土方、砂石、粉煤灰、建筑垃圾等易产生扬尘的材料，应采取封闭运输。施工几近结束后，拆除工程工地的围挡应当使用金属或硬质板材材料，严禁使用各类砌筑墙体；拆除作业实行持续加压洒水或者喷淋方式作业；拆除作业后，场地闲置1个月以上的，用地单位对拆除后的裸露地面采取绿化等防尘措施。</w:t>
                  </w:r>
                </w:p>
                <w:p w14:paraId="089FE0E8">
                  <w:pPr>
                    <w:autoSpaceDE w:val="0"/>
                    <w:autoSpaceDN w:val="0"/>
                    <w:snapToGrid w:val="0"/>
                    <w:ind w:firstLine="420" w:firstLineChars="200"/>
                    <w:jc w:val="left"/>
                    <w:rPr>
                      <w:color w:val="auto"/>
                      <w:szCs w:val="21"/>
                      <w:highlight w:val="none"/>
                    </w:rPr>
                  </w:pPr>
                  <w:r>
                    <w:rPr>
                      <w:color w:val="auto"/>
                      <w:szCs w:val="21"/>
                      <w:highlight w:val="none"/>
                    </w:rPr>
                    <w:t>根据《安徽省重污染天气应急预案》启动Ⅲ级（黄色）预警以上或气象预报风速达到五级以上时，不得进行土方挖填和转运、拆除、道路路面鼓风机吹灰等易产生扬尘的作业。</w:t>
                  </w:r>
                </w:p>
                <w:p w14:paraId="745EA263">
                  <w:pPr>
                    <w:autoSpaceDE w:val="0"/>
                    <w:autoSpaceDN w:val="0"/>
                    <w:snapToGrid w:val="0"/>
                    <w:ind w:firstLine="420" w:firstLineChars="200"/>
                    <w:jc w:val="left"/>
                    <w:rPr>
                      <w:color w:val="auto"/>
                      <w:szCs w:val="21"/>
                      <w:highlight w:val="none"/>
                    </w:rPr>
                  </w:pPr>
                  <w:r>
                    <w:rPr>
                      <w:color w:val="auto"/>
                      <w:szCs w:val="21"/>
                      <w:highlight w:val="none"/>
                    </w:rPr>
                    <w:t>施工场地的扬尘，大部分来自施工车辆。在同样清洁程度的条件下，车速越慢，扬尘量越小。本场地施工车辆在进入施工场地后，需减速行驶，以减少施工场地扬尘，建议行驶车速不大于5km/h。此时的扬尘量可减少为一般行驶速度（15km/h计）情况下的1/3。</w:t>
                  </w:r>
                </w:p>
              </w:tc>
            </w:tr>
          </w:tbl>
          <w:p w14:paraId="783A0B4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bCs/>
                <w:color w:val="auto"/>
                <w:sz w:val="24"/>
                <w:highlight w:val="none"/>
              </w:rPr>
            </w:pPr>
            <w:r>
              <w:rPr>
                <w:bCs/>
                <w:color w:val="auto"/>
                <w:sz w:val="24"/>
                <w:highlight w:val="none"/>
              </w:rPr>
              <w:t>同时环评建议通过如下措施降低施工期对大气环境的影响：</w:t>
            </w:r>
          </w:p>
          <w:p w14:paraId="57F00E9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bCs/>
                <w:color w:val="auto"/>
                <w:sz w:val="24"/>
                <w:highlight w:val="none"/>
              </w:rPr>
            </w:pPr>
            <w:r>
              <w:rPr>
                <w:bCs/>
                <w:color w:val="auto"/>
                <w:sz w:val="24"/>
                <w:highlight w:val="none"/>
              </w:rPr>
              <w:t>（1）洒水抑尘</w:t>
            </w:r>
          </w:p>
          <w:p w14:paraId="4453391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bCs/>
                <w:color w:val="auto"/>
                <w:sz w:val="24"/>
                <w:highlight w:val="none"/>
              </w:rPr>
            </w:pPr>
            <w:r>
              <w:rPr>
                <w:bCs/>
                <w:color w:val="auto"/>
                <w:sz w:val="24"/>
                <w:highlight w:val="none"/>
              </w:rPr>
              <w:t>扬尘量与粉尘的含水率有关，粉尘含水率越高，扬尘量越小，目前国内大多数施工场地均采用洒水来进行抑尘。下表为施工场地洒水抑尘试验结果。经试验表明：每天洒水4~5次，可使扬尘量减少70%左右，扬尘造成的TSP污染距离可缩小到20~50m范围，因此本工程可通过该方式来减缓施工扬尘。</w:t>
            </w:r>
          </w:p>
          <w:p w14:paraId="7BCD9A7C">
            <w:pPr>
              <w:adjustRightInd w:val="0"/>
              <w:snapToGrid w:val="0"/>
              <w:spacing w:line="360" w:lineRule="auto"/>
              <w:ind w:firstLine="480" w:firstLineChars="200"/>
              <w:rPr>
                <w:bCs/>
                <w:color w:val="auto"/>
                <w:sz w:val="24"/>
                <w:highlight w:val="none"/>
              </w:rPr>
            </w:pPr>
            <w:r>
              <w:rPr>
                <w:bCs/>
                <w:color w:val="auto"/>
                <w:sz w:val="24"/>
                <w:highlight w:val="none"/>
              </w:rPr>
              <w:t>（2）限制车速</w:t>
            </w:r>
          </w:p>
          <w:p w14:paraId="53165BD0">
            <w:pPr>
              <w:adjustRightInd w:val="0"/>
              <w:snapToGrid w:val="0"/>
              <w:spacing w:line="360" w:lineRule="auto"/>
              <w:ind w:firstLine="480" w:firstLineChars="200"/>
              <w:rPr>
                <w:bCs/>
                <w:color w:val="auto"/>
                <w:sz w:val="24"/>
                <w:highlight w:val="none"/>
              </w:rPr>
            </w:pPr>
            <w:r>
              <w:rPr>
                <w:bCs/>
                <w:color w:val="auto"/>
                <w:sz w:val="24"/>
                <w:highlight w:val="none"/>
              </w:rPr>
              <w:t>在同样的路面条件下，车速越慢，扬尘量越小。因此应设置限速标志，施工车辆及过境车辆均应限速行驶，以减少施工场地扬尘。建议行驶车速不大于5km/h，此时的扬尘量可减少为一般行驶速度（15km/h计）情况下的1/3。</w:t>
            </w:r>
          </w:p>
          <w:p w14:paraId="1DDC0E95">
            <w:pPr>
              <w:adjustRightInd w:val="0"/>
              <w:snapToGrid w:val="0"/>
              <w:spacing w:line="360" w:lineRule="auto"/>
              <w:ind w:firstLine="480" w:firstLineChars="200"/>
              <w:rPr>
                <w:bCs/>
                <w:color w:val="auto"/>
                <w:sz w:val="24"/>
                <w:highlight w:val="none"/>
              </w:rPr>
            </w:pPr>
            <w:r>
              <w:rPr>
                <w:bCs/>
                <w:color w:val="auto"/>
                <w:sz w:val="24"/>
                <w:highlight w:val="none"/>
              </w:rPr>
              <w:t>（3）保持施工场地路面清洁和设置运输车辆过水池</w:t>
            </w:r>
          </w:p>
          <w:p w14:paraId="4F5427E4">
            <w:pPr>
              <w:adjustRightInd w:val="0"/>
              <w:snapToGrid w:val="0"/>
              <w:spacing w:line="360" w:lineRule="auto"/>
              <w:ind w:firstLine="480" w:firstLineChars="200"/>
              <w:rPr>
                <w:bCs/>
                <w:color w:val="auto"/>
                <w:sz w:val="24"/>
                <w:highlight w:val="none"/>
              </w:rPr>
            </w:pPr>
            <w:r>
              <w:rPr>
                <w:bCs/>
                <w:color w:val="auto"/>
                <w:sz w:val="24"/>
                <w:highlight w:val="none"/>
              </w:rPr>
              <w:t>为了减少施工扬尘，应采取及时清扫，对施工车辆及时清洗，禁止超载，防止洒落等有效措施来保持施工场地、进出道路以及施工车辆的清洁，另外可设置过水池，运输车辆进出施工场地前先经过水池润湿车轮，以进一步降低扬尘污染。</w:t>
            </w:r>
          </w:p>
          <w:p w14:paraId="58F86E6C">
            <w:pPr>
              <w:adjustRightInd w:val="0"/>
              <w:snapToGrid w:val="0"/>
              <w:spacing w:line="360" w:lineRule="auto"/>
              <w:ind w:firstLine="480" w:firstLineChars="200"/>
              <w:rPr>
                <w:bCs/>
                <w:color w:val="auto"/>
                <w:sz w:val="24"/>
                <w:highlight w:val="none"/>
              </w:rPr>
            </w:pPr>
            <w:r>
              <w:rPr>
                <w:bCs/>
                <w:color w:val="auto"/>
                <w:sz w:val="24"/>
                <w:highlight w:val="none"/>
              </w:rPr>
              <w:t>（4）避免大风天气作业</w:t>
            </w:r>
          </w:p>
          <w:p w14:paraId="543FAF91">
            <w:pPr>
              <w:adjustRightInd w:val="0"/>
              <w:snapToGrid w:val="0"/>
              <w:spacing w:line="360" w:lineRule="auto"/>
              <w:ind w:firstLine="480" w:firstLineChars="200"/>
              <w:rPr>
                <w:bCs/>
                <w:color w:val="auto"/>
                <w:sz w:val="24"/>
                <w:highlight w:val="none"/>
              </w:rPr>
            </w:pPr>
            <w:r>
              <w:rPr>
                <w:bCs/>
                <w:color w:val="auto"/>
                <w:sz w:val="24"/>
                <w:highlight w:val="none"/>
              </w:rPr>
              <w:t>应避免在大风天气进行水泥、黄沙等的装卸作业，对水泥类物资尽可能不要露天堆放，即使必须露天堆放，也要注意加盖防雨布，减少大风造成的扬尘。</w:t>
            </w:r>
          </w:p>
          <w:p w14:paraId="51715A97">
            <w:pPr>
              <w:adjustRightInd w:val="0"/>
              <w:snapToGrid w:val="0"/>
              <w:spacing w:line="360" w:lineRule="auto"/>
              <w:ind w:firstLine="480" w:firstLineChars="200"/>
              <w:rPr>
                <w:bCs/>
                <w:color w:val="auto"/>
                <w:sz w:val="24"/>
                <w:highlight w:val="none"/>
              </w:rPr>
            </w:pPr>
            <w:r>
              <w:rPr>
                <w:bCs/>
                <w:color w:val="auto"/>
                <w:sz w:val="24"/>
                <w:highlight w:val="none"/>
              </w:rPr>
              <w:t>（5）物料运输过程中污染防治措施</w:t>
            </w:r>
          </w:p>
          <w:p w14:paraId="5B49E857">
            <w:pPr>
              <w:adjustRightInd w:val="0"/>
              <w:snapToGrid w:val="0"/>
              <w:spacing w:line="360" w:lineRule="auto"/>
              <w:ind w:firstLine="480" w:firstLineChars="200"/>
              <w:rPr>
                <w:bCs/>
                <w:color w:val="auto"/>
                <w:sz w:val="24"/>
                <w:highlight w:val="none"/>
              </w:rPr>
            </w:pPr>
            <w:r>
              <w:rPr>
                <w:bCs/>
                <w:color w:val="auto"/>
                <w:sz w:val="24"/>
                <w:highlight w:val="none"/>
              </w:rPr>
              <w:t>建设施工期建筑材料运进及建筑垃圾运出时应注意控制好装载量，防止物料洒落。此外运输车辆</w:t>
            </w:r>
            <w:r>
              <w:rPr>
                <w:rFonts w:hint="eastAsia"/>
                <w:bCs/>
                <w:color w:val="auto"/>
                <w:sz w:val="24"/>
                <w:highlight w:val="none"/>
                <w:lang w:eastAsia="zh-CN"/>
              </w:rPr>
              <w:t>车厢</w:t>
            </w:r>
            <w:r>
              <w:rPr>
                <w:bCs/>
                <w:color w:val="auto"/>
                <w:sz w:val="24"/>
                <w:highlight w:val="none"/>
              </w:rPr>
              <w:t>必须加盖</w:t>
            </w:r>
            <w:r>
              <w:rPr>
                <w:rFonts w:hint="eastAsia"/>
                <w:bCs/>
                <w:color w:val="auto"/>
                <w:sz w:val="24"/>
                <w:highlight w:val="none"/>
                <w:lang w:eastAsia="zh-CN"/>
              </w:rPr>
              <w:t>篷布</w:t>
            </w:r>
            <w:r>
              <w:rPr>
                <w:bCs/>
                <w:color w:val="auto"/>
                <w:sz w:val="24"/>
                <w:highlight w:val="none"/>
              </w:rPr>
              <w:t>，同时控制车速，防止运输过程中出现风动起尘；车辆在出场前应针对车轮等部位进行清洁，尽量减少将泥土带出施工场地。</w:t>
            </w:r>
          </w:p>
          <w:p w14:paraId="5F2AE661">
            <w:pPr>
              <w:adjustRightInd w:val="0"/>
              <w:snapToGrid w:val="0"/>
              <w:spacing w:line="360" w:lineRule="auto"/>
              <w:ind w:firstLine="480" w:firstLineChars="200"/>
              <w:rPr>
                <w:bCs/>
                <w:color w:val="auto"/>
                <w:sz w:val="24"/>
                <w:highlight w:val="none"/>
              </w:rPr>
            </w:pPr>
            <w:r>
              <w:rPr>
                <w:bCs/>
                <w:color w:val="auto"/>
                <w:sz w:val="24"/>
                <w:highlight w:val="none"/>
              </w:rPr>
              <w:t>（</w:t>
            </w:r>
            <w:r>
              <w:rPr>
                <w:rFonts w:hint="eastAsia"/>
                <w:bCs/>
                <w:color w:val="auto"/>
                <w:sz w:val="24"/>
                <w:highlight w:val="none"/>
                <w:lang w:val="en-US" w:eastAsia="zh-CN"/>
              </w:rPr>
              <w:t>6</w:t>
            </w:r>
            <w:r>
              <w:rPr>
                <w:bCs/>
                <w:color w:val="auto"/>
                <w:sz w:val="24"/>
                <w:highlight w:val="none"/>
              </w:rPr>
              <w:t>）其他措施</w:t>
            </w:r>
          </w:p>
          <w:p w14:paraId="0BC19528">
            <w:pPr>
              <w:adjustRightInd w:val="0"/>
              <w:snapToGrid w:val="0"/>
              <w:spacing w:line="360" w:lineRule="auto"/>
              <w:ind w:firstLine="480" w:firstLineChars="200"/>
              <w:rPr>
                <w:bCs/>
                <w:color w:val="auto"/>
                <w:sz w:val="24"/>
                <w:highlight w:val="none"/>
              </w:rPr>
            </w:pPr>
            <w:r>
              <w:rPr>
                <w:bCs/>
                <w:color w:val="auto"/>
                <w:sz w:val="24"/>
                <w:highlight w:val="none"/>
              </w:rPr>
              <w:t>选用合格的施工车辆，禁止使用淘汰、报废车辆进行施工。施工现场对外围有影响的方向设置围栏或围墙，主体工程建设应设置防尘纱网，缩小施工现场扬尘和尾气扩散范围。根据有关资料调查，当有围栏时，在同等条件下施工造成的影响距离粉尘可减少40%，汽车尾气可减少30%，施工中还应注意减少表面裸土，开挖后及时回填、夯实，做到有计划开挖，有计划回填。</w:t>
            </w:r>
          </w:p>
          <w:p w14:paraId="312F6E88">
            <w:pPr>
              <w:adjustRightInd w:val="0"/>
              <w:snapToGrid w:val="0"/>
              <w:spacing w:line="360" w:lineRule="auto"/>
              <w:ind w:firstLine="480" w:firstLineChars="200"/>
              <w:rPr>
                <w:color w:val="auto"/>
                <w:sz w:val="24"/>
                <w:highlight w:val="none"/>
              </w:rPr>
            </w:pPr>
            <w:r>
              <w:rPr>
                <w:bCs/>
                <w:color w:val="auto"/>
                <w:sz w:val="24"/>
                <w:highlight w:val="none"/>
              </w:rPr>
              <w:t>通过以上措施，可在一定程度上减少扬尘的产生，从而减少对大气环境的影响。</w:t>
            </w:r>
          </w:p>
          <w:p w14:paraId="2FF51178">
            <w:pPr>
              <w:widowControl/>
              <w:adjustRightInd w:val="0"/>
              <w:snapToGrid w:val="0"/>
              <w:spacing w:line="360" w:lineRule="auto"/>
              <w:ind w:firstLine="482" w:firstLineChars="200"/>
              <w:rPr>
                <w:b/>
                <w:bCs/>
                <w:color w:val="auto"/>
                <w:sz w:val="24"/>
                <w:highlight w:val="none"/>
              </w:rPr>
            </w:pPr>
            <w:r>
              <w:rPr>
                <w:b/>
                <w:bCs/>
                <w:color w:val="auto"/>
                <w:sz w:val="24"/>
                <w:highlight w:val="none"/>
              </w:rPr>
              <w:t>2、水污染物防治措施</w:t>
            </w:r>
          </w:p>
          <w:p w14:paraId="41B36158">
            <w:pPr>
              <w:widowControl/>
              <w:spacing w:line="360" w:lineRule="auto"/>
              <w:ind w:firstLine="480" w:firstLineChars="200"/>
              <w:rPr>
                <w:color w:val="auto"/>
                <w:sz w:val="24"/>
                <w:highlight w:val="none"/>
              </w:rPr>
            </w:pPr>
            <w:r>
              <w:rPr>
                <w:color w:val="auto"/>
                <w:sz w:val="24"/>
                <w:highlight w:val="none"/>
              </w:rPr>
              <w:t>本项目废水污染物主要包括钻井工艺废水以及生活污水。</w:t>
            </w:r>
          </w:p>
          <w:p w14:paraId="31CBF2AE">
            <w:pPr>
              <w:widowControl/>
              <w:spacing w:line="360" w:lineRule="auto"/>
              <w:ind w:firstLine="480" w:firstLineChars="200"/>
              <w:rPr>
                <w:color w:val="auto"/>
                <w:sz w:val="24"/>
                <w:highlight w:val="none"/>
              </w:rPr>
            </w:pPr>
            <w:r>
              <w:rPr>
                <w:color w:val="auto"/>
                <w:sz w:val="24"/>
                <w:highlight w:val="none"/>
              </w:rPr>
              <w:t>（1）钻井废液</w:t>
            </w:r>
          </w:p>
          <w:p w14:paraId="32981F76">
            <w:pPr>
              <w:adjustRightInd w:val="0"/>
              <w:snapToGrid w:val="0"/>
              <w:spacing w:line="360" w:lineRule="auto"/>
              <w:ind w:firstLine="480" w:firstLineChars="200"/>
              <w:rPr>
                <w:color w:val="auto"/>
                <w:sz w:val="24"/>
                <w:highlight w:val="none"/>
              </w:rPr>
            </w:pPr>
            <w:r>
              <w:rPr>
                <w:color w:val="auto"/>
                <w:sz w:val="24"/>
                <w:highlight w:val="none"/>
              </w:rPr>
              <w:t>钻井液通过泥浆泵以泥浆池为介质循环使用，施工过程中的钻井泥浆采用机械净化(固控系统)后循环使用，当泥浆不能满足回用要求后，废泥浆暂存于泥浆池中，定期交第三方公司综合利用。</w:t>
            </w:r>
          </w:p>
          <w:p w14:paraId="14B2121E">
            <w:pPr>
              <w:adjustRightInd w:val="0"/>
              <w:snapToGrid w:val="0"/>
              <w:spacing w:line="360" w:lineRule="auto"/>
              <w:ind w:firstLine="480" w:firstLineChars="200"/>
              <w:rPr>
                <w:rFonts w:ascii="Times New Roman" w:hAnsi="Times New Roman" w:eastAsia="宋体" w:cs="Times New Roman"/>
                <w:bCs/>
                <w:sz w:val="24"/>
                <w:highlight w:val="none"/>
              </w:rPr>
            </w:pPr>
            <w:r>
              <w:rPr>
                <w:rFonts w:hint="eastAsia" w:ascii="Times New Roman" w:hAnsi="Times New Roman" w:eastAsia="宋体" w:cs="Times New Roman"/>
                <w:bCs/>
                <w:sz w:val="24"/>
                <w:highlight w:val="none"/>
              </w:rPr>
              <w:t>为了加强项目钻井液储存的管理，环评要求建设单位做好以下几点：</w:t>
            </w:r>
          </w:p>
          <w:p w14:paraId="4E5FA5DD">
            <w:pPr>
              <w:adjustRightInd w:val="0"/>
              <w:snapToGrid w:val="0"/>
              <w:spacing w:line="360" w:lineRule="auto"/>
              <w:ind w:firstLine="480" w:firstLineChars="200"/>
              <w:rPr>
                <w:rFonts w:ascii="Times New Roman" w:hAnsi="Times New Roman" w:eastAsia="宋体" w:cs="Times New Roman"/>
                <w:bCs/>
                <w:sz w:val="24"/>
                <w:highlight w:val="none"/>
              </w:rPr>
            </w:pPr>
            <w:r>
              <w:rPr>
                <w:rFonts w:hint="eastAsia" w:ascii="Times New Roman" w:hAnsi="Times New Roman" w:eastAsia="宋体" w:cs="Times New Roman"/>
                <w:bCs/>
                <w:sz w:val="24"/>
                <w:highlight w:val="none"/>
              </w:rPr>
              <w:t>①井场应实施清污分流，清污分流管道应完善畅通，并确保钻井液全部进入沉淀池处理后进入泥浆干化池储存。</w:t>
            </w:r>
          </w:p>
          <w:p w14:paraId="75DC86EC">
            <w:pPr>
              <w:adjustRightInd w:val="0"/>
              <w:snapToGrid w:val="0"/>
              <w:spacing w:line="360" w:lineRule="auto"/>
              <w:ind w:firstLine="480" w:firstLineChars="200"/>
              <w:rPr>
                <w:rFonts w:ascii="Times New Roman" w:hAnsi="Times New Roman" w:eastAsia="宋体" w:cs="Times New Roman"/>
                <w:bCs/>
                <w:sz w:val="24"/>
                <w:highlight w:val="none"/>
              </w:rPr>
            </w:pPr>
            <w:r>
              <w:rPr>
                <w:rFonts w:hint="eastAsia" w:ascii="Times New Roman" w:hAnsi="Times New Roman" w:eastAsia="宋体" w:cs="Times New Roman"/>
                <w:bCs/>
                <w:sz w:val="24"/>
                <w:highlight w:val="none"/>
              </w:rPr>
              <w:t>②不得乱排乱放废水。</w:t>
            </w:r>
          </w:p>
          <w:p w14:paraId="1C422806">
            <w:pPr>
              <w:adjustRightInd w:val="0"/>
              <w:snapToGrid w:val="0"/>
              <w:spacing w:line="360" w:lineRule="auto"/>
              <w:ind w:firstLine="480" w:firstLineChars="200"/>
              <w:rPr>
                <w:rFonts w:ascii="Times New Roman" w:hAnsi="Times New Roman" w:eastAsia="宋体" w:cs="Times New Roman"/>
                <w:bCs/>
                <w:sz w:val="24"/>
                <w:highlight w:val="none"/>
              </w:rPr>
            </w:pPr>
            <w:r>
              <w:rPr>
                <w:rFonts w:hint="eastAsia" w:ascii="Times New Roman" w:hAnsi="Times New Roman" w:eastAsia="宋体" w:cs="Times New Roman"/>
                <w:bCs/>
                <w:sz w:val="24"/>
                <w:highlight w:val="none"/>
              </w:rPr>
              <w:t>③现场人员应定期对泥浆干化池渗漏情况进行巡检，发现异常情况立即汇报和整改，并</w:t>
            </w:r>
            <w:r>
              <w:rPr>
                <w:rFonts w:hint="eastAsia" w:cs="Times New Roman"/>
                <w:bCs/>
                <w:sz w:val="24"/>
                <w:highlight w:val="none"/>
                <w:lang w:eastAsia="zh-CN"/>
              </w:rPr>
              <w:t>做好</w:t>
            </w:r>
            <w:r>
              <w:rPr>
                <w:rFonts w:hint="eastAsia" w:ascii="Times New Roman" w:hAnsi="Times New Roman" w:eastAsia="宋体" w:cs="Times New Roman"/>
                <w:bCs/>
                <w:sz w:val="24"/>
                <w:highlight w:val="none"/>
              </w:rPr>
              <w:t>记录。</w:t>
            </w:r>
          </w:p>
          <w:p w14:paraId="5A54EB4F">
            <w:pPr>
              <w:adjustRightInd w:val="0"/>
              <w:snapToGrid w:val="0"/>
              <w:spacing w:line="360" w:lineRule="auto"/>
              <w:ind w:firstLine="480" w:firstLineChars="200"/>
              <w:rPr>
                <w:rFonts w:ascii="Times New Roman" w:hAnsi="Times New Roman" w:eastAsia="宋体" w:cs="Times New Roman"/>
                <w:bCs/>
                <w:sz w:val="24"/>
                <w:highlight w:val="none"/>
              </w:rPr>
            </w:pPr>
            <w:r>
              <w:rPr>
                <w:rFonts w:ascii="Times New Roman" w:hAnsi="Times New Roman" w:eastAsia="宋体" w:cs="Times New Roman"/>
                <w:bCs/>
                <w:sz w:val="24"/>
                <w:highlight w:val="none"/>
              </w:rPr>
              <w:t>（2）车辆冲洗废水</w:t>
            </w:r>
          </w:p>
          <w:p w14:paraId="02BA53E1">
            <w:pPr>
              <w:adjustRightInd w:val="0"/>
              <w:snapToGrid w:val="0"/>
              <w:spacing w:line="360" w:lineRule="auto"/>
              <w:ind w:firstLine="480" w:firstLineChars="200"/>
              <w:rPr>
                <w:color w:val="auto"/>
                <w:sz w:val="24"/>
                <w:highlight w:val="none"/>
              </w:rPr>
            </w:pPr>
            <w:r>
              <w:rPr>
                <w:rFonts w:ascii="Times New Roman" w:hAnsi="Times New Roman" w:eastAsia="宋体" w:cs="Times New Roman"/>
                <w:bCs/>
                <w:sz w:val="24"/>
                <w:highlight w:val="none"/>
              </w:rPr>
              <w:t>井场进出口设置1个车辆冲洗平台，配套建设循环沉淀池，车辆清洗废水经沉淀池沉淀后循环使用，不外排。</w:t>
            </w:r>
          </w:p>
          <w:p w14:paraId="018A10AB">
            <w:pPr>
              <w:adjustRightInd w:val="0"/>
              <w:snapToGrid w:val="0"/>
              <w:spacing w:line="360" w:lineRule="auto"/>
              <w:ind w:firstLine="480" w:firstLineChars="200"/>
              <w:rPr>
                <w:rFonts w:hint="eastAsia" w:ascii="Times New Roman" w:hAnsi="Times New Roman" w:eastAsia="宋体" w:cs="Times New Roman"/>
                <w:bCs/>
                <w:sz w:val="24"/>
                <w:highlight w:val="none"/>
              </w:rPr>
            </w:pPr>
            <w:r>
              <w:rPr>
                <w:color w:val="auto"/>
                <w:sz w:val="24"/>
                <w:highlight w:val="none"/>
              </w:rPr>
              <w:t>（2）生</w:t>
            </w:r>
            <w:r>
              <w:rPr>
                <w:rFonts w:hint="eastAsia" w:ascii="Times New Roman" w:hAnsi="Times New Roman" w:eastAsia="宋体" w:cs="Times New Roman"/>
                <w:bCs/>
                <w:sz w:val="24"/>
                <w:highlight w:val="none"/>
              </w:rPr>
              <w:t>活污水</w:t>
            </w:r>
          </w:p>
          <w:p w14:paraId="3E588379">
            <w:pPr>
              <w:adjustRightInd w:val="0"/>
              <w:snapToGrid w:val="0"/>
              <w:spacing w:line="360" w:lineRule="auto"/>
              <w:ind w:firstLine="480" w:firstLineChars="200"/>
              <w:rPr>
                <w:rFonts w:hint="eastAsia" w:ascii="Times New Roman" w:hAnsi="Times New Roman" w:eastAsia="宋体" w:cs="Times New Roman"/>
                <w:bCs/>
                <w:sz w:val="24"/>
                <w:highlight w:val="none"/>
                <w:lang w:val="en-US" w:eastAsia="zh-CN"/>
              </w:rPr>
            </w:pPr>
            <w:r>
              <w:rPr>
                <w:rFonts w:ascii="Times New Roman" w:hAnsi="Times New Roman" w:eastAsia="宋体" w:cs="Times New Roman"/>
                <w:bCs/>
                <w:sz w:val="24"/>
                <w:highlight w:val="none"/>
              </w:rPr>
              <w:t>生活污水经化粪池预处理后定期委托第三方使用吸污车运送至</w:t>
            </w:r>
            <w:r>
              <w:rPr>
                <w:rFonts w:hint="eastAsia" w:ascii="Times New Roman" w:hAnsi="Times New Roman" w:eastAsia="宋体" w:cs="Times New Roman"/>
                <w:bCs/>
                <w:sz w:val="24"/>
                <w:highlight w:val="none"/>
              </w:rPr>
              <w:t>新集</w:t>
            </w:r>
            <w:r>
              <w:rPr>
                <w:rFonts w:hint="eastAsia" w:cs="Times New Roman"/>
                <w:bCs/>
                <w:sz w:val="24"/>
                <w:highlight w:val="none"/>
                <w:lang w:val="en-US" w:eastAsia="zh-CN"/>
              </w:rPr>
              <w:t>一</w:t>
            </w:r>
            <w:r>
              <w:rPr>
                <w:rFonts w:hint="eastAsia" w:ascii="Times New Roman" w:hAnsi="Times New Roman" w:eastAsia="宋体" w:cs="Times New Roman"/>
                <w:bCs/>
                <w:sz w:val="24"/>
                <w:highlight w:val="none"/>
              </w:rPr>
              <w:t>矿</w:t>
            </w:r>
            <w:r>
              <w:rPr>
                <w:rFonts w:ascii="Times New Roman" w:hAnsi="Times New Roman" w:eastAsia="宋体" w:cs="Times New Roman"/>
                <w:bCs/>
                <w:sz w:val="24"/>
                <w:highlight w:val="none"/>
              </w:rPr>
              <w:t>现有生活污水处理站进行处理。</w:t>
            </w:r>
          </w:p>
          <w:p w14:paraId="3A851BE8">
            <w:pPr>
              <w:widowControl/>
              <w:spacing w:line="360" w:lineRule="auto"/>
              <w:ind w:firstLine="482" w:firstLineChars="200"/>
              <w:rPr>
                <w:b/>
                <w:bCs/>
                <w:color w:val="auto"/>
                <w:sz w:val="24"/>
                <w:highlight w:val="none"/>
              </w:rPr>
            </w:pPr>
            <w:r>
              <w:rPr>
                <w:b/>
                <w:bCs/>
                <w:color w:val="auto"/>
                <w:sz w:val="24"/>
                <w:highlight w:val="none"/>
              </w:rPr>
              <w:t>3、噪声防治措施</w:t>
            </w:r>
          </w:p>
          <w:p w14:paraId="19118C36">
            <w:pPr>
              <w:spacing w:line="360" w:lineRule="auto"/>
              <w:ind w:firstLine="480" w:firstLineChars="200"/>
              <w:rPr>
                <w:bCs/>
                <w:color w:val="auto"/>
                <w:sz w:val="24"/>
                <w:highlight w:val="none"/>
              </w:rPr>
            </w:pPr>
            <w:r>
              <w:rPr>
                <w:bCs/>
                <w:color w:val="auto"/>
                <w:sz w:val="24"/>
                <w:highlight w:val="none"/>
              </w:rPr>
              <w:t>为减轻项目施工对周边环境的影响，评价提出如下措施加以控制：</w:t>
            </w:r>
          </w:p>
          <w:p w14:paraId="3F5C9BA8">
            <w:pPr>
              <w:spacing w:line="360" w:lineRule="auto"/>
              <w:ind w:firstLine="480" w:firstLineChars="200"/>
              <w:rPr>
                <w:bCs/>
                <w:color w:val="auto"/>
                <w:sz w:val="24"/>
                <w:highlight w:val="none"/>
              </w:rPr>
            </w:pPr>
            <w:r>
              <w:rPr>
                <w:bCs/>
                <w:color w:val="auto"/>
                <w:sz w:val="24"/>
                <w:highlight w:val="none"/>
              </w:rPr>
              <w:t>（1）施工中应尽量选用低噪声施工机械，如以液压机械代替燃油机械，并保持其良好的运行状态，尽量避免多台设备同时运转，以减少噪声对敏感点的叠加影响。</w:t>
            </w:r>
          </w:p>
          <w:p w14:paraId="188D9D33">
            <w:pPr>
              <w:spacing w:line="360" w:lineRule="auto"/>
              <w:ind w:firstLine="480" w:firstLineChars="200"/>
              <w:rPr>
                <w:bCs/>
                <w:color w:val="auto"/>
                <w:sz w:val="24"/>
                <w:highlight w:val="none"/>
              </w:rPr>
            </w:pPr>
            <w:r>
              <w:rPr>
                <w:bCs/>
                <w:color w:val="auto"/>
                <w:sz w:val="24"/>
                <w:highlight w:val="none"/>
              </w:rPr>
              <w:t>（2）合理布局，降低噪声影响：将发电机、泥浆泵等高噪声设备布设在场地内</w:t>
            </w:r>
            <w:r>
              <w:rPr>
                <w:rFonts w:hint="default"/>
                <w:bCs/>
                <w:color w:val="auto"/>
                <w:sz w:val="24"/>
                <w:highlight w:val="none"/>
              </w:rPr>
              <w:t>尽量远离周边居民点的一侧。优先将高噪声设备置于专用的发电机房、钻井房或隔声集装箱内，利用实体建筑进行隔声；在场地边界或靠近居民点一侧设置临时隔声屏障（隔声围挡），通过增加几何衰减距离和屏障阻隔，有效降低高噪声设备对周边声环境敏感点的影响范围。</w:t>
            </w:r>
          </w:p>
          <w:p w14:paraId="04FD972E">
            <w:pPr>
              <w:spacing w:line="360" w:lineRule="auto"/>
              <w:ind w:firstLine="480" w:firstLineChars="200"/>
              <w:rPr>
                <w:bCs/>
                <w:color w:val="auto"/>
                <w:sz w:val="24"/>
                <w:highlight w:val="none"/>
              </w:rPr>
            </w:pPr>
            <w:r>
              <w:rPr>
                <w:bCs/>
                <w:color w:val="auto"/>
                <w:sz w:val="24"/>
                <w:highlight w:val="none"/>
              </w:rPr>
              <w:t>（3）在钻井设备选型时选取高效低噪声设备，设备基础采用减振阻尼材料敷设。</w:t>
            </w:r>
          </w:p>
          <w:p w14:paraId="1C59B1D4">
            <w:pPr>
              <w:spacing w:line="360" w:lineRule="auto"/>
              <w:ind w:firstLine="480" w:firstLineChars="200"/>
              <w:rPr>
                <w:bCs/>
                <w:color w:val="auto"/>
                <w:sz w:val="24"/>
                <w:highlight w:val="none"/>
              </w:rPr>
            </w:pPr>
            <w:r>
              <w:rPr>
                <w:bCs/>
                <w:color w:val="auto"/>
                <w:sz w:val="24"/>
                <w:highlight w:val="none"/>
              </w:rPr>
              <w:t>（4）高噪声设备加装消声设施并置于室内且内衬吸声材料，如在施工机械的排气筒上加装消声器，并置于机房内且内衬吸声材料，安装减振基座；钻机置于钻井房内且内衬吸声材料，安装减振基座。</w:t>
            </w:r>
          </w:p>
          <w:p w14:paraId="3680D9DB">
            <w:pPr>
              <w:spacing w:line="360" w:lineRule="auto"/>
              <w:ind w:firstLine="480" w:firstLineChars="200"/>
              <w:rPr>
                <w:bCs/>
                <w:color w:val="auto"/>
                <w:sz w:val="24"/>
                <w:highlight w:val="none"/>
              </w:rPr>
            </w:pPr>
            <w:r>
              <w:rPr>
                <w:bCs/>
                <w:color w:val="auto"/>
                <w:sz w:val="24"/>
                <w:highlight w:val="none"/>
              </w:rPr>
              <w:t>（5）施工过</w:t>
            </w:r>
            <w:r>
              <w:rPr>
                <w:rFonts w:hint="eastAsia"/>
                <w:bCs/>
                <w:color w:val="auto"/>
                <w:sz w:val="24"/>
                <w:highlight w:val="none"/>
                <w:lang w:eastAsia="zh-CN"/>
              </w:rPr>
              <w:t>程中</w:t>
            </w:r>
            <w:r>
              <w:rPr>
                <w:bCs/>
                <w:color w:val="auto"/>
                <w:sz w:val="24"/>
                <w:highlight w:val="none"/>
              </w:rPr>
              <w:t>若实际施工噪声较大，造成扰民现象，可对井口外受噪声超标影响的居民协商采取临时租用或通过采用安装隔声屏、隔声墙、隔声窗等措施减小噪声影响，同时，建设单位应在开钻前与当地村委会、居民提前沟通，做好宣传、解释及安抚工作，以取得农户谅解，避免环保纠纷和投诉。</w:t>
            </w:r>
          </w:p>
          <w:p w14:paraId="764D6DD1">
            <w:pPr>
              <w:spacing w:line="360" w:lineRule="auto"/>
              <w:ind w:firstLine="480" w:firstLineChars="200"/>
              <w:rPr>
                <w:bCs/>
                <w:color w:val="auto"/>
                <w:sz w:val="24"/>
                <w:highlight w:val="none"/>
              </w:rPr>
            </w:pPr>
            <w:r>
              <w:rPr>
                <w:bCs/>
                <w:color w:val="auto"/>
                <w:sz w:val="24"/>
                <w:highlight w:val="none"/>
              </w:rPr>
              <w:t>（6）对施工车辆的运行线路，应尽量避开噪声敏感区域。</w:t>
            </w:r>
          </w:p>
          <w:p w14:paraId="3C5FC52B">
            <w:pPr>
              <w:spacing w:line="360" w:lineRule="auto"/>
              <w:ind w:firstLine="480" w:firstLineChars="200"/>
              <w:rPr>
                <w:bCs/>
                <w:color w:val="auto"/>
                <w:sz w:val="24"/>
                <w:highlight w:val="none"/>
              </w:rPr>
            </w:pPr>
            <w:r>
              <w:rPr>
                <w:bCs/>
                <w:color w:val="auto"/>
                <w:sz w:val="24"/>
                <w:highlight w:val="none"/>
              </w:rPr>
              <w:t>（7）物料进场选择在白天，装卸材料应做到轻拿轻放，做到文明施工；运输车辆进入施工现场严禁鸣笛，做到文明施工。</w:t>
            </w:r>
          </w:p>
          <w:p w14:paraId="3C639293">
            <w:pPr>
              <w:spacing w:line="360" w:lineRule="auto"/>
              <w:ind w:firstLine="480" w:firstLineChars="200"/>
              <w:rPr>
                <w:bCs/>
                <w:color w:val="auto"/>
                <w:sz w:val="24"/>
                <w:highlight w:val="none"/>
              </w:rPr>
            </w:pPr>
            <w:r>
              <w:rPr>
                <w:bCs/>
                <w:color w:val="auto"/>
                <w:sz w:val="24"/>
                <w:highlight w:val="none"/>
              </w:rPr>
              <w:t>（8）加强施工人员环评及降噪操作培训，明确管控责任，落实日常巡查，防范噪声超标风险；建筑施工过程中使用机械设备，可能产生环境噪声污染的，施工单位必须在开工15天前向工程所在地生态环境行政主管部门申报，经生态环境部门审查批准后方可开工。生态环境部门加强管理监督，采取抽查方式监测其场界噪声。限制其施工时间及高噪声施工机械，把施工噪声控制在允许范围之内。</w:t>
            </w:r>
          </w:p>
          <w:p w14:paraId="0CF6D725">
            <w:pPr>
              <w:spacing w:line="360" w:lineRule="auto"/>
              <w:ind w:firstLine="480" w:firstLineChars="200"/>
              <w:rPr>
                <w:bCs/>
                <w:color w:val="auto"/>
                <w:sz w:val="24"/>
                <w:highlight w:val="none"/>
              </w:rPr>
            </w:pPr>
            <w:r>
              <w:rPr>
                <w:bCs/>
                <w:color w:val="auto"/>
                <w:sz w:val="24"/>
                <w:highlight w:val="none"/>
              </w:rPr>
              <w:t>经采取上述污染防治措施后，施工噪声不会对周围环境造成的大的不利影响。</w:t>
            </w:r>
          </w:p>
          <w:p w14:paraId="1C71DF66">
            <w:pPr>
              <w:widowControl/>
              <w:spacing w:line="360" w:lineRule="auto"/>
              <w:ind w:firstLine="482" w:firstLineChars="200"/>
              <w:jc w:val="left"/>
              <w:rPr>
                <w:b/>
                <w:bCs/>
                <w:color w:val="auto"/>
                <w:kern w:val="0"/>
                <w:sz w:val="24"/>
                <w:highlight w:val="none"/>
                <w:lang w:bidi="ar"/>
              </w:rPr>
            </w:pPr>
            <w:r>
              <w:rPr>
                <w:b/>
                <w:bCs/>
                <w:color w:val="auto"/>
                <w:kern w:val="0"/>
                <w:sz w:val="24"/>
                <w:highlight w:val="none"/>
                <w:lang w:bidi="ar"/>
              </w:rPr>
              <w:t>4、固体污染物防治措施</w:t>
            </w:r>
          </w:p>
          <w:p w14:paraId="4B64A6BF">
            <w:pPr>
              <w:spacing w:line="360" w:lineRule="auto"/>
              <w:ind w:firstLine="480" w:firstLineChars="200"/>
              <w:rPr>
                <w:color w:val="auto"/>
                <w:sz w:val="24"/>
                <w:highlight w:val="none"/>
              </w:rPr>
            </w:pPr>
            <w:r>
              <w:rPr>
                <w:color w:val="auto"/>
                <w:sz w:val="24"/>
                <w:highlight w:val="none"/>
              </w:rPr>
              <w:t>本项目产生的固体废物主要为一般固废、生活垃圾和危险废物。</w:t>
            </w:r>
          </w:p>
          <w:p w14:paraId="29B08A23">
            <w:pPr>
              <w:spacing w:line="360" w:lineRule="auto"/>
              <w:ind w:firstLine="480" w:firstLineChars="200"/>
              <w:rPr>
                <w:color w:val="auto"/>
                <w:sz w:val="24"/>
                <w:highlight w:val="none"/>
              </w:rPr>
            </w:pPr>
            <w:r>
              <w:rPr>
                <w:color w:val="auto"/>
                <w:sz w:val="24"/>
                <w:highlight w:val="none"/>
              </w:rPr>
              <w:t>一般固废主要为钻井废液、钻井岩屑</w:t>
            </w:r>
            <w:r>
              <w:rPr>
                <w:rFonts w:hint="eastAsia"/>
                <w:color w:val="auto"/>
                <w:sz w:val="24"/>
                <w:highlight w:val="none"/>
                <w:lang w:eastAsia="zh-CN"/>
              </w:rPr>
              <w:t>、</w:t>
            </w:r>
            <w:r>
              <w:rPr>
                <w:rFonts w:hint="eastAsia"/>
                <w:color w:val="auto"/>
                <w:sz w:val="24"/>
                <w:highlight w:val="none"/>
                <w:lang w:val="en-US" w:eastAsia="zh-CN"/>
              </w:rPr>
              <w:t>废焊条及焊渣</w:t>
            </w:r>
            <w:r>
              <w:rPr>
                <w:color w:val="auto"/>
                <w:sz w:val="24"/>
                <w:highlight w:val="none"/>
              </w:rPr>
              <w:t>和废包装材料。生活垃圾主要来自员工办公。危险废物主要为废润滑油和废润滑油桶、废含油抹布和废含油手套。</w:t>
            </w:r>
          </w:p>
          <w:p w14:paraId="387BC561">
            <w:pPr>
              <w:pStyle w:val="7"/>
              <w:spacing w:line="360" w:lineRule="auto"/>
              <w:ind w:firstLine="480"/>
              <w:rPr>
                <w:color w:val="auto"/>
                <w:sz w:val="24"/>
                <w:highlight w:val="none"/>
              </w:rPr>
            </w:pPr>
            <w:r>
              <w:rPr>
                <w:color w:val="auto"/>
                <w:sz w:val="24"/>
                <w:highlight w:val="none"/>
              </w:rPr>
              <w:t>废泥浆暂存于泥浆池中，规范存储，禁止随意丢弃，定期交第三方公司综合利用。岩屑暂存于场地岩屑房中定期交第三方公司综合利用。</w:t>
            </w:r>
            <w:r>
              <w:rPr>
                <w:rFonts w:hint="eastAsia"/>
                <w:color w:val="auto"/>
                <w:sz w:val="24"/>
                <w:highlight w:val="none"/>
                <w:lang w:val="en-US" w:eastAsia="zh-CN"/>
              </w:rPr>
              <w:t>废焊条及焊渣</w:t>
            </w:r>
            <w:r>
              <w:rPr>
                <w:rFonts w:ascii="Segoe UI" w:hAnsi="Segoe UI" w:eastAsia="Segoe UI" w:cs="Segoe UI"/>
                <w:i w:val="0"/>
                <w:iCs w:val="0"/>
                <w:caps w:val="0"/>
                <w:color w:val="0F1115"/>
                <w:spacing w:val="0"/>
                <w:sz w:val="24"/>
                <w:szCs w:val="24"/>
                <w:shd w:val="clear" w:fill="FFFFFF"/>
              </w:rPr>
              <w:t>集中收集后交由物资回收公司综合利用</w:t>
            </w:r>
            <w:r>
              <w:rPr>
                <w:rFonts w:hint="eastAsia" w:ascii="Segoe UI" w:hAnsi="Segoe UI" w:eastAsia="宋体" w:cs="Segoe UI"/>
                <w:i w:val="0"/>
                <w:iCs w:val="0"/>
                <w:caps w:val="0"/>
                <w:color w:val="0F1115"/>
                <w:spacing w:val="0"/>
                <w:sz w:val="24"/>
                <w:szCs w:val="24"/>
                <w:shd w:val="clear" w:fill="FFFFFF"/>
                <w:lang w:eastAsia="zh-CN"/>
              </w:rPr>
              <w:t>。</w:t>
            </w:r>
            <w:r>
              <w:rPr>
                <w:color w:val="auto"/>
                <w:sz w:val="24"/>
                <w:highlight w:val="none"/>
              </w:rPr>
              <w:t>废包装袋拆包后即外售给综合利用人员，施工场地不存储。生活垃圾依托附近居民垃圾桶统一收集后，由环卫部门清运。</w:t>
            </w:r>
          </w:p>
          <w:p w14:paraId="5E0F005E">
            <w:pPr>
              <w:pStyle w:val="7"/>
              <w:spacing w:line="360" w:lineRule="auto"/>
              <w:ind w:firstLine="480"/>
              <w:rPr>
                <w:color w:val="auto"/>
                <w:sz w:val="24"/>
                <w:highlight w:val="none"/>
              </w:rPr>
            </w:pPr>
            <w:r>
              <w:rPr>
                <w:color w:val="auto"/>
                <w:sz w:val="24"/>
                <w:highlight w:val="none"/>
              </w:rPr>
              <w:t>项目施工过程中应加强废弃泥浆的管理，严禁随意丢弃和排放，避免对周边环境造成污染。废润滑油、废润滑油桶需集中收集，暂存于勘查区危废暂存间内，完钻后交由有资质单位处理；废含油抹布和废含油手套属于危险废物，暂存于井场危废暂存间内，</w:t>
            </w:r>
            <w:r>
              <w:rPr>
                <w:rFonts w:hint="eastAsia"/>
                <w:color w:val="auto"/>
                <w:sz w:val="24"/>
                <w:highlight w:val="none"/>
                <w:lang w:eastAsia="zh-CN"/>
              </w:rPr>
              <w:t>交</w:t>
            </w:r>
            <w:r>
              <w:rPr>
                <w:rFonts w:hint="eastAsia"/>
                <w:color w:val="auto"/>
                <w:sz w:val="24"/>
                <w:highlight w:val="none"/>
                <w:lang w:val="en-US" w:eastAsia="zh-CN"/>
              </w:rPr>
              <w:t>有</w:t>
            </w:r>
            <w:r>
              <w:rPr>
                <w:color w:val="auto"/>
                <w:sz w:val="24"/>
                <w:highlight w:val="none"/>
              </w:rPr>
              <w:t>资质单位处置。</w:t>
            </w:r>
            <w:r>
              <w:rPr>
                <w:bCs/>
                <w:color w:val="auto"/>
                <w:sz w:val="24"/>
                <w:highlight w:val="none"/>
              </w:rPr>
              <w:t>清场阶段废防渗材料</w:t>
            </w:r>
            <w:r>
              <w:rPr>
                <w:rFonts w:hint="eastAsia"/>
                <w:color w:val="auto"/>
                <w:sz w:val="24"/>
                <w:highlight w:val="none"/>
                <w:lang w:eastAsia="zh-CN"/>
              </w:rPr>
              <w:t>交</w:t>
            </w:r>
            <w:r>
              <w:rPr>
                <w:rFonts w:hint="eastAsia"/>
                <w:color w:val="auto"/>
                <w:sz w:val="24"/>
                <w:highlight w:val="none"/>
                <w:lang w:val="en-US" w:eastAsia="zh-CN"/>
              </w:rPr>
              <w:t>有</w:t>
            </w:r>
            <w:r>
              <w:rPr>
                <w:color w:val="auto"/>
                <w:sz w:val="24"/>
                <w:highlight w:val="none"/>
              </w:rPr>
              <w:t>资质单位处置。</w:t>
            </w:r>
          </w:p>
          <w:p w14:paraId="3EF69F0C">
            <w:pPr>
              <w:spacing w:line="360" w:lineRule="auto"/>
              <w:ind w:firstLine="480" w:firstLineChars="200"/>
              <w:rPr>
                <w:color w:val="auto"/>
                <w:sz w:val="24"/>
                <w:highlight w:val="none"/>
              </w:rPr>
            </w:pPr>
            <w:r>
              <w:rPr>
                <w:color w:val="auto"/>
                <w:sz w:val="24"/>
                <w:highlight w:val="none"/>
              </w:rPr>
              <w:t>综上所述，项目固废均得到合理处置，不会产生二次污染，对周边环境的影响较小。</w:t>
            </w:r>
          </w:p>
          <w:p w14:paraId="7408443B">
            <w:pPr>
              <w:spacing w:line="360" w:lineRule="auto"/>
              <w:ind w:firstLine="482" w:firstLineChars="200"/>
              <w:rPr>
                <w:b/>
                <w:bCs/>
                <w:color w:val="auto"/>
                <w:kern w:val="0"/>
                <w:sz w:val="24"/>
                <w:highlight w:val="none"/>
                <w:lang w:bidi="ar"/>
              </w:rPr>
            </w:pPr>
            <w:r>
              <w:rPr>
                <w:b/>
                <w:bCs/>
                <w:color w:val="auto"/>
                <w:kern w:val="0"/>
                <w:sz w:val="24"/>
                <w:highlight w:val="none"/>
                <w:lang w:bidi="ar"/>
              </w:rPr>
              <w:t>项目危险废物管理要求：</w:t>
            </w:r>
          </w:p>
          <w:p w14:paraId="1205D118">
            <w:pPr>
              <w:widowControl/>
              <w:spacing w:line="360" w:lineRule="auto"/>
              <w:ind w:firstLine="480" w:firstLineChars="200"/>
              <w:rPr>
                <w:bCs/>
                <w:color w:val="auto"/>
                <w:kern w:val="0"/>
                <w:sz w:val="24"/>
                <w:highlight w:val="none"/>
                <w:lang w:bidi="ar"/>
              </w:rPr>
            </w:pPr>
            <w:r>
              <w:rPr>
                <w:bCs/>
                <w:color w:val="auto"/>
                <w:kern w:val="0"/>
                <w:sz w:val="24"/>
                <w:highlight w:val="none"/>
                <w:lang w:bidi="ar"/>
              </w:rPr>
              <w:t>项目对废润滑油的收集、贮存和运输应满足《危险废物贮存污染控制标准》（GB18597-2023）及《废矿物油回收利用污染控制技术规范》（HJ607-2011）等相关要求，本次评价提出相关管理措施如下：</w:t>
            </w:r>
          </w:p>
          <w:p w14:paraId="5A81DFE8">
            <w:pPr>
              <w:widowControl/>
              <w:spacing w:line="360" w:lineRule="auto"/>
              <w:ind w:firstLine="480" w:firstLineChars="200"/>
              <w:rPr>
                <w:bCs/>
                <w:color w:val="auto"/>
                <w:kern w:val="0"/>
                <w:sz w:val="24"/>
                <w:highlight w:val="none"/>
                <w:lang w:bidi="ar"/>
              </w:rPr>
            </w:pPr>
            <w:r>
              <w:rPr>
                <w:bCs/>
                <w:color w:val="auto"/>
                <w:kern w:val="0"/>
                <w:sz w:val="24"/>
                <w:highlight w:val="none"/>
                <w:lang w:bidi="ar"/>
              </w:rPr>
              <w:t>（1）收集</w:t>
            </w:r>
          </w:p>
          <w:p w14:paraId="1D052D6C">
            <w:pPr>
              <w:widowControl/>
              <w:spacing w:line="360" w:lineRule="auto"/>
              <w:ind w:firstLine="480" w:firstLineChars="200"/>
              <w:rPr>
                <w:bCs/>
                <w:color w:val="auto"/>
                <w:kern w:val="0"/>
                <w:sz w:val="24"/>
                <w:highlight w:val="none"/>
                <w:lang w:bidi="ar"/>
              </w:rPr>
            </w:pPr>
            <w:r>
              <w:rPr>
                <w:bCs/>
                <w:color w:val="auto"/>
                <w:kern w:val="0"/>
                <w:sz w:val="24"/>
                <w:highlight w:val="none"/>
                <w:lang w:bidi="ar"/>
              </w:rPr>
              <w:t>①采用专用容器进行收集，严格按照相关规定在产生源收集，并保证收集所用的废润滑油桶完好无损，无腐蚀、损毁或其他导致其使用能效减弱的缺陷，设置警示标识，并及时安全转运或处理处置。</w:t>
            </w:r>
          </w:p>
          <w:p w14:paraId="1D68DEF1">
            <w:pPr>
              <w:widowControl/>
              <w:spacing w:line="360" w:lineRule="auto"/>
              <w:ind w:firstLine="480" w:firstLineChars="200"/>
              <w:rPr>
                <w:bCs/>
                <w:color w:val="auto"/>
                <w:kern w:val="0"/>
                <w:sz w:val="24"/>
                <w:highlight w:val="none"/>
                <w:lang w:bidi="ar"/>
              </w:rPr>
            </w:pPr>
            <w:r>
              <w:rPr>
                <w:bCs/>
                <w:color w:val="auto"/>
                <w:kern w:val="0"/>
                <w:sz w:val="24"/>
                <w:highlight w:val="none"/>
                <w:lang w:bidi="ar"/>
              </w:rPr>
              <w:t>②场内应设置应急接收装置和相应防渗（漏）措施，若发生</w:t>
            </w:r>
            <w:r>
              <w:rPr>
                <w:rFonts w:hint="eastAsia"/>
                <w:bCs/>
                <w:color w:val="auto"/>
                <w:kern w:val="0"/>
                <w:sz w:val="24"/>
                <w:highlight w:val="none"/>
                <w:lang w:eastAsia="zh-CN" w:bidi="ar"/>
              </w:rPr>
              <w:t>泄漏</w:t>
            </w:r>
            <w:r>
              <w:rPr>
                <w:bCs/>
                <w:color w:val="auto"/>
                <w:kern w:val="0"/>
                <w:sz w:val="24"/>
                <w:highlight w:val="none"/>
                <w:lang w:bidi="ar"/>
              </w:rPr>
              <w:t>，应及时收集，并清理现场。</w:t>
            </w:r>
          </w:p>
          <w:p w14:paraId="4898D3FF">
            <w:pPr>
              <w:widowControl/>
              <w:spacing w:line="360" w:lineRule="auto"/>
              <w:ind w:firstLine="480" w:firstLineChars="200"/>
              <w:rPr>
                <w:bCs/>
                <w:color w:val="auto"/>
                <w:kern w:val="0"/>
                <w:sz w:val="24"/>
                <w:highlight w:val="none"/>
                <w:lang w:bidi="ar"/>
              </w:rPr>
            </w:pPr>
            <w:r>
              <w:rPr>
                <w:bCs/>
                <w:color w:val="auto"/>
                <w:kern w:val="0"/>
                <w:sz w:val="24"/>
                <w:highlight w:val="none"/>
                <w:lang w:bidi="ar"/>
              </w:rPr>
              <w:t>③禁止将一般固废、生活垃圾等混入危险废物收集设施内。</w:t>
            </w:r>
          </w:p>
          <w:p w14:paraId="41CAF338">
            <w:pPr>
              <w:widowControl/>
              <w:spacing w:line="360" w:lineRule="auto"/>
              <w:ind w:firstLine="480" w:firstLineChars="200"/>
              <w:rPr>
                <w:rFonts w:hint="eastAsia"/>
                <w:bCs/>
                <w:color w:val="auto"/>
                <w:kern w:val="0"/>
                <w:sz w:val="24"/>
                <w:highlight w:val="none"/>
                <w:lang w:bidi="ar"/>
              </w:rPr>
            </w:pPr>
            <w:r>
              <w:rPr>
                <w:bCs/>
                <w:color w:val="auto"/>
                <w:kern w:val="0"/>
                <w:sz w:val="24"/>
                <w:highlight w:val="none"/>
                <w:lang w:bidi="ar"/>
              </w:rPr>
              <w:t>（2）暂存</w:t>
            </w:r>
            <w:r>
              <w:rPr>
                <w:rFonts w:hint="eastAsia"/>
                <w:bCs/>
                <w:color w:val="auto"/>
                <w:kern w:val="0"/>
                <w:sz w:val="24"/>
                <w:highlight w:val="none"/>
                <w:lang w:bidi="ar"/>
              </w:rPr>
              <w:t xml:space="preserve"> </w:t>
            </w:r>
          </w:p>
          <w:p w14:paraId="502114F7">
            <w:pPr>
              <w:widowControl/>
              <w:spacing w:line="360" w:lineRule="auto"/>
              <w:ind w:firstLine="480" w:firstLineChars="200"/>
              <w:rPr>
                <w:color w:val="auto"/>
                <w:sz w:val="24"/>
                <w:highlight w:val="none"/>
                <w:lang w:bidi="ar"/>
              </w:rPr>
            </w:pPr>
            <w:r>
              <w:rPr>
                <w:bCs/>
                <w:color w:val="auto"/>
                <w:kern w:val="0"/>
                <w:sz w:val="24"/>
                <w:highlight w:val="none"/>
                <w:lang w:bidi="ar"/>
              </w:rPr>
              <w:t>施工场地内建设危废库，用于暂存废润滑油和废润滑油桶，危废暂存间的设置应满足《危险废物贮存污染控制标准》（GB18597-2023）</w:t>
            </w:r>
            <w:r>
              <w:rPr>
                <w:color w:val="auto"/>
                <w:sz w:val="24"/>
                <w:highlight w:val="none"/>
                <w:lang w:bidi="ar"/>
              </w:rPr>
              <w:t>中的环保要求。</w:t>
            </w:r>
          </w:p>
          <w:p w14:paraId="3903C93A">
            <w:pPr>
              <w:widowControl/>
              <w:spacing w:line="360" w:lineRule="auto"/>
              <w:ind w:firstLine="480" w:firstLineChars="200"/>
              <w:rPr>
                <w:color w:val="auto"/>
                <w:sz w:val="24"/>
                <w:highlight w:val="none"/>
                <w:lang w:bidi="ar"/>
              </w:rPr>
            </w:pPr>
            <w:r>
              <w:rPr>
                <w:color w:val="auto"/>
                <w:sz w:val="24"/>
                <w:highlight w:val="none"/>
                <w:lang w:bidi="ar"/>
              </w:rPr>
              <w:t>①</w:t>
            </w:r>
            <w:r>
              <w:rPr>
                <w:color w:val="auto"/>
                <w:sz w:val="24"/>
                <w:highlight w:val="none"/>
              </w:rPr>
              <w:t>危废暂存间选址、设计、标识、运行、安全防护和关闭等措施应按照《危险废物贮存控制标准》的相关要求进行，</w:t>
            </w:r>
            <w:r>
              <w:rPr>
                <w:color w:val="auto"/>
                <w:kern w:val="0"/>
                <w:sz w:val="24"/>
                <w:highlight w:val="none"/>
              </w:rPr>
              <w:t>危废暂存间应按照《危险废物贮存污染控制标准》的相关要求进行，基础必须防渗，防渗层为至少1米厚粘土层(渗透系数≤10</w:t>
            </w:r>
            <w:r>
              <w:rPr>
                <w:color w:val="auto"/>
                <w:kern w:val="0"/>
                <w:sz w:val="24"/>
                <w:highlight w:val="none"/>
                <w:vertAlign w:val="superscript"/>
              </w:rPr>
              <w:t>-7</w:t>
            </w:r>
            <w:r>
              <w:rPr>
                <w:color w:val="auto"/>
                <w:kern w:val="0"/>
                <w:sz w:val="24"/>
                <w:highlight w:val="none"/>
              </w:rPr>
              <w:t>cm/s)，或2毫米厚</w:t>
            </w:r>
            <w:r>
              <w:rPr>
                <w:color w:val="auto"/>
                <w:sz w:val="24"/>
                <w:highlight w:val="none"/>
              </w:rPr>
              <w:fldChar w:fldCharType="begin"/>
            </w:r>
            <w:r>
              <w:rPr>
                <w:color w:val="auto"/>
                <w:sz w:val="24"/>
                <w:highlight w:val="none"/>
              </w:rPr>
              <w:instrText xml:space="preserve"> HYPERLINK "https://baike.so.com/doc/6184927-6398177.html" \t "_blank" </w:instrText>
            </w:r>
            <w:r>
              <w:rPr>
                <w:color w:val="auto"/>
                <w:sz w:val="24"/>
                <w:highlight w:val="none"/>
              </w:rPr>
              <w:fldChar w:fldCharType="separate"/>
            </w:r>
            <w:r>
              <w:rPr>
                <w:color w:val="auto"/>
                <w:kern w:val="0"/>
                <w:sz w:val="24"/>
                <w:highlight w:val="none"/>
              </w:rPr>
              <w:t>高密度聚乙烯</w:t>
            </w:r>
            <w:r>
              <w:rPr>
                <w:color w:val="auto"/>
                <w:kern w:val="0"/>
                <w:sz w:val="24"/>
                <w:highlight w:val="none"/>
              </w:rPr>
              <w:fldChar w:fldCharType="end"/>
            </w:r>
            <w:r>
              <w:rPr>
                <w:color w:val="auto"/>
                <w:kern w:val="0"/>
                <w:sz w:val="24"/>
                <w:highlight w:val="none"/>
              </w:rPr>
              <w:t>，或至少2毫米厚的其它人工材料，渗透系数≤10</w:t>
            </w:r>
            <w:r>
              <w:rPr>
                <w:color w:val="auto"/>
                <w:kern w:val="0"/>
                <w:sz w:val="24"/>
                <w:highlight w:val="none"/>
                <w:vertAlign w:val="superscript"/>
              </w:rPr>
              <w:t>-10</w:t>
            </w:r>
            <w:r>
              <w:rPr>
                <w:color w:val="auto"/>
                <w:kern w:val="0"/>
                <w:sz w:val="24"/>
                <w:highlight w:val="none"/>
              </w:rPr>
              <w:t>cm/s</w:t>
            </w:r>
            <w:r>
              <w:rPr>
                <w:color w:val="auto"/>
                <w:sz w:val="24"/>
                <w:highlight w:val="none"/>
              </w:rPr>
              <w:t>，应设计堵截泄漏的裙脚、地面与</w:t>
            </w:r>
            <w:r>
              <w:rPr>
                <w:rFonts w:hint="eastAsia"/>
                <w:color w:val="auto"/>
                <w:sz w:val="24"/>
                <w:highlight w:val="none"/>
                <w:lang w:eastAsia="zh-CN"/>
              </w:rPr>
              <w:t>裙</w:t>
            </w:r>
            <w:r>
              <w:rPr>
                <w:color w:val="auto"/>
                <w:sz w:val="24"/>
                <w:highlight w:val="none"/>
              </w:rPr>
              <w:t>脚所围建的容积不低于堵截最大容器的最大储量或总储量的1/5，采用的防漏裙脚或储漏盘的材料要与危险废物相容</w:t>
            </w:r>
            <w:r>
              <w:rPr>
                <w:color w:val="auto"/>
                <w:sz w:val="24"/>
                <w:highlight w:val="none"/>
                <w:lang w:bidi="ar"/>
              </w:rPr>
              <w:t>。</w:t>
            </w:r>
          </w:p>
          <w:p w14:paraId="779A5FC8">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②危废暂存间内的危险废物需做到及时外运妥善处置，确保场内有足够接纳能力，避免场内危险废物暂存容量超过负荷导致收贮不合理，造成危废</w:t>
            </w:r>
            <w:r>
              <w:rPr>
                <w:rFonts w:hint="eastAsia" w:ascii="Times New Roman" w:hAnsi="Times New Roman"/>
                <w:color w:val="auto"/>
                <w:highlight w:val="none"/>
                <w:lang w:eastAsia="zh-CN" w:bidi="ar"/>
              </w:rPr>
              <w:t>泄漏</w:t>
            </w:r>
            <w:r>
              <w:rPr>
                <w:rFonts w:ascii="Times New Roman" w:hAnsi="Times New Roman"/>
                <w:color w:val="auto"/>
                <w:highlight w:val="none"/>
                <w:lang w:bidi="ar"/>
              </w:rPr>
              <w:t>。</w:t>
            </w:r>
          </w:p>
          <w:p w14:paraId="73B2835A">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③危险废物贮存设施必须按照GB15562.2的规定设置警示标志。</w:t>
            </w:r>
          </w:p>
          <w:p w14:paraId="64817CC7">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④危险废物暂存设施要进行防风、防雨、防晒、防流失。</w:t>
            </w:r>
          </w:p>
          <w:p w14:paraId="7C6C77FE">
            <w:pPr>
              <w:spacing w:line="240" w:lineRule="atLeast"/>
              <w:jc w:val="center"/>
              <w:rPr>
                <w:rFonts w:hint="default" w:ascii="Times New Roman" w:hAnsi="Times New Roman" w:eastAsia="黑体" w:cs="Times New Roman"/>
                <w:color w:val="auto"/>
                <w:szCs w:val="20"/>
                <w:highlight w:val="none"/>
                <w:lang w:val="en-US" w:eastAsia="zh-CN"/>
              </w:rPr>
            </w:pPr>
            <w:r>
              <w:rPr>
                <w:rFonts w:hint="default" w:ascii="Times New Roman" w:hAnsi="Times New Roman" w:eastAsia="黑体" w:cs="Times New Roman"/>
                <w:color w:val="auto"/>
                <w:szCs w:val="20"/>
                <w:highlight w:val="none"/>
                <w:lang w:val="en-US" w:eastAsia="zh-CN"/>
              </w:rPr>
              <w:t>表</w:t>
            </w:r>
            <w:r>
              <w:rPr>
                <w:rFonts w:hint="eastAsia" w:ascii="Times New Roman" w:hAnsi="Times New Roman" w:eastAsia="黑体" w:cs="Times New Roman"/>
                <w:color w:val="auto"/>
                <w:szCs w:val="20"/>
                <w:highlight w:val="none"/>
                <w:lang w:val="en-US" w:eastAsia="zh-CN"/>
              </w:rPr>
              <w:t>5-2</w:t>
            </w:r>
            <w:r>
              <w:rPr>
                <w:rFonts w:hint="default" w:ascii="Times New Roman" w:hAnsi="Times New Roman" w:eastAsia="黑体" w:cs="Times New Roman"/>
                <w:color w:val="auto"/>
                <w:szCs w:val="20"/>
                <w:highlight w:val="none"/>
                <w:lang w:val="en-US" w:eastAsia="zh-CN"/>
              </w:rPr>
              <w:t xml:space="preserve"> </w:t>
            </w:r>
            <w:r>
              <w:rPr>
                <w:rFonts w:hint="eastAsia" w:ascii="Times New Roman" w:hAnsi="Times New Roman" w:eastAsia="黑体" w:cs="Times New Roman"/>
                <w:color w:val="auto"/>
                <w:szCs w:val="20"/>
                <w:highlight w:val="none"/>
                <w:lang w:val="en-US" w:eastAsia="zh-CN"/>
              </w:rPr>
              <w:t xml:space="preserve"> 项目厂区污染防治措施一览表</w:t>
            </w:r>
          </w:p>
          <w:tbl>
            <w:tblPr>
              <w:tblStyle w:val="2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96"/>
              <w:gridCol w:w="1181"/>
              <w:gridCol w:w="1181"/>
              <w:gridCol w:w="794"/>
              <w:gridCol w:w="1949"/>
              <w:gridCol w:w="1928"/>
            </w:tblGrid>
            <w:tr w14:paraId="0124C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noWrap w:val="0"/>
                  <w:vAlign w:val="center"/>
                </w:tcPr>
                <w:p w14:paraId="5527D80E">
                  <w:pPr>
                    <w:jc w:val="center"/>
                    <w:rPr>
                      <w:rFonts w:ascii="Times New Roman" w:hAnsi="Times New Roman" w:eastAsia="宋体" w:cs="Times New Roman"/>
                      <w:b/>
                      <w:bCs/>
                      <w:color w:val="auto"/>
                      <w:szCs w:val="21"/>
                      <w:highlight w:val="none"/>
                    </w:rPr>
                  </w:pPr>
                  <w:r>
                    <w:rPr>
                      <w:rFonts w:hint="eastAsia" w:ascii="Times New Roman" w:hAnsi="Times New Roman" w:eastAsia="宋体" w:cs="Times New Roman"/>
                      <w:b/>
                      <w:bCs/>
                      <w:color w:val="auto"/>
                      <w:szCs w:val="21"/>
                      <w:highlight w:val="none"/>
                    </w:rPr>
                    <w:t>序号</w:t>
                  </w:r>
                </w:p>
              </w:tc>
              <w:tc>
                <w:tcPr>
                  <w:tcW w:w="784" w:type="pct"/>
                  <w:noWrap w:val="0"/>
                  <w:vAlign w:val="center"/>
                </w:tcPr>
                <w:p w14:paraId="15F2AB50">
                  <w:pPr>
                    <w:jc w:val="center"/>
                    <w:rPr>
                      <w:rFonts w:ascii="Times New Roman" w:hAnsi="Times New Roman" w:eastAsia="宋体" w:cs="Times New Roman"/>
                      <w:b/>
                      <w:bCs/>
                      <w:color w:val="auto"/>
                      <w:szCs w:val="21"/>
                      <w:highlight w:val="none"/>
                    </w:rPr>
                  </w:pPr>
                  <w:r>
                    <w:rPr>
                      <w:rFonts w:hint="eastAsia" w:ascii="Times New Roman" w:hAnsi="Times New Roman" w:eastAsia="宋体" w:cs="Times New Roman"/>
                      <w:b/>
                      <w:bCs/>
                      <w:color w:val="auto"/>
                      <w:szCs w:val="21"/>
                      <w:highlight w:val="none"/>
                    </w:rPr>
                    <w:t>装置、单元名称</w:t>
                  </w:r>
                </w:p>
              </w:tc>
              <w:tc>
                <w:tcPr>
                  <w:tcW w:w="784" w:type="pct"/>
                  <w:noWrap w:val="0"/>
                  <w:vAlign w:val="center"/>
                </w:tcPr>
                <w:p w14:paraId="07516CD3">
                  <w:pPr>
                    <w:jc w:val="center"/>
                    <w:rPr>
                      <w:rFonts w:ascii="Times New Roman" w:hAnsi="Times New Roman" w:eastAsia="宋体" w:cs="Times New Roman"/>
                      <w:b/>
                      <w:bCs/>
                      <w:color w:val="auto"/>
                      <w:szCs w:val="21"/>
                      <w:highlight w:val="none"/>
                    </w:rPr>
                  </w:pPr>
                  <w:r>
                    <w:rPr>
                      <w:rFonts w:hint="eastAsia" w:ascii="Times New Roman" w:hAnsi="Times New Roman" w:eastAsia="宋体" w:cs="Times New Roman"/>
                      <w:b/>
                      <w:bCs/>
                      <w:color w:val="auto"/>
                      <w:szCs w:val="21"/>
                      <w:highlight w:val="none"/>
                    </w:rPr>
                    <w:t>防渗区域及部位</w:t>
                  </w:r>
                </w:p>
              </w:tc>
              <w:tc>
                <w:tcPr>
                  <w:tcW w:w="527" w:type="pct"/>
                  <w:noWrap w:val="0"/>
                  <w:vAlign w:val="center"/>
                </w:tcPr>
                <w:p w14:paraId="6363A5AF">
                  <w:pPr>
                    <w:jc w:val="center"/>
                    <w:rPr>
                      <w:rFonts w:ascii="Times New Roman" w:hAnsi="Times New Roman" w:eastAsia="宋体" w:cs="Times New Roman"/>
                      <w:b/>
                      <w:bCs/>
                      <w:color w:val="auto"/>
                      <w:szCs w:val="21"/>
                      <w:highlight w:val="none"/>
                    </w:rPr>
                  </w:pPr>
                  <w:r>
                    <w:rPr>
                      <w:rFonts w:hint="eastAsia" w:ascii="Times New Roman" w:hAnsi="Times New Roman" w:eastAsia="宋体" w:cs="Times New Roman"/>
                      <w:b/>
                      <w:bCs/>
                      <w:color w:val="auto"/>
                      <w:szCs w:val="21"/>
                      <w:highlight w:val="none"/>
                    </w:rPr>
                    <w:t>类别</w:t>
                  </w:r>
                </w:p>
              </w:tc>
              <w:tc>
                <w:tcPr>
                  <w:tcW w:w="1293" w:type="pct"/>
                  <w:noWrap w:val="0"/>
                  <w:vAlign w:val="center"/>
                </w:tcPr>
                <w:p w14:paraId="70BE9DB5">
                  <w:pPr>
                    <w:jc w:val="center"/>
                    <w:rPr>
                      <w:rFonts w:ascii="Times New Roman" w:hAnsi="Times New Roman" w:eastAsia="宋体" w:cs="Times New Roman"/>
                      <w:b/>
                      <w:bCs/>
                      <w:color w:val="auto"/>
                      <w:szCs w:val="21"/>
                      <w:highlight w:val="none"/>
                    </w:rPr>
                  </w:pPr>
                  <w:r>
                    <w:rPr>
                      <w:rFonts w:hint="eastAsia" w:ascii="Times New Roman" w:hAnsi="Times New Roman" w:eastAsia="宋体" w:cs="Times New Roman"/>
                      <w:b/>
                      <w:bCs/>
                      <w:color w:val="auto"/>
                      <w:szCs w:val="21"/>
                      <w:highlight w:val="none"/>
                    </w:rPr>
                    <w:t>防渗</w:t>
                  </w:r>
                  <w:r>
                    <w:rPr>
                      <w:rFonts w:hint="eastAsia" w:ascii="Times New Roman" w:hAnsi="Times New Roman" w:eastAsia="宋体" w:cs="Times New Roman"/>
                      <w:b/>
                      <w:bCs/>
                      <w:color w:val="auto"/>
                      <w:szCs w:val="21"/>
                      <w:highlight w:val="none"/>
                      <w:lang w:val="en-US" w:eastAsia="zh-CN"/>
                    </w:rPr>
                    <w:t>技术</w:t>
                  </w:r>
                  <w:r>
                    <w:rPr>
                      <w:rFonts w:hint="eastAsia" w:ascii="Times New Roman" w:hAnsi="Times New Roman" w:eastAsia="宋体" w:cs="Times New Roman"/>
                      <w:b/>
                      <w:bCs/>
                      <w:color w:val="auto"/>
                      <w:szCs w:val="21"/>
                      <w:highlight w:val="none"/>
                    </w:rPr>
                    <w:t>要求</w:t>
                  </w:r>
                </w:p>
              </w:tc>
              <w:tc>
                <w:tcPr>
                  <w:tcW w:w="1279" w:type="pct"/>
                  <w:noWrap w:val="0"/>
                  <w:vAlign w:val="center"/>
                </w:tcPr>
                <w:p w14:paraId="451F5477">
                  <w:pPr>
                    <w:jc w:val="center"/>
                    <w:rPr>
                      <w:rFonts w:hint="eastAsia" w:ascii="Times New Roman" w:hAnsi="Times New Roman" w:eastAsia="宋体" w:cs="Times New Roman"/>
                      <w:b/>
                      <w:bCs/>
                      <w:color w:val="auto"/>
                      <w:szCs w:val="21"/>
                      <w:highlight w:val="none"/>
                    </w:rPr>
                  </w:pPr>
                  <w:r>
                    <w:rPr>
                      <w:rFonts w:hint="eastAsia" w:ascii="Times New Roman" w:hAnsi="Times New Roman" w:eastAsia="宋体" w:cs="Times New Roman"/>
                      <w:b/>
                      <w:bCs/>
                      <w:color w:val="auto"/>
                      <w:szCs w:val="21"/>
                      <w:highlight w:val="none"/>
                    </w:rPr>
                    <w:t>具体措施</w:t>
                  </w:r>
                </w:p>
              </w:tc>
            </w:tr>
            <w:tr w14:paraId="48E8C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29" w:type="pct"/>
                  <w:noWrap w:val="0"/>
                  <w:vAlign w:val="center"/>
                </w:tcPr>
                <w:p w14:paraId="73111564">
                  <w:pPr>
                    <w:jc w:val="center"/>
                    <w:rPr>
                      <w:rFonts w:hint="eastAsia"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1</w:t>
                  </w:r>
                </w:p>
              </w:tc>
              <w:tc>
                <w:tcPr>
                  <w:tcW w:w="784" w:type="pct"/>
                  <w:noWrap w:val="0"/>
                  <w:vAlign w:val="center"/>
                </w:tcPr>
                <w:p w14:paraId="1478CD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color w:val="auto"/>
                      <w:szCs w:val="21"/>
                      <w:highlight w:val="none"/>
                    </w:rPr>
                  </w:pPr>
                  <w:r>
                    <w:rPr>
                      <w:rFonts w:hint="default" w:ascii="Times New Roman" w:hAnsi="Times New Roman" w:eastAsia="宋体" w:cs="Times New Roman"/>
                      <w:color w:val="auto"/>
                      <w:kern w:val="2"/>
                      <w:sz w:val="21"/>
                      <w:szCs w:val="21"/>
                      <w:highlight w:val="none"/>
                      <w:lang w:val="en-US" w:eastAsia="zh-CN" w:bidi="ar-SA"/>
                    </w:rPr>
                    <w:t>危废库</w:t>
                  </w:r>
                </w:p>
              </w:tc>
              <w:tc>
                <w:tcPr>
                  <w:tcW w:w="784" w:type="pct"/>
                  <w:noWrap w:val="0"/>
                  <w:vAlign w:val="center"/>
                </w:tcPr>
                <w:p w14:paraId="66C3FA18">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lang w:val="en-US" w:eastAsia="zh-CN"/>
                    </w:rPr>
                    <w:t>危废库</w:t>
                  </w:r>
                  <w:r>
                    <w:rPr>
                      <w:rFonts w:hint="eastAsia" w:ascii="Times New Roman" w:hAnsi="Times New Roman" w:eastAsia="宋体" w:cs="Times New Roman"/>
                      <w:color w:val="auto"/>
                      <w:szCs w:val="21"/>
                      <w:highlight w:val="none"/>
                      <w:lang w:val="en-US" w:eastAsia="zh-CN"/>
                    </w:rPr>
                    <w:t>地面，墙裙</w:t>
                  </w:r>
                </w:p>
              </w:tc>
              <w:tc>
                <w:tcPr>
                  <w:tcW w:w="527" w:type="pct"/>
                  <w:noWrap w:val="0"/>
                  <w:vAlign w:val="center"/>
                </w:tcPr>
                <w:p w14:paraId="7DC3A8ED">
                  <w:pPr>
                    <w:jc w:val="center"/>
                    <w:rPr>
                      <w:rFonts w:hint="eastAsia" w:ascii="Times New Roman" w:hAnsi="Times New Roman" w:eastAsia="宋体" w:cs="Times New Roman"/>
                      <w:b/>
                      <w:bCs/>
                      <w:color w:val="auto"/>
                      <w:szCs w:val="21"/>
                      <w:highlight w:val="none"/>
                    </w:rPr>
                  </w:pPr>
                  <w:r>
                    <w:rPr>
                      <w:rFonts w:hint="eastAsia" w:ascii="Times New Roman" w:hAnsi="Times New Roman" w:eastAsia="宋体" w:cs="Times New Roman"/>
                      <w:color w:val="auto"/>
                      <w:szCs w:val="21"/>
                      <w:highlight w:val="none"/>
                    </w:rPr>
                    <w:t>重点防渗</w:t>
                  </w:r>
                </w:p>
              </w:tc>
              <w:tc>
                <w:tcPr>
                  <w:tcW w:w="1293" w:type="pct"/>
                  <w:noWrap w:val="0"/>
                  <w:vAlign w:val="center"/>
                </w:tcPr>
                <w:p w14:paraId="68BE1A12">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危废间应满足</w:t>
                  </w:r>
                  <w:r>
                    <w:rPr>
                      <w:rFonts w:hint="eastAsia" w:ascii="Times New Roman" w:hAnsi="Times New Roman" w:eastAsia="宋体" w:cs="Times New Roman"/>
                      <w:color w:val="auto"/>
                      <w:szCs w:val="21"/>
                      <w:highlight w:val="none"/>
                    </w:rPr>
                    <w:t>《危险废物贮存污染控制标准》（GB18597-20</w:t>
                  </w:r>
                  <w:r>
                    <w:rPr>
                      <w:rFonts w:hint="eastAsia" w:ascii="Times New Roman" w:hAnsi="Times New Roman" w:eastAsia="宋体" w:cs="Times New Roman"/>
                      <w:color w:val="auto"/>
                      <w:szCs w:val="21"/>
                      <w:highlight w:val="none"/>
                      <w:lang w:val="en-US" w:eastAsia="zh-CN"/>
                    </w:rPr>
                    <w:t>23</w:t>
                  </w:r>
                  <w:r>
                    <w:rPr>
                      <w:rFonts w:hint="eastAsia"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的</w:t>
                  </w:r>
                  <w:r>
                    <w:rPr>
                      <w:rFonts w:hint="eastAsia" w:ascii="Times New Roman" w:hAnsi="Times New Roman" w:eastAsia="宋体" w:cs="Times New Roman"/>
                      <w:color w:val="auto"/>
                      <w:szCs w:val="21"/>
                      <w:highlight w:val="none"/>
                    </w:rPr>
                    <w:t>要求</w:t>
                  </w:r>
                </w:p>
              </w:tc>
              <w:tc>
                <w:tcPr>
                  <w:tcW w:w="1279" w:type="pct"/>
                  <w:noWrap w:val="0"/>
                  <w:vAlign w:val="center"/>
                </w:tcPr>
                <w:p w14:paraId="3E15DD22">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eastAsia="zh-CN"/>
                    </w:rPr>
                    <w:t>采用</w:t>
                  </w:r>
                  <w:r>
                    <w:rPr>
                      <w:rFonts w:hint="eastAsia" w:ascii="Times New Roman" w:hAnsi="Times New Roman" w:eastAsia="宋体" w:cs="Times New Roman"/>
                      <w:color w:val="auto"/>
                      <w:szCs w:val="21"/>
                      <w:highlight w:val="none"/>
                    </w:rPr>
                    <w:t>至少2mm厚的HD</w:t>
                  </w:r>
                  <w:r>
                    <w:rPr>
                      <w:rFonts w:hint="eastAsia" w:ascii="Times New Roman" w:hAnsi="Times New Roman" w:eastAsia="宋体" w:cs="Times New Roman"/>
                      <w:color w:val="auto"/>
                      <w:szCs w:val="21"/>
                      <w:highlight w:val="none"/>
                      <w:lang w:val="en-US" w:eastAsia="zh-CN"/>
                    </w:rPr>
                    <w:t>P</w:t>
                  </w:r>
                  <w:r>
                    <w:rPr>
                      <w:rFonts w:hint="eastAsia" w:ascii="Times New Roman" w:hAnsi="Times New Roman" w:eastAsia="宋体" w:cs="Times New Roman"/>
                      <w:color w:val="auto"/>
                      <w:szCs w:val="21"/>
                      <w:highlight w:val="none"/>
                    </w:rPr>
                    <w:t>E</w:t>
                  </w:r>
                  <w:r>
                    <w:rPr>
                      <w:rFonts w:hint="eastAsia" w:ascii="Times New Roman" w:hAnsi="Times New Roman" w:eastAsia="宋体" w:cs="Times New Roman"/>
                      <w:color w:val="auto"/>
                      <w:szCs w:val="21"/>
                      <w:highlight w:val="none"/>
                      <w:lang w:val="en-US" w:eastAsia="zh-CN"/>
                    </w:rPr>
                    <w:t>膜（K≤10</w:t>
                  </w:r>
                  <w:r>
                    <w:rPr>
                      <w:rFonts w:hint="eastAsia" w:ascii="Times New Roman" w:hAnsi="Times New Roman" w:eastAsia="宋体" w:cs="Times New Roman"/>
                      <w:color w:val="auto"/>
                      <w:szCs w:val="21"/>
                      <w:highlight w:val="none"/>
                      <w:vertAlign w:val="superscript"/>
                      <w:lang w:val="en-US" w:eastAsia="zh-CN"/>
                    </w:rPr>
                    <w:t>-10</w:t>
                  </w:r>
                  <w:r>
                    <w:rPr>
                      <w:rFonts w:hint="eastAsia" w:ascii="Times New Roman" w:hAnsi="Times New Roman" w:eastAsia="宋体" w:cs="Times New Roman"/>
                      <w:color w:val="auto"/>
                      <w:szCs w:val="21"/>
                      <w:highlight w:val="none"/>
                      <w:lang w:val="en-US" w:eastAsia="zh-CN"/>
                    </w:rPr>
                    <w:t>cm/s）+环氧树脂防腐层</w:t>
                  </w:r>
                  <w:r>
                    <w:rPr>
                      <w:rFonts w:hint="eastAsia"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szCs w:val="21"/>
                      <w:highlight w:val="none"/>
                    </w:rPr>
                    <w:t>并设置专用防腐防渗拖盘</w:t>
                  </w:r>
                  <w:r>
                    <w:rPr>
                      <w:rFonts w:hint="eastAsia"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szCs w:val="21"/>
                      <w:highlight w:val="none"/>
                    </w:rPr>
                    <w:t>拖盘容</w:t>
                  </w:r>
                  <w:r>
                    <w:rPr>
                      <w:rFonts w:hint="eastAsia" w:ascii="Times New Roman" w:hAnsi="Times New Roman" w:eastAsia="宋体" w:cs="Times New Roman"/>
                      <w:color w:val="auto"/>
                      <w:szCs w:val="21"/>
                      <w:highlight w:val="none"/>
                      <w:lang w:val="en-US" w:eastAsia="zh-CN"/>
                    </w:rPr>
                    <w:t>量</w:t>
                  </w:r>
                  <w:r>
                    <w:rPr>
                      <w:rFonts w:hint="eastAsia" w:ascii="Times New Roman" w:hAnsi="Times New Roman" w:eastAsia="宋体" w:cs="Times New Roman"/>
                      <w:color w:val="auto"/>
                      <w:szCs w:val="21"/>
                      <w:highlight w:val="none"/>
                    </w:rPr>
                    <w:t>满足</w:t>
                  </w:r>
                  <w:r>
                    <w:rPr>
                      <w:rFonts w:hint="eastAsia" w:ascii="Times New Roman" w:hAnsi="Times New Roman" w:eastAsia="宋体" w:cs="Times New Roman"/>
                      <w:color w:val="auto"/>
                      <w:szCs w:val="21"/>
                      <w:highlight w:val="none"/>
                      <w:lang w:val="en-US" w:eastAsia="zh-CN"/>
                    </w:rPr>
                    <w:t>泄露</w:t>
                  </w:r>
                  <w:r>
                    <w:rPr>
                      <w:rFonts w:hint="eastAsia" w:ascii="Times New Roman" w:hAnsi="Times New Roman" w:eastAsia="宋体" w:cs="Times New Roman"/>
                      <w:color w:val="auto"/>
                      <w:szCs w:val="21"/>
                      <w:highlight w:val="none"/>
                    </w:rPr>
                    <w:t>物盛装要求，保证</w:t>
                  </w:r>
                  <w:r>
                    <w:rPr>
                      <w:rFonts w:hint="eastAsia" w:ascii="Times New Roman" w:hAnsi="Times New Roman" w:eastAsia="宋体" w:cs="Times New Roman"/>
                      <w:color w:val="auto"/>
                      <w:szCs w:val="21"/>
                      <w:highlight w:val="none"/>
                      <w:lang w:val="en-US" w:eastAsia="zh-CN"/>
                    </w:rPr>
                    <w:t>泄露</w:t>
                  </w:r>
                  <w:r>
                    <w:rPr>
                      <w:rFonts w:hint="eastAsia" w:ascii="Times New Roman" w:hAnsi="Times New Roman" w:eastAsia="宋体" w:cs="Times New Roman"/>
                      <w:color w:val="auto"/>
                      <w:szCs w:val="21"/>
                      <w:highlight w:val="none"/>
                    </w:rPr>
                    <w:t>液体全部收集</w:t>
                  </w:r>
                </w:p>
              </w:tc>
            </w:tr>
            <w:tr w14:paraId="45A9E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29" w:type="pct"/>
                  <w:noWrap w:val="0"/>
                  <w:vAlign w:val="center"/>
                </w:tcPr>
                <w:p w14:paraId="5432B506">
                  <w:pPr>
                    <w:jc w:val="center"/>
                    <w:rPr>
                      <w:rFonts w:hint="eastAsia"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3</w:t>
                  </w:r>
                </w:p>
              </w:tc>
              <w:tc>
                <w:tcPr>
                  <w:tcW w:w="784" w:type="pct"/>
                  <w:noWrap w:val="0"/>
                  <w:vAlign w:val="center"/>
                </w:tcPr>
                <w:p w14:paraId="67224F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钻井井口区域、泥浆池、沉淀池、材料堆放区及泥浆循环系统等进行一般防渗区域。</w:t>
                  </w:r>
                </w:p>
              </w:tc>
              <w:tc>
                <w:tcPr>
                  <w:tcW w:w="784" w:type="pct"/>
                  <w:noWrap w:val="0"/>
                  <w:vAlign w:val="center"/>
                </w:tcPr>
                <w:p w14:paraId="37F494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化粪池池底、池边</w:t>
                  </w:r>
                  <w:r>
                    <w:rPr>
                      <w:rFonts w:hint="eastAsia" w:cs="Times New Roman"/>
                      <w:color w:val="auto"/>
                      <w:szCs w:val="21"/>
                      <w:highlight w:val="none"/>
                      <w:lang w:val="en-US" w:eastAsia="zh-CN"/>
                    </w:rPr>
                    <w:t>、</w:t>
                  </w:r>
                  <w:r>
                    <w:rPr>
                      <w:rFonts w:hint="default" w:ascii="Times New Roman" w:hAnsi="Times New Roman" w:eastAsia="宋体" w:cs="Times New Roman"/>
                      <w:color w:val="auto"/>
                      <w:kern w:val="2"/>
                      <w:sz w:val="21"/>
                      <w:szCs w:val="21"/>
                      <w:highlight w:val="none"/>
                      <w:lang w:val="en-US" w:eastAsia="zh-CN" w:bidi="ar-SA"/>
                    </w:rPr>
                    <w:t>钻井井口区域、泥浆池、沉淀池、材料堆放区及泥浆循环系统等进行一般防渗区域</w:t>
                  </w:r>
                  <w:r>
                    <w:rPr>
                      <w:rFonts w:hint="eastAsia" w:ascii="Times New Roman" w:hAnsi="Times New Roman" w:eastAsia="宋体" w:cs="Times New Roman"/>
                      <w:color w:val="auto"/>
                      <w:szCs w:val="21"/>
                      <w:highlight w:val="none"/>
                      <w:lang w:val="en-US" w:eastAsia="zh-CN"/>
                    </w:rPr>
                    <w:t>地面</w:t>
                  </w:r>
                </w:p>
              </w:tc>
              <w:tc>
                <w:tcPr>
                  <w:tcW w:w="527" w:type="pct"/>
                  <w:noWrap w:val="0"/>
                  <w:vAlign w:val="center"/>
                </w:tcPr>
                <w:p w14:paraId="1C80399C">
                  <w:pPr>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一般防渗</w:t>
                  </w:r>
                </w:p>
              </w:tc>
              <w:tc>
                <w:tcPr>
                  <w:tcW w:w="1293" w:type="pct"/>
                  <w:noWrap w:val="0"/>
                  <w:vAlign w:val="center"/>
                </w:tcPr>
                <w:p w14:paraId="185AC020">
                  <w:pPr>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满足</w:t>
                  </w:r>
                  <w:r>
                    <w:rPr>
                      <w:rFonts w:hint="eastAsia" w:ascii="Times New Roman" w:hAnsi="Times New Roman" w:eastAsia="宋体" w:cs="Times New Roman"/>
                      <w:color w:val="auto"/>
                      <w:szCs w:val="21"/>
                      <w:highlight w:val="none"/>
                    </w:rPr>
                    <w:t>《一般工业固体废物贮存和填埋污染控制标准》（GB18599-2020）</w:t>
                  </w:r>
                  <w:r>
                    <w:rPr>
                      <w:rFonts w:ascii="Times New Roman" w:hAnsi="Times New Roman" w:eastAsia="宋体" w:cs="Times New Roman"/>
                      <w:color w:val="auto"/>
                      <w:szCs w:val="21"/>
                      <w:highlight w:val="none"/>
                    </w:rPr>
                    <w:t>，等效黏土防渗层Mb≥</w:t>
                  </w:r>
                  <w:r>
                    <w:rPr>
                      <w:rFonts w:hint="eastAsia" w:ascii="Times New Roman" w:hAnsi="Times New Roman" w:eastAsia="宋体" w:cs="Times New Roman"/>
                      <w:color w:val="auto"/>
                      <w:szCs w:val="21"/>
                      <w:highlight w:val="none"/>
                    </w:rPr>
                    <w:t>1.5</w:t>
                  </w:r>
                  <w:r>
                    <w:rPr>
                      <w:rFonts w:ascii="Times New Roman" w:hAnsi="Times New Roman" w:eastAsia="宋体" w:cs="Times New Roman"/>
                      <w:color w:val="auto"/>
                      <w:szCs w:val="21"/>
                      <w:highlight w:val="none"/>
                    </w:rPr>
                    <w:t>m，K＜10</w:t>
                  </w:r>
                  <w:r>
                    <w:rPr>
                      <w:rFonts w:ascii="Times New Roman" w:hAnsi="Times New Roman" w:eastAsia="宋体" w:cs="Times New Roman"/>
                      <w:color w:val="auto"/>
                      <w:szCs w:val="21"/>
                      <w:highlight w:val="none"/>
                      <w:vertAlign w:val="superscript"/>
                    </w:rPr>
                    <w:t>-7</w:t>
                  </w:r>
                  <w:r>
                    <w:rPr>
                      <w:rFonts w:ascii="Times New Roman" w:hAnsi="Times New Roman" w:eastAsia="宋体" w:cs="Times New Roman"/>
                      <w:color w:val="auto"/>
                      <w:szCs w:val="21"/>
                      <w:highlight w:val="none"/>
                    </w:rPr>
                    <w:t>cm/s；或参照GB16889执行</w:t>
                  </w:r>
                </w:p>
              </w:tc>
              <w:tc>
                <w:tcPr>
                  <w:tcW w:w="1279" w:type="pct"/>
                  <w:noWrap w:val="0"/>
                  <w:vAlign w:val="center"/>
                </w:tcPr>
                <w:p w14:paraId="6FDADB87">
                  <w:pPr>
                    <w:jc w:val="center"/>
                    <w:rPr>
                      <w:rFonts w:hint="eastAsia"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rPr>
                    <w:t>25cm厚P6</w:t>
                  </w:r>
                  <w:r>
                    <w:rPr>
                      <w:rFonts w:hint="eastAsia"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szCs w:val="21"/>
                      <w:highlight w:val="none"/>
                      <w:lang w:val="en-US" w:eastAsia="zh-CN"/>
                    </w:rPr>
                    <w:t>K≤0.419×10</w:t>
                  </w:r>
                  <w:r>
                    <w:rPr>
                      <w:rFonts w:hint="eastAsia" w:ascii="Times New Roman" w:hAnsi="Times New Roman" w:eastAsia="宋体" w:cs="Times New Roman"/>
                      <w:color w:val="auto"/>
                      <w:szCs w:val="21"/>
                      <w:highlight w:val="none"/>
                      <w:vertAlign w:val="superscript"/>
                      <w:lang w:val="en-US" w:eastAsia="zh-CN"/>
                    </w:rPr>
                    <w:t>-8</w:t>
                  </w:r>
                  <w:r>
                    <w:rPr>
                      <w:rFonts w:hint="eastAsia" w:ascii="Times New Roman" w:hAnsi="Times New Roman" w:eastAsia="宋体" w:cs="Times New Roman"/>
                      <w:color w:val="auto"/>
                      <w:szCs w:val="21"/>
                      <w:highlight w:val="none"/>
                      <w:lang w:val="en-US" w:eastAsia="zh-CN"/>
                    </w:rPr>
                    <w:t>cm/s</w:t>
                  </w:r>
                  <w:r>
                    <w:rPr>
                      <w:rFonts w:hint="eastAsia"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szCs w:val="21"/>
                      <w:highlight w:val="none"/>
                    </w:rPr>
                    <w:t>等级抗渗混凝土</w:t>
                  </w:r>
                </w:p>
              </w:tc>
            </w:tr>
          </w:tbl>
          <w:p w14:paraId="2D2043E7">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（3）转运</w:t>
            </w:r>
          </w:p>
          <w:p w14:paraId="4C4D1151">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①危险废物运输应由持有危险废物经营许可证的单位按照其许可证的经营范围组织实施，承担危险废物运输的单位应获得交通运输部门颁发的危险货物运输资质。公路运输应按照《道路危险货物运输管理规定》、JT617及JT618执行，危险废物须用危险货物专用车辆进行运输，并按《道路运输危险货物车辆标志》（GB13392-2005）设置车辆标志。</w:t>
            </w:r>
          </w:p>
          <w:p w14:paraId="71B0EDB2">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②危险废物在转移、运输前，运输单位要制定详细的运输方案及路线，并制定事故应急预案。</w:t>
            </w:r>
          </w:p>
          <w:p w14:paraId="0909CA80">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③转移、运输时应按照《危险废物转移联单管理办法》的规定填写危险废物转移联单；如实记录转移起始位置、数量、车辆车牌号、经办人员等信息。</w:t>
            </w:r>
          </w:p>
          <w:p w14:paraId="2BA3482F">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④危险货物运输车辆驾驶员和押运人员等必须经过危险废物和应急救援方面的培训，包括防火、防泄漏以及应急联络等。</w:t>
            </w:r>
          </w:p>
          <w:p w14:paraId="460E6160">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⑤危险废物运输路线应避开饮用水源保护区、生态红线区、自然保护区、人口密城镇等特殊环境敏感区。</w:t>
            </w:r>
          </w:p>
          <w:p w14:paraId="6B0AC6E5">
            <w:pPr>
              <w:widowControl/>
              <w:spacing w:line="360" w:lineRule="auto"/>
              <w:ind w:firstLine="482" w:firstLineChars="200"/>
              <w:rPr>
                <w:b/>
                <w:bCs/>
                <w:color w:val="auto"/>
                <w:kern w:val="0"/>
                <w:sz w:val="24"/>
                <w:highlight w:val="none"/>
                <w:lang w:bidi="ar"/>
              </w:rPr>
            </w:pPr>
            <w:r>
              <w:rPr>
                <w:b/>
                <w:bCs/>
                <w:color w:val="auto"/>
                <w:kern w:val="0"/>
                <w:sz w:val="24"/>
                <w:highlight w:val="none"/>
                <w:lang w:bidi="ar"/>
              </w:rPr>
              <w:t>5、环境风险防范措施</w:t>
            </w:r>
          </w:p>
          <w:p w14:paraId="397CFD7F">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尽管环境风险的客观存在无法改变，但通过科学的设计、施工、操作和管理，可将风险事故发生的可能性和危害性降低到</w:t>
            </w:r>
            <w:r>
              <w:rPr>
                <w:rFonts w:hint="eastAsia" w:ascii="Times New Roman" w:hAnsi="Times New Roman"/>
                <w:color w:val="auto"/>
                <w:highlight w:val="none"/>
                <w:lang w:eastAsia="zh-CN" w:bidi="ar"/>
              </w:rPr>
              <w:t>最低</w:t>
            </w:r>
            <w:r>
              <w:rPr>
                <w:rFonts w:ascii="Times New Roman" w:hAnsi="Times New Roman"/>
                <w:color w:val="auto"/>
                <w:highlight w:val="none"/>
                <w:lang w:bidi="ar"/>
              </w:rPr>
              <w:t>程度，真正做到防患于未然，达到预防事故发生的目的。风险管理的重点在于减缓、防范措施，因此，本评价根据以上分析，从风险防范方面提出本项目应采用的防范及应急处理措施：</w:t>
            </w:r>
          </w:p>
          <w:p w14:paraId="3CC076F8">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（1）火灾事故的风险防范措施</w:t>
            </w:r>
          </w:p>
          <w:p w14:paraId="5A079F80">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①在储存场所附近配有足量的灭火器材，以便处理初期火灾；</w:t>
            </w:r>
          </w:p>
          <w:p w14:paraId="6A633F09">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②定期或不定期对消防设备进行检查，及时发现及时采取更换或维修；</w:t>
            </w:r>
          </w:p>
          <w:p w14:paraId="3EFF4CDC">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③定期或不定期对线路等进行检修，避免因线路老化造成短路而引起火灾的发生。</w:t>
            </w:r>
          </w:p>
          <w:p w14:paraId="4A1DF550">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（2）泥浆水</w:t>
            </w:r>
            <w:r>
              <w:rPr>
                <w:rFonts w:hint="eastAsia" w:ascii="Times New Roman" w:hAnsi="Times New Roman"/>
                <w:color w:val="auto"/>
                <w:highlight w:val="none"/>
                <w:lang w:eastAsia="zh-CN" w:bidi="ar"/>
              </w:rPr>
              <w:t>泄漏</w:t>
            </w:r>
            <w:r>
              <w:rPr>
                <w:rFonts w:ascii="Times New Roman" w:hAnsi="Times New Roman"/>
                <w:color w:val="auto"/>
                <w:highlight w:val="none"/>
                <w:lang w:bidi="ar"/>
              </w:rPr>
              <w:t>或外溢风险防范措施</w:t>
            </w:r>
          </w:p>
          <w:p w14:paraId="0CDEF62F">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1）泥浆水泄漏防范措施</w:t>
            </w:r>
          </w:p>
          <w:p w14:paraId="7E1A81E4">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①泥浆干化池体所在平台选址应避开不良地质或地质松散的地段，选择地质结构稳定的地方，并做好地面防渗工作。</w:t>
            </w:r>
          </w:p>
          <w:p w14:paraId="21F43BB9">
            <w:pPr>
              <w:pStyle w:val="52"/>
              <w:adjustRightInd/>
              <w:spacing w:line="360" w:lineRule="auto"/>
              <w:ind w:firstLine="480" w:firstLineChars="200"/>
              <w:rPr>
                <w:rFonts w:hint="default" w:ascii="Times New Roman" w:hAnsi="Times New Roman" w:eastAsia="宋体"/>
                <w:color w:val="auto"/>
                <w:highlight w:val="none"/>
                <w:lang w:val="en-US" w:eastAsia="zh-CN" w:bidi="ar"/>
              </w:rPr>
            </w:pPr>
            <w:r>
              <w:rPr>
                <w:rFonts w:ascii="Times New Roman" w:hAnsi="Times New Roman"/>
                <w:color w:val="auto"/>
                <w:highlight w:val="none"/>
                <w:lang w:bidi="ar"/>
              </w:rPr>
              <w:t>②按相关</w:t>
            </w:r>
            <w:r>
              <w:rPr>
                <w:rFonts w:hint="eastAsia" w:ascii="宋体" w:hAnsi="宋体" w:eastAsia="宋体" w:cs="宋体"/>
                <w:b w:val="0"/>
                <w:bCs w:val="0"/>
                <w:color w:val="000000" w:themeColor="text1"/>
                <w:highlight w:val="none"/>
                <w:lang w:bidi="ar"/>
                <w14:textFill>
                  <w14:solidFill>
                    <w14:schemeClr w14:val="tx1"/>
                  </w14:solidFill>
                </w14:textFill>
              </w:rPr>
              <w:t>要求规定对泥浆池等池体进行防渗处理</w:t>
            </w:r>
            <w:r>
              <w:rPr>
                <w:rFonts w:hint="eastAsia" w:ascii="宋体" w:hAnsi="宋体" w:eastAsia="宋体" w:cs="宋体"/>
                <w:b w:val="0"/>
                <w:bCs w:val="0"/>
                <w:color w:val="000000" w:themeColor="text1"/>
                <w:highlight w:val="none"/>
                <w:lang w:eastAsia="zh-CN" w:bidi="ar"/>
                <w14:textFill>
                  <w14:solidFill>
                    <w14:schemeClr w14:val="tx1"/>
                  </w14:solidFill>
                </w14:textFill>
              </w:rPr>
              <w:t>，</w:t>
            </w:r>
            <w:r>
              <w:rPr>
                <w:rFonts w:hint="eastAsia" w:ascii="宋体" w:hAnsi="宋体" w:eastAsia="宋体" w:cs="宋体"/>
                <w:b w:val="0"/>
                <w:bCs w:val="0"/>
                <w:color w:val="000000" w:themeColor="text1"/>
                <w:highlight w:val="none"/>
                <w:lang w:val="en-US" w:eastAsia="zh-CN" w:bidi="ar"/>
                <w14:textFill>
                  <w14:solidFill>
                    <w14:schemeClr w14:val="tx1"/>
                  </w14:solidFill>
                </w14:textFill>
              </w:rPr>
              <w:t>在</w:t>
            </w:r>
            <w:r>
              <w:rPr>
                <w:rFonts w:hint="eastAsia" w:ascii="宋体" w:hAnsi="宋体" w:eastAsia="宋体" w:cs="宋体"/>
                <w:b w:val="0"/>
                <w:bCs w:val="0"/>
                <w:i w:val="0"/>
                <w:iCs w:val="0"/>
                <w:caps w:val="0"/>
                <w:color w:val="000000" w:themeColor="text1"/>
                <w:spacing w:val="0"/>
                <w:kern w:val="0"/>
                <w:sz w:val="22"/>
                <w:szCs w:val="22"/>
                <w:lang w:val="en-US" w:eastAsia="zh-CN" w:bidi="ar"/>
                <w14:textFill>
                  <w14:solidFill>
                    <w14:schemeClr w14:val="tx1"/>
                  </w14:solidFill>
                </w14:textFill>
              </w:rPr>
              <w:t>泥浆泵、固控系统周边</w:t>
            </w:r>
            <w:r>
              <w:rPr>
                <w:rFonts w:hint="eastAsia" w:ascii="宋体" w:hAnsi="宋体" w:eastAsia="宋体" w:cs="宋体"/>
                <w:b w:val="0"/>
                <w:bCs w:val="0"/>
                <w:i w:val="0"/>
                <w:iCs w:val="0"/>
                <w:caps w:val="0"/>
                <w:color w:val="000000" w:themeColor="text1"/>
                <w:spacing w:val="0"/>
                <w:sz w:val="22"/>
                <w:szCs w:val="22"/>
                <w:shd w:val="clear" w:fill="FFFFFF"/>
                <w14:textFill>
                  <w14:solidFill>
                    <w14:schemeClr w14:val="tx1"/>
                  </w14:solidFill>
                </w14:textFill>
              </w:rPr>
              <w:t>设备区围堰</w:t>
            </w:r>
            <w:r>
              <w:rPr>
                <w:rFonts w:hint="eastAsia" w:ascii="宋体" w:hAnsi="宋体" w:eastAsia="宋体" w:cs="宋体"/>
                <w:b w:val="0"/>
                <w:bCs w:val="0"/>
                <w:i w:val="0"/>
                <w:iCs w:val="0"/>
                <w:caps w:val="0"/>
                <w:color w:val="000000" w:themeColor="text1"/>
                <w:spacing w:val="0"/>
                <w:sz w:val="22"/>
                <w:szCs w:val="22"/>
                <w:shd w:val="clear" w:fill="FFFFFF"/>
                <w:lang w:eastAsia="zh-CN"/>
                <w14:textFill>
                  <w14:solidFill>
                    <w14:schemeClr w14:val="tx1"/>
                  </w14:solidFill>
                </w14:textFill>
              </w:rPr>
              <w:t>；</w:t>
            </w:r>
            <w:r>
              <w:rPr>
                <w:rFonts w:hint="eastAsia" w:ascii="宋体" w:hAnsi="宋体" w:eastAsia="宋体" w:cs="宋体"/>
                <w:b w:val="0"/>
                <w:bCs w:val="0"/>
                <w:i w:val="0"/>
                <w:iCs w:val="0"/>
                <w:caps w:val="0"/>
                <w:color w:val="000000" w:themeColor="text1"/>
                <w:spacing w:val="0"/>
                <w:sz w:val="22"/>
                <w:szCs w:val="22"/>
                <w:shd w:val="clear" w:fill="FFFFFF"/>
                <w:lang w:val="en-US" w:eastAsia="zh-CN"/>
                <w14:textFill>
                  <w14:solidFill>
                    <w14:schemeClr w14:val="tx1"/>
                  </w14:solidFill>
                </w14:textFill>
              </w:rPr>
              <w:t>在</w:t>
            </w:r>
            <w:r>
              <w:rPr>
                <w:rFonts w:ascii="Segoe UI" w:hAnsi="Segoe UI" w:eastAsia="Segoe UI" w:cs="Segoe UI"/>
                <w:i w:val="0"/>
                <w:iCs w:val="0"/>
                <w:caps w:val="0"/>
                <w:color w:val="0F1115"/>
                <w:spacing w:val="0"/>
                <w:sz w:val="22"/>
                <w:szCs w:val="22"/>
                <w:shd w:val="clear" w:fill="FFFFFF"/>
              </w:rPr>
              <w:t>设备区至泥浆池</w:t>
            </w:r>
            <w:r>
              <w:rPr>
                <w:rFonts w:hint="eastAsia" w:ascii="Segoe UI" w:hAnsi="Segoe UI" w:eastAsia="宋体" w:cs="Segoe UI"/>
                <w:i w:val="0"/>
                <w:iCs w:val="0"/>
                <w:caps w:val="0"/>
                <w:color w:val="0F1115"/>
                <w:spacing w:val="0"/>
                <w:sz w:val="22"/>
                <w:szCs w:val="22"/>
                <w:shd w:val="clear" w:fill="FFFFFF"/>
                <w:lang w:val="en-US" w:eastAsia="zh-CN"/>
              </w:rPr>
              <w:t>设置导流沟。</w:t>
            </w:r>
          </w:p>
          <w:p w14:paraId="1156DF76">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③加强员工操作，规范管理。</w:t>
            </w:r>
          </w:p>
          <w:p w14:paraId="59B79F8D">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2）泥浆水外溢防范措施</w:t>
            </w:r>
          </w:p>
          <w:p w14:paraId="6D8D7AA5">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①对泥浆池等池体定期检查、巡视，避免池体储存量过大，保持池体留有一定的富余容量，减少池体储存量，降低废水外溢风险，特别在降雨来临之前要做好遮雨措施，防止废水渗漏或外溢污染地表水及浅层地下水。</w:t>
            </w:r>
          </w:p>
          <w:p w14:paraId="0A3C571F">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②井场采用清污分流系统，并定期进行维护，在暴雨季节，加强巡查，降低废水外溢的环境风险。</w:t>
            </w:r>
          </w:p>
          <w:p w14:paraId="7238D98F">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（3）危险废物的储存要求和防范措施</w:t>
            </w:r>
          </w:p>
          <w:p w14:paraId="75A55E4B">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由于本项目在生产过程中主要产生的废润滑油属于危险物品，因此必须对其加以严格控制以防止事故的发生，从而造成不必要的损失，为此本评价对上述危险物品提出如下规范或要求：</w:t>
            </w:r>
          </w:p>
          <w:p w14:paraId="18276175">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①上述危险物品的贮存必须符合《中华人民共和国消防法》、《常用化学危险品贮存通则》（GB15603-1995）以及《仓库防火安全管理规则》等相关规定，如：贮存场所配备足够的、适应的消防器材，完善各项规章制度，在仓库等储存区设置明显的防火标志、危险标志等。</w:t>
            </w:r>
          </w:p>
          <w:p w14:paraId="714297FD">
            <w:pPr>
              <w:pStyle w:val="52"/>
              <w:adjustRightInd/>
              <w:spacing w:line="360" w:lineRule="auto"/>
              <w:ind w:firstLine="480" w:firstLineChars="200"/>
              <w:rPr>
                <w:rFonts w:ascii="Times New Roman" w:hAnsi="Times New Roman"/>
                <w:color w:val="auto"/>
                <w:highlight w:val="none"/>
                <w:lang w:bidi="ar"/>
              </w:rPr>
            </w:pPr>
            <w:r>
              <w:rPr>
                <w:rFonts w:ascii="Times New Roman" w:hAnsi="Times New Roman"/>
                <w:color w:val="auto"/>
                <w:highlight w:val="none"/>
                <w:lang w:bidi="ar"/>
              </w:rPr>
              <w:t>②存放各种危险物品时，要求做到稳固整齐，便于搬运，</w:t>
            </w:r>
            <w:r>
              <w:rPr>
                <w:rFonts w:hint="eastAsia" w:ascii="Times New Roman" w:hAnsi="Times New Roman"/>
                <w:color w:val="auto"/>
                <w:highlight w:val="none"/>
                <w:lang w:eastAsia="zh-CN" w:bidi="ar"/>
              </w:rPr>
              <w:t>不至于</w:t>
            </w:r>
            <w:r>
              <w:rPr>
                <w:rFonts w:ascii="Times New Roman" w:hAnsi="Times New Roman"/>
                <w:color w:val="auto"/>
                <w:highlight w:val="none"/>
                <w:lang w:bidi="ar"/>
              </w:rPr>
              <w:t>稍受外力即跌落或因搬运不便而造成事故。</w:t>
            </w:r>
          </w:p>
          <w:p w14:paraId="2551F273">
            <w:pPr>
              <w:pStyle w:val="52"/>
              <w:numPr>
                <w:ilvl w:val="0"/>
                <w:numId w:val="2"/>
              </w:numPr>
              <w:adjustRightInd/>
              <w:spacing w:line="360" w:lineRule="auto"/>
              <w:ind w:left="0" w:leftChars="0" w:firstLine="482" w:firstLineChars="200"/>
              <w:rPr>
                <w:rFonts w:hint="eastAsia" w:ascii="宋体" w:hAnsi="宋体" w:eastAsia="宋体" w:cs="宋体"/>
                <w:bCs/>
                <w:color w:val="000000" w:themeColor="text1"/>
                <w:kern w:val="2"/>
                <w:sz w:val="24"/>
                <w:szCs w:val="24"/>
                <w:highlight w:val="none"/>
                <w:lang w:val="en-US" w:eastAsia="zh-CN" w:bidi="ar"/>
                <w14:textFill>
                  <w14:solidFill>
                    <w14:schemeClr w14:val="tx1"/>
                  </w14:solidFill>
                </w14:textFill>
              </w:rPr>
            </w:pPr>
            <w:r>
              <w:rPr>
                <w:rFonts w:ascii="Times New Roman" w:hAnsi="Times New Roman"/>
                <w:b/>
                <w:bCs/>
                <w:color w:val="auto"/>
                <w:highlight w:val="none"/>
                <w:lang w:bidi="ar"/>
              </w:rPr>
              <w:t>地下水、土壤环境影响及防治措施</w:t>
            </w:r>
          </w:p>
          <w:p w14:paraId="62DEC77C">
            <w:pPr>
              <w:pStyle w:val="52"/>
              <w:numPr>
                <w:ilvl w:val="0"/>
                <w:numId w:val="0"/>
              </w:numPr>
              <w:adjustRightInd/>
              <w:spacing w:line="360" w:lineRule="auto"/>
              <w:ind w:firstLine="480" w:firstLineChars="200"/>
              <w:rPr>
                <w:rFonts w:hint="eastAsia" w:ascii="宋体" w:hAnsi="宋体" w:eastAsia="宋体" w:cs="宋体"/>
                <w:bCs/>
                <w:color w:val="000000" w:themeColor="text1"/>
                <w:kern w:val="2"/>
                <w:sz w:val="24"/>
                <w:szCs w:val="24"/>
                <w:highlight w:val="none"/>
                <w:lang w:val="en-US" w:eastAsia="zh-CN" w:bidi="ar"/>
                <w14:textFill>
                  <w14:solidFill>
                    <w14:schemeClr w14:val="tx1"/>
                  </w14:solidFill>
                </w14:textFill>
              </w:rPr>
            </w:pPr>
            <w:r>
              <w:rPr>
                <w:rFonts w:hint="eastAsia" w:ascii="宋体" w:hAnsi="宋体" w:eastAsia="宋体" w:cs="宋体"/>
                <w:bCs/>
                <w:color w:val="auto"/>
                <w:kern w:val="2"/>
                <w:sz w:val="24"/>
                <w:szCs w:val="24"/>
                <w:highlight w:val="none"/>
                <w:lang w:val="en-US" w:eastAsia="zh-CN" w:bidi="ar"/>
              </w:rPr>
              <w:t>本项目对</w:t>
            </w:r>
            <w:r>
              <w:rPr>
                <w:rFonts w:hint="eastAsia" w:ascii="宋体" w:hAnsi="宋体" w:eastAsia="宋体" w:cs="宋体"/>
                <w:bCs/>
                <w:color w:val="000000" w:themeColor="text1"/>
                <w:kern w:val="2"/>
                <w:sz w:val="24"/>
                <w:szCs w:val="24"/>
                <w:highlight w:val="none"/>
                <w:lang w:val="en-US" w:eastAsia="zh-CN" w:bidi="ar"/>
                <w14:textFill>
                  <w14:solidFill>
                    <w14:schemeClr w14:val="tx1"/>
                  </w14:solidFill>
                </w14:textFill>
              </w:rPr>
              <w:t>地下水可能造成影响主要在钻井环节。钻孔穿过的地层可能引起各含水层越流补给，使地下水赋存条件发生变化，特别是通过径流使具有水利联系的含水水质受到污染；泥浆池渗漏可能对地下水造成污染。根据《环境影响评价技术导则 地下水环境》</w:t>
            </w:r>
            <w:r>
              <w:rPr>
                <w:rFonts w:hint="default" w:ascii="Times New Roman" w:hAnsi="Times New Roman" w:eastAsia="宋体" w:cs="Times New Roman"/>
                <w:bCs/>
                <w:color w:val="000000" w:themeColor="text1"/>
                <w:kern w:val="2"/>
                <w:sz w:val="24"/>
                <w:szCs w:val="24"/>
                <w:highlight w:val="none"/>
                <w:lang w:val="en-US" w:eastAsia="zh-CN" w:bidi="ar"/>
                <w14:textFill>
                  <w14:solidFill>
                    <w14:schemeClr w14:val="tx1"/>
                  </w14:solidFill>
                </w14:textFill>
              </w:rPr>
              <w:t>（HJ 610-2016）</w:t>
            </w:r>
            <w:r>
              <w:rPr>
                <w:rFonts w:hint="eastAsia" w:ascii="宋体" w:hAnsi="宋体" w:eastAsia="宋体" w:cs="宋体"/>
                <w:bCs/>
                <w:color w:val="000000" w:themeColor="text1"/>
                <w:kern w:val="2"/>
                <w:sz w:val="24"/>
                <w:szCs w:val="24"/>
                <w:highlight w:val="none"/>
                <w:lang w:val="en-US" w:eastAsia="zh-CN" w:bidi="ar"/>
                <w14:textFill>
                  <w14:solidFill>
                    <w14:schemeClr w14:val="tx1"/>
                  </w14:solidFill>
                </w14:textFill>
              </w:rPr>
              <w:t>，地下水污染防渗分区分为三个级别：重点防渗区、一般防渗区、简单防渗区。防渗分区的划分依据包括天然包气带防污性能、污染控制难易程度和污染物类型三项因素</w:t>
            </w:r>
            <w:r>
              <w:rPr>
                <w:rFonts w:hint="eastAsia" w:ascii="宋体" w:hAnsi="宋体" w:eastAsia="宋体" w:cs="宋体"/>
                <w:bCs/>
                <w:color w:val="000000" w:themeColor="text1"/>
                <w:kern w:val="2"/>
                <w:sz w:val="24"/>
                <w:szCs w:val="24"/>
                <w:highlight w:val="none"/>
                <w:lang w:val="en-US" w:eastAsia="zh-CN" w:bidi="ar"/>
                <w14:textFill>
                  <w14:solidFill>
                    <w14:schemeClr w14:val="tx1"/>
                  </w14:solidFill>
                </w14:textFill>
              </w:rPr>
              <w:fldChar w:fldCharType="begin"/>
            </w:r>
            <w:r>
              <w:rPr>
                <w:rFonts w:hint="eastAsia" w:ascii="宋体" w:hAnsi="宋体" w:eastAsia="宋体" w:cs="宋体"/>
                <w:bCs/>
                <w:color w:val="000000" w:themeColor="text1"/>
                <w:kern w:val="2"/>
                <w:sz w:val="24"/>
                <w:szCs w:val="24"/>
                <w:highlight w:val="none"/>
                <w:lang w:val="en-US" w:eastAsia="zh-CN" w:bidi="ar"/>
                <w14:textFill>
                  <w14:solidFill>
                    <w14:schemeClr w14:val="tx1"/>
                  </w14:solidFill>
                </w14:textFill>
              </w:rPr>
              <w:instrText xml:space="preserve"> HYPERLINK "https://sthj.ln.gov.cn/sthj/zfxxgk/fdzdgknr/xzxkxxgk/czzj/hbzxzjxm/2025021716443616323/2025021716435298923.pdf" \l "122#110" \t "https://chat.deepseek.com/a/chat/s/_blank" </w:instrText>
            </w:r>
            <w:r>
              <w:rPr>
                <w:rFonts w:hint="eastAsia" w:ascii="宋体" w:hAnsi="宋体" w:eastAsia="宋体" w:cs="宋体"/>
                <w:bCs/>
                <w:color w:val="000000" w:themeColor="text1"/>
                <w:kern w:val="2"/>
                <w:sz w:val="24"/>
                <w:szCs w:val="24"/>
                <w:highlight w:val="none"/>
                <w:lang w:val="en-US" w:eastAsia="zh-CN" w:bidi="ar"/>
                <w14:textFill>
                  <w14:solidFill>
                    <w14:schemeClr w14:val="tx1"/>
                  </w14:solidFill>
                </w14:textFill>
              </w:rPr>
              <w:fldChar w:fldCharType="separate"/>
            </w:r>
            <w:r>
              <w:rPr>
                <w:rFonts w:hint="eastAsia" w:ascii="宋体" w:hAnsi="宋体" w:eastAsia="宋体" w:cs="宋体"/>
                <w:bCs/>
                <w:color w:val="000000" w:themeColor="text1"/>
                <w:kern w:val="2"/>
                <w:sz w:val="24"/>
                <w:szCs w:val="24"/>
                <w:highlight w:val="none"/>
                <w:lang w:val="en-US" w:eastAsia="zh-CN" w:bidi="ar"/>
                <w14:textFill>
                  <w14:solidFill>
                    <w14:schemeClr w14:val="tx1"/>
                  </w14:solidFill>
                </w14:textFill>
              </w:rPr>
              <w:fldChar w:fldCharType="end"/>
            </w:r>
            <w:r>
              <w:rPr>
                <w:rFonts w:hint="eastAsia" w:ascii="宋体" w:hAnsi="宋体" w:eastAsia="宋体" w:cs="宋体"/>
                <w:bCs/>
                <w:color w:val="000000" w:themeColor="text1"/>
                <w:kern w:val="2"/>
                <w:sz w:val="24"/>
                <w:szCs w:val="24"/>
                <w:highlight w:val="none"/>
                <w:lang w:val="en-US" w:eastAsia="zh-CN" w:bidi="ar"/>
                <w14:textFill>
                  <w14:solidFill>
                    <w14:schemeClr w14:val="tx1"/>
                  </w14:solidFill>
                </w14:textFill>
              </w:rPr>
              <w:t>。本项目地下水及土壤污染防治坚持“源头控制、分区防控、污染监控、应急响应”的原则。</w:t>
            </w:r>
          </w:p>
          <w:p w14:paraId="6584376B">
            <w:pPr>
              <w:pStyle w:val="52"/>
              <w:numPr>
                <w:ilvl w:val="0"/>
                <w:numId w:val="0"/>
              </w:numPr>
              <w:adjustRightInd/>
              <w:spacing w:line="360" w:lineRule="auto"/>
              <w:ind w:firstLine="480" w:firstLineChars="200"/>
              <w:rPr>
                <w:rFonts w:ascii="Times New Roman" w:hAnsi="Times New Roman"/>
                <w:bCs/>
                <w:color w:val="auto"/>
                <w:highlight w:val="none"/>
                <w:lang w:bidi="ar"/>
              </w:rPr>
            </w:pPr>
            <w:r>
              <w:rPr>
                <w:rFonts w:ascii="Times New Roman" w:hAnsi="Times New Roman"/>
                <w:bCs/>
                <w:color w:val="000000" w:themeColor="text1"/>
                <w:highlight w:val="none"/>
                <w:lang w:bidi="ar"/>
                <w14:textFill>
                  <w14:solidFill>
                    <w14:schemeClr w14:val="tx1"/>
                  </w14:solidFill>
                </w14:textFill>
              </w:rPr>
              <w:t>项目地下水保护目标含水层</w:t>
            </w:r>
            <w:r>
              <w:rPr>
                <w:rFonts w:ascii="Times New Roman" w:hAnsi="Times New Roman"/>
                <w:bCs/>
                <w:color w:val="auto"/>
                <w:highlight w:val="none"/>
                <w:lang w:bidi="ar"/>
              </w:rPr>
              <w:t>是新生界含水层，本工程施工钻井过程中采取水泥固井，从而减少地下水涌出，同时井筒口径较小，不改变地下水流向，泥浆从钻孔直接回收至沉淀、脱水系统，实现了地面泥浆循环不落地，因此本项目施工期间对新生界含水层及周边区域土壤环境影响较小，同时本项目也不涉及地表塌陷等地表形态变化。</w:t>
            </w:r>
          </w:p>
          <w:p w14:paraId="0B494F8C">
            <w:pPr>
              <w:pStyle w:val="52"/>
              <w:adjustRightInd/>
              <w:spacing w:line="360" w:lineRule="auto"/>
              <w:ind w:firstLine="480" w:firstLineChars="200"/>
              <w:rPr>
                <w:rFonts w:ascii="Times New Roman" w:hAnsi="Times New Roman"/>
                <w:bCs/>
                <w:color w:val="auto"/>
                <w:highlight w:val="none"/>
                <w:lang w:bidi="ar"/>
              </w:rPr>
            </w:pPr>
            <w:r>
              <w:rPr>
                <w:rFonts w:ascii="Times New Roman" w:hAnsi="Times New Roman"/>
                <w:bCs/>
                <w:color w:val="auto"/>
                <w:highlight w:val="none"/>
                <w:lang w:bidi="ar"/>
              </w:rPr>
              <w:t>本项目采用泥浆循环系统，泥浆从钻孔直接回收至固控系统，然后通过泥浆泵再次注入孔内，实现了地面泥浆循环不落地。</w:t>
            </w:r>
          </w:p>
          <w:p w14:paraId="5C3C3C59">
            <w:pPr>
              <w:pStyle w:val="52"/>
              <w:adjustRightInd/>
              <w:spacing w:line="360" w:lineRule="auto"/>
              <w:ind w:firstLine="480" w:firstLineChars="200"/>
              <w:rPr>
                <w:rFonts w:ascii="Times New Roman" w:hAnsi="Times New Roman"/>
                <w:bCs/>
                <w:color w:val="auto"/>
                <w:highlight w:val="none"/>
                <w:lang w:bidi="ar"/>
              </w:rPr>
            </w:pPr>
            <w:r>
              <w:rPr>
                <w:rFonts w:ascii="Times New Roman" w:hAnsi="Times New Roman"/>
                <w:color w:val="auto"/>
                <w:highlight w:val="none"/>
                <w:lang w:bidi="ar"/>
              </w:rPr>
              <w:t>（1）</w:t>
            </w:r>
            <w:r>
              <w:rPr>
                <w:rFonts w:ascii="Times New Roman" w:hAnsi="Times New Roman"/>
                <w:bCs/>
                <w:color w:val="auto"/>
                <w:highlight w:val="none"/>
                <w:lang w:bidi="ar"/>
              </w:rPr>
              <w:t>钻井过程对地下水的影响</w:t>
            </w:r>
          </w:p>
          <w:p w14:paraId="190E100E">
            <w:pPr>
              <w:pStyle w:val="52"/>
              <w:adjustRightInd/>
              <w:spacing w:line="360" w:lineRule="auto"/>
              <w:ind w:firstLine="480" w:firstLineChars="200"/>
              <w:rPr>
                <w:rFonts w:ascii="Times New Roman" w:hAnsi="Times New Roman"/>
                <w:bCs/>
                <w:color w:val="auto"/>
                <w:highlight w:val="none"/>
                <w:lang w:bidi="ar"/>
              </w:rPr>
            </w:pPr>
            <w:r>
              <w:rPr>
                <w:rFonts w:ascii="Times New Roman" w:hAnsi="Times New Roman"/>
                <w:bCs/>
                <w:color w:val="auto"/>
                <w:highlight w:val="none"/>
                <w:lang w:bidi="ar"/>
              </w:rPr>
              <w:t>由于各地层岩性、孔隙度不同，对于孔隙度大的地层，在钻井过程中可能会发生钻井液漏失的现象，若漏失地层与含水层之间存在较多的断裂或裂隙，漏失的钻井液就有可能顺着岩层断裂、裂隙进入地下水，造成地下水污染。另外，固井过程中固井液的漏失对地下水也有一定的影响。</w:t>
            </w:r>
          </w:p>
          <w:p w14:paraId="2E95F4BC">
            <w:pPr>
              <w:pStyle w:val="52"/>
              <w:adjustRightInd/>
              <w:spacing w:line="360" w:lineRule="auto"/>
              <w:ind w:firstLine="480" w:firstLineChars="200"/>
              <w:rPr>
                <w:rFonts w:ascii="Times New Roman" w:hAnsi="Times New Roman"/>
                <w:bCs/>
                <w:color w:val="000000" w:themeColor="text1"/>
                <w:highlight w:val="none"/>
                <w:lang w:bidi="ar"/>
                <w14:textFill>
                  <w14:solidFill>
                    <w14:schemeClr w14:val="tx1"/>
                  </w14:solidFill>
                </w14:textFill>
              </w:rPr>
            </w:pPr>
            <w:r>
              <w:rPr>
                <w:rFonts w:ascii="Times New Roman" w:hAnsi="Times New Roman"/>
                <w:bCs/>
                <w:color w:val="auto"/>
                <w:highlight w:val="none"/>
                <w:lang w:bidi="ar"/>
              </w:rPr>
              <w:t>由于本项目钻井段的地层岩性以砂岩为主，地层孔隙度小，渗透率极低，泥浆漏失的几率很小。此外，本项目导管段钻井阶段利用清水泥浆钻井，在套管的保护下能有效地保护浅层地下水；每开钻井结束后通过固井作业封隔地层与套管之间的环形空间，也可降低污染物进入地层的风险；在钻</w:t>
            </w:r>
            <w:r>
              <w:rPr>
                <w:rFonts w:ascii="Times New Roman" w:hAnsi="Times New Roman"/>
                <w:bCs/>
                <w:color w:val="000000" w:themeColor="text1"/>
                <w:highlight w:val="none"/>
                <w:lang w:bidi="ar"/>
                <w14:textFill>
                  <w14:solidFill>
                    <w14:schemeClr w14:val="tx1"/>
                  </w14:solidFill>
                </w14:textFill>
              </w:rPr>
              <w:t>井过</w:t>
            </w:r>
            <w:r>
              <w:rPr>
                <w:rFonts w:hint="eastAsia" w:ascii="Times New Roman" w:hAnsi="Times New Roman"/>
                <w:bCs/>
                <w:color w:val="000000" w:themeColor="text1"/>
                <w:highlight w:val="none"/>
                <w:lang w:eastAsia="zh-CN" w:bidi="ar"/>
                <w14:textFill>
                  <w14:solidFill>
                    <w14:schemeClr w14:val="tx1"/>
                  </w14:solidFill>
                </w14:textFill>
              </w:rPr>
              <w:t>程中</w:t>
            </w:r>
            <w:r>
              <w:rPr>
                <w:rFonts w:ascii="Times New Roman" w:hAnsi="Times New Roman"/>
                <w:bCs/>
                <w:color w:val="000000" w:themeColor="text1"/>
                <w:highlight w:val="none"/>
                <w:lang w:bidi="ar"/>
                <w14:textFill>
                  <w14:solidFill>
                    <w14:schemeClr w14:val="tx1"/>
                  </w14:solidFill>
                </w14:textFill>
              </w:rPr>
              <w:t>对泥浆进行实时监测，一旦有漏失发生，立即采取堵漏措施。因此，本项目钻井过程对地下水环境的影响较小。</w:t>
            </w:r>
          </w:p>
          <w:p w14:paraId="775074EE">
            <w:pPr>
              <w:pStyle w:val="52"/>
              <w:adjustRightInd/>
              <w:spacing w:line="360" w:lineRule="auto"/>
              <w:ind w:firstLine="480" w:firstLineChars="200"/>
              <w:rPr>
                <w:rFonts w:ascii="Times New Roman" w:hAnsi="Times New Roman"/>
                <w:bCs/>
                <w:color w:val="000000" w:themeColor="text1"/>
                <w:highlight w:val="none"/>
                <w:lang w:bidi="ar"/>
                <w14:textFill>
                  <w14:solidFill>
                    <w14:schemeClr w14:val="tx1"/>
                  </w14:solidFill>
                </w14:textFill>
              </w:rPr>
            </w:pPr>
            <w:r>
              <w:rPr>
                <w:rFonts w:ascii="Times New Roman" w:hAnsi="Times New Roman"/>
                <w:color w:val="000000" w:themeColor="text1"/>
                <w:highlight w:val="none"/>
                <w:lang w:bidi="ar"/>
                <w14:textFill>
                  <w14:solidFill>
                    <w14:schemeClr w14:val="tx1"/>
                  </w14:solidFill>
                </w14:textFill>
              </w:rPr>
              <w:t>（</w:t>
            </w:r>
            <w:r>
              <w:rPr>
                <w:rFonts w:hint="eastAsia" w:ascii="Times New Roman" w:hAnsi="Times New Roman"/>
                <w:color w:val="000000" w:themeColor="text1"/>
                <w:highlight w:val="none"/>
                <w:lang w:val="en-US" w:eastAsia="zh-CN" w:bidi="ar"/>
                <w14:textFill>
                  <w14:solidFill>
                    <w14:schemeClr w14:val="tx1"/>
                  </w14:solidFill>
                </w14:textFill>
              </w:rPr>
              <w:t>2</w:t>
            </w:r>
            <w:r>
              <w:rPr>
                <w:rFonts w:ascii="Times New Roman" w:hAnsi="Times New Roman"/>
                <w:color w:val="000000" w:themeColor="text1"/>
                <w:highlight w:val="none"/>
                <w:lang w:bidi="ar"/>
                <w14:textFill>
                  <w14:solidFill>
                    <w14:schemeClr w14:val="tx1"/>
                  </w14:solidFill>
                </w14:textFill>
              </w:rPr>
              <w:t>）</w:t>
            </w:r>
            <w:r>
              <w:rPr>
                <w:rFonts w:ascii="Times New Roman" w:hAnsi="Times New Roman"/>
                <w:bCs/>
                <w:color w:val="000000" w:themeColor="text1"/>
                <w:highlight w:val="none"/>
                <w:lang w:bidi="ar"/>
                <w14:textFill>
                  <w14:solidFill>
                    <w14:schemeClr w14:val="tx1"/>
                  </w14:solidFill>
                </w14:textFill>
              </w:rPr>
              <w:t>井场污染物入渗对地下水的影响</w:t>
            </w:r>
          </w:p>
          <w:p w14:paraId="5F877BF7">
            <w:pPr>
              <w:pStyle w:val="52"/>
              <w:adjustRightInd/>
              <w:spacing w:line="360" w:lineRule="auto"/>
              <w:ind w:firstLine="480" w:firstLineChars="200"/>
              <w:rPr>
                <w:rFonts w:ascii="Times New Roman" w:hAnsi="Times New Roman"/>
                <w:bCs/>
                <w:color w:val="auto"/>
                <w:highlight w:val="none"/>
                <w:lang w:bidi="ar"/>
              </w:rPr>
            </w:pPr>
            <w:r>
              <w:rPr>
                <w:rFonts w:ascii="Times New Roman" w:hAnsi="Times New Roman"/>
                <w:bCs/>
                <w:color w:val="000000" w:themeColor="text1"/>
                <w:highlight w:val="none"/>
                <w:lang w:bidi="ar"/>
                <w14:textFill>
                  <w14:solidFill>
                    <w14:schemeClr w14:val="tx1"/>
                  </w14:solidFill>
                </w14:textFill>
              </w:rPr>
              <w:t>井场污染物收集、存储措施不到位，容易造成地表污染物入</w:t>
            </w:r>
            <w:r>
              <w:rPr>
                <w:rFonts w:ascii="Times New Roman" w:hAnsi="Times New Roman"/>
                <w:bCs/>
                <w:color w:val="auto"/>
                <w:highlight w:val="none"/>
                <w:lang w:bidi="ar"/>
              </w:rPr>
              <w:t>渗，对浅层地下水造成一定的污染。造成地表污染物入渗的主要因素有：基础防渗措施不到位，运行中出现渗漏；井口作业区、泥浆循环系统区散落的泥浆、废水渗入地下。</w:t>
            </w:r>
          </w:p>
          <w:p w14:paraId="43773DBE">
            <w:pPr>
              <w:pStyle w:val="52"/>
              <w:adjustRightInd/>
              <w:spacing w:line="360" w:lineRule="auto"/>
              <w:ind w:firstLine="480" w:firstLineChars="200"/>
              <w:rPr>
                <w:rFonts w:ascii="Times New Roman" w:hAnsi="Times New Roman"/>
                <w:bCs/>
                <w:color w:val="auto"/>
                <w:highlight w:val="none"/>
                <w:lang w:bidi="ar"/>
              </w:rPr>
            </w:pPr>
            <w:r>
              <w:rPr>
                <w:rFonts w:ascii="Times New Roman" w:hAnsi="Times New Roman"/>
                <w:color w:val="auto"/>
                <w:highlight w:val="none"/>
                <w:lang w:bidi="ar"/>
              </w:rPr>
              <w:t>（</w:t>
            </w:r>
            <w:r>
              <w:rPr>
                <w:rFonts w:hint="eastAsia" w:ascii="Times New Roman" w:hAnsi="Times New Roman"/>
                <w:color w:val="auto"/>
                <w:highlight w:val="none"/>
                <w:lang w:val="en-US" w:eastAsia="zh-CN" w:bidi="ar"/>
              </w:rPr>
              <w:t>3</w:t>
            </w:r>
            <w:r>
              <w:rPr>
                <w:rFonts w:ascii="Times New Roman" w:hAnsi="Times New Roman"/>
                <w:color w:val="auto"/>
                <w:highlight w:val="none"/>
                <w:lang w:bidi="ar"/>
              </w:rPr>
              <w:t>）</w:t>
            </w:r>
            <w:r>
              <w:rPr>
                <w:rFonts w:ascii="Times New Roman" w:hAnsi="Times New Roman"/>
                <w:bCs/>
                <w:color w:val="auto"/>
                <w:highlight w:val="none"/>
                <w:lang w:bidi="ar"/>
              </w:rPr>
              <w:t>地下水串层影响</w:t>
            </w:r>
          </w:p>
          <w:p w14:paraId="2920C32F">
            <w:pPr>
              <w:pStyle w:val="52"/>
              <w:adjustRightInd/>
              <w:spacing w:line="360" w:lineRule="auto"/>
              <w:ind w:firstLine="480" w:firstLineChars="200"/>
              <w:rPr>
                <w:rFonts w:ascii="Times New Roman" w:hAnsi="Times New Roman"/>
                <w:bCs/>
                <w:color w:val="auto"/>
                <w:highlight w:val="none"/>
                <w:lang w:bidi="ar"/>
              </w:rPr>
            </w:pPr>
            <w:r>
              <w:rPr>
                <w:rFonts w:ascii="Times New Roman" w:hAnsi="Times New Roman"/>
                <w:bCs/>
                <w:color w:val="auto"/>
                <w:highlight w:val="none"/>
                <w:lang w:bidi="ar"/>
              </w:rPr>
              <w:t>在自然状态下，由于存在隔水层，浅层水与深层水很难相互沟通混合。如果隔水层被人为破坏形成孔洞，浅层污染水就会下渗污染深层水，造成地下水串层污染。因此工程施工时必须做好防治地下水串层的措施，项目钻至隔水层，采用速凝水泥迅速封堵隔水层孔洞，</w:t>
            </w:r>
            <w:r>
              <w:rPr>
                <w:rFonts w:hint="eastAsia" w:ascii="Times New Roman" w:hAnsi="Times New Roman"/>
                <w:bCs/>
                <w:color w:val="auto"/>
                <w:highlight w:val="none"/>
                <w:lang w:eastAsia="zh-CN" w:bidi="ar"/>
              </w:rPr>
              <w:t>防止</w:t>
            </w:r>
            <w:r>
              <w:rPr>
                <w:rFonts w:ascii="Times New Roman" w:hAnsi="Times New Roman"/>
                <w:bCs/>
                <w:color w:val="auto"/>
                <w:highlight w:val="none"/>
                <w:lang w:bidi="ar"/>
              </w:rPr>
              <w:t>地下水串层污染。</w:t>
            </w:r>
          </w:p>
          <w:p w14:paraId="7E51F6BF">
            <w:pPr>
              <w:pStyle w:val="52"/>
              <w:adjustRightInd/>
              <w:spacing w:line="360" w:lineRule="auto"/>
              <w:ind w:firstLine="480" w:firstLineChars="200"/>
              <w:rPr>
                <w:rFonts w:ascii="Times New Roman" w:hAnsi="Times New Roman"/>
                <w:bCs/>
                <w:color w:val="auto"/>
                <w:highlight w:val="none"/>
                <w:lang w:bidi="ar"/>
              </w:rPr>
            </w:pPr>
            <w:r>
              <w:rPr>
                <w:rFonts w:ascii="Times New Roman" w:hAnsi="Times New Roman"/>
                <w:color w:val="auto"/>
                <w:highlight w:val="none"/>
                <w:lang w:bidi="ar"/>
              </w:rPr>
              <w:t>（</w:t>
            </w:r>
            <w:r>
              <w:rPr>
                <w:rFonts w:hint="eastAsia" w:ascii="Times New Roman" w:hAnsi="Times New Roman"/>
                <w:color w:val="auto"/>
                <w:highlight w:val="none"/>
                <w:lang w:val="en-US" w:eastAsia="zh-CN" w:bidi="ar"/>
              </w:rPr>
              <w:t>4</w:t>
            </w:r>
            <w:r>
              <w:rPr>
                <w:rFonts w:ascii="Times New Roman" w:hAnsi="Times New Roman"/>
                <w:color w:val="auto"/>
                <w:highlight w:val="none"/>
                <w:lang w:bidi="ar"/>
              </w:rPr>
              <w:t>）</w:t>
            </w:r>
            <w:r>
              <w:rPr>
                <w:rFonts w:ascii="Times New Roman" w:hAnsi="Times New Roman"/>
                <w:bCs/>
                <w:color w:val="auto"/>
                <w:highlight w:val="none"/>
                <w:lang w:bidi="ar"/>
              </w:rPr>
              <w:t>地下水污染防治措施</w:t>
            </w:r>
          </w:p>
          <w:p w14:paraId="726EA822">
            <w:pPr>
              <w:pStyle w:val="52"/>
              <w:adjustRightInd/>
              <w:spacing w:line="360" w:lineRule="auto"/>
              <w:ind w:firstLine="480" w:firstLineChars="200"/>
              <w:rPr>
                <w:rFonts w:ascii="Times New Roman" w:hAnsi="Times New Roman"/>
                <w:bCs/>
                <w:color w:val="auto"/>
                <w:highlight w:val="none"/>
                <w:lang w:bidi="ar"/>
              </w:rPr>
            </w:pPr>
            <w:r>
              <w:rPr>
                <w:rFonts w:ascii="Times New Roman" w:hAnsi="Times New Roman"/>
                <w:bCs/>
                <w:color w:val="auto"/>
                <w:highlight w:val="none"/>
                <w:lang w:bidi="ar"/>
              </w:rPr>
              <w:t>①表层固井要求：表层固井必须封固含水层。</w:t>
            </w:r>
          </w:p>
          <w:p w14:paraId="1499E284">
            <w:pPr>
              <w:pStyle w:val="52"/>
              <w:adjustRightInd/>
              <w:spacing w:line="360" w:lineRule="auto"/>
              <w:ind w:firstLine="480" w:firstLineChars="200"/>
              <w:rPr>
                <w:rFonts w:ascii="Times New Roman" w:hAnsi="Times New Roman"/>
                <w:bCs/>
                <w:color w:val="auto"/>
                <w:highlight w:val="none"/>
                <w:lang w:bidi="ar"/>
              </w:rPr>
            </w:pPr>
            <w:r>
              <w:rPr>
                <w:rFonts w:ascii="Times New Roman" w:hAnsi="Times New Roman"/>
                <w:bCs/>
                <w:color w:val="auto"/>
                <w:highlight w:val="none"/>
                <w:lang w:bidi="ar"/>
              </w:rPr>
              <w:t>②固井作业要求：为了确保地层的承压能力能够满足固井时防漏及打开气层时安全钻井的需要，在进入气层前必须按工程设计要求进行转化钻井液和工艺堵漏；固井所用水泥、外掺料、外加剂及水泥浆配方必须经公司工程技术管理部检验认可备案后，方可使用</w:t>
            </w:r>
          </w:p>
          <w:p w14:paraId="1C6D085E">
            <w:pPr>
              <w:pStyle w:val="52"/>
              <w:adjustRightInd/>
              <w:spacing w:line="360" w:lineRule="auto"/>
              <w:ind w:firstLine="480" w:firstLineChars="200"/>
              <w:rPr>
                <w:rFonts w:ascii="Times New Roman" w:hAnsi="Times New Roman"/>
                <w:bCs/>
                <w:color w:val="auto"/>
                <w:highlight w:val="none"/>
                <w:lang w:bidi="ar"/>
              </w:rPr>
            </w:pPr>
            <w:r>
              <w:rPr>
                <w:rFonts w:ascii="Times New Roman" w:hAnsi="Times New Roman"/>
                <w:bCs/>
                <w:color w:val="auto"/>
                <w:highlight w:val="none"/>
                <w:lang w:bidi="ar"/>
              </w:rPr>
              <w:t>③生产套管固井后钻水泥塞要求：钻完全井水泥塞后，必须大排量循环冲洗干净胶皮及铝片。</w:t>
            </w:r>
          </w:p>
          <w:p w14:paraId="0738B661">
            <w:pPr>
              <w:pStyle w:val="52"/>
              <w:adjustRightInd/>
              <w:spacing w:line="360" w:lineRule="auto"/>
              <w:ind w:firstLine="480" w:firstLineChars="200"/>
              <w:rPr>
                <w:rFonts w:ascii="Times New Roman" w:hAnsi="Times New Roman"/>
                <w:bCs/>
                <w:color w:val="auto"/>
                <w:highlight w:val="none"/>
                <w:lang w:bidi="ar"/>
              </w:rPr>
            </w:pPr>
            <w:r>
              <w:rPr>
                <w:rFonts w:ascii="Times New Roman" w:hAnsi="Times New Roman"/>
                <w:bCs/>
                <w:color w:val="auto"/>
                <w:highlight w:val="none"/>
                <w:lang w:bidi="ar"/>
              </w:rPr>
              <w:t>④其他要求：</w:t>
            </w:r>
          </w:p>
          <w:p w14:paraId="47EE2923">
            <w:pPr>
              <w:pStyle w:val="52"/>
              <w:adjustRightInd/>
              <w:spacing w:line="360" w:lineRule="auto"/>
              <w:ind w:firstLine="480" w:firstLineChars="200"/>
              <w:rPr>
                <w:rFonts w:ascii="Times New Roman" w:hAnsi="Times New Roman"/>
                <w:bCs/>
                <w:color w:val="auto"/>
                <w:highlight w:val="none"/>
                <w:lang w:bidi="ar"/>
              </w:rPr>
            </w:pPr>
            <w:r>
              <w:rPr>
                <w:rFonts w:ascii="Times New Roman" w:hAnsi="Times New Roman"/>
                <w:bCs/>
                <w:color w:val="auto"/>
                <w:highlight w:val="none"/>
                <w:lang w:bidi="ar"/>
              </w:rPr>
              <w:t>a. 钻井中遇到潜水层，下套管时应注水泥封固，防止地下水层被地层其它流体或钻井泥浆污染；</w:t>
            </w:r>
          </w:p>
          <w:p w14:paraId="3C815B6F">
            <w:pPr>
              <w:pStyle w:val="52"/>
              <w:adjustRightInd/>
              <w:spacing w:line="360" w:lineRule="auto"/>
              <w:ind w:firstLine="480" w:firstLineChars="200"/>
              <w:rPr>
                <w:rFonts w:ascii="Times New Roman" w:hAnsi="Times New Roman"/>
                <w:bCs/>
                <w:color w:val="auto"/>
                <w:highlight w:val="none"/>
                <w:lang w:bidi="ar"/>
              </w:rPr>
            </w:pPr>
            <w:r>
              <w:rPr>
                <w:rFonts w:ascii="Times New Roman" w:hAnsi="Times New Roman"/>
                <w:bCs/>
                <w:color w:val="auto"/>
                <w:highlight w:val="none"/>
                <w:lang w:bidi="ar"/>
              </w:rPr>
              <w:t>b. 钻井过程采取平衡钻进，避免因压力挤动和开泵过猛使泥浆憋入地层；</w:t>
            </w:r>
          </w:p>
          <w:p w14:paraId="124E9F9D">
            <w:pPr>
              <w:pStyle w:val="52"/>
              <w:adjustRightInd/>
              <w:spacing w:line="360" w:lineRule="auto"/>
              <w:ind w:firstLine="480" w:firstLineChars="200"/>
              <w:rPr>
                <w:rFonts w:ascii="Times New Roman" w:hAnsi="Times New Roman"/>
                <w:bCs/>
                <w:color w:val="auto"/>
                <w:highlight w:val="none"/>
                <w:lang w:bidi="ar"/>
              </w:rPr>
            </w:pPr>
            <w:r>
              <w:rPr>
                <w:rFonts w:ascii="Times New Roman" w:hAnsi="Times New Roman"/>
                <w:bCs/>
                <w:color w:val="auto"/>
                <w:highlight w:val="none"/>
                <w:lang w:bidi="ar"/>
              </w:rPr>
              <w:t>c. 井场储备足够的封堵剂，钻井过程中应密切注意钻井液的漏失情况，一旦出现漏失，应立即采取堵漏措施，防止钻井液的漏失污染地下水；堵漏剂的选取应考虑清洁、无毒、对人体无害、环境污染轻的种类，建议使用水泥堵漏。</w:t>
            </w:r>
          </w:p>
          <w:p w14:paraId="38A34E30">
            <w:pPr>
              <w:pStyle w:val="52"/>
              <w:adjustRightInd/>
              <w:spacing w:line="360" w:lineRule="auto"/>
              <w:ind w:firstLine="480" w:firstLineChars="200"/>
              <w:rPr>
                <w:rFonts w:ascii="Times New Roman" w:hAnsi="Times New Roman"/>
                <w:bCs/>
                <w:color w:val="auto"/>
                <w:highlight w:val="none"/>
                <w:lang w:bidi="ar"/>
              </w:rPr>
            </w:pPr>
            <w:r>
              <w:rPr>
                <w:rFonts w:ascii="Times New Roman" w:hAnsi="Times New Roman"/>
                <w:bCs/>
                <w:color w:val="auto"/>
                <w:highlight w:val="none"/>
                <w:lang w:bidi="ar"/>
              </w:rPr>
              <w:t>⑤防渗措施</w:t>
            </w:r>
          </w:p>
          <w:p w14:paraId="3D3DCAA3">
            <w:pPr>
              <w:pStyle w:val="52"/>
              <w:adjustRightInd/>
              <w:spacing w:line="360" w:lineRule="auto"/>
              <w:ind w:firstLine="480" w:firstLineChars="200"/>
              <w:rPr>
                <w:rFonts w:ascii="Times New Roman" w:hAnsi="Times New Roman"/>
                <w:bCs/>
                <w:color w:val="auto"/>
                <w:highlight w:val="none"/>
                <w:lang w:bidi="ar"/>
              </w:rPr>
            </w:pPr>
            <w:r>
              <w:rPr>
                <w:rFonts w:ascii="Times New Roman" w:hAnsi="Times New Roman"/>
                <w:bCs/>
                <w:color w:val="auto"/>
                <w:highlight w:val="none"/>
                <w:lang w:bidi="ar"/>
              </w:rPr>
              <w:t>为进一步减少工程建设对地下水环境的影响，环评建议对井场各区域切实做好防渗措施，项目分区防渗图见附图。</w:t>
            </w:r>
          </w:p>
          <w:p w14:paraId="1E80DBE7">
            <w:pPr>
              <w:pStyle w:val="52"/>
              <w:adjustRightInd/>
              <w:spacing w:line="360" w:lineRule="auto"/>
              <w:ind w:firstLine="480" w:firstLineChars="200"/>
              <w:rPr>
                <w:rFonts w:ascii="Times New Roman" w:hAnsi="Times New Roman"/>
                <w:bCs/>
                <w:color w:val="auto"/>
                <w:highlight w:val="none"/>
                <w:lang w:bidi="ar"/>
              </w:rPr>
            </w:pPr>
            <w:r>
              <w:rPr>
                <w:rFonts w:ascii="Times New Roman" w:hAnsi="Times New Roman"/>
                <w:bCs/>
                <w:color w:val="auto"/>
                <w:highlight w:val="none"/>
                <w:lang w:bidi="ar"/>
              </w:rPr>
              <w:t>a.防渗措施：泥浆池均应置于防雨棚内，底部压实后铺设 2mm 厚高密度聚乙烯膜，</w:t>
            </w:r>
            <w:r>
              <w:rPr>
                <w:rFonts w:ascii="Times New Roman" w:hAnsi="Times New Roman"/>
                <w:color w:val="auto"/>
                <w:highlight w:val="none"/>
              </w:rPr>
              <w:t>防渗等效厚度≥1.5m</w:t>
            </w:r>
            <w:r>
              <w:rPr>
                <w:rFonts w:ascii="Times New Roman" w:hAnsi="Times New Roman"/>
                <w:bCs/>
                <w:color w:val="auto"/>
                <w:highlight w:val="none"/>
                <w:lang w:bidi="ar"/>
              </w:rPr>
              <w:t>，可有效防止污染物入渗。</w:t>
            </w:r>
          </w:p>
          <w:p w14:paraId="7C75B979">
            <w:pPr>
              <w:pStyle w:val="52"/>
              <w:adjustRightInd/>
              <w:spacing w:line="360" w:lineRule="auto"/>
              <w:ind w:firstLine="480" w:firstLineChars="200"/>
              <w:rPr>
                <w:rFonts w:ascii="Times New Roman" w:hAnsi="Times New Roman"/>
                <w:bCs/>
                <w:color w:val="auto"/>
                <w:highlight w:val="none"/>
                <w:lang w:bidi="ar"/>
              </w:rPr>
            </w:pPr>
            <w:r>
              <w:rPr>
                <w:rFonts w:ascii="Times New Roman" w:hAnsi="Times New Roman"/>
                <w:bCs/>
                <w:color w:val="auto"/>
                <w:highlight w:val="none"/>
                <w:lang w:bidi="ar"/>
              </w:rPr>
              <w:t>b.防渗措施：池底及四周铺设复合防水卷材作防渗漏处理，防水卷材搭接长度不小于 300mm；池底填筑一定厚度的土壤后压实。</w:t>
            </w:r>
          </w:p>
          <w:p w14:paraId="0ABE40B2">
            <w:pPr>
              <w:pStyle w:val="52"/>
              <w:adjustRightInd/>
              <w:spacing w:line="360" w:lineRule="auto"/>
              <w:ind w:firstLine="480" w:firstLineChars="200"/>
              <w:rPr>
                <w:rFonts w:ascii="Times New Roman" w:hAnsi="Times New Roman"/>
                <w:bCs/>
                <w:color w:val="auto"/>
                <w:highlight w:val="none"/>
                <w:lang w:bidi="ar"/>
              </w:rPr>
            </w:pPr>
            <w:r>
              <w:rPr>
                <w:rFonts w:ascii="Times New Roman" w:hAnsi="Times New Roman"/>
                <w:bCs/>
                <w:color w:val="auto"/>
                <w:highlight w:val="none"/>
                <w:lang w:bidi="ar"/>
              </w:rPr>
              <w:t>c.循环系统防渗措施：采用密闭循环池，设备底部铺设复合防水卷材作防渗漏处理，防水卷材搭接长度不小于 300mm。</w:t>
            </w:r>
          </w:p>
          <w:p w14:paraId="55B20D31">
            <w:pPr>
              <w:pStyle w:val="52"/>
              <w:adjustRightInd/>
              <w:spacing w:line="360" w:lineRule="auto"/>
              <w:ind w:firstLine="480" w:firstLineChars="200"/>
              <w:rPr>
                <w:rFonts w:ascii="Times New Roman" w:hAnsi="Times New Roman"/>
                <w:bCs/>
                <w:color w:val="auto"/>
                <w:highlight w:val="none"/>
                <w:lang w:bidi="ar"/>
              </w:rPr>
            </w:pPr>
            <w:r>
              <w:rPr>
                <w:rFonts w:ascii="Times New Roman" w:hAnsi="Times New Roman"/>
                <w:bCs/>
                <w:color w:val="auto"/>
                <w:highlight w:val="none"/>
                <w:lang w:bidi="ar"/>
              </w:rPr>
              <w:t>采取以上防治措施后，本项目对地下水环境影响较小。</w:t>
            </w:r>
          </w:p>
          <w:p w14:paraId="43F73FF7">
            <w:pPr>
              <w:pStyle w:val="52"/>
              <w:adjustRightInd/>
              <w:spacing w:line="360" w:lineRule="auto"/>
              <w:ind w:firstLine="480" w:firstLineChars="200"/>
              <w:rPr>
                <w:rFonts w:ascii="Times New Roman" w:hAnsi="Times New Roman"/>
                <w:bCs/>
                <w:color w:val="auto"/>
                <w:highlight w:val="none"/>
                <w:lang w:bidi="ar"/>
              </w:rPr>
            </w:pPr>
            <w:r>
              <w:rPr>
                <w:rFonts w:hint="eastAsia" w:ascii="Times New Roman" w:hAnsi="Times New Roman"/>
                <w:bCs/>
                <w:color w:val="auto"/>
                <w:highlight w:val="none"/>
                <w:lang w:eastAsia="zh-CN" w:bidi="ar"/>
              </w:rPr>
              <w:t>（</w:t>
            </w:r>
            <w:r>
              <w:rPr>
                <w:rFonts w:hint="eastAsia" w:ascii="Times New Roman" w:hAnsi="Times New Roman"/>
                <w:bCs/>
                <w:color w:val="auto"/>
                <w:highlight w:val="none"/>
                <w:lang w:val="en-US" w:eastAsia="zh-CN" w:bidi="ar"/>
              </w:rPr>
              <w:t>5）</w:t>
            </w:r>
            <w:r>
              <w:rPr>
                <w:rFonts w:ascii="Times New Roman" w:hAnsi="Times New Roman"/>
                <w:bCs/>
                <w:color w:val="auto"/>
                <w:highlight w:val="none"/>
                <w:lang w:bidi="ar"/>
              </w:rPr>
              <w:t>土壤污染防治措施：</w:t>
            </w:r>
          </w:p>
          <w:p w14:paraId="2A84370D">
            <w:pPr>
              <w:pStyle w:val="52"/>
              <w:spacing w:line="360" w:lineRule="auto"/>
              <w:ind w:firstLine="480" w:firstLineChars="200"/>
              <w:rPr>
                <w:rFonts w:ascii="Times New Roman" w:hAnsi="Times New Roman"/>
                <w:bCs/>
                <w:color w:val="auto"/>
                <w:highlight w:val="none"/>
                <w:lang w:bidi="ar"/>
              </w:rPr>
            </w:pPr>
            <w:r>
              <w:rPr>
                <w:rFonts w:ascii="Times New Roman" w:hAnsi="Times New Roman"/>
                <w:bCs/>
                <w:color w:val="auto"/>
                <w:highlight w:val="none"/>
                <w:lang w:bidi="ar"/>
              </w:rPr>
              <w:t>①</w:t>
            </w:r>
            <w:r>
              <w:rPr>
                <w:rFonts w:ascii="Times New Roman" w:hAnsi="Times New Roman"/>
                <w:color w:val="auto"/>
                <w:highlight w:val="none"/>
              </w:rPr>
              <w:t>危废暂存间应按照《危险废物贮存污染控制标准》的相关要求进行，基础必须防渗，防渗层为至少1米厚粘土层(渗透系数≤10</w:t>
            </w:r>
            <w:r>
              <w:rPr>
                <w:rFonts w:ascii="Times New Roman" w:hAnsi="Times New Roman"/>
                <w:color w:val="auto"/>
                <w:highlight w:val="none"/>
                <w:vertAlign w:val="superscript"/>
              </w:rPr>
              <w:t>-7</w:t>
            </w:r>
            <w:r>
              <w:rPr>
                <w:rFonts w:ascii="Times New Roman" w:hAnsi="Times New Roman"/>
                <w:color w:val="auto"/>
                <w:highlight w:val="none"/>
              </w:rPr>
              <w:t>cm/s)，或2毫米厚</w:t>
            </w:r>
            <w:r>
              <w:rPr>
                <w:rFonts w:ascii="Times New Roman" w:hAnsi="Times New Roman"/>
                <w:color w:val="auto"/>
                <w:highlight w:val="none"/>
              </w:rPr>
              <w:fldChar w:fldCharType="begin"/>
            </w:r>
            <w:r>
              <w:rPr>
                <w:rFonts w:ascii="Times New Roman" w:hAnsi="Times New Roman"/>
                <w:color w:val="auto"/>
                <w:highlight w:val="none"/>
              </w:rPr>
              <w:instrText xml:space="preserve"> HYPERLINK "https://baike.so.com/doc/6184927-6398177.html" \t "_blank" </w:instrText>
            </w:r>
            <w:r>
              <w:rPr>
                <w:rFonts w:ascii="Times New Roman" w:hAnsi="Times New Roman"/>
                <w:color w:val="auto"/>
                <w:highlight w:val="none"/>
              </w:rPr>
              <w:fldChar w:fldCharType="separate"/>
            </w:r>
            <w:r>
              <w:rPr>
                <w:rFonts w:ascii="Times New Roman" w:hAnsi="Times New Roman"/>
                <w:color w:val="auto"/>
                <w:highlight w:val="none"/>
              </w:rPr>
              <w:t>高密度聚乙烯</w:t>
            </w:r>
            <w:r>
              <w:rPr>
                <w:rFonts w:ascii="Times New Roman" w:hAnsi="Times New Roman"/>
                <w:color w:val="auto"/>
                <w:highlight w:val="none"/>
              </w:rPr>
              <w:fldChar w:fldCharType="end"/>
            </w:r>
            <w:r>
              <w:rPr>
                <w:rFonts w:ascii="Times New Roman" w:hAnsi="Times New Roman"/>
                <w:color w:val="auto"/>
                <w:highlight w:val="none"/>
              </w:rPr>
              <w:t>，或至少2毫米厚的其它人工材料，渗透系数≤10</w:t>
            </w:r>
            <w:r>
              <w:rPr>
                <w:rFonts w:ascii="Times New Roman" w:hAnsi="Times New Roman"/>
                <w:color w:val="auto"/>
                <w:highlight w:val="none"/>
                <w:vertAlign w:val="superscript"/>
              </w:rPr>
              <w:t>-10</w:t>
            </w:r>
            <w:r>
              <w:rPr>
                <w:rFonts w:ascii="Times New Roman" w:hAnsi="Times New Roman"/>
                <w:color w:val="auto"/>
                <w:highlight w:val="none"/>
              </w:rPr>
              <w:t>cm/s</w:t>
            </w:r>
            <w:r>
              <w:rPr>
                <w:rFonts w:ascii="Times New Roman" w:hAnsi="Times New Roman"/>
                <w:bCs/>
                <w:color w:val="auto"/>
                <w:highlight w:val="none"/>
                <w:lang w:bidi="ar"/>
              </w:rPr>
              <w:t>。</w:t>
            </w:r>
          </w:p>
          <w:p w14:paraId="389BF8AA">
            <w:pPr>
              <w:pStyle w:val="52"/>
              <w:spacing w:line="360" w:lineRule="auto"/>
              <w:ind w:firstLine="480" w:firstLineChars="200"/>
              <w:rPr>
                <w:rFonts w:ascii="Times New Roman" w:hAnsi="Times New Roman"/>
                <w:bCs/>
                <w:color w:val="auto"/>
                <w:highlight w:val="none"/>
                <w:lang w:bidi="ar"/>
              </w:rPr>
            </w:pPr>
            <w:r>
              <w:rPr>
                <w:rFonts w:ascii="Times New Roman" w:hAnsi="Times New Roman"/>
                <w:bCs/>
                <w:color w:val="auto"/>
                <w:highlight w:val="none"/>
                <w:lang w:bidi="ar"/>
              </w:rPr>
              <w:t>②</w:t>
            </w:r>
            <w:r>
              <w:rPr>
                <w:rFonts w:ascii="Times New Roman" w:hAnsi="Times New Roman"/>
                <w:color w:val="auto"/>
                <w:highlight w:val="none"/>
              </w:rPr>
              <w:t>钻井井口区域、泥浆池等区域按照《一般工业固体废物贮存和填埋污染控制标准》（GB 18599-2020）进行防渗措施，渗透系数不应大于1.0×10</w:t>
            </w:r>
            <w:r>
              <w:rPr>
                <w:rFonts w:ascii="Times New Roman" w:hAnsi="Times New Roman"/>
                <w:color w:val="auto"/>
                <w:highlight w:val="none"/>
                <w:vertAlign w:val="superscript"/>
              </w:rPr>
              <w:t>-7</w:t>
            </w:r>
            <w:r>
              <w:rPr>
                <w:rFonts w:ascii="Times New Roman" w:hAnsi="Times New Roman"/>
                <w:color w:val="auto"/>
                <w:highlight w:val="none"/>
              </w:rPr>
              <w:t>cm/s，厚度不宜小于75cm</w:t>
            </w:r>
            <w:r>
              <w:rPr>
                <w:rFonts w:ascii="Times New Roman" w:hAnsi="Times New Roman"/>
                <w:bCs/>
                <w:color w:val="auto"/>
                <w:highlight w:val="none"/>
                <w:lang w:bidi="ar"/>
              </w:rPr>
              <w:t>。</w:t>
            </w:r>
          </w:p>
          <w:p w14:paraId="076F1804">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采取以上措施后，本项目对地下水、土壤环境的影响较小。</w:t>
            </w:r>
          </w:p>
          <w:p w14:paraId="259337FD">
            <w:pPr>
              <w:pStyle w:val="52"/>
              <w:adjustRightInd/>
              <w:spacing w:line="360" w:lineRule="auto"/>
              <w:ind w:firstLine="480" w:firstLineChars="200"/>
              <w:rPr>
                <w:rFonts w:ascii="Times New Roman" w:hAnsi="Times New Roman"/>
                <w:b/>
                <w:bCs/>
                <w:color w:val="auto"/>
                <w:highlight w:val="none"/>
                <w:lang w:bidi="ar"/>
              </w:rPr>
            </w:pPr>
            <w:r>
              <w:rPr>
                <w:rFonts w:hint="default" w:ascii="Times New Roman" w:hAnsi="Times New Roman"/>
                <w:color w:val="auto"/>
                <w:highlight w:val="none"/>
              </w:rPr>
              <w:t>钻井工程地下水及土壤污染防治措施</w:t>
            </w:r>
          </w:p>
          <w:p w14:paraId="56F8CFDA">
            <w:pPr>
              <w:pStyle w:val="52"/>
              <w:adjustRightInd/>
              <w:spacing w:line="360" w:lineRule="auto"/>
              <w:ind w:firstLine="482" w:firstLineChars="200"/>
              <w:rPr>
                <w:rFonts w:ascii="Times New Roman" w:hAnsi="Times New Roman"/>
                <w:color w:val="auto"/>
                <w:highlight w:val="none"/>
              </w:rPr>
            </w:pPr>
            <w:r>
              <w:rPr>
                <w:rFonts w:ascii="Times New Roman" w:hAnsi="Times New Roman"/>
                <w:b/>
                <w:bCs/>
                <w:color w:val="auto"/>
                <w:highlight w:val="none"/>
                <w:lang w:bidi="ar"/>
              </w:rPr>
              <w:t>7、生态保护防治措施</w:t>
            </w:r>
          </w:p>
          <w:p w14:paraId="7A418B50">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（1）土地利用现有格局的保护和恢复措施</w:t>
            </w:r>
          </w:p>
          <w:p w14:paraId="10E42607">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①施工占地合理规划，尽量控制工程施工活动范围，减少对周边占地的影响。</w:t>
            </w:r>
          </w:p>
          <w:p w14:paraId="1B01AF9E">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②按设计标准规定，严格控制施工作业面积，不得超过作业标准规定，以减少土壤扰动和地表植被破坏，减少裸地和土方暴露面积。</w:t>
            </w:r>
          </w:p>
          <w:p w14:paraId="6F4B8F18">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③井场施工作业机械应严格管理，划定活动范围，不得在道路场地以外的地方行驶和作业，保持路外植被不被破坏。</w:t>
            </w:r>
          </w:p>
          <w:p w14:paraId="32AAFCBD">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④项目施工过程中涉及挖方量大的项目应加快施工进度，缩短施工时间，对产生的挖方及时进行平整处理。此外，施工时应避免在雨天、大风等天气条件不利情况下施工，做到水土流失最小化，如遇特殊天气施工，应用施工布料对现挖松散临时土方进行临时遮掩，保证有效控制水土流失。</w:t>
            </w:r>
          </w:p>
          <w:p w14:paraId="38830A3F">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⑤施工结束后，应恢复地貌原状。施工时对占地范围的土壤开挖应做分区堆放，分层回填压实，以保护植被生长层，降低对土壤养分的影响尽快使土壤恢复生产力，同时减少水土流失。</w:t>
            </w:r>
          </w:p>
          <w:p w14:paraId="48F6A0BF">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（2）水土流失防治措施</w:t>
            </w:r>
          </w:p>
          <w:p w14:paraId="6506854C">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①尽量避开雨季施工，提高工程施工效率，缩短施工工期。</w:t>
            </w:r>
          </w:p>
          <w:p w14:paraId="597C7FDF">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②划定施工作业范围线，不随意扩大。并严格控制机械和车辆的作业范围，尽可能减少对土壤和农作物的破坏以及由此引发的水土流失。</w:t>
            </w:r>
          </w:p>
          <w:p w14:paraId="20F26711">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③施工单位开工前，应先剥离占地范围内表层土，井场范围内表层土堆</w:t>
            </w:r>
            <w:r>
              <w:rPr>
                <w:rFonts w:hint="eastAsia" w:ascii="Times New Roman" w:hAnsi="Times New Roman"/>
                <w:color w:val="auto"/>
                <w:highlight w:val="none"/>
                <w:lang w:eastAsia="zh-CN"/>
              </w:rPr>
              <w:t>置于</w:t>
            </w:r>
            <w:r>
              <w:rPr>
                <w:rFonts w:ascii="Times New Roman" w:hAnsi="Times New Roman"/>
                <w:color w:val="auto"/>
                <w:highlight w:val="none"/>
              </w:rPr>
              <w:t>表层土堆放区内，</w:t>
            </w:r>
            <w:r>
              <w:rPr>
                <w:rFonts w:ascii="Times New Roman" w:hAnsi="Times New Roman"/>
                <w:color w:val="auto"/>
                <w:kern w:val="0"/>
                <w:highlight w:val="none"/>
                <w:lang w:bidi="ar"/>
              </w:rPr>
              <w:t>首先，在其四周用3m高的草袋防护，编织袋所装可直接采用剥离表土；其次，为减小降雨对表土的冲刷作用，减少表土流失量，在表土堆积过程中应尽量压实，并在表面覆盖土工布；再次，应在其临时表土堆放周边修建临时排水沟，以阻挡周边雨水，排水沟断面根据当地暴雨特征值与汇流面积计算后选用底宽0.3m、口宽0.9m、深0.3m的梯形断面，防止地表径流对其产生的影响；最后，在施工后期，拆除编织土袋尽快将表土用于覆土，尽可能减少堆放时间。</w:t>
            </w:r>
          </w:p>
          <w:p w14:paraId="5E772F5D">
            <w:pPr>
              <w:widowControl/>
              <w:spacing w:line="360" w:lineRule="auto"/>
              <w:ind w:firstLine="480" w:firstLineChars="200"/>
              <w:rPr>
                <w:color w:val="auto"/>
                <w:kern w:val="0"/>
                <w:sz w:val="24"/>
                <w:highlight w:val="none"/>
                <w:lang w:bidi="ar"/>
              </w:rPr>
            </w:pPr>
            <w:r>
              <w:rPr>
                <w:color w:val="auto"/>
                <w:kern w:val="0"/>
                <w:sz w:val="24"/>
                <w:highlight w:val="none"/>
                <w:lang w:bidi="ar"/>
              </w:rPr>
              <w:t>堆放方式为：先用编织土袋装收集表土在堆放地四周码砌临时挡墙，挡墙采用梯形断面；向表土临时堆放场内堆放收集表土，平均高度3.0m左右，堆放过程中应采用逐层堆放的方式进行，减少堆放物的松散性，有效控制水土流失。在堆场周围设置临时排水沟。</w:t>
            </w:r>
          </w:p>
          <w:p w14:paraId="33D1F2B5">
            <w:pPr>
              <w:widowControl/>
              <w:spacing w:line="360" w:lineRule="auto"/>
              <w:ind w:firstLine="480" w:firstLineChars="200"/>
              <w:rPr>
                <w:color w:val="auto"/>
                <w:sz w:val="24"/>
                <w:highlight w:val="none"/>
              </w:rPr>
            </w:pPr>
            <w:r>
              <w:rPr>
                <w:color w:val="auto"/>
                <w:kern w:val="0"/>
                <w:sz w:val="24"/>
                <w:highlight w:val="none"/>
                <w:lang w:bidi="ar"/>
              </w:rPr>
              <w:t>另外，在表土剥离和堆放过程中还应注意以下几点要求：表土剥离收集过程中应注意对树根、灌木、草皮的清理，避免与表土混合，影响表土堆放的稳定性；遵循“先拦后堆”的原则，先做好拦挡工作后，再集中堆放表土，且在堆放时尽可能将表土压实；必须按上述要求做好上述临时防护措施；施工完成后应尽快完成覆土及植被恢复工作，尽可能减少其堆放时间。</w:t>
            </w:r>
          </w:p>
          <w:p w14:paraId="40DD9AF4">
            <w:pPr>
              <w:pStyle w:val="10"/>
              <w:spacing w:line="360" w:lineRule="auto"/>
              <w:ind w:firstLine="480" w:firstLineChars="200"/>
              <w:jc w:val="both"/>
              <w:rPr>
                <w:bCs/>
                <w:color w:val="auto"/>
                <w:highlight w:val="none"/>
                <w:lang w:bidi="ar"/>
              </w:rPr>
            </w:pPr>
            <w:r>
              <w:rPr>
                <w:bCs/>
                <w:color w:val="auto"/>
                <w:highlight w:val="none"/>
                <w:lang w:bidi="ar"/>
              </w:rPr>
              <w:t>（3）生态影响防护措施</w:t>
            </w:r>
          </w:p>
          <w:p w14:paraId="09F42CA4">
            <w:pPr>
              <w:pStyle w:val="10"/>
              <w:spacing w:line="360" w:lineRule="auto"/>
              <w:ind w:firstLine="480" w:firstLineChars="200"/>
              <w:jc w:val="both"/>
              <w:rPr>
                <w:bCs/>
                <w:color w:val="auto"/>
                <w:highlight w:val="none"/>
                <w:lang w:bidi="ar"/>
              </w:rPr>
            </w:pPr>
            <w:r>
              <w:rPr>
                <w:bCs/>
                <w:color w:val="auto"/>
                <w:highlight w:val="none"/>
                <w:lang w:bidi="ar"/>
              </w:rPr>
              <w:t>生态影响的防护是指采取对生态影响起到避免、削减和补偿作用的措施。</w:t>
            </w:r>
          </w:p>
          <w:p w14:paraId="45B9876F">
            <w:pPr>
              <w:pStyle w:val="10"/>
              <w:spacing w:line="360" w:lineRule="auto"/>
              <w:ind w:firstLine="480" w:firstLineChars="200"/>
              <w:jc w:val="both"/>
              <w:rPr>
                <w:bCs/>
                <w:color w:val="auto"/>
                <w:highlight w:val="none"/>
                <w:lang w:bidi="ar"/>
              </w:rPr>
            </w:pPr>
            <w:r>
              <w:rPr>
                <w:bCs/>
                <w:color w:val="auto"/>
                <w:highlight w:val="none"/>
                <w:lang w:bidi="ar"/>
              </w:rPr>
              <w:t>本项目井场建设短期内会改变区域土地利用，降低区域自然体系的生产能力，因此，应采取必要的生态防护措施，尽可能的减少对原有生态结构的改变，恢复和改善原生生态系统的功能。在井场建设时要求：</w:t>
            </w:r>
          </w:p>
          <w:p w14:paraId="7D50D62A">
            <w:pPr>
              <w:pStyle w:val="10"/>
              <w:spacing w:line="360" w:lineRule="auto"/>
              <w:ind w:firstLine="480" w:firstLineChars="200"/>
              <w:jc w:val="both"/>
              <w:rPr>
                <w:bCs/>
                <w:color w:val="auto"/>
                <w:highlight w:val="none"/>
                <w:lang w:bidi="ar"/>
              </w:rPr>
            </w:pPr>
            <w:r>
              <w:rPr>
                <w:bCs/>
                <w:color w:val="auto"/>
                <w:highlight w:val="none"/>
                <w:lang w:bidi="ar"/>
              </w:rPr>
              <w:t>①强化施工阶段的环境管理，为了保证环境保护措施得到落实，项目单位应将环境保护内容作为合同条款纳入到合同中，要求施工单位按评价要求科学、合理施工，项目单位定期对工程施工情况进行监督。</w:t>
            </w:r>
          </w:p>
          <w:p w14:paraId="5C82B81F">
            <w:pPr>
              <w:pStyle w:val="10"/>
              <w:spacing w:line="360" w:lineRule="auto"/>
              <w:ind w:firstLine="480" w:firstLineChars="200"/>
              <w:rPr>
                <w:bCs/>
                <w:color w:val="auto"/>
                <w:highlight w:val="none"/>
                <w:lang w:bidi="ar"/>
              </w:rPr>
            </w:pPr>
            <w:r>
              <w:rPr>
                <w:bCs/>
                <w:color w:val="auto"/>
                <w:highlight w:val="none"/>
                <w:lang w:bidi="ar"/>
              </w:rPr>
              <w:t>②加强施工队伍职工环境教育，规范施工人员行为。教育职工爱护生态环境，保护施工场所周围一草一木，不随意摘花折木，严禁砍伐、破坏施工带以外的作物和树木，尽量减少对植被的破坏。</w:t>
            </w:r>
          </w:p>
          <w:p w14:paraId="03AD83FD">
            <w:pPr>
              <w:pStyle w:val="10"/>
              <w:spacing w:line="360" w:lineRule="auto"/>
              <w:ind w:firstLine="480" w:firstLineChars="200"/>
              <w:rPr>
                <w:bCs/>
                <w:color w:val="auto"/>
                <w:highlight w:val="none"/>
                <w:lang w:bidi="ar"/>
              </w:rPr>
            </w:pPr>
            <w:r>
              <w:rPr>
                <w:bCs/>
                <w:color w:val="auto"/>
                <w:highlight w:val="none"/>
                <w:lang w:bidi="ar"/>
              </w:rPr>
              <w:t>③在职工中宣传环境保护法规，加强施工生产和生活用火管理，要防止引起火灾，避免造成不必要的损失和破坏。加强员工的环保意识，制定和完善企业内部环境保护工作的规章制度；宣传清洁生产技术思想，进行清洁生产技术培训；积极建立清洁生产环境管理体系；同时建立安全监督机制，进行安全考核等。</w:t>
            </w:r>
          </w:p>
          <w:p w14:paraId="25186123">
            <w:pPr>
              <w:pStyle w:val="10"/>
              <w:spacing w:line="360" w:lineRule="auto"/>
              <w:ind w:firstLine="480" w:firstLineChars="200"/>
              <w:rPr>
                <w:bCs/>
                <w:color w:val="auto"/>
                <w:highlight w:val="none"/>
                <w:lang w:bidi="ar"/>
              </w:rPr>
            </w:pPr>
            <w:r>
              <w:rPr>
                <w:bCs/>
                <w:color w:val="auto"/>
                <w:highlight w:val="none"/>
                <w:lang w:bidi="ar"/>
              </w:rPr>
              <w:t>④加强井场内绿化，井场内在树种、草种的选择上，既要考虑水土保持防护功能，还要考虑环境美化。</w:t>
            </w:r>
          </w:p>
          <w:p w14:paraId="5B07475B">
            <w:pPr>
              <w:pStyle w:val="10"/>
              <w:spacing w:line="360" w:lineRule="auto"/>
              <w:ind w:firstLine="480" w:firstLineChars="200"/>
              <w:rPr>
                <w:bCs/>
                <w:color w:val="auto"/>
                <w:highlight w:val="none"/>
                <w:lang w:bidi="ar"/>
              </w:rPr>
            </w:pPr>
            <w:r>
              <w:rPr>
                <w:bCs/>
                <w:color w:val="auto"/>
                <w:highlight w:val="none"/>
                <w:lang w:bidi="ar"/>
              </w:rPr>
              <w:t>⑤施工结束后应采用套管+水泥砂浆予以恰当封孔</w:t>
            </w:r>
            <w:r>
              <w:rPr>
                <w:rFonts w:hint="eastAsia"/>
                <w:bCs/>
                <w:color w:val="auto"/>
                <w:highlight w:val="none"/>
                <w:lang w:eastAsia="zh-CN" w:bidi="ar"/>
              </w:rPr>
              <w:t>并保</w:t>
            </w:r>
            <w:r>
              <w:rPr>
                <w:bCs/>
                <w:color w:val="auto"/>
                <w:highlight w:val="none"/>
                <w:lang w:bidi="ar"/>
              </w:rPr>
              <w:t>留地面标记进行固井，施工占地应利用原土回填，恢复原有植被。</w:t>
            </w:r>
          </w:p>
          <w:p w14:paraId="793EF4AE">
            <w:pPr>
              <w:pStyle w:val="10"/>
              <w:spacing w:line="360" w:lineRule="auto"/>
              <w:ind w:firstLine="480" w:firstLineChars="200"/>
              <w:rPr>
                <w:bCs/>
                <w:color w:val="auto"/>
                <w:highlight w:val="none"/>
                <w:lang w:bidi="ar"/>
              </w:rPr>
            </w:pPr>
            <w:r>
              <w:rPr>
                <w:bCs/>
                <w:color w:val="auto"/>
                <w:highlight w:val="none"/>
                <w:lang w:bidi="ar"/>
              </w:rPr>
              <w:t>项目施工结束后，井场全部进行生态恢复，项目因占地、植物减少、土壤扰动和水土流失等生态问题和生态扰动都将恢复。</w:t>
            </w:r>
          </w:p>
          <w:p w14:paraId="567647F3">
            <w:pPr>
              <w:pStyle w:val="10"/>
              <w:spacing w:line="360" w:lineRule="auto"/>
              <w:ind w:firstLine="480" w:firstLineChars="200"/>
              <w:rPr>
                <w:bCs/>
                <w:color w:val="auto"/>
                <w:highlight w:val="none"/>
                <w:lang w:bidi="ar"/>
              </w:rPr>
            </w:pPr>
            <w:r>
              <w:rPr>
                <w:bCs/>
                <w:color w:val="auto"/>
                <w:highlight w:val="none"/>
                <w:lang w:bidi="ar"/>
              </w:rPr>
              <w:t>（4）生态影响恢复措施</w:t>
            </w:r>
          </w:p>
          <w:p w14:paraId="4E62935A">
            <w:pPr>
              <w:spacing w:line="360" w:lineRule="auto"/>
              <w:ind w:firstLine="480" w:firstLineChars="200"/>
              <w:rPr>
                <w:bCs/>
                <w:color w:val="auto"/>
                <w:kern w:val="0"/>
                <w:sz w:val="24"/>
                <w:szCs w:val="20"/>
                <w:highlight w:val="none"/>
                <w:lang w:bidi="ar"/>
              </w:rPr>
            </w:pPr>
            <w:r>
              <w:rPr>
                <w:color w:val="auto"/>
                <w:sz w:val="24"/>
                <w:szCs w:val="28"/>
                <w:highlight w:val="none"/>
              </w:rPr>
              <w:fldChar w:fldCharType="begin"/>
            </w:r>
            <w:r>
              <w:rPr>
                <w:color w:val="auto"/>
                <w:sz w:val="24"/>
                <w:szCs w:val="28"/>
                <w:highlight w:val="none"/>
              </w:rPr>
              <w:instrText xml:space="preserve"> = 1 \* GB3 \* MERGEFORMAT </w:instrText>
            </w:r>
            <w:r>
              <w:rPr>
                <w:color w:val="auto"/>
                <w:sz w:val="24"/>
                <w:szCs w:val="28"/>
                <w:highlight w:val="none"/>
              </w:rPr>
              <w:fldChar w:fldCharType="separate"/>
            </w:r>
            <w:r>
              <w:rPr>
                <w:color w:val="auto"/>
                <w:highlight w:val="none"/>
              </w:rPr>
              <w:t>①</w:t>
            </w:r>
            <w:r>
              <w:rPr>
                <w:color w:val="auto"/>
                <w:sz w:val="24"/>
                <w:szCs w:val="28"/>
                <w:highlight w:val="none"/>
              </w:rPr>
              <w:fldChar w:fldCharType="end"/>
            </w:r>
            <w:r>
              <w:rPr>
                <w:bCs/>
                <w:color w:val="auto"/>
                <w:kern w:val="0"/>
                <w:sz w:val="24"/>
                <w:szCs w:val="20"/>
                <w:highlight w:val="none"/>
                <w:lang w:bidi="ar"/>
              </w:rPr>
              <w:t>项目为地质勘察治理类项目，完成封孔后后清理井场，然后对场地予以恢复。</w:t>
            </w:r>
          </w:p>
          <w:p w14:paraId="3BDD4C76">
            <w:pPr>
              <w:pStyle w:val="10"/>
              <w:spacing w:line="360" w:lineRule="auto"/>
              <w:ind w:firstLine="480" w:firstLineChars="200"/>
              <w:rPr>
                <w:bCs/>
                <w:color w:val="auto"/>
                <w:highlight w:val="none"/>
                <w:lang w:bidi="ar"/>
              </w:rPr>
            </w:pPr>
            <w:r>
              <w:rPr>
                <w:bCs/>
                <w:color w:val="auto"/>
                <w:highlight w:val="none"/>
                <w:lang w:bidi="ar"/>
              </w:rPr>
              <w:t>②施工前对表土进行剥离，剥离的表土可堆放于井场占地的空闲处，施工结束后，将剥离的表土及时回填需要进行恢复的临时占地区；</w:t>
            </w:r>
          </w:p>
          <w:p w14:paraId="7DB3B669">
            <w:pPr>
              <w:pStyle w:val="10"/>
              <w:spacing w:line="360" w:lineRule="auto"/>
              <w:ind w:firstLine="480" w:firstLineChars="200"/>
              <w:rPr>
                <w:bCs/>
                <w:color w:val="auto"/>
                <w:highlight w:val="none"/>
                <w:lang w:bidi="ar"/>
              </w:rPr>
            </w:pPr>
            <w:r>
              <w:rPr>
                <w:bCs/>
                <w:color w:val="auto"/>
                <w:highlight w:val="none"/>
                <w:lang w:bidi="ar"/>
              </w:rPr>
              <w:t>③施工结束后进行全面整地，按照原有土地利用类型</w:t>
            </w:r>
            <w:r>
              <w:rPr>
                <w:rFonts w:hint="eastAsia"/>
                <w:bCs/>
                <w:color w:val="auto"/>
                <w:highlight w:val="none"/>
                <w:lang w:val="en-US" w:eastAsia="zh-CN" w:bidi="ar"/>
              </w:rPr>
              <w:t>农</w:t>
            </w:r>
            <w:r>
              <w:rPr>
                <w:bCs/>
                <w:color w:val="auto"/>
                <w:highlight w:val="none"/>
                <w:lang w:bidi="ar"/>
              </w:rPr>
              <w:t>用地进行生态恢复；</w:t>
            </w:r>
          </w:p>
          <w:p w14:paraId="7E81E447">
            <w:pPr>
              <w:pStyle w:val="10"/>
              <w:spacing w:line="360" w:lineRule="auto"/>
              <w:ind w:firstLine="480" w:firstLineChars="200"/>
              <w:rPr>
                <w:bCs/>
                <w:color w:val="auto"/>
                <w:highlight w:val="none"/>
                <w:lang w:bidi="ar"/>
              </w:rPr>
            </w:pPr>
            <w:r>
              <w:rPr>
                <w:bCs/>
                <w:color w:val="auto"/>
                <w:highlight w:val="none"/>
                <w:lang w:bidi="ar"/>
              </w:rPr>
              <w:fldChar w:fldCharType="begin"/>
            </w:r>
            <w:r>
              <w:rPr>
                <w:bCs/>
                <w:color w:val="auto"/>
                <w:highlight w:val="none"/>
                <w:lang w:bidi="ar"/>
              </w:rPr>
              <w:instrText xml:space="preserve"> = 4 \* GB3 \* MERGEFORMAT </w:instrText>
            </w:r>
            <w:r>
              <w:rPr>
                <w:bCs/>
                <w:color w:val="auto"/>
                <w:highlight w:val="none"/>
                <w:lang w:bidi="ar"/>
              </w:rPr>
              <w:fldChar w:fldCharType="separate"/>
            </w:r>
            <w:r>
              <w:rPr>
                <w:color w:val="auto"/>
                <w:highlight w:val="none"/>
              </w:rPr>
              <w:t>④</w:t>
            </w:r>
            <w:r>
              <w:rPr>
                <w:bCs/>
                <w:color w:val="auto"/>
                <w:highlight w:val="none"/>
                <w:lang w:bidi="ar"/>
              </w:rPr>
              <w:fldChar w:fldCharType="end"/>
            </w:r>
            <w:r>
              <w:rPr>
                <w:bCs/>
                <w:color w:val="auto"/>
                <w:highlight w:val="none"/>
                <w:lang w:bidi="ar"/>
              </w:rPr>
              <w:t>项目施工结束后，机房、硬化地面、雨水沟、污水沟等地面设施进行整体拆除，对拆除过程中可重复使用的材料可运至其他井站进行重复利用，水泥渣、碎石等尽可能用于其他井场的道路和井场建设，不可利用部分运至政府指定的渣场，做到工完、料净、场地清；对沉淀池、干化池拆除后作为凹地平整填方区填方回填，不留坑凼；清除场内固体废物，平整井场，在表层覆盖原土层，将废弃的井场恢复原状；；</w:t>
            </w:r>
          </w:p>
          <w:p w14:paraId="3520AC83">
            <w:pPr>
              <w:pStyle w:val="52"/>
              <w:adjustRightInd/>
              <w:spacing w:line="360" w:lineRule="auto"/>
              <w:ind w:firstLine="480" w:firstLineChars="200"/>
              <w:rPr>
                <w:rFonts w:ascii="Times New Roman" w:hAnsi="Times New Roman"/>
                <w:bCs/>
                <w:color w:val="auto"/>
                <w:highlight w:val="none"/>
                <w:lang w:bidi="ar"/>
              </w:rPr>
            </w:pPr>
            <w:r>
              <w:rPr>
                <w:rFonts w:ascii="Times New Roman" w:hAnsi="Times New Roman"/>
                <w:bCs/>
                <w:color w:val="auto"/>
                <w:highlight w:val="none"/>
                <w:lang w:bidi="ar"/>
              </w:rPr>
              <w:fldChar w:fldCharType="begin"/>
            </w:r>
            <w:r>
              <w:rPr>
                <w:rFonts w:ascii="Times New Roman" w:hAnsi="Times New Roman"/>
                <w:bCs/>
                <w:color w:val="auto"/>
                <w:highlight w:val="none"/>
                <w:lang w:bidi="ar"/>
              </w:rPr>
              <w:instrText xml:space="preserve"> = 5 \* GB3 \* MERGEFORMAT </w:instrText>
            </w:r>
            <w:r>
              <w:rPr>
                <w:rFonts w:ascii="Times New Roman" w:hAnsi="Times New Roman"/>
                <w:bCs/>
                <w:color w:val="auto"/>
                <w:highlight w:val="none"/>
                <w:lang w:bidi="ar"/>
              </w:rPr>
              <w:fldChar w:fldCharType="separate"/>
            </w:r>
            <w:r>
              <w:rPr>
                <w:rFonts w:ascii="Times New Roman" w:hAnsi="Times New Roman"/>
                <w:color w:val="auto"/>
                <w:highlight w:val="none"/>
              </w:rPr>
              <w:t>⑤</w:t>
            </w:r>
            <w:r>
              <w:rPr>
                <w:rFonts w:ascii="Times New Roman" w:hAnsi="Times New Roman"/>
                <w:bCs/>
                <w:color w:val="auto"/>
                <w:highlight w:val="none"/>
                <w:lang w:bidi="ar"/>
              </w:rPr>
              <w:fldChar w:fldCharType="end"/>
            </w:r>
            <w:r>
              <w:rPr>
                <w:rFonts w:ascii="Times New Roman" w:hAnsi="Times New Roman"/>
                <w:bCs/>
                <w:color w:val="auto"/>
                <w:highlight w:val="none"/>
                <w:lang w:bidi="ar"/>
              </w:rPr>
              <w:t>对临时占用的裸地采用种植乔灌草方式进行恢复植被。</w:t>
            </w:r>
          </w:p>
          <w:p w14:paraId="1AC7C81F">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（5）临时占地生态保护措施</w:t>
            </w:r>
          </w:p>
          <w:p w14:paraId="37D2AD52">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根据《土地管理法》规定和相关地方规定，严格规定施工作业范围，严格限制施工活动范围；施工结束后进行植被恢复。项目施工结束后，机房、硬化地面、雨水沟、污水沟等地面设施进行整体拆除，对拆除过程中可重复使用的材料可运至其他井站进行重复利用，水泥渣、碎石等尽可能用于其他井场的道路和井场建设，不可利用部分运至政府指定的渣场，做到工完、料净、场地清，对构筑的设备基础拆除后作场地边坡凹地平整填方区填方回填，不留坑凼；清除场内固体废物，平整井场，在表层覆盖耕作土层，将废弃的井场恢复原状。</w:t>
            </w:r>
          </w:p>
          <w:p w14:paraId="618F3B89">
            <w:pPr>
              <w:pStyle w:val="10"/>
              <w:spacing w:line="360" w:lineRule="auto"/>
              <w:ind w:firstLine="480" w:firstLineChars="200"/>
              <w:rPr>
                <w:bCs/>
                <w:color w:val="auto"/>
                <w:spacing w:val="10"/>
                <w:szCs w:val="21"/>
                <w:highlight w:val="none"/>
              </w:rPr>
            </w:pPr>
            <w:r>
              <w:rPr>
                <w:bCs/>
                <w:color w:val="auto"/>
                <w:highlight w:val="none"/>
                <w:lang w:bidi="ar"/>
              </w:rPr>
              <w:t>建设单位应严格执行国家有关生态保护的法律法规，落实资金，加强管理，开展生态恢复工程。严格采取环评提出的生态保护措施，对被破坏的土地、植被进行生态恢复，使得各项环境保护措施在设计、施工中得到落实。这些措施落实后可以恢复原土地使用功能，可使得项目建设对生态环境产生的不利影响降到最低。通过采取的环评要求的措施后，评价区域内经项目扰动的地表及项目临时占地得到有效</w:t>
            </w:r>
            <w:r>
              <w:rPr>
                <w:rFonts w:hint="eastAsia"/>
                <w:bCs/>
                <w:color w:val="auto"/>
                <w:highlight w:val="none"/>
                <w:lang w:eastAsia="zh-CN" w:bidi="ar"/>
              </w:rPr>
              <w:t>地</w:t>
            </w:r>
            <w:r>
              <w:rPr>
                <w:bCs/>
                <w:color w:val="auto"/>
                <w:highlight w:val="none"/>
                <w:lang w:bidi="ar"/>
              </w:rPr>
              <w:t>恢复。</w:t>
            </w:r>
          </w:p>
        </w:tc>
      </w:tr>
      <w:tr w14:paraId="7473EC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9" w:type="pct"/>
            <w:noWrap w:val="0"/>
            <w:tcMar>
              <w:left w:w="28" w:type="dxa"/>
              <w:right w:w="28" w:type="dxa"/>
            </w:tcMar>
            <w:vAlign w:val="center"/>
          </w:tcPr>
          <w:p w14:paraId="17E948D5">
            <w:pPr>
              <w:adjustRightInd w:val="0"/>
              <w:snapToGrid w:val="0"/>
              <w:jc w:val="center"/>
              <w:rPr>
                <w:bCs/>
                <w:color w:val="auto"/>
                <w:spacing w:val="10"/>
                <w:szCs w:val="21"/>
                <w:highlight w:val="none"/>
              </w:rPr>
            </w:pPr>
            <w:r>
              <w:rPr>
                <w:bCs/>
                <w:color w:val="auto"/>
                <w:spacing w:val="10"/>
                <w:sz w:val="24"/>
                <w:highlight w:val="none"/>
              </w:rPr>
              <w:t>运营期生态环境保护措施</w:t>
            </w:r>
          </w:p>
        </w:tc>
        <w:tc>
          <w:tcPr>
            <w:tcW w:w="4591" w:type="pct"/>
            <w:noWrap w:val="0"/>
            <w:vAlign w:val="top"/>
          </w:tcPr>
          <w:p w14:paraId="59F4116E">
            <w:pPr>
              <w:spacing w:before="120" w:beforeLines="50" w:line="360" w:lineRule="auto"/>
              <w:ind w:firstLine="520" w:firstLineChars="200"/>
              <w:rPr>
                <w:bCs/>
                <w:color w:val="auto"/>
                <w:spacing w:val="10"/>
                <w:sz w:val="24"/>
                <w:highlight w:val="none"/>
              </w:rPr>
            </w:pPr>
            <w:r>
              <w:rPr>
                <w:bCs/>
                <w:color w:val="auto"/>
                <w:spacing w:val="10"/>
                <w:sz w:val="24"/>
                <w:highlight w:val="none"/>
              </w:rPr>
              <w:t>本项目的生态环境的影响主要表现在施工期，不涉及运营期生态环境影响，因此评价不对运营期提出生态保护措施要求。</w:t>
            </w:r>
          </w:p>
        </w:tc>
      </w:tr>
      <w:tr w14:paraId="1A63C9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9" w:type="pct"/>
            <w:noWrap w:val="0"/>
            <w:vAlign w:val="center"/>
          </w:tcPr>
          <w:p w14:paraId="6F2D210B">
            <w:pPr>
              <w:adjustRightInd w:val="0"/>
              <w:snapToGrid w:val="0"/>
              <w:jc w:val="center"/>
              <w:rPr>
                <w:bCs/>
                <w:color w:val="auto"/>
                <w:spacing w:val="10"/>
                <w:szCs w:val="21"/>
                <w:highlight w:val="none"/>
              </w:rPr>
            </w:pPr>
            <w:r>
              <w:rPr>
                <w:bCs/>
                <w:color w:val="auto"/>
                <w:sz w:val="24"/>
                <w:highlight w:val="none"/>
              </w:rPr>
              <w:t>其他</w:t>
            </w:r>
          </w:p>
        </w:tc>
        <w:tc>
          <w:tcPr>
            <w:tcW w:w="4591" w:type="pct"/>
            <w:noWrap w:val="0"/>
            <w:vAlign w:val="top"/>
          </w:tcPr>
          <w:p w14:paraId="6B19EAA8">
            <w:pPr>
              <w:spacing w:line="360" w:lineRule="auto"/>
              <w:ind w:firstLine="482" w:firstLineChars="200"/>
              <w:rPr>
                <w:b/>
                <w:color w:val="auto"/>
                <w:sz w:val="24"/>
                <w:highlight w:val="none"/>
              </w:rPr>
            </w:pPr>
            <w:r>
              <w:rPr>
                <w:b/>
                <w:color w:val="auto"/>
                <w:sz w:val="24"/>
                <w:highlight w:val="none"/>
              </w:rPr>
              <w:t>环境管理</w:t>
            </w:r>
          </w:p>
          <w:p w14:paraId="32F1013E">
            <w:pPr>
              <w:spacing w:line="360" w:lineRule="auto"/>
              <w:ind w:firstLine="480" w:firstLineChars="200"/>
              <w:rPr>
                <w:color w:val="auto"/>
                <w:sz w:val="24"/>
                <w:highlight w:val="none"/>
              </w:rPr>
            </w:pPr>
            <w:r>
              <w:rPr>
                <w:color w:val="auto"/>
                <w:sz w:val="24"/>
                <w:highlight w:val="none"/>
              </w:rPr>
              <w:t>1、设立环境保护管理机构</w:t>
            </w:r>
          </w:p>
          <w:p w14:paraId="0E320587">
            <w:pPr>
              <w:spacing w:line="360" w:lineRule="auto"/>
              <w:ind w:firstLine="480" w:firstLineChars="200"/>
              <w:rPr>
                <w:color w:val="auto"/>
                <w:sz w:val="24"/>
                <w:highlight w:val="none"/>
              </w:rPr>
            </w:pPr>
            <w:r>
              <w:rPr>
                <w:color w:val="auto"/>
                <w:sz w:val="24"/>
                <w:highlight w:val="none"/>
              </w:rPr>
              <w:t>为了做好全过程的环境保护工作，减轻本项目外排污染物对环境的影响程度，建设单位</w:t>
            </w:r>
            <w:r>
              <w:rPr>
                <w:rFonts w:hint="eastAsia"/>
                <w:color w:val="auto"/>
                <w:sz w:val="24"/>
                <w:highlight w:val="none"/>
                <w:lang w:val="en-US" w:eastAsia="zh-CN"/>
              </w:rPr>
              <w:t>中煤新集能源股份</w:t>
            </w:r>
            <w:r>
              <w:rPr>
                <w:color w:val="auto"/>
                <w:sz w:val="24"/>
                <w:highlight w:val="none"/>
              </w:rPr>
              <w:t>有限公司</w:t>
            </w:r>
            <w:r>
              <w:rPr>
                <w:rFonts w:hint="eastAsia"/>
                <w:color w:val="auto"/>
                <w:sz w:val="24"/>
                <w:highlight w:val="none"/>
                <w:lang w:val="en-US" w:eastAsia="zh-CN"/>
              </w:rPr>
              <w:t>新集一矿</w:t>
            </w:r>
            <w:r>
              <w:rPr>
                <w:color w:val="auto"/>
                <w:sz w:val="24"/>
                <w:highlight w:val="none"/>
              </w:rPr>
              <w:t>应高度重视环境保护工作。建议设立内部环境保护管理机构，专人负责环境保护工作，实行定岗定员，岗位责任制，负责各生产环节的环境保护管理，保证施工期环保措施的正常运行。</w:t>
            </w:r>
          </w:p>
          <w:p w14:paraId="6EF28E80">
            <w:pPr>
              <w:spacing w:line="360" w:lineRule="auto"/>
              <w:ind w:firstLine="480" w:firstLineChars="200"/>
              <w:rPr>
                <w:color w:val="auto"/>
                <w:sz w:val="24"/>
                <w:highlight w:val="none"/>
              </w:rPr>
            </w:pPr>
            <w:r>
              <w:rPr>
                <w:color w:val="auto"/>
                <w:sz w:val="24"/>
                <w:highlight w:val="none"/>
              </w:rPr>
              <w:t>环境保护管理机构</w:t>
            </w:r>
            <w:r>
              <w:rPr>
                <w:rFonts w:hint="eastAsia"/>
                <w:color w:val="auto"/>
                <w:sz w:val="24"/>
                <w:highlight w:val="none"/>
                <w:lang w:val="en-US" w:eastAsia="zh-CN"/>
              </w:rPr>
              <w:t>中煤新集能源股份</w:t>
            </w:r>
            <w:r>
              <w:rPr>
                <w:color w:val="auto"/>
                <w:sz w:val="24"/>
                <w:highlight w:val="none"/>
              </w:rPr>
              <w:t>有限公司</w:t>
            </w:r>
            <w:r>
              <w:rPr>
                <w:rFonts w:hint="eastAsia"/>
                <w:color w:val="auto"/>
                <w:sz w:val="24"/>
                <w:highlight w:val="none"/>
                <w:lang w:val="en-US" w:eastAsia="zh-CN"/>
              </w:rPr>
              <w:t>新集一矿</w:t>
            </w:r>
            <w:r>
              <w:rPr>
                <w:color w:val="auto"/>
                <w:sz w:val="24"/>
                <w:highlight w:val="none"/>
              </w:rPr>
              <w:t>应明确如下责任：</w:t>
            </w:r>
          </w:p>
          <w:p w14:paraId="133A37A5">
            <w:pPr>
              <w:spacing w:line="360" w:lineRule="auto"/>
              <w:ind w:firstLine="480" w:firstLineChars="200"/>
              <w:rPr>
                <w:color w:val="auto"/>
                <w:sz w:val="24"/>
                <w:highlight w:val="none"/>
              </w:rPr>
            </w:pPr>
            <w:r>
              <w:rPr>
                <w:color w:val="auto"/>
                <w:sz w:val="24"/>
                <w:highlight w:val="none"/>
              </w:rPr>
              <w:t>（1）保持与环境保护主管机构的密切联系，及时了解国家、地方与本项目环境保护有关的法律、法规和其它要求，及时向环境保护主管机构反映与项目施工期有关的污染因素、存在的环境问题、采取的污染控制对策等环境保护方面的内容，听取环境保护主管机构的批示意见。</w:t>
            </w:r>
          </w:p>
          <w:p w14:paraId="27B7E599">
            <w:pPr>
              <w:spacing w:line="360" w:lineRule="auto"/>
              <w:ind w:firstLine="480" w:firstLineChars="200"/>
              <w:rPr>
                <w:color w:val="auto"/>
                <w:sz w:val="24"/>
                <w:highlight w:val="none"/>
              </w:rPr>
            </w:pPr>
            <w:r>
              <w:rPr>
                <w:color w:val="auto"/>
                <w:sz w:val="24"/>
                <w:highlight w:val="none"/>
              </w:rPr>
              <w:t>（2）及时将国家、地方与本项目环境保护有关的法律、法规和规定向单位负责人汇报，及时向本单位有关机构、人员进行通报，组织职工进行环境保护方面的教育、培训，提高环保意识。</w:t>
            </w:r>
          </w:p>
          <w:p w14:paraId="55DA6FEB">
            <w:pPr>
              <w:spacing w:line="360" w:lineRule="auto"/>
              <w:ind w:firstLine="480" w:firstLineChars="200"/>
              <w:rPr>
                <w:color w:val="auto"/>
                <w:sz w:val="24"/>
                <w:highlight w:val="none"/>
              </w:rPr>
            </w:pPr>
            <w:r>
              <w:rPr>
                <w:color w:val="auto"/>
                <w:sz w:val="24"/>
                <w:highlight w:val="none"/>
              </w:rPr>
              <w:t>（3）及时向单位负责人汇报与本项目有关的污染因素、存在的环境问题、采取的污染控制对策、实施情况等，提出改进建议。</w:t>
            </w:r>
          </w:p>
          <w:p w14:paraId="19B6C56B">
            <w:pPr>
              <w:spacing w:line="360" w:lineRule="auto"/>
              <w:ind w:firstLine="480" w:firstLineChars="200"/>
              <w:rPr>
                <w:color w:val="auto"/>
                <w:sz w:val="24"/>
                <w:highlight w:val="none"/>
              </w:rPr>
            </w:pPr>
            <w:r>
              <w:rPr>
                <w:color w:val="auto"/>
                <w:sz w:val="24"/>
                <w:highlight w:val="none"/>
              </w:rPr>
              <w:t>（4）负责制定、监督实施本单位的有关施工期环境保护管理规章制度，负责实施污染控制措施、管理污染治理设施，并进行详细的记录，以备检查。</w:t>
            </w:r>
          </w:p>
          <w:p w14:paraId="1A502CAB">
            <w:pPr>
              <w:spacing w:line="360" w:lineRule="auto"/>
              <w:ind w:firstLine="480" w:firstLineChars="200"/>
              <w:rPr>
                <w:color w:val="auto"/>
                <w:sz w:val="24"/>
                <w:highlight w:val="none"/>
              </w:rPr>
            </w:pPr>
            <w:r>
              <w:rPr>
                <w:color w:val="auto"/>
                <w:sz w:val="24"/>
                <w:highlight w:val="none"/>
              </w:rPr>
              <w:t>（5）按本评价提出的各项环境保护措施，编制详细的施工期环境保护。</w:t>
            </w:r>
          </w:p>
          <w:p w14:paraId="2C490D92">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措施落实计划，明确各污染源位置、环境影响、环境保护措施、落实责任机构（人）等，并将该环境保护计划以书面形式发给相关人员，以便于各项措施的有效落实。</w:t>
            </w:r>
          </w:p>
          <w:p w14:paraId="1D1C72D9">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2、健全环境管理制度</w:t>
            </w:r>
          </w:p>
          <w:p w14:paraId="1254FA2A">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建立完善的环境管理体系，健全内部环境管理制度，加强日常环境管理工作，对整个施工过程实施全程环境管理，杜绝施工过程中环境污染事故的发生，保护环境。</w:t>
            </w:r>
          </w:p>
          <w:p w14:paraId="268FB60B">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加强建设项目的环境管理，根据本评价提出的污染防治措施和对策，制定出切实可行的环境污染防治方法和措施；做好环境教育和宣传工作，提高各级管理人员和操作人员的环境保护意识，加强员工对环境污染防治的责任心，自觉遵守和执行各项环境保护的规章制度；确保环境保护措施的正常运行，防止污染事故的发生；加强与环境保护管理部门的沟通和联系，主动接受环境主管部门的管理、监督和指导。</w:t>
            </w:r>
          </w:p>
          <w:p w14:paraId="11F9FD66">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3、环境管理职责及内容</w:t>
            </w:r>
          </w:p>
          <w:p w14:paraId="5DA659E2">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执行国家、地方环境保护法规和标准；负责环保工作的计划安排，加强对废水、废气、噪声、固体废物等的管理，加强在施工过程中对周边生态环境的保护。建设单位主要注意以下几个方面的措施：</w:t>
            </w:r>
          </w:p>
          <w:p w14:paraId="5ACF7BC4">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（1）控制建设项目在开发建设过程中的各种施工活动，尽量减少对生态环境的破坏，做好植被恢复与水土保持工作，防止土壤荒漠化。</w:t>
            </w:r>
          </w:p>
          <w:p w14:paraId="76D6DD69">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（2）项目建成后，废气达标排放、钻井废水经沉淀后回用不外排，场界噪声控制在可接受范围之内，固废得到合理利用及无害化处置，符合国家和地方要求。</w:t>
            </w:r>
          </w:p>
          <w:p w14:paraId="1D82F8BA">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（3）保证评价区域空气、地下水质量维持现有水平；将工程对生态环境的不利影响程度降至最低，使受影响区域的整体生态环境无明显破坏。</w:t>
            </w:r>
          </w:p>
          <w:p w14:paraId="379B553F">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（4）控制井场占地，减轻工程建设对地表植被和土壤的破坏程度及水土流失量。</w:t>
            </w:r>
          </w:p>
          <w:p w14:paraId="743EB187">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（5）控制各种施工活动对工程附近地表水体的影响，特别注意控制在Ⅲ类以上水体功能的河流、水源地附近所进行的各项活动，防止施工活动影响地表水和地下水水体功能和水质。</w:t>
            </w:r>
          </w:p>
          <w:p w14:paraId="52F5CDC3">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（6）实施清洁生产，减少钻井工程每米进尺所产生的钻井废水、固体废物的量，推行污染物“减量化、资源化、无害化”的环保理念。</w:t>
            </w:r>
          </w:p>
          <w:p w14:paraId="6767DFFE">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（7）采取各种有效的环境风险防控措施，切实降低本工程施工期的各类环境风险事故发生率。</w:t>
            </w:r>
          </w:p>
          <w:p w14:paraId="2E2DF899">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（8）根据工程实际，针对施工过程产生的钻井废水采取切实有效的多种处理方式，确保不对环境造成污染。</w:t>
            </w:r>
          </w:p>
          <w:p w14:paraId="56C56C0A">
            <w:pPr>
              <w:pStyle w:val="52"/>
              <w:adjustRightInd/>
              <w:spacing w:line="360" w:lineRule="auto"/>
              <w:ind w:firstLine="480" w:firstLineChars="200"/>
              <w:rPr>
                <w:rFonts w:ascii="Times New Roman" w:hAnsi="Times New Roman"/>
                <w:color w:val="auto"/>
                <w:highlight w:val="none"/>
              </w:rPr>
            </w:pPr>
            <w:r>
              <w:rPr>
                <w:rFonts w:ascii="Times New Roman" w:hAnsi="Times New Roman"/>
                <w:color w:val="auto"/>
                <w:highlight w:val="none"/>
              </w:rPr>
              <w:t>4、施工期环境监测计划</w:t>
            </w:r>
          </w:p>
          <w:p w14:paraId="4A837F3E">
            <w:pPr>
              <w:pStyle w:val="52"/>
              <w:spacing w:line="360" w:lineRule="auto"/>
              <w:ind w:firstLine="480" w:firstLineChars="200"/>
              <w:rPr>
                <w:rFonts w:ascii="Times New Roman" w:hAnsi="Times New Roman"/>
                <w:color w:val="auto"/>
                <w:highlight w:val="none"/>
              </w:rPr>
            </w:pPr>
            <w:r>
              <w:rPr>
                <w:rFonts w:ascii="Times New Roman" w:hAnsi="Times New Roman"/>
                <w:color w:val="auto"/>
                <w:highlight w:val="none"/>
              </w:rPr>
              <w:t>施工期的环境监测主要是对作业场所的控制监测，主要监测对象有土壤、植被、施工作业废气、废水和噪声等。对作业场所的控制监测可视当地具体情况、当地生态环境主管部门要求等情况而定，视具体情况监测气、土壤、水等；生态环境监测主要监测内容为项目建设所涉及的生态环境要素、生态环境问题、生态环保措施的落实情况。具体施工期环境监控计划见下表。</w:t>
            </w:r>
          </w:p>
          <w:p w14:paraId="285BB5F5">
            <w:pPr>
              <w:pStyle w:val="52"/>
              <w:spacing w:line="360" w:lineRule="auto"/>
              <w:jc w:val="center"/>
              <w:rPr>
                <w:rFonts w:ascii="Times New Roman" w:hAnsi="Times New Roman" w:eastAsia="黑体"/>
                <w:bCs/>
                <w:color w:val="auto"/>
                <w:sz w:val="21"/>
                <w:szCs w:val="21"/>
                <w:highlight w:val="none"/>
              </w:rPr>
            </w:pPr>
            <w:r>
              <w:rPr>
                <w:rFonts w:ascii="Times New Roman" w:hAnsi="Times New Roman" w:eastAsia="黑体"/>
                <w:bCs/>
                <w:color w:val="auto"/>
                <w:sz w:val="21"/>
                <w:szCs w:val="21"/>
                <w:highlight w:val="none"/>
              </w:rPr>
              <w:t>表5-</w:t>
            </w:r>
            <w:r>
              <w:rPr>
                <w:rFonts w:hint="eastAsia" w:ascii="Times New Roman" w:hAnsi="Times New Roman" w:eastAsia="黑体"/>
                <w:bCs/>
                <w:color w:val="auto"/>
                <w:sz w:val="21"/>
                <w:szCs w:val="21"/>
                <w:highlight w:val="none"/>
                <w:lang w:val="en-US" w:eastAsia="zh-CN"/>
              </w:rPr>
              <w:t xml:space="preserve">3 </w:t>
            </w:r>
            <w:r>
              <w:rPr>
                <w:rFonts w:ascii="Times New Roman" w:hAnsi="Times New Roman" w:eastAsia="黑体"/>
                <w:bCs/>
                <w:color w:val="auto"/>
                <w:sz w:val="21"/>
                <w:szCs w:val="21"/>
                <w:highlight w:val="none"/>
              </w:rPr>
              <w:t xml:space="preserve"> 施工期环境监测、监控计划</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6"/>
              <w:gridCol w:w="746"/>
              <w:gridCol w:w="3539"/>
              <w:gridCol w:w="1755"/>
              <w:gridCol w:w="986"/>
            </w:tblGrid>
            <w:tr w14:paraId="4F763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06" w:type="dxa"/>
                  <w:noWrap w:val="0"/>
                  <w:vAlign w:val="center"/>
                </w:tcPr>
                <w:p w14:paraId="02F32953">
                  <w:pPr>
                    <w:pStyle w:val="52"/>
                    <w:adjustRightInd/>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序号</w:t>
                  </w:r>
                </w:p>
              </w:tc>
              <w:tc>
                <w:tcPr>
                  <w:tcW w:w="746" w:type="dxa"/>
                  <w:noWrap w:val="0"/>
                  <w:vAlign w:val="center"/>
                </w:tcPr>
                <w:p w14:paraId="720C459E">
                  <w:pPr>
                    <w:pStyle w:val="52"/>
                    <w:adjustRightInd/>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监测项目</w:t>
                  </w:r>
                </w:p>
              </w:tc>
              <w:tc>
                <w:tcPr>
                  <w:tcW w:w="0" w:type="auto"/>
                  <w:noWrap w:val="0"/>
                  <w:vAlign w:val="center"/>
                </w:tcPr>
                <w:p w14:paraId="2E3FC7DC">
                  <w:pPr>
                    <w:pStyle w:val="52"/>
                    <w:adjustRightInd/>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主要技术要求</w:t>
                  </w:r>
                </w:p>
              </w:tc>
              <w:tc>
                <w:tcPr>
                  <w:tcW w:w="0" w:type="auto"/>
                  <w:noWrap w:val="0"/>
                  <w:vAlign w:val="center"/>
                </w:tcPr>
                <w:p w14:paraId="4DEB6BC9">
                  <w:pPr>
                    <w:pStyle w:val="52"/>
                    <w:adjustRightInd/>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实施单位</w:t>
                  </w:r>
                </w:p>
              </w:tc>
              <w:tc>
                <w:tcPr>
                  <w:tcW w:w="0" w:type="auto"/>
                  <w:noWrap w:val="0"/>
                  <w:vAlign w:val="center"/>
                </w:tcPr>
                <w:p w14:paraId="09B237FA">
                  <w:pPr>
                    <w:pStyle w:val="52"/>
                    <w:adjustRightInd/>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监督机构</w:t>
                  </w:r>
                </w:p>
              </w:tc>
            </w:tr>
            <w:tr w14:paraId="69C1F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06" w:type="dxa"/>
                  <w:noWrap w:val="0"/>
                  <w:vAlign w:val="center"/>
                </w:tcPr>
                <w:p w14:paraId="32EC7117">
                  <w:pPr>
                    <w:pStyle w:val="52"/>
                    <w:adjustRightInd/>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1</w:t>
                  </w:r>
                </w:p>
              </w:tc>
              <w:tc>
                <w:tcPr>
                  <w:tcW w:w="746" w:type="dxa"/>
                  <w:noWrap w:val="0"/>
                  <w:vAlign w:val="center"/>
                </w:tcPr>
                <w:p w14:paraId="3B82EF7B">
                  <w:pPr>
                    <w:pStyle w:val="52"/>
                    <w:adjustRightInd/>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施工废气</w:t>
                  </w:r>
                </w:p>
              </w:tc>
              <w:tc>
                <w:tcPr>
                  <w:tcW w:w="0" w:type="auto"/>
                  <w:noWrap w:val="0"/>
                  <w:vAlign w:val="center"/>
                </w:tcPr>
                <w:p w14:paraId="322B3E75">
                  <w:pPr>
                    <w:pStyle w:val="52"/>
                    <w:spacing w:line="240" w:lineRule="atLeast"/>
                    <w:jc w:val="left"/>
                    <w:rPr>
                      <w:rFonts w:ascii="Times New Roman" w:hAnsi="Times New Roman"/>
                      <w:color w:val="auto"/>
                      <w:sz w:val="21"/>
                      <w:szCs w:val="21"/>
                      <w:highlight w:val="none"/>
                    </w:rPr>
                  </w:pPr>
                  <w:r>
                    <w:rPr>
                      <w:rFonts w:ascii="Times New Roman" w:hAnsi="Times New Roman"/>
                      <w:color w:val="auto"/>
                      <w:sz w:val="21"/>
                      <w:szCs w:val="21"/>
                      <w:highlight w:val="none"/>
                    </w:rPr>
                    <w:t>1、监测时间及频率：施工期一次</w:t>
                  </w:r>
                </w:p>
                <w:p w14:paraId="35B31EB2">
                  <w:pPr>
                    <w:pStyle w:val="52"/>
                    <w:spacing w:line="240" w:lineRule="atLeast"/>
                    <w:jc w:val="left"/>
                    <w:rPr>
                      <w:rFonts w:ascii="Times New Roman" w:hAnsi="Times New Roman"/>
                      <w:color w:val="auto"/>
                      <w:sz w:val="21"/>
                      <w:szCs w:val="21"/>
                      <w:highlight w:val="none"/>
                    </w:rPr>
                  </w:pPr>
                  <w:r>
                    <w:rPr>
                      <w:rFonts w:ascii="Times New Roman" w:hAnsi="Times New Roman"/>
                      <w:color w:val="auto"/>
                      <w:sz w:val="21"/>
                      <w:szCs w:val="21"/>
                      <w:highlight w:val="none"/>
                    </w:rPr>
                    <w:t>2、监测地点：施工井场四周</w:t>
                  </w:r>
                </w:p>
                <w:p w14:paraId="5F2F147A">
                  <w:pPr>
                    <w:pStyle w:val="52"/>
                    <w:spacing w:line="240" w:lineRule="atLeast"/>
                    <w:jc w:val="left"/>
                    <w:rPr>
                      <w:rFonts w:ascii="Times New Roman" w:hAnsi="Times New Roman"/>
                      <w:color w:val="auto"/>
                      <w:sz w:val="21"/>
                      <w:szCs w:val="21"/>
                      <w:highlight w:val="none"/>
                    </w:rPr>
                  </w:pPr>
                  <w:r>
                    <w:rPr>
                      <w:rFonts w:ascii="Times New Roman" w:hAnsi="Times New Roman"/>
                      <w:color w:val="auto"/>
                      <w:sz w:val="21"/>
                      <w:szCs w:val="21"/>
                      <w:highlight w:val="none"/>
                    </w:rPr>
                    <w:t>3、监测内容：TSP</w:t>
                  </w:r>
                </w:p>
              </w:tc>
              <w:tc>
                <w:tcPr>
                  <w:tcW w:w="0" w:type="auto"/>
                  <w:noWrap w:val="0"/>
                  <w:vAlign w:val="center"/>
                </w:tcPr>
                <w:p w14:paraId="526E7C24">
                  <w:pPr>
                    <w:pStyle w:val="52"/>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委托有资质监测单位</w:t>
                  </w:r>
                </w:p>
              </w:tc>
              <w:tc>
                <w:tcPr>
                  <w:tcW w:w="0" w:type="auto"/>
                  <w:noWrap w:val="0"/>
                  <w:vAlign w:val="center"/>
                </w:tcPr>
                <w:p w14:paraId="46B0548D">
                  <w:pPr>
                    <w:pStyle w:val="52"/>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当地生态环境部门</w:t>
                  </w:r>
                </w:p>
              </w:tc>
            </w:tr>
            <w:tr w14:paraId="08941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06" w:type="dxa"/>
                  <w:noWrap w:val="0"/>
                  <w:vAlign w:val="center"/>
                </w:tcPr>
                <w:p w14:paraId="3915EE69">
                  <w:pPr>
                    <w:pStyle w:val="52"/>
                    <w:adjustRightInd/>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2</w:t>
                  </w:r>
                </w:p>
              </w:tc>
              <w:tc>
                <w:tcPr>
                  <w:tcW w:w="746" w:type="dxa"/>
                  <w:noWrap w:val="0"/>
                  <w:vAlign w:val="center"/>
                </w:tcPr>
                <w:p w14:paraId="7481F967">
                  <w:pPr>
                    <w:pStyle w:val="52"/>
                    <w:adjustRightInd/>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地表水</w:t>
                  </w:r>
                </w:p>
              </w:tc>
              <w:tc>
                <w:tcPr>
                  <w:tcW w:w="0" w:type="auto"/>
                  <w:noWrap w:val="0"/>
                  <w:vAlign w:val="center"/>
                </w:tcPr>
                <w:p w14:paraId="2507D555">
                  <w:pPr>
                    <w:pStyle w:val="52"/>
                    <w:spacing w:line="240" w:lineRule="atLeast"/>
                    <w:jc w:val="left"/>
                    <w:rPr>
                      <w:rFonts w:ascii="Times New Roman" w:hAnsi="Times New Roman"/>
                      <w:color w:val="auto"/>
                      <w:sz w:val="21"/>
                      <w:szCs w:val="21"/>
                      <w:highlight w:val="none"/>
                    </w:rPr>
                  </w:pPr>
                  <w:r>
                    <w:rPr>
                      <w:rFonts w:ascii="Times New Roman" w:hAnsi="Times New Roman"/>
                      <w:color w:val="auto"/>
                      <w:sz w:val="21"/>
                      <w:szCs w:val="21"/>
                      <w:highlight w:val="none"/>
                    </w:rPr>
                    <w:t>1、监测时间及频率：施工末期一次</w:t>
                  </w:r>
                </w:p>
                <w:p w14:paraId="103E2474">
                  <w:pPr>
                    <w:pStyle w:val="52"/>
                    <w:spacing w:line="240" w:lineRule="atLeast"/>
                    <w:jc w:val="left"/>
                    <w:rPr>
                      <w:rFonts w:hint="eastAsia" w:ascii="Times New Roman" w:hAnsi="Times New Roman" w:eastAsia="宋体"/>
                      <w:color w:val="auto"/>
                      <w:sz w:val="21"/>
                      <w:szCs w:val="21"/>
                      <w:highlight w:val="none"/>
                      <w:lang w:val="en-US" w:eastAsia="zh-CN"/>
                    </w:rPr>
                  </w:pPr>
                  <w:r>
                    <w:rPr>
                      <w:rFonts w:ascii="Times New Roman" w:hAnsi="Times New Roman"/>
                      <w:color w:val="auto"/>
                      <w:sz w:val="21"/>
                      <w:szCs w:val="21"/>
                      <w:highlight w:val="none"/>
                    </w:rPr>
                    <w:t>2、监测地点：</w:t>
                  </w:r>
                  <w:r>
                    <w:rPr>
                      <w:rFonts w:hint="eastAsia" w:ascii="Times New Roman" w:hAnsi="Times New Roman"/>
                      <w:color w:val="auto"/>
                      <w:sz w:val="21"/>
                      <w:szCs w:val="21"/>
                      <w:highlight w:val="none"/>
                      <w:lang w:val="en-US" w:eastAsia="zh-CN"/>
                    </w:rPr>
                    <w:t>八丈沟</w:t>
                  </w:r>
                </w:p>
                <w:p w14:paraId="348075B8">
                  <w:pPr>
                    <w:pStyle w:val="52"/>
                    <w:adjustRightInd/>
                    <w:spacing w:line="240" w:lineRule="atLeast"/>
                    <w:jc w:val="left"/>
                    <w:rPr>
                      <w:rFonts w:ascii="Times New Roman" w:hAnsi="Times New Roman"/>
                      <w:color w:val="auto"/>
                      <w:sz w:val="21"/>
                      <w:szCs w:val="21"/>
                      <w:highlight w:val="none"/>
                    </w:rPr>
                  </w:pPr>
                  <w:r>
                    <w:rPr>
                      <w:rFonts w:ascii="Times New Roman" w:hAnsi="Times New Roman"/>
                      <w:color w:val="auto"/>
                      <w:sz w:val="21"/>
                      <w:szCs w:val="21"/>
                      <w:highlight w:val="none"/>
                    </w:rPr>
                    <w:t>3、监测内容：COD、SS、石油类、氨氮</w:t>
                  </w:r>
                </w:p>
              </w:tc>
              <w:tc>
                <w:tcPr>
                  <w:tcW w:w="0" w:type="auto"/>
                  <w:noWrap w:val="0"/>
                  <w:vAlign w:val="center"/>
                </w:tcPr>
                <w:p w14:paraId="5DC85D3A">
                  <w:pPr>
                    <w:pStyle w:val="52"/>
                    <w:adjustRightInd/>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委托有资质监测单位</w:t>
                  </w:r>
                </w:p>
              </w:tc>
              <w:tc>
                <w:tcPr>
                  <w:tcW w:w="0" w:type="auto"/>
                  <w:noWrap w:val="0"/>
                  <w:vAlign w:val="center"/>
                </w:tcPr>
                <w:p w14:paraId="798C1138">
                  <w:pPr>
                    <w:pStyle w:val="52"/>
                    <w:adjustRightInd/>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当地生态环境部门</w:t>
                  </w:r>
                </w:p>
              </w:tc>
            </w:tr>
            <w:tr w14:paraId="611E4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06" w:type="dxa"/>
                  <w:noWrap w:val="0"/>
                  <w:vAlign w:val="center"/>
                </w:tcPr>
                <w:p w14:paraId="5E451DF0">
                  <w:pPr>
                    <w:pStyle w:val="52"/>
                    <w:adjustRightInd/>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3</w:t>
                  </w:r>
                </w:p>
              </w:tc>
              <w:tc>
                <w:tcPr>
                  <w:tcW w:w="746" w:type="dxa"/>
                  <w:noWrap w:val="0"/>
                  <w:vAlign w:val="center"/>
                </w:tcPr>
                <w:p w14:paraId="0153E535">
                  <w:pPr>
                    <w:pStyle w:val="52"/>
                    <w:adjustRightInd/>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施工噪声</w:t>
                  </w:r>
                </w:p>
              </w:tc>
              <w:tc>
                <w:tcPr>
                  <w:tcW w:w="0" w:type="auto"/>
                  <w:noWrap w:val="0"/>
                  <w:vAlign w:val="center"/>
                </w:tcPr>
                <w:p w14:paraId="3E78A76A">
                  <w:pPr>
                    <w:pStyle w:val="52"/>
                    <w:spacing w:line="240" w:lineRule="atLeast"/>
                    <w:jc w:val="left"/>
                    <w:rPr>
                      <w:rFonts w:ascii="Times New Roman" w:hAnsi="Times New Roman"/>
                      <w:color w:val="auto"/>
                      <w:sz w:val="21"/>
                      <w:szCs w:val="21"/>
                      <w:highlight w:val="none"/>
                    </w:rPr>
                  </w:pPr>
                  <w:r>
                    <w:rPr>
                      <w:rFonts w:ascii="Times New Roman" w:hAnsi="Times New Roman"/>
                      <w:color w:val="auto"/>
                      <w:sz w:val="21"/>
                      <w:szCs w:val="21"/>
                      <w:highlight w:val="none"/>
                    </w:rPr>
                    <w:t>1、监测项目：等效连续A声级</w:t>
                  </w:r>
                </w:p>
                <w:p w14:paraId="62288013">
                  <w:pPr>
                    <w:pStyle w:val="52"/>
                    <w:spacing w:line="240" w:lineRule="atLeast"/>
                    <w:jc w:val="left"/>
                    <w:rPr>
                      <w:rFonts w:ascii="Times New Roman" w:hAnsi="Times New Roman"/>
                      <w:color w:val="auto"/>
                      <w:sz w:val="21"/>
                      <w:szCs w:val="21"/>
                      <w:highlight w:val="none"/>
                    </w:rPr>
                  </w:pPr>
                  <w:r>
                    <w:rPr>
                      <w:rFonts w:ascii="Times New Roman" w:hAnsi="Times New Roman"/>
                      <w:color w:val="auto"/>
                      <w:sz w:val="21"/>
                      <w:szCs w:val="21"/>
                      <w:highlight w:val="none"/>
                    </w:rPr>
                    <w:t>2、监测频率：施工期监测一次</w:t>
                  </w:r>
                </w:p>
                <w:p w14:paraId="374243DA">
                  <w:pPr>
                    <w:pStyle w:val="52"/>
                    <w:spacing w:line="240" w:lineRule="atLeast"/>
                    <w:jc w:val="left"/>
                    <w:rPr>
                      <w:rFonts w:ascii="Times New Roman" w:hAnsi="Times New Roman"/>
                      <w:color w:val="auto"/>
                      <w:sz w:val="21"/>
                      <w:szCs w:val="21"/>
                      <w:highlight w:val="none"/>
                    </w:rPr>
                  </w:pPr>
                  <w:r>
                    <w:rPr>
                      <w:rFonts w:ascii="Times New Roman" w:hAnsi="Times New Roman"/>
                      <w:color w:val="auto"/>
                      <w:sz w:val="21"/>
                      <w:szCs w:val="21"/>
                      <w:highlight w:val="none"/>
                    </w:rPr>
                    <w:t>3、监测点：施工区域</w:t>
                  </w:r>
                </w:p>
                <w:p w14:paraId="36E04687">
                  <w:pPr>
                    <w:pStyle w:val="52"/>
                    <w:adjustRightInd/>
                    <w:spacing w:line="240" w:lineRule="atLeast"/>
                    <w:jc w:val="left"/>
                    <w:rPr>
                      <w:rFonts w:ascii="Times New Roman" w:hAnsi="Times New Roman"/>
                      <w:color w:val="auto"/>
                      <w:sz w:val="21"/>
                      <w:szCs w:val="21"/>
                      <w:highlight w:val="none"/>
                    </w:rPr>
                  </w:pPr>
                  <w:r>
                    <w:rPr>
                      <w:rFonts w:ascii="Times New Roman" w:hAnsi="Times New Roman"/>
                      <w:color w:val="auto"/>
                      <w:sz w:val="21"/>
                      <w:szCs w:val="21"/>
                      <w:highlight w:val="none"/>
                    </w:rPr>
                    <w:t>4、监测内容：等效连续 A 声级</w:t>
                  </w:r>
                </w:p>
              </w:tc>
              <w:tc>
                <w:tcPr>
                  <w:tcW w:w="0" w:type="auto"/>
                  <w:noWrap w:val="0"/>
                  <w:vAlign w:val="center"/>
                </w:tcPr>
                <w:p w14:paraId="3F677AC0">
                  <w:pPr>
                    <w:pStyle w:val="52"/>
                    <w:adjustRightInd/>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委托有资质监测单位</w:t>
                  </w:r>
                </w:p>
              </w:tc>
              <w:tc>
                <w:tcPr>
                  <w:tcW w:w="0" w:type="auto"/>
                  <w:noWrap w:val="0"/>
                  <w:vAlign w:val="center"/>
                </w:tcPr>
                <w:p w14:paraId="51296E3B">
                  <w:pPr>
                    <w:pStyle w:val="52"/>
                    <w:adjustRightInd/>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当地生态环境部门</w:t>
                  </w:r>
                </w:p>
              </w:tc>
            </w:tr>
            <w:tr w14:paraId="5D028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06" w:type="dxa"/>
                  <w:noWrap w:val="0"/>
                  <w:vAlign w:val="center"/>
                </w:tcPr>
                <w:p w14:paraId="39D1DCCD">
                  <w:pPr>
                    <w:pStyle w:val="52"/>
                    <w:adjustRightInd/>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4</w:t>
                  </w:r>
                </w:p>
              </w:tc>
              <w:tc>
                <w:tcPr>
                  <w:tcW w:w="746" w:type="dxa"/>
                  <w:noWrap w:val="0"/>
                  <w:vAlign w:val="center"/>
                </w:tcPr>
                <w:p w14:paraId="240446DF">
                  <w:pPr>
                    <w:pStyle w:val="52"/>
                    <w:adjustRightInd/>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固体废物</w:t>
                  </w:r>
                </w:p>
              </w:tc>
              <w:tc>
                <w:tcPr>
                  <w:tcW w:w="0" w:type="auto"/>
                  <w:noWrap w:val="0"/>
                  <w:vAlign w:val="center"/>
                </w:tcPr>
                <w:p w14:paraId="3A0691BC">
                  <w:pPr>
                    <w:pStyle w:val="52"/>
                    <w:spacing w:line="240" w:lineRule="atLeast"/>
                    <w:jc w:val="left"/>
                    <w:rPr>
                      <w:rFonts w:ascii="Times New Roman" w:hAnsi="Times New Roman"/>
                      <w:color w:val="auto"/>
                      <w:sz w:val="21"/>
                      <w:szCs w:val="21"/>
                      <w:highlight w:val="none"/>
                    </w:rPr>
                  </w:pPr>
                  <w:r>
                    <w:rPr>
                      <w:rFonts w:ascii="Times New Roman" w:hAnsi="Times New Roman"/>
                      <w:color w:val="auto"/>
                      <w:sz w:val="21"/>
                      <w:szCs w:val="21"/>
                      <w:highlight w:val="none"/>
                    </w:rPr>
                    <w:t>对施工作业场地内产生的生活垃圾、废弃泥浆处理进行随机检查</w:t>
                  </w:r>
                </w:p>
              </w:tc>
              <w:tc>
                <w:tcPr>
                  <w:tcW w:w="0" w:type="auto"/>
                  <w:noWrap w:val="0"/>
                  <w:vAlign w:val="center"/>
                </w:tcPr>
                <w:p w14:paraId="6E95AA40">
                  <w:pPr>
                    <w:pStyle w:val="52"/>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建设单位委托的监理单位</w:t>
                  </w:r>
                </w:p>
              </w:tc>
              <w:tc>
                <w:tcPr>
                  <w:tcW w:w="0" w:type="auto"/>
                  <w:noWrap w:val="0"/>
                  <w:vAlign w:val="center"/>
                </w:tcPr>
                <w:p w14:paraId="5020D725">
                  <w:pPr>
                    <w:pStyle w:val="52"/>
                    <w:adjustRightInd/>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当地生态环境部门</w:t>
                  </w:r>
                </w:p>
              </w:tc>
            </w:tr>
            <w:tr w14:paraId="2A5D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06" w:type="dxa"/>
                  <w:noWrap w:val="0"/>
                  <w:vAlign w:val="center"/>
                </w:tcPr>
                <w:p w14:paraId="7335B2C1">
                  <w:pPr>
                    <w:pStyle w:val="52"/>
                    <w:adjustRightInd/>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5</w:t>
                  </w:r>
                </w:p>
              </w:tc>
              <w:tc>
                <w:tcPr>
                  <w:tcW w:w="746" w:type="dxa"/>
                  <w:noWrap w:val="0"/>
                  <w:vAlign w:val="center"/>
                </w:tcPr>
                <w:p w14:paraId="1910F6D3">
                  <w:pPr>
                    <w:pStyle w:val="52"/>
                    <w:adjustRightInd/>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生态环境</w:t>
                  </w:r>
                </w:p>
              </w:tc>
              <w:tc>
                <w:tcPr>
                  <w:tcW w:w="0" w:type="auto"/>
                  <w:noWrap w:val="0"/>
                  <w:vAlign w:val="center"/>
                </w:tcPr>
                <w:p w14:paraId="47F6B06F">
                  <w:pPr>
                    <w:pStyle w:val="52"/>
                    <w:spacing w:line="240" w:lineRule="atLeast"/>
                    <w:jc w:val="left"/>
                    <w:rPr>
                      <w:rFonts w:ascii="Times New Roman" w:hAnsi="Times New Roman"/>
                      <w:color w:val="auto"/>
                      <w:sz w:val="21"/>
                      <w:szCs w:val="21"/>
                      <w:highlight w:val="none"/>
                    </w:rPr>
                  </w:pPr>
                  <w:r>
                    <w:rPr>
                      <w:rFonts w:ascii="Times New Roman" w:hAnsi="Times New Roman"/>
                      <w:color w:val="auto"/>
                      <w:sz w:val="21"/>
                      <w:szCs w:val="21"/>
                      <w:highlight w:val="none"/>
                    </w:rPr>
                    <w:t>1、监控项目：施工结束后，施工现场的弃土、石、渣等垃圾和生态环境恢复情况。</w:t>
                  </w:r>
                </w:p>
                <w:p w14:paraId="60E3E096">
                  <w:pPr>
                    <w:pStyle w:val="52"/>
                    <w:spacing w:line="240" w:lineRule="atLeast"/>
                    <w:jc w:val="left"/>
                    <w:rPr>
                      <w:rFonts w:ascii="Times New Roman" w:hAnsi="Times New Roman"/>
                      <w:color w:val="auto"/>
                      <w:sz w:val="21"/>
                      <w:szCs w:val="21"/>
                      <w:highlight w:val="none"/>
                    </w:rPr>
                  </w:pPr>
                  <w:r>
                    <w:rPr>
                      <w:rFonts w:ascii="Times New Roman" w:hAnsi="Times New Roman"/>
                      <w:color w:val="auto"/>
                      <w:sz w:val="21"/>
                      <w:szCs w:val="21"/>
                      <w:highlight w:val="none"/>
                    </w:rPr>
                    <w:t>2.监测频率：施工结束后1次。</w:t>
                  </w:r>
                </w:p>
                <w:p w14:paraId="53083382">
                  <w:pPr>
                    <w:pStyle w:val="52"/>
                    <w:adjustRightInd/>
                    <w:spacing w:line="240" w:lineRule="atLeast"/>
                    <w:jc w:val="left"/>
                    <w:rPr>
                      <w:rFonts w:ascii="Times New Roman" w:hAnsi="Times New Roman"/>
                      <w:color w:val="auto"/>
                      <w:sz w:val="21"/>
                      <w:szCs w:val="21"/>
                      <w:highlight w:val="none"/>
                    </w:rPr>
                  </w:pPr>
                  <w:r>
                    <w:rPr>
                      <w:rFonts w:ascii="Times New Roman" w:hAnsi="Times New Roman"/>
                      <w:color w:val="auto"/>
                      <w:sz w:val="21"/>
                      <w:szCs w:val="21"/>
                      <w:highlight w:val="none"/>
                    </w:rPr>
                    <w:t>3.监测点：项目涉及的各井场。</w:t>
                  </w:r>
                </w:p>
              </w:tc>
              <w:tc>
                <w:tcPr>
                  <w:tcW w:w="0" w:type="auto"/>
                  <w:noWrap w:val="0"/>
                  <w:vAlign w:val="center"/>
                </w:tcPr>
                <w:p w14:paraId="7718F57F">
                  <w:pPr>
                    <w:pStyle w:val="52"/>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施工单位和建设单位、环境管理机构</w:t>
                  </w:r>
                </w:p>
              </w:tc>
              <w:tc>
                <w:tcPr>
                  <w:tcW w:w="0" w:type="auto"/>
                  <w:noWrap w:val="0"/>
                  <w:vAlign w:val="center"/>
                </w:tcPr>
                <w:p w14:paraId="6143878A">
                  <w:pPr>
                    <w:pStyle w:val="52"/>
                    <w:adjustRightInd/>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当地生态环境部门</w:t>
                  </w:r>
                </w:p>
              </w:tc>
            </w:tr>
            <w:tr w14:paraId="31EED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06" w:type="dxa"/>
                  <w:noWrap w:val="0"/>
                  <w:vAlign w:val="center"/>
                </w:tcPr>
                <w:p w14:paraId="639982BB">
                  <w:pPr>
                    <w:pStyle w:val="52"/>
                    <w:adjustRightInd/>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6</w:t>
                  </w:r>
                </w:p>
              </w:tc>
              <w:tc>
                <w:tcPr>
                  <w:tcW w:w="746" w:type="dxa"/>
                  <w:noWrap w:val="0"/>
                  <w:vAlign w:val="center"/>
                </w:tcPr>
                <w:p w14:paraId="16E6BDB1">
                  <w:pPr>
                    <w:pStyle w:val="52"/>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事故性监测</w:t>
                  </w:r>
                </w:p>
              </w:tc>
              <w:tc>
                <w:tcPr>
                  <w:tcW w:w="0" w:type="auto"/>
                  <w:noWrap w:val="0"/>
                  <w:vAlign w:val="center"/>
                </w:tcPr>
                <w:p w14:paraId="553D2B04">
                  <w:pPr>
                    <w:pStyle w:val="52"/>
                    <w:spacing w:line="240" w:lineRule="atLeast"/>
                    <w:jc w:val="left"/>
                    <w:rPr>
                      <w:rFonts w:ascii="Times New Roman" w:hAnsi="Times New Roman"/>
                      <w:color w:val="auto"/>
                      <w:sz w:val="21"/>
                      <w:szCs w:val="21"/>
                      <w:highlight w:val="none"/>
                    </w:rPr>
                  </w:pPr>
                  <w:r>
                    <w:rPr>
                      <w:rFonts w:ascii="Times New Roman" w:hAnsi="Times New Roman"/>
                      <w:color w:val="auto"/>
                      <w:sz w:val="21"/>
                      <w:szCs w:val="21"/>
                      <w:highlight w:val="none"/>
                    </w:rPr>
                    <w:t>根据事故性质、事故影响的大小，视具体情况监测气、水等</w:t>
                  </w:r>
                </w:p>
              </w:tc>
              <w:tc>
                <w:tcPr>
                  <w:tcW w:w="0" w:type="auto"/>
                  <w:noWrap w:val="0"/>
                  <w:vAlign w:val="center"/>
                </w:tcPr>
                <w:p w14:paraId="09CFBE3E">
                  <w:pPr>
                    <w:pStyle w:val="52"/>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委托有资质监测单位</w:t>
                  </w:r>
                </w:p>
              </w:tc>
              <w:tc>
                <w:tcPr>
                  <w:tcW w:w="0" w:type="auto"/>
                  <w:noWrap w:val="0"/>
                  <w:vAlign w:val="center"/>
                </w:tcPr>
                <w:p w14:paraId="32ADBA4A">
                  <w:pPr>
                    <w:pStyle w:val="52"/>
                    <w:adjustRightInd/>
                    <w:spacing w:line="240" w:lineRule="atLeast"/>
                    <w:jc w:val="center"/>
                    <w:rPr>
                      <w:rFonts w:ascii="Times New Roman" w:hAnsi="Times New Roman"/>
                      <w:color w:val="auto"/>
                      <w:sz w:val="21"/>
                      <w:szCs w:val="21"/>
                      <w:highlight w:val="none"/>
                    </w:rPr>
                  </w:pPr>
                  <w:r>
                    <w:rPr>
                      <w:rFonts w:ascii="Times New Roman" w:hAnsi="Times New Roman"/>
                      <w:color w:val="auto"/>
                      <w:sz w:val="21"/>
                      <w:szCs w:val="21"/>
                      <w:highlight w:val="none"/>
                    </w:rPr>
                    <w:t>当地生态环境部门</w:t>
                  </w:r>
                </w:p>
              </w:tc>
            </w:tr>
          </w:tbl>
          <w:p w14:paraId="34AED68D">
            <w:pPr>
              <w:pStyle w:val="52"/>
              <w:rPr>
                <w:rFonts w:ascii="Times New Roman" w:hAnsi="Times New Roman"/>
                <w:color w:val="auto"/>
                <w:highlight w:val="none"/>
              </w:rPr>
            </w:pPr>
          </w:p>
        </w:tc>
      </w:tr>
      <w:tr w14:paraId="5077ED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1" w:hRule="atLeast"/>
          <w:jc w:val="center"/>
        </w:trPr>
        <w:tc>
          <w:tcPr>
            <w:tcW w:w="409" w:type="pct"/>
            <w:noWrap w:val="0"/>
            <w:vAlign w:val="center"/>
          </w:tcPr>
          <w:p w14:paraId="6452335D">
            <w:pPr>
              <w:adjustRightInd w:val="0"/>
              <w:snapToGrid w:val="0"/>
              <w:jc w:val="center"/>
              <w:rPr>
                <w:bCs/>
                <w:color w:val="auto"/>
                <w:spacing w:val="10"/>
                <w:szCs w:val="21"/>
                <w:highlight w:val="none"/>
              </w:rPr>
            </w:pPr>
            <w:r>
              <w:rPr>
                <w:bCs/>
                <w:color w:val="auto"/>
                <w:sz w:val="24"/>
                <w:highlight w:val="none"/>
              </w:rPr>
              <w:t>环保投资</w:t>
            </w:r>
          </w:p>
        </w:tc>
        <w:tc>
          <w:tcPr>
            <w:tcW w:w="4591" w:type="pct"/>
            <w:noWrap w:val="0"/>
            <w:vAlign w:val="top"/>
          </w:tcPr>
          <w:p w14:paraId="577DB19D">
            <w:pPr>
              <w:adjustRightInd w:val="0"/>
              <w:snapToGrid w:val="0"/>
              <w:spacing w:before="360" w:beforeLines="150" w:line="360" w:lineRule="auto"/>
              <w:ind w:firstLine="480" w:firstLineChars="200"/>
              <w:rPr>
                <w:b/>
                <w:color w:val="auto"/>
                <w:sz w:val="24"/>
                <w:highlight w:val="none"/>
              </w:rPr>
            </w:pPr>
            <w:r>
              <w:rPr>
                <w:color w:val="auto"/>
                <w:sz w:val="24"/>
                <w:highlight w:val="none"/>
              </w:rPr>
              <w:t>项目环保投资1</w:t>
            </w:r>
            <w:r>
              <w:rPr>
                <w:rFonts w:hint="eastAsia"/>
                <w:color w:val="auto"/>
                <w:sz w:val="24"/>
                <w:highlight w:val="none"/>
                <w:lang w:val="en-US" w:eastAsia="zh-CN"/>
              </w:rPr>
              <w:t>35.2</w:t>
            </w:r>
            <w:r>
              <w:rPr>
                <w:color w:val="auto"/>
                <w:sz w:val="24"/>
                <w:highlight w:val="none"/>
              </w:rPr>
              <w:t>万元，项目总投资</w:t>
            </w:r>
            <w:r>
              <w:rPr>
                <w:rFonts w:hint="eastAsia"/>
                <w:color w:val="auto"/>
                <w:sz w:val="24"/>
                <w:highlight w:val="none"/>
                <w:lang w:val="en-US" w:eastAsia="zh-CN"/>
              </w:rPr>
              <w:t>2178</w:t>
            </w:r>
            <w:r>
              <w:rPr>
                <w:color w:val="auto"/>
                <w:sz w:val="24"/>
                <w:highlight w:val="none"/>
              </w:rPr>
              <w:t>万元，占总投资的</w:t>
            </w:r>
            <w:r>
              <w:rPr>
                <w:rFonts w:hint="eastAsia"/>
                <w:color w:val="auto"/>
                <w:sz w:val="24"/>
                <w:highlight w:val="none"/>
                <w:lang w:val="en-US" w:eastAsia="zh-CN"/>
              </w:rPr>
              <w:t>6.21</w:t>
            </w:r>
            <w:r>
              <w:rPr>
                <w:color w:val="auto"/>
                <w:sz w:val="24"/>
                <w:highlight w:val="none"/>
              </w:rPr>
              <w:t>%，环保投资估算详见下表。</w:t>
            </w:r>
          </w:p>
          <w:p w14:paraId="12F27A15">
            <w:pPr>
              <w:adjustRightInd w:val="0"/>
              <w:snapToGrid w:val="0"/>
              <w:jc w:val="center"/>
              <w:rPr>
                <w:rFonts w:eastAsia="黑体"/>
                <w:bCs/>
                <w:color w:val="000000" w:themeColor="text1"/>
                <w:szCs w:val="21"/>
                <w:highlight w:val="none"/>
                <w14:textFill>
                  <w14:solidFill>
                    <w14:schemeClr w14:val="tx1"/>
                  </w14:solidFill>
                </w14:textFill>
              </w:rPr>
            </w:pPr>
            <w:r>
              <w:rPr>
                <w:rFonts w:eastAsia="黑体"/>
                <w:bCs/>
                <w:color w:val="000000" w:themeColor="text1"/>
                <w:szCs w:val="21"/>
                <w:highlight w:val="none"/>
                <w14:textFill>
                  <w14:solidFill>
                    <w14:schemeClr w14:val="tx1"/>
                  </w14:solidFill>
                </w14:textFill>
              </w:rPr>
              <w:t>表5-</w:t>
            </w:r>
            <w:r>
              <w:rPr>
                <w:rFonts w:hint="eastAsia" w:eastAsia="黑体"/>
                <w:bCs/>
                <w:color w:val="000000" w:themeColor="text1"/>
                <w:szCs w:val="21"/>
                <w:highlight w:val="none"/>
                <w:lang w:val="en-US" w:eastAsia="zh-CN"/>
                <w14:textFill>
                  <w14:solidFill>
                    <w14:schemeClr w14:val="tx1"/>
                  </w14:solidFill>
                </w14:textFill>
              </w:rPr>
              <w:t>4</w:t>
            </w:r>
            <w:r>
              <w:rPr>
                <w:rFonts w:eastAsia="黑体"/>
                <w:bCs/>
                <w:color w:val="000000" w:themeColor="text1"/>
                <w:szCs w:val="21"/>
                <w:highlight w:val="none"/>
                <w14:textFill>
                  <w14:solidFill>
                    <w14:schemeClr w14:val="tx1"/>
                  </w14:solidFill>
                </w14:textFill>
              </w:rPr>
              <w:t xml:space="preserve">  环保投资一览表</w:t>
            </w:r>
          </w:p>
          <w:tbl>
            <w:tblPr>
              <w:tblStyle w:val="29"/>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3"/>
              <w:gridCol w:w="524"/>
              <w:gridCol w:w="1321"/>
              <w:gridCol w:w="4569"/>
              <w:gridCol w:w="736"/>
            </w:tblGrid>
            <w:tr w14:paraId="71DD9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474" w:type="pct"/>
                  <w:gridSpan w:val="3"/>
                  <w:noWrap w:val="0"/>
                  <w:vAlign w:val="center"/>
                </w:tcPr>
                <w:p w14:paraId="5EC358CC">
                  <w:pPr>
                    <w:ind w:left="-105" w:leftChars="-50" w:right="-105" w:rightChars="-50"/>
                    <w:jc w:val="center"/>
                    <w:rPr>
                      <w:color w:val="auto"/>
                      <w:szCs w:val="21"/>
                      <w:highlight w:val="none"/>
                    </w:rPr>
                  </w:pPr>
                  <w:r>
                    <w:rPr>
                      <w:color w:val="auto"/>
                      <w:szCs w:val="21"/>
                      <w:highlight w:val="none"/>
                    </w:rPr>
                    <w:t>项目</w:t>
                  </w:r>
                </w:p>
              </w:tc>
              <w:tc>
                <w:tcPr>
                  <w:tcW w:w="3036" w:type="pct"/>
                  <w:noWrap w:val="0"/>
                  <w:vAlign w:val="center"/>
                </w:tcPr>
                <w:p w14:paraId="3DFD14CE">
                  <w:pPr>
                    <w:ind w:left="-105" w:leftChars="-50" w:right="-105" w:rightChars="-50"/>
                    <w:jc w:val="center"/>
                    <w:rPr>
                      <w:color w:val="auto"/>
                      <w:szCs w:val="21"/>
                      <w:highlight w:val="none"/>
                    </w:rPr>
                  </w:pPr>
                  <w:r>
                    <w:rPr>
                      <w:color w:val="auto"/>
                      <w:szCs w:val="21"/>
                      <w:highlight w:val="none"/>
                    </w:rPr>
                    <w:t>环保措施</w:t>
                  </w:r>
                </w:p>
              </w:tc>
              <w:tc>
                <w:tcPr>
                  <w:tcW w:w="489" w:type="pct"/>
                  <w:noWrap w:val="0"/>
                  <w:vAlign w:val="center"/>
                </w:tcPr>
                <w:p w14:paraId="4CDAB475">
                  <w:pPr>
                    <w:ind w:left="-105" w:leftChars="-50" w:right="-105" w:rightChars="-50"/>
                    <w:jc w:val="center"/>
                    <w:rPr>
                      <w:color w:val="auto"/>
                      <w:szCs w:val="21"/>
                      <w:highlight w:val="none"/>
                    </w:rPr>
                  </w:pPr>
                  <w:r>
                    <w:rPr>
                      <w:color w:val="auto"/>
                      <w:szCs w:val="21"/>
                      <w:highlight w:val="none"/>
                    </w:rPr>
                    <w:t>投资</w:t>
                  </w:r>
                </w:p>
                <w:p w14:paraId="528E5667">
                  <w:pPr>
                    <w:ind w:left="-105" w:leftChars="-50" w:right="-105" w:rightChars="-50"/>
                    <w:jc w:val="center"/>
                    <w:rPr>
                      <w:color w:val="auto"/>
                      <w:szCs w:val="21"/>
                      <w:highlight w:val="none"/>
                    </w:rPr>
                  </w:pPr>
                  <w:r>
                    <w:rPr>
                      <w:color w:val="auto"/>
                      <w:szCs w:val="21"/>
                      <w:highlight w:val="none"/>
                    </w:rPr>
                    <w:t>（万元）</w:t>
                  </w:r>
                </w:p>
              </w:tc>
            </w:tr>
            <w:tr w14:paraId="546F2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8" w:type="pct"/>
                  <w:vMerge w:val="restart"/>
                  <w:noWrap w:val="0"/>
                  <w:vAlign w:val="center"/>
                </w:tcPr>
                <w:p w14:paraId="76F6AB10">
                  <w:pPr>
                    <w:ind w:left="-105" w:leftChars="-50" w:right="-105" w:rightChars="-50"/>
                    <w:jc w:val="center"/>
                    <w:rPr>
                      <w:color w:val="auto"/>
                      <w:szCs w:val="21"/>
                      <w:highlight w:val="none"/>
                    </w:rPr>
                  </w:pPr>
                  <w:r>
                    <w:rPr>
                      <w:color w:val="auto"/>
                      <w:szCs w:val="21"/>
                      <w:highlight w:val="none"/>
                    </w:rPr>
                    <w:t>施</w:t>
                  </w:r>
                </w:p>
                <w:p w14:paraId="1E7252A6">
                  <w:pPr>
                    <w:ind w:left="-105" w:leftChars="-50" w:right="-105" w:rightChars="-50"/>
                    <w:jc w:val="center"/>
                    <w:rPr>
                      <w:color w:val="auto"/>
                      <w:szCs w:val="21"/>
                      <w:highlight w:val="none"/>
                    </w:rPr>
                  </w:pPr>
                  <w:r>
                    <w:rPr>
                      <w:color w:val="auto"/>
                      <w:szCs w:val="21"/>
                      <w:highlight w:val="none"/>
                    </w:rPr>
                    <w:t>工</w:t>
                  </w:r>
                </w:p>
                <w:p w14:paraId="71B7EB7D">
                  <w:pPr>
                    <w:ind w:left="-105" w:leftChars="-50" w:right="-105" w:rightChars="-50"/>
                    <w:jc w:val="center"/>
                    <w:rPr>
                      <w:color w:val="auto"/>
                      <w:szCs w:val="21"/>
                      <w:highlight w:val="none"/>
                    </w:rPr>
                  </w:pPr>
                  <w:r>
                    <w:rPr>
                      <w:color w:val="auto"/>
                      <w:szCs w:val="21"/>
                      <w:highlight w:val="none"/>
                    </w:rPr>
                    <w:t>期</w:t>
                  </w:r>
                </w:p>
              </w:tc>
              <w:tc>
                <w:tcPr>
                  <w:tcW w:w="348" w:type="pct"/>
                  <w:noWrap w:val="0"/>
                  <w:vAlign w:val="center"/>
                </w:tcPr>
                <w:p w14:paraId="45C7CA48">
                  <w:pPr>
                    <w:ind w:left="-105" w:leftChars="-50" w:right="-105" w:rightChars="-50"/>
                    <w:jc w:val="center"/>
                    <w:rPr>
                      <w:color w:val="auto"/>
                      <w:szCs w:val="21"/>
                      <w:highlight w:val="none"/>
                    </w:rPr>
                  </w:pPr>
                  <w:r>
                    <w:rPr>
                      <w:color w:val="auto"/>
                      <w:szCs w:val="21"/>
                      <w:highlight w:val="none"/>
                    </w:rPr>
                    <w:t>废气</w:t>
                  </w:r>
                </w:p>
              </w:tc>
              <w:tc>
                <w:tcPr>
                  <w:tcW w:w="877" w:type="pct"/>
                  <w:noWrap w:val="0"/>
                  <w:vAlign w:val="center"/>
                </w:tcPr>
                <w:p w14:paraId="7BDBE3ED">
                  <w:pPr>
                    <w:jc w:val="center"/>
                    <w:rPr>
                      <w:color w:val="auto"/>
                      <w:szCs w:val="21"/>
                      <w:highlight w:val="none"/>
                    </w:rPr>
                  </w:pPr>
                  <w:r>
                    <w:rPr>
                      <w:color w:val="auto"/>
                      <w:szCs w:val="21"/>
                      <w:highlight w:val="none"/>
                    </w:rPr>
                    <w:t>扬尘治理</w:t>
                  </w:r>
                </w:p>
              </w:tc>
              <w:tc>
                <w:tcPr>
                  <w:tcW w:w="3036" w:type="pct"/>
                  <w:noWrap w:val="0"/>
                  <w:vAlign w:val="center"/>
                </w:tcPr>
                <w:p w14:paraId="761E867E">
                  <w:pPr>
                    <w:jc w:val="left"/>
                    <w:rPr>
                      <w:color w:val="auto"/>
                      <w:szCs w:val="21"/>
                      <w:highlight w:val="none"/>
                    </w:rPr>
                  </w:pPr>
                  <w:r>
                    <w:rPr>
                      <w:color w:val="auto"/>
                      <w:szCs w:val="21"/>
                      <w:highlight w:val="none"/>
                    </w:rPr>
                    <w:t>施工期影响主要为施工扬尘、机械尾气等。通过加强施工机械、车辆管理，进行物料覆盖，对施工道路进行固化、洒水处理等措施，</w:t>
                  </w:r>
                  <w:r>
                    <w:rPr>
                      <w:rFonts w:hint="eastAsia"/>
                      <w:color w:val="auto"/>
                      <w:szCs w:val="21"/>
                      <w:highlight w:val="none"/>
                      <w:lang w:val="en-US" w:eastAsia="zh-CN"/>
                    </w:rPr>
                    <w:t>施工厂区采取喷淋抑尘，</w:t>
                  </w:r>
                  <w:r>
                    <w:rPr>
                      <w:color w:val="auto"/>
                      <w:szCs w:val="21"/>
                      <w:highlight w:val="none"/>
                    </w:rPr>
                    <w:t>施工现场扬尘污染防治应做到“六个百分之百”，减少对周边空气环境的影响</w:t>
                  </w:r>
                </w:p>
              </w:tc>
              <w:tc>
                <w:tcPr>
                  <w:tcW w:w="489" w:type="pct"/>
                  <w:noWrap w:val="0"/>
                  <w:vAlign w:val="center"/>
                </w:tcPr>
                <w:p w14:paraId="563944C7">
                  <w:pPr>
                    <w:jc w:val="center"/>
                    <w:rPr>
                      <w:rFonts w:hint="eastAsia" w:eastAsia="宋体"/>
                      <w:color w:val="auto"/>
                      <w:szCs w:val="21"/>
                      <w:highlight w:val="none"/>
                      <w:lang w:val="en-US" w:eastAsia="zh-CN"/>
                    </w:rPr>
                  </w:pPr>
                  <w:r>
                    <w:rPr>
                      <w:rFonts w:hint="eastAsia"/>
                      <w:color w:val="auto"/>
                      <w:szCs w:val="21"/>
                      <w:highlight w:val="none"/>
                      <w:lang w:val="en-US" w:eastAsia="zh-CN"/>
                    </w:rPr>
                    <w:t>3</w:t>
                  </w:r>
                </w:p>
              </w:tc>
            </w:tr>
            <w:tr w14:paraId="3339A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8" w:type="pct"/>
                  <w:vMerge w:val="continue"/>
                  <w:noWrap w:val="0"/>
                  <w:vAlign w:val="center"/>
                </w:tcPr>
                <w:p w14:paraId="387975DC">
                  <w:pPr>
                    <w:ind w:left="-105" w:leftChars="-50" w:right="-105" w:rightChars="-50"/>
                    <w:jc w:val="center"/>
                    <w:rPr>
                      <w:color w:val="auto"/>
                      <w:szCs w:val="21"/>
                      <w:highlight w:val="none"/>
                    </w:rPr>
                  </w:pPr>
                </w:p>
              </w:tc>
              <w:tc>
                <w:tcPr>
                  <w:tcW w:w="348" w:type="pct"/>
                  <w:noWrap w:val="0"/>
                  <w:vAlign w:val="center"/>
                </w:tcPr>
                <w:p w14:paraId="653067C4">
                  <w:pPr>
                    <w:ind w:left="-105" w:leftChars="-50" w:right="-105" w:rightChars="-50"/>
                    <w:jc w:val="center"/>
                    <w:rPr>
                      <w:color w:val="auto"/>
                      <w:szCs w:val="21"/>
                      <w:highlight w:val="none"/>
                    </w:rPr>
                  </w:pPr>
                  <w:r>
                    <w:rPr>
                      <w:color w:val="auto"/>
                      <w:szCs w:val="21"/>
                      <w:highlight w:val="none"/>
                    </w:rPr>
                    <w:t>废水</w:t>
                  </w:r>
                </w:p>
              </w:tc>
              <w:tc>
                <w:tcPr>
                  <w:tcW w:w="877" w:type="pct"/>
                  <w:noWrap w:val="0"/>
                  <w:vAlign w:val="center"/>
                </w:tcPr>
                <w:p w14:paraId="627B164C">
                  <w:pPr>
                    <w:jc w:val="center"/>
                    <w:rPr>
                      <w:color w:val="auto"/>
                      <w:szCs w:val="21"/>
                      <w:highlight w:val="none"/>
                    </w:rPr>
                  </w:pPr>
                  <w:r>
                    <w:rPr>
                      <w:color w:val="auto"/>
                      <w:szCs w:val="21"/>
                      <w:highlight w:val="none"/>
                    </w:rPr>
                    <w:t>废水</w:t>
                  </w:r>
                </w:p>
              </w:tc>
              <w:tc>
                <w:tcPr>
                  <w:tcW w:w="3036" w:type="pct"/>
                  <w:noWrap w:val="0"/>
                  <w:vAlign w:val="center"/>
                </w:tcPr>
                <w:p w14:paraId="52055148">
                  <w:pPr>
                    <w:widowControl/>
                    <w:spacing w:line="240" w:lineRule="atLeast"/>
                    <w:rPr>
                      <w:color w:val="auto"/>
                      <w:szCs w:val="21"/>
                      <w:highlight w:val="none"/>
                    </w:rPr>
                  </w:pPr>
                  <w:r>
                    <w:rPr>
                      <w:color w:val="auto"/>
                      <w:szCs w:val="21"/>
                      <w:highlight w:val="none"/>
                    </w:rPr>
                    <w:t>施工期生活污水经化粪池预处理后定期委托第三方使用吸污车运送至</w:t>
                  </w:r>
                  <w:r>
                    <w:rPr>
                      <w:rFonts w:hint="eastAsia"/>
                      <w:color w:val="auto"/>
                      <w:szCs w:val="21"/>
                      <w:highlight w:val="none"/>
                      <w:lang w:val="en-US" w:eastAsia="zh-CN"/>
                    </w:rPr>
                    <w:t>新集一矿</w:t>
                  </w:r>
                  <w:r>
                    <w:rPr>
                      <w:color w:val="auto"/>
                      <w:szCs w:val="21"/>
                      <w:highlight w:val="none"/>
                    </w:rPr>
                    <w:t>现有生活污水处理站进行处理。</w:t>
                  </w:r>
                </w:p>
                <w:p w14:paraId="2F1CBD16">
                  <w:pPr>
                    <w:widowControl/>
                    <w:spacing w:line="240" w:lineRule="atLeast"/>
                    <w:rPr>
                      <w:rFonts w:hint="default" w:eastAsia="宋体"/>
                      <w:color w:val="auto"/>
                      <w:szCs w:val="21"/>
                      <w:highlight w:val="none"/>
                      <w:lang w:val="en-US" w:eastAsia="zh-CN"/>
                    </w:rPr>
                  </w:pPr>
                  <w:r>
                    <w:rPr>
                      <w:color w:val="auto"/>
                      <w:szCs w:val="21"/>
                      <w:highlight w:val="none"/>
                    </w:rPr>
                    <w:t>车辆冲洗废水经沉淀池处理后全部回用于洗车，不排放。</w:t>
                  </w:r>
                </w:p>
              </w:tc>
              <w:tc>
                <w:tcPr>
                  <w:tcW w:w="489" w:type="pct"/>
                  <w:noWrap w:val="0"/>
                  <w:vAlign w:val="center"/>
                </w:tcPr>
                <w:p w14:paraId="65853C7E">
                  <w:pPr>
                    <w:jc w:val="center"/>
                    <w:rPr>
                      <w:rFonts w:hint="default" w:eastAsia="宋体"/>
                      <w:color w:val="auto"/>
                      <w:szCs w:val="21"/>
                      <w:highlight w:val="none"/>
                      <w:lang w:val="en-US" w:eastAsia="zh-CN"/>
                    </w:rPr>
                  </w:pPr>
                  <w:r>
                    <w:rPr>
                      <w:rFonts w:hint="eastAsia"/>
                      <w:color w:val="auto"/>
                      <w:szCs w:val="21"/>
                      <w:highlight w:val="none"/>
                      <w:lang w:val="en-US" w:eastAsia="zh-CN"/>
                    </w:rPr>
                    <w:t>4</w:t>
                  </w:r>
                </w:p>
              </w:tc>
            </w:tr>
            <w:tr w14:paraId="12C43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8" w:type="pct"/>
                  <w:vMerge w:val="continue"/>
                  <w:noWrap w:val="0"/>
                  <w:vAlign w:val="center"/>
                </w:tcPr>
                <w:p w14:paraId="107E0C19">
                  <w:pPr>
                    <w:ind w:left="-105" w:leftChars="-50" w:right="-105" w:rightChars="-50"/>
                    <w:jc w:val="center"/>
                    <w:rPr>
                      <w:color w:val="auto"/>
                      <w:szCs w:val="21"/>
                      <w:highlight w:val="none"/>
                    </w:rPr>
                  </w:pPr>
                </w:p>
              </w:tc>
              <w:tc>
                <w:tcPr>
                  <w:tcW w:w="348" w:type="pct"/>
                  <w:noWrap w:val="0"/>
                  <w:vAlign w:val="center"/>
                </w:tcPr>
                <w:p w14:paraId="47B55CBE">
                  <w:pPr>
                    <w:ind w:left="-105" w:leftChars="-50" w:right="-105" w:rightChars="-50"/>
                    <w:jc w:val="center"/>
                    <w:rPr>
                      <w:color w:val="auto"/>
                      <w:szCs w:val="21"/>
                      <w:highlight w:val="none"/>
                    </w:rPr>
                  </w:pPr>
                  <w:r>
                    <w:rPr>
                      <w:color w:val="auto"/>
                      <w:szCs w:val="21"/>
                      <w:highlight w:val="none"/>
                    </w:rPr>
                    <w:t>噪声</w:t>
                  </w:r>
                </w:p>
              </w:tc>
              <w:tc>
                <w:tcPr>
                  <w:tcW w:w="877" w:type="pct"/>
                  <w:noWrap w:val="0"/>
                  <w:vAlign w:val="center"/>
                </w:tcPr>
                <w:p w14:paraId="7D689FFC">
                  <w:pPr>
                    <w:jc w:val="center"/>
                    <w:rPr>
                      <w:color w:val="auto"/>
                      <w:szCs w:val="21"/>
                      <w:highlight w:val="none"/>
                    </w:rPr>
                  </w:pPr>
                  <w:r>
                    <w:rPr>
                      <w:color w:val="auto"/>
                      <w:szCs w:val="21"/>
                      <w:highlight w:val="none"/>
                    </w:rPr>
                    <w:t>施工机械噪声</w:t>
                  </w:r>
                </w:p>
              </w:tc>
              <w:tc>
                <w:tcPr>
                  <w:tcW w:w="3036" w:type="pct"/>
                  <w:noWrap w:val="0"/>
                  <w:vAlign w:val="center"/>
                </w:tcPr>
                <w:p w14:paraId="16579A95">
                  <w:pPr>
                    <w:rPr>
                      <w:color w:val="auto"/>
                      <w:szCs w:val="21"/>
                      <w:highlight w:val="none"/>
                    </w:rPr>
                  </w:pPr>
                  <w:r>
                    <w:rPr>
                      <w:color w:val="auto"/>
                      <w:szCs w:val="21"/>
                      <w:highlight w:val="none"/>
                    </w:rPr>
                    <w:t>选用低噪声设备，合理布置施工机械，合理安排施工时间，加强施工管理，设置施工围墙、降噪安全围帘等</w:t>
                  </w:r>
                  <w:r>
                    <w:rPr>
                      <w:bCs/>
                      <w:color w:val="auto"/>
                      <w:szCs w:val="21"/>
                      <w:highlight w:val="none"/>
                    </w:rPr>
                    <w:t>。</w:t>
                  </w:r>
                </w:p>
              </w:tc>
              <w:tc>
                <w:tcPr>
                  <w:tcW w:w="489" w:type="pct"/>
                  <w:noWrap w:val="0"/>
                  <w:vAlign w:val="center"/>
                </w:tcPr>
                <w:p w14:paraId="3ED7DA5A">
                  <w:pPr>
                    <w:jc w:val="center"/>
                    <w:rPr>
                      <w:rFonts w:hint="eastAsia" w:eastAsia="宋体"/>
                      <w:color w:val="auto"/>
                      <w:szCs w:val="21"/>
                      <w:highlight w:val="none"/>
                      <w:lang w:val="en-US" w:eastAsia="zh-CN"/>
                    </w:rPr>
                  </w:pPr>
                  <w:r>
                    <w:rPr>
                      <w:rFonts w:hint="eastAsia"/>
                      <w:color w:val="auto"/>
                      <w:szCs w:val="21"/>
                      <w:highlight w:val="none"/>
                      <w:lang w:val="en-US" w:eastAsia="zh-CN"/>
                    </w:rPr>
                    <w:t>3</w:t>
                  </w:r>
                </w:p>
              </w:tc>
            </w:tr>
            <w:tr w14:paraId="39B80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8" w:type="pct"/>
                  <w:vMerge w:val="continue"/>
                  <w:noWrap w:val="0"/>
                  <w:vAlign w:val="center"/>
                </w:tcPr>
                <w:p w14:paraId="65FE2389">
                  <w:pPr>
                    <w:ind w:left="-105" w:leftChars="-50" w:right="-105" w:rightChars="-50"/>
                    <w:jc w:val="center"/>
                    <w:rPr>
                      <w:color w:val="auto"/>
                      <w:szCs w:val="21"/>
                      <w:highlight w:val="none"/>
                    </w:rPr>
                  </w:pPr>
                </w:p>
              </w:tc>
              <w:tc>
                <w:tcPr>
                  <w:tcW w:w="348" w:type="pct"/>
                  <w:vMerge w:val="restart"/>
                  <w:noWrap w:val="0"/>
                  <w:vAlign w:val="center"/>
                </w:tcPr>
                <w:p w14:paraId="44BD17B0">
                  <w:pPr>
                    <w:ind w:left="-105" w:leftChars="-50" w:right="-105" w:rightChars="-50"/>
                    <w:jc w:val="center"/>
                    <w:rPr>
                      <w:color w:val="auto"/>
                      <w:szCs w:val="21"/>
                      <w:highlight w:val="none"/>
                    </w:rPr>
                  </w:pPr>
                  <w:r>
                    <w:rPr>
                      <w:color w:val="auto"/>
                      <w:szCs w:val="21"/>
                      <w:highlight w:val="none"/>
                    </w:rPr>
                    <w:t>固体</w:t>
                  </w:r>
                </w:p>
                <w:p w14:paraId="5A850E5E">
                  <w:pPr>
                    <w:ind w:left="-105" w:leftChars="-50" w:right="-105" w:rightChars="-50"/>
                    <w:jc w:val="center"/>
                    <w:rPr>
                      <w:color w:val="auto"/>
                      <w:szCs w:val="21"/>
                      <w:highlight w:val="none"/>
                    </w:rPr>
                  </w:pPr>
                  <w:r>
                    <w:rPr>
                      <w:color w:val="auto"/>
                      <w:szCs w:val="21"/>
                      <w:highlight w:val="none"/>
                    </w:rPr>
                    <w:t>废物</w:t>
                  </w:r>
                </w:p>
              </w:tc>
              <w:tc>
                <w:tcPr>
                  <w:tcW w:w="877" w:type="pct"/>
                  <w:noWrap w:val="0"/>
                  <w:vAlign w:val="center"/>
                </w:tcPr>
                <w:p w14:paraId="6FD44842">
                  <w:pPr>
                    <w:jc w:val="center"/>
                    <w:rPr>
                      <w:color w:val="auto"/>
                      <w:szCs w:val="21"/>
                      <w:highlight w:val="none"/>
                    </w:rPr>
                  </w:pPr>
                  <w:r>
                    <w:rPr>
                      <w:color w:val="auto"/>
                      <w:szCs w:val="21"/>
                      <w:highlight w:val="none"/>
                    </w:rPr>
                    <w:t>施工期固废</w:t>
                  </w:r>
                </w:p>
              </w:tc>
              <w:tc>
                <w:tcPr>
                  <w:tcW w:w="3036" w:type="pct"/>
                  <w:noWrap w:val="0"/>
                  <w:vAlign w:val="center"/>
                </w:tcPr>
                <w:p w14:paraId="61B652AC">
                  <w:pPr>
                    <w:rPr>
                      <w:color w:val="auto"/>
                      <w:szCs w:val="21"/>
                      <w:highlight w:val="none"/>
                    </w:rPr>
                  </w:pPr>
                  <w:r>
                    <w:rPr>
                      <w:color w:val="auto"/>
                      <w:szCs w:val="21"/>
                      <w:highlight w:val="none"/>
                    </w:rPr>
                    <w:t>废泥浆暂存于泥浆池中，施工完成后交第三方公司综合利用。岩屑暂存于场岩屑房中定期交第三方公司综合利用。</w:t>
                  </w:r>
                  <w:r>
                    <w:rPr>
                      <w:rFonts w:hint="eastAsia"/>
                      <w:color w:val="auto"/>
                      <w:szCs w:val="21"/>
                      <w:highlight w:val="none"/>
                      <w:lang w:val="en-US" w:eastAsia="zh-CN"/>
                    </w:rPr>
                    <w:t>废焊条及焊渣</w:t>
                  </w:r>
                  <w:r>
                    <w:rPr>
                      <w:color w:val="auto"/>
                      <w:szCs w:val="21"/>
                      <w:highlight w:val="none"/>
                    </w:rPr>
                    <w:t>集中收集后交由物资回收公司综合利用</w:t>
                  </w:r>
                  <w:r>
                    <w:rPr>
                      <w:rFonts w:hint="eastAsia"/>
                      <w:color w:val="auto"/>
                      <w:szCs w:val="21"/>
                      <w:highlight w:val="none"/>
                      <w:lang w:eastAsia="zh-CN"/>
                    </w:rPr>
                    <w:t>。</w:t>
                  </w:r>
                  <w:r>
                    <w:rPr>
                      <w:color w:val="auto"/>
                      <w:szCs w:val="21"/>
                      <w:highlight w:val="none"/>
                    </w:rPr>
                    <w:t>废包装袋拆包后即外售给综合利用人员，施工场地不存储。生活垃圾依托附近居民垃圾桶统一收集后，由环卫部门清运。废机油暂存于各施工场地设置的危险废物暂存间，统一收集后定期交由有资质单位处理。</w:t>
                  </w:r>
                </w:p>
                <w:p w14:paraId="5952402C">
                  <w:pPr>
                    <w:rPr>
                      <w:color w:val="auto"/>
                      <w:szCs w:val="21"/>
                      <w:highlight w:val="none"/>
                    </w:rPr>
                  </w:pPr>
                  <w:r>
                    <w:rPr>
                      <w:color w:val="auto"/>
                      <w:szCs w:val="21"/>
                      <w:highlight w:val="none"/>
                    </w:rPr>
                    <w:t>项目施工过程中应加强废弃泥浆的管理，严禁随意丢弃和排放，避免对周边环境造成污染。</w:t>
                  </w:r>
                </w:p>
              </w:tc>
              <w:tc>
                <w:tcPr>
                  <w:tcW w:w="489" w:type="pct"/>
                  <w:noWrap w:val="0"/>
                  <w:vAlign w:val="center"/>
                </w:tcPr>
                <w:p w14:paraId="6877917C">
                  <w:pPr>
                    <w:jc w:val="center"/>
                    <w:rPr>
                      <w:rFonts w:hint="eastAsia" w:eastAsia="宋体"/>
                      <w:color w:val="auto"/>
                      <w:szCs w:val="21"/>
                      <w:highlight w:val="none"/>
                      <w:lang w:val="en-US" w:eastAsia="zh-CN"/>
                    </w:rPr>
                  </w:pPr>
                  <w:r>
                    <w:rPr>
                      <w:rFonts w:hint="eastAsia"/>
                      <w:color w:val="auto"/>
                      <w:szCs w:val="21"/>
                      <w:highlight w:val="none"/>
                      <w:lang w:val="en-US" w:eastAsia="zh-CN"/>
                    </w:rPr>
                    <w:t>3</w:t>
                  </w:r>
                </w:p>
              </w:tc>
            </w:tr>
            <w:tr w14:paraId="07EDA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8" w:type="pct"/>
                  <w:vMerge w:val="continue"/>
                  <w:noWrap w:val="0"/>
                  <w:vAlign w:val="center"/>
                </w:tcPr>
                <w:p w14:paraId="639B811F">
                  <w:pPr>
                    <w:ind w:left="-105" w:leftChars="-50" w:right="-105" w:rightChars="-50"/>
                    <w:jc w:val="center"/>
                    <w:rPr>
                      <w:color w:val="auto"/>
                      <w:szCs w:val="21"/>
                      <w:highlight w:val="none"/>
                    </w:rPr>
                  </w:pPr>
                </w:p>
              </w:tc>
              <w:tc>
                <w:tcPr>
                  <w:tcW w:w="348" w:type="pct"/>
                  <w:vMerge w:val="continue"/>
                  <w:noWrap w:val="0"/>
                  <w:vAlign w:val="center"/>
                </w:tcPr>
                <w:p w14:paraId="77B0A47E">
                  <w:pPr>
                    <w:ind w:left="-105" w:leftChars="-50" w:right="-105" w:rightChars="-50"/>
                    <w:jc w:val="center"/>
                    <w:rPr>
                      <w:color w:val="auto"/>
                      <w:szCs w:val="21"/>
                      <w:highlight w:val="none"/>
                    </w:rPr>
                  </w:pPr>
                </w:p>
              </w:tc>
              <w:tc>
                <w:tcPr>
                  <w:tcW w:w="877" w:type="pct"/>
                  <w:noWrap w:val="0"/>
                  <w:vAlign w:val="center"/>
                </w:tcPr>
                <w:p w14:paraId="0F558898">
                  <w:pPr>
                    <w:jc w:val="center"/>
                    <w:rPr>
                      <w:color w:val="auto"/>
                      <w:szCs w:val="21"/>
                      <w:highlight w:val="none"/>
                    </w:rPr>
                  </w:pPr>
                  <w:r>
                    <w:rPr>
                      <w:color w:val="auto"/>
                      <w:szCs w:val="21"/>
                      <w:highlight w:val="none"/>
                    </w:rPr>
                    <w:t>生活垃圾</w:t>
                  </w:r>
                </w:p>
              </w:tc>
              <w:tc>
                <w:tcPr>
                  <w:tcW w:w="3036" w:type="pct"/>
                  <w:noWrap w:val="0"/>
                  <w:vAlign w:val="center"/>
                </w:tcPr>
                <w:p w14:paraId="39BCE6FA">
                  <w:pPr>
                    <w:jc w:val="left"/>
                    <w:rPr>
                      <w:color w:val="auto"/>
                      <w:szCs w:val="21"/>
                      <w:highlight w:val="none"/>
                    </w:rPr>
                  </w:pPr>
                  <w:r>
                    <w:rPr>
                      <w:color w:val="auto"/>
                      <w:szCs w:val="21"/>
                      <w:highlight w:val="none"/>
                    </w:rPr>
                    <w:t>生活垃圾设置生活垃圾桶统一收集后，委托环卫部门清运。</w:t>
                  </w:r>
                </w:p>
              </w:tc>
              <w:tc>
                <w:tcPr>
                  <w:tcW w:w="489" w:type="pct"/>
                  <w:noWrap w:val="0"/>
                  <w:vAlign w:val="center"/>
                </w:tcPr>
                <w:p w14:paraId="469EA9A8">
                  <w:pPr>
                    <w:jc w:val="center"/>
                    <w:rPr>
                      <w:rFonts w:hint="default" w:eastAsia="宋体"/>
                      <w:color w:val="auto"/>
                      <w:szCs w:val="21"/>
                      <w:highlight w:val="none"/>
                      <w:lang w:val="en-US" w:eastAsia="zh-CN"/>
                    </w:rPr>
                  </w:pPr>
                  <w:r>
                    <w:rPr>
                      <w:rFonts w:hint="eastAsia"/>
                      <w:color w:val="auto"/>
                      <w:szCs w:val="21"/>
                      <w:highlight w:val="none"/>
                      <w:lang w:val="en-US" w:eastAsia="zh-CN"/>
                    </w:rPr>
                    <w:t>1.2</w:t>
                  </w:r>
                </w:p>
              </w:tc>
            </w:tr>
            <w:tr w14:paraId="04CDA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8" w:type="pct"/>
                  <w:vMerge w:val="continue"/>
                  <w:noWrap w:val="0"/>
                  <w:vAlign w:val="center"/>
                </w:tcPr>
                <w:p w14:paraId="05E9BF7E">
                  <w:pPr>
                    <w:ind w:left="-105" w:leftChars="-50" w:right="-105" w:rightChars="-50"/>
                    <w:jc w:val="center"/>
                    <w:rPr>
                      <w:color w:val="auto"/>
                      <w:szCs w:val="21"/>
                      <w:highlight w:val="none"/>
                    </w:rPr>
                  </w:pPr>
                </w:p>
              </w:tc>
              <w:tc>
                <w:tcPr>
                  <w:tcW w:w="348" w:type="pct"/>
                  <w:noWrap w:val="0"/>
                  <w:vAlign w:val="center"/>
                </w:tcPr>
                <w:p w14:paraId="155E750D">
                  <w:pPr>
                    <w:ind w:left="-105" w:leftChars="-50" w:right="-105" w:rightChars="-50"/>
                    <w:jc w:val="center"/>
                    <w:rPr>
                      <w:color w:val="auto"/>
                      <w:szCs w:val="21"/>
                      <w:highlight w:val="none"/>
                    </w:rPr>
                  </w:pPr>
                  <w:r>
                    <w:rPr>
                      <w:color w:val="auto"/>
                      <w:szCs w:val="21"/>
                      <w:highlight w:val="none"/>
                    </w:rPr>
                    <w:t>土壤、地下水环境</w:t>
                  </w:r>
                </w:p>
              </w:tc>
              <w:tc>
                <w:tcPr>
                  <w:tcW w:w="877" w:type="pct"/>
                  <w:noWrap w:val="0"/>
                  <w:vAlign w:val="center"/>
                </w:tcPr>
                <w:p w14:paraId="7F512B36">
                  <w:pPr>
                    <w:jc w:val="center"/>
                    <w:rPr>
                      <w:color w:val="auto"/>
                      <w:szCs w:val="21"/>
                      <w:highlight w:val="none"/>
                    </w:rPr>
                  </w:pPr>
                  <w:r>
                    <w:rPr>
                      <w:color w:val="auto"/>
                      <w:szCs w:val="21"/>
                      <w:highlight w:val="none"/>
                    </w:rPr>
                    <w:t>分区防渗及处理措施</w:t>
                  </w:r>
                </w:p>
              </w:tc>
              <w:tc>
                <w:tcPr>
                  <w:tcW w:w="3036" w:type="pct"/>
                  <w:noWrap w:val="0"/>
                  <w:vAlign w:val="center"/>
                </w:tcPr>
                <w:p w14:paraId="6630DC4B">
                  <w:pPr>
                    <w:jc w:val="left"/>
                    <w:rPr>
                      <w:color w:val="auto"/>
                      <w:szCs w:val="21"/>
                      <w:highlight w:val="none"/>
                    </w:rPr>
                  </w:pPr>
                  <w:r>
                    <w:rPr>
                      <w:color w:val="auto"/>
                      <w:kern w:val="0"/>
                      <w:szCs w:val="21"/>
                      <w:highlight w:val="none"/>
                    </w:rPr>
                    <w:t>钻井井口区域、泥浆池、岩屑房、材料堆放区及泥浆循环系统等防渗措施应按照《一般工业固体废物贮存和填埋污染控制标准》（GB18599-2020），渗透系数不应大于1.0×10</w:t>
                  </w:r>
                  <w:r>
                    <w:rPr>
                      <w:color w:val="auto"/>
                      <w:kern w:val="0"/>
                      <w:szCs w:val="21"/>
                      <w:highlight w:val="none"/>
                      <w:vertAlign w:val="superscript"/>
                    </w:rPr>
                    <w:t>-7</w:t>
                  </w:r>
                  <w:r>
                    <w:rPr>
                      <w:color w:val="auto"/>
                      <w:kern w:val="0"/>
                      <w:szCs w:val="21"/>
                      <w:highlight w:val="none"/>
                    </w:rPr>
                    <w:t>cm/s，厚度不宜小于75cm；其他区域为简单防渗。</w:t>
                  </w:r>
                </w:p>
              </w:tc>
              <w:tc>
                <w:tcPr>
                  <w:tcW w:w="489" w:type="pct"/>
                  <w:noWrap w:val="0"/>
                  <w:vAlign w:val="center"/>
                </w:tcPr>
                <w:p w14:paraId="3ADC22DB">
                  <w:pPr>
                    <w:jc w:val="center"/>
                    <w:rPr>
                      <w:rFonts w:hint="eastAsia" w:eastAsia="宋体"/>
                      <w:color w:val="auto"/>
                      <w:szCs w:val="21"/>
                      <w:highlight w:val="none"/>
                      <w:lang w:val="en-US" w:eastAsia="zh-CN"/>
                    </w:rPr>
                  </w:pPr>
                  <w:r>
                    <w:rPr>
                      <w:rFonts w:hint="eastAsia"/>
                      <w:color w:val="auto"/>
                      <w:szCs w:val="21"/>
                      <w:highlight w:val="none"/>
                      <w:lang w:val="en-US" w:eastAsia="zh-CN"/>
                    </w:rPr>
                    <w:t>4</w:t>
                  </w:r>
                </w:p>
              </w:tc>
            </w:tr>
            <w:tr w14:paraId="706A5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8" w:type="pct"/>
                  <w:vMerge w:val="continue"/>
                  <w:noWrap w:val="0"/>
                  <w:vAlign w:val="center"/>
                </w:tcPr>
                <w:p w14:paraId="115FE60F">
                  <w:pPr>
                    <w:ind w:left="-105" w:leftChars="-50" w:right="-105" w:rightChars="-50"/>
                    <w:jc w:val="center"/>
                    <w:rPr>
                      <w:color w:val="auto"/>
                      <w:szCs w:val="21"/>
                      <w:highlight w:val="none"/>
                    </w:rPr>
                  </w:pPr>
                </w:p>
              </w:tc>
              <w:tc>
                <w:tcPr>
                  <w:tcW w:w="348" w:type="pct"/>
                  <w:vMerge w:val="restart"/>
                  <w:noWrap w:val="0"/>
                  <w:vAlign w:val="center"/>
                </w:tcPr>
                <w:p w14:paraId="164568DD">
                  <w:pPr>
                    <w:ind w:left="-105" w:leftChars="-50" w:right="-105" w:rightChars="-50"/>
                    <w:jc w:val="center"/>
                    <w:rPr>
                      <w:color w:val="auto"/>
                      <w:szCs w:val="21"/>
                      <w:highlight w:val="none"/>
                    </w:rPr>
                  </w:pPr>
                  <w:r>
                    <w:rPr>
                      <w:color w:val="auto"/>
                      <w:szCs w:val="21"/>
                      <w:highlight w:val="none"/>
                    </w:rPr>
                    <w:t>生态环境</w:t>
                  </w:r>
                </w:p>
              </w:tc>
              <w:tc>
                <w:tcPr>
                  <w:tcW w:w="877" w:type="pct"/>
                  <w:noWrap w:val="0"/>
                  <w:vAlign w:val="center"/>
                </w:tcPr>
                <w:p w14:paraId="3E692F21">
                  <w:pPr>
                    <w:rPr>
                      <w:color w:val="auto"/>
                      <w:szCs w:val="21"/>
                      <w:highlight w:val="none"/>
                    </w:rPr>
                  </w:pPr>
                  <w:r>
                    <w:rPr>
                      <w:color w:val="auto"/>
                      <w:szCs w:val="21"/>
                      <w:highlight w:val="none"/>
                    </w:rPr>
                    <w:t>水土保持</w:t>
                  </w:r>
                </w:p>
              </w:tc>
              <w:tc>
                <w:tcPr>
                  <w:tcW w:w="3036" w:type="pct"/>
                  <w:noWrap w:val="0"/>
                  <w:vAlign w:val="center"/>
                </w:tcPr>
                <w:p w14:paraId="44B66FC5">
                  <w:pPr>
                    <w:rPr>
                      <w:color w:val="auto"/>
                      <w:szCs w:val="21"/>
                      <w:highlight w:val="none"/>
                    </w:rPr>
                  </w:pPr>
                  <w:r>
                    <w:rPr>
                      <w:color w:val="auto"/>
                      <w:szCs w:val="21"/>
                      <w:highlight w:val="none"/>
                    </w:rPr>
                    <w:t>主要出入口地面硬化，井场其它裸露区域采取覆盖措施以减少雨水冲刷造成的水土流失。表层土堆放区采用彩条布遮挡、四周设置排水沟等水保措施，防止水土流失。</w:t>
                  </w:r>
                </w:p>
              </w:tc>
              <w:tc>
                <w:tcPr>
                  <w:tcW w:w="489" w:type="pct"/>
                  <w:noWrap w:val="0"/>
                  <w:vAlign w:val="center"/>
                </w:tcPr>
                <w:p w14:paraId="6A95F048">
                  <w:pPr>
                    <w:jc w:val="center"/>
                    <w:rPr>
                      <w:rFonts w:hint="eastAsia" w:eastAsia="宋体"/>
                      <w:color w:val="auto"/>
                      <w:szCs w:val="21"/>
                      <w:highlight w:val="none"/>
                      <w:lang w:val="en-US" w:eastAsia="zh-CN"/>
                    </w:rPr>
                  </w:pPr>
                  <w:r>
                    <w:rPr>
                      <w:rFonts w:hint="eastAsia"/>
                      <w:color w:val="auto"/>
                      <w:szCs w:val="21"/>
                      <w:highlight w:val="none"/>
                      <w:lang w:val="en-US" w:eastAsia="zh-CN"/>
                    </w:rPr>
                    <w:t>4</w:t>
                  </w:r>
                </w:p>
              </w:tc>
            </w:tr>
            <w:tr w14:paraId="5CA38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8" w:type="pct"/>
                  <w:vMerge w:val="continue"/>
                  <w:noWrap w:val="0"/>
                  <w:vAlign w:val="center"/>
                </w:tcPr>
                <w:p w14:paraId="3D4F733F">
                  <w:pPr>
                    <w:ind w:left="-105" w:leftChars="-50" w:right="-105" w:rightChars="-50"/>
                    <w:jc w:val="center"/>
                    <w:rPr>
                      <w:color w:val="auto"/>
                      <w:szCs w:val="21"/>
                      <w:highlight w:val="none"/>
                    </w:rPr>
                  </w:pPr>
                </w:p>
              </w:tc>
              <w:tc>
                <w:tcPr>
                  <w:tcW w:w="348" w:type="pct"/>
                  <w:vMerge w:val="continue"/>
                  <w:noWrap w:val="0"/>
                  <w:vAlign w:val="center"/>
                </w:tcPr>
                <w:p w14:paraId="5597E592">
                  <w:pPr>
                    <w:ind w:left="-105" w:leftChars="-50" w:right="-105" w:rightChars="-50"/>
                    <w:jc w:val="center"/>
                    <w:rPr>
                      <w:color w:val="auto"/>
                      <w:szCs w:val="21"/>
                      <w:highlight w:val="none"/>
                    </w:rPr>
                  </w:pPr>
                </w:p>
              </w:tc>
              <w:tc>
                <w:tcPr>
                  <w:tcW w:w="877" w:type="pct"/>
                  <w:noWrap w:val="0"/>
                  <w:vAlign w:val="center"/>
                </w:tcPr>
                <w:p w14:paraId="666E72E5">
                  <w:pPr>
                    <w:jc w:val="center"/>
                    <w:rPr>
                      <w:color w:val="auto"/>
                      <w:szCs w:val="21"/>
                      <w:highlight w:val="none"/>
                    </w:rPr>
                  </w:pPr>
                  <w:r>
                    <w:rPr>
                      <w:color w:val="auto"/>
                      <w:szCs w:val="21"/>
                      <w:highlight w:val="none"/>
                    </w:rPr>
                    <w:t>生态恢复</w:t>
                  </w:r>
                </w:p>
              </w:tc>
              <w:tc>
                <w:tcPr>
                  <w:tcW w:w="3036" w:type="pct"/>
                  <w:noWrap w:val="0"/>
                  <w:vAlign w:val="center"/>
                </w:tcPr>
                <w:p w14:paraId="280B7A44">
                  <w:pPr>
                    <w:jc w:val="left"/>
                    <w:rPr>
                      <w:color w:val="auto"/>
                      <w:szCs w:val="21"/>
                      <w:highlight w:val="none"/>
                    </w:rPr>
                  </w:pPr>
                  <w:r>
                    <w:rPr>
                      <w:color w:val="auto"/>
                      <w:szCs w:val="21"/>
                      <w:highlight w:val="none"/>
                    </w:rPr>
                    <w:t>按照已批复的土地复垦方案进行复垦，恢复场区原状。</w:t>
                  </w:r>
                </w:p>
              </w:tc>
              <w:tc>
                <w:tcPr>
                  <w:tcW w:w="489" w:type="pct"/>
                  <w:noWrap w:val="0"/>
                  <w:vAlign w:val="center"/>
                </w:tcPr>
                <w:p w14:paraId="2CCFDD62">
                  <w:pPr>
                    <w:jc w:val="center"/>
                    <w:rPr>
                      <w:rFonts w:hint="default" w:eastAsia="宋体"/>
                      <w:color w:val="auto"/>
                      <w:szCs w:val="21"/>
                      <w:highlight w:val="none"/>
                      <w:lang w:val="en-US" w:eastAsia="zh-CN"/>
                    </w:rPr>
                  </w:pPr>
                  <w:r>
                    <w:rPr>
                      <w:rFonts w:hint="eastAsia"/>
                      <w:color w:val="auto"/>
                      <w:szCs w:val="21"/>
                      <w:highlight w:val="none"/>
                      <w:lang w:val="en-US" w:eastAsia="zh-CN"/>
                    </w:rPr>
                    <w:t>110</w:t>
                  </w:r>
                </w:p>
              </w:tc>
            </w:tr>
            <w:tr w14:paraId="5CD31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8" w:type="pct"/>
                  <w:vMerge w:val="continue"/>
                  <w:noWrap w:val="0"/>
                  <w:vAlign w:val="center"/>
                </w:tcPr>
                <w:p w14:paraId="66FE5EAF">
                  <w:pPr>
                    <w:ind w:left="-105" w:leftChars="-50" w:right="-105" w:rightChars="-50"/>
                    <w:jc w:val="center"/>
                    <w:rPr>
                      <w:color w:val="auto"/>
                      <w:szCs w:val="21"/>
                      <w:highlight w:val="none"/>
                    </w:rPr>
                  </w:pPr>
                </w:p>
              </w:tc>
              <w:tc>
                <w:tcPr>
                  <w:tcW w:w="348" w:type="pct"/>
                  <w:noWrap w:val="0"/>
                  <w:vAlign w:val="center"/>
                </w:tcPr>
                <w:p w14:paraId="34851BA0">
                  <w:pPr>
                    <w:ind w:left="-105" w:leftChars="-50" w:right="-105" w:rightChars="-50"/>
                    <w:jc w:val="center"/>
                    <w:rPr>
                      <w:color w:val="auto"/>
                      <w:szCs w:val="21"/>
                      <w:highlight w:val="none"/>
                    </w:rPr>
                  </w:pPr>
                  <w:r>
                    <w:rPr>
                      <w:color w:val="auto"/>
                      <w:szCs w:val="21"/>
                      <w:highlight w:val="none"/>
                    </w:rPr>
                    <w:t>风险防范</w:t>
                  </w:r>
                </w:p>
              </w:tc>
              <w:tc>
                <w:tcPr>
                  <w:tcW w:w="877" w:type="pct"/>
                  <w:noWrap w:val="0"/>
                  <w:vAlign w:val="center"/>
                </w:tcPr>
                <w:p w14:paraId="7B5CCD23">
                  <w:pPr>
                    <w:jc w:val="center"/>
                    <w:rPr>
                      <w:color w:val="auto"/>
                      <w:szCs w:val="21"/>
                      <w:highlight w:val="none"/>
                    </w:rPr>
                  </w:pPr>
                  <w:r>
                    <w:rPr>
                      <w:color w:val="auto"/>
                      <w:szCs w:val="21"/>
                      <w:highlight w:val="none"/>
                    </w:rPr>
                    <w:t>风险风范措施</w:t>
                  </w:r>
                </w:p>
              </w:tc>
              <w:tc>
                <w:tcPr>
                  <w:tcW w:w="3036" w:type="pct"/>
                  <w:noWrap w:val="0"/>
                  <w:vAlign w:val="center"/>
                </w:tcPr>
                <w:p w14:paraId="50601C9A">
                  <w:pPr>
                    <w:jc w:val="left"/>
                    <w:rPr>
                      <w:color w:val="auto"/>
                      <w:szCs w:val="21"/>
                      <w:highlight w:val="none"/>
                    </w:rPr>
                  </w:pPr>
                  <w:r>
                    <w:rPr>
                      <w:color w:val="auto"/>
                      <w:szCs w:val="21"/>
                      <w:highlight w:val="none"/>
                    </w:rPr>
                    <w:t>废润滑油桶放置于防渗托盘中，托盘有效容积应满足单桶物料泄漏的容纳能力，单层码放，禁止多层堆叠，危险废物暂存间做漫坡。</w:t>
                  </w:r>
                </w:p>
              </w:tc>
              <w:tc>
                <w:tcPr>
                  <w:tcW w:w="489" w:type="pct"/>
                  <w:noWrap w:val="0"/>
                  <w:vAlign w:val="center"/>
                </w:tcPr>
                <w:p w14:paraId="29CBE443">
                  <w:pPr>
                    <w:ind w:left="-105" w:leftChars="-50" w:right="-105" w:rightChars="-50"/>
                    <w:jc w:val="center"/>
                    <w:rPr>
                      <w:rFonts w:hint="eastAsia" w:eastAsia="宋体"/>
                      <w:color w:val="auto"/>
                      <w:szCs w:val="21"/>
                      <w:highlight w:val="none"/>
                      <w:lang w:val="en-US" w:eastAsia="zh-CN"/>
                    </w:rPr>
                  </w:pPr>
                  <w:r>
                    <w:rPr>
                      <w:rFonts w:hint="eastAsia"/>
                      <w:color w:val="auto"/>
                      <w:szCs w:val="21"/>
                      <w:highlight w:val="none"/>
                      <w:lang w:val="en-US" w:eastAsia="zh-CN"/>
                    </w:rPr>
                    <w:t>3</w:t>
                  </w:r>
                </w:p>
              </w:tc>
            </w:tr>
            <w:tr w14:paraId="3441F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510" w:type="pct"/>
                  <w:gridSpan w:val="4"/>
                  <w:noWrap w:val="0"/>
                  <w:vAlign w:val="center"/>
                </w:tcPr>
                <w:p w14:paraId="7116A316">
                  <w:pPr>
                    <w:jc w:val="center"/>
                    <w:rPr>
                      <w:color w:val="auto"/>
                      <w:szCs w:val="21"/>
                      <w:highlight w:val="none"/>
                    </w:rPr>
                  </w:pPr>
                  <w:r>
                    <w:rPr>
                      <w:color w:val="auto"/>
                      <w:szCs w:val="21"/>
                      <w:highlight w:val="none"/>
                    </w:rPr>
                    <w:t>合计</w:t>
                  </w:r>
                </w:p>
              </w:tc>
              <w:tc>
                <w:tcPr>
                  <w:tcW w:w="489" w:type="pct"/>
                  <w:noWrap w:val="0"/>
                  <w:vAlign w:val="center"/>
                </w:tcPr>
                <w:p w14:paraId="3102F326">
                  <w:pPr>
                    <w:jc w:val="center"/>
                    <w:rPr>
                      <w:rFonts w:hint="default" w:eastAsia="宋体"/>
                      <w:color w:val="auto"/>
                      <w:szCs w:val="21"/>
                      <w:highlight w:val="none"/>
                      <w:lang w:val="en-US" w:eastAsia="zh-CN"/>
                    </w:rPr>
                  </w:pPr>
                  <w:r>
                    <w:rPr>
                      <w:color w:val="auto"/>
                      <w:szCs w:val="21"/>
                      <w:highlight w:val="none"/>
                    </w:rPr>
                    <w:t>1</w:t>
                  </w:r>
                  <w:r>
                    <w:rPr>
                      <w:rFonts w:hint="eastAsia"/>
                      <w:color w:val="auto"/>
                      <w:szCs w:val="21"/>
                      <w:highlight w:val="none"/>
                      <w:lang w:val="en-US" w:eastAsia="zh-CN"/>
                    </w:rPr>
                    <w:t>35.2</w:t>
                  </w:r>
                </w:p>
              </w:tc>
            </w:tr>
          </w:tbl>
          <w:p w14:paraId="1FBC63FE">
            <w:pPr>
              <w:pStyle w:val="52"/>
              <w:rPr>
                <w:rFonts w:ascii="Times New Roman" w:hAnsi="Times New Roman"/>
                <w:color w:val="auto"/>
                <w:highlight w:val="none"/>
              </w:rPr>
            </w:pPr>
          </w:p>
          <w:p w14:paraId="4B77F2BB">
            <w:pPr>
              <w:pStyle w:val="52"/>
              <w:rPr>
                <w:rFonts w:ascii="Times New Roman" w:hAnsi="Times New Roman"/>
                <w:color w:val="auto"/>
                <w:highlight w:val="none"/>
              </w:rPr>
            </w:pPr>
          </w:p>
          <w:p w14:paraId="04718832">
            <w:pPr>
              <w:pStyle w:val="52"/>
              <w:rPr>
                <w:rFonts w:ascii="Times New Roman" w:hAnsi="Times New Roman"/>
                <w:color w:val="auto"/>
                <w:highlight w:val="none"/>
              </w:rPr>
            </w:pPr>
          </w:p>
          <w:p w14:paraId="0DF2C2C3">
            <w:pPr>
              <w:pStyle w:val="52"/>
              <w:rPr>
                <w:rFonts w:ascii="Times New Roman" w:hAnsi="Times New Roman"/>
                <w:color w:val="auto"/>
                <w:highlight w:val="none"/>
              </w:rPr>
            </w:pPr>
          </w:p>
          <w:p w14:paraId="637838BE">
            <w:pPr>
              <w:pStyle w:val="52"/>
              <w:rPr>
                <w:rFonts w:ascii="Times New Roman" w:hAnsi="Times New Roman"/>
                <w:color w:val="auto"/>
                <w:highlight w:val="none"/>
              </w:rPr>
            </w:pPr>
          </w:p>
          <w:p w14:paraId="722AC6C9">
            <w:pPr>
              <w:pStyle w:val="52"/>
              <w:rPr>
                <w:rFonts w:ascii="Times New Roman" w:hAnsi="Times New Roman"/>
                <w:color w:val="auto"/>
                <w:highlight w:val="none"/>
              </w:rPr>
            </w:pPr>
          </w:p>
          <w:p w14:paraId="4970BB76">
            <w:pPr>
              <w:pStyle w:val="52"/>
              <w:rPr>
                <w:rFonts w:ascii="Times New Roman" w:hAnsi="Times New Roman"/>
                <w:color w:val="auto"/>
                <w:highlight w:val="none"/>
              </w:rPr>
            </w:pPr>
          </w:p>
          <w:p w14:paraId="5EF9DB2D">
            <w:pPr>
              <w:pStyle w:val="52"/>
              <w:rPr>
                <w:rFonts w:ascii="Times New Roman" w:hAnsi="Times New Roman"/>
                <w:color w:val="auto"/>
                <w:highlight w:val="none"/>
              </w:rPr>
            </w:pPr>
          </w:p>
          <w:p w14:paraId="39979B5C">
            <w:pPr>
              <w:pStyle w:val="52"/>
              <w:rPr>
                <w:rFonts w:ascii="Times New Roman" w:hAnsi="Times New Roman"/>
                <w:color w:val="auto"/>
                <w:highlight w:val="none"/>
              </w:rPr>
            </w:pPr>
          </w:p>
          <w:p w14:paraId="21C11A95">
            <w:pPr>
              <w:pStyle w:val="52"/>
              <w:rPr>
                <w:rFonts w:ascii="Times New Roman" w:hAnsi="Times New Roman"/>
                <w:color w:val="auto"/>
                <w:highlight w:val="none"/>
              </w:rPr>
            </w:pPr>
          </w:p>
          <w:p w14:paraId="2E0888DB">
            <w:pPr>
              <w:pStyle w:val="52"/>
              <w:rPr>
                <w:rFonts w:ascii="Times New Roman" w:hAnsi="Times New Roman"/>
                <w:color w:val="auto"/>
                <w:highlight w:val="none"/>
              </w:rPr>
            </w:pPr>
          </w:p>
          <w:p w14:paraId="0F052B67">
            <w:pPr>
              <w:pStyle w:val="52"/>
              <w:rPr>
                <w:rFonts w:ascii="Times New Roman" w:hAnsi="Times New Roman"/>
                <w:color w:val="auto"/>
                <w:highlight w:val="none"/>
              </w:rPr>
            </w:pPr>
          </w:p>
          <w:p w14:paraId="48B09F30">
            <w:pPr>
              <w:pStyle w:val="52"/>
              <w:rPr>
                <w:rFonts w:ascii="Times New Roman" w:hAnsi="Times New Roman"/>
                <w:color w:val="auto"/>
                <w:highlight w:val="none"/>
              </w:rPr>
            </w:pPr>
          </w:p>
          <w:p w14:paraId="1B2302A0">
            <w:pPr>
              <w:pStyle w:val="52"/>
              <w:rPr>
                <w:rFonts w:ascii="Times New Roman" w:hAnsi="Times New Roman"/>
                <w:color w:val="auto"/>
                <w:highlight w:val="none"/>
              </w:rPr>
            </w:pPr>
          </w:p>
          <w:p w14:paraId="5A359F76">
            <w:pPr>
              <w:pStyle w:val="52"/>
              <w:rPr>
                <w:rFonts w:ascii="Times New Roman" w:hAnsi="Times New Roman"/>
                <w:color w:val="auto"/>
                <w:highlight w:val="none"/>
              </w:rPr>
            </w:pPr>
          </w:p>
          <w:p w14:paraId="4EE20C3A">
            <w:pPr>
              <w:pStyle w:val="52"/>
              <w:rPr>
                <w:rFonts w:ascii="Times New Roman" w:hAnsi="Times New Roman"/>
                <w:color w:val="auto"/>
                <w:highlight w:val="none"/>
              </w:rPr>
            </w:pPr>
          </w:p>
          <w:p w14:paraId="56A78C7D">
            <w:pPr>
              <w:pStyle w:val="52"/>
              <w:rPr>
                <w:rFonts w:ascii="Times New Roman" w:hAnsi="Times New Roman"/>
                <w:color w:val="auto"/>
                <w:highlight w:val="none"/>
              </w:rPr>
            </w:pPr>
          </w:p>
          <w:p w14:paraId="5CC98F8D">
            <w:pPr>
              <w:pStyle w:val="52"/>
              <w:rPr>
                <w:rFonts w:ascii="Times New Roman" w:hAnsi="Times New Roman"/>
                <w:color w:val="auto"/>
                <w:highlight w:val="none"/>
              </w:rPr>
            </w:pPr>
          </w:p>
          <w:p w14:paraId="28A64C57">
            <w:pPr>
              <w:pStyle w:val="52"/>
              <w:rPr>
                <w:rFonts w:ascii="Times New Roman" w:hAnsi="Times New Roman"/>
                <w:color w:val="auto"/>
                <w:highlight w:val="none"/>
              </w:rPr>
            </w:pPr>
          </w:p>
          <w:p w14:paraId="60CF2446">
            <w:pPr>
              <w:pStyle w:val="52"/>
              <w:rPr>
                <w:rFonts w:ascii="Times New Roman" w:hAnsi="Times New Roman"/>
                <w:color w:val="auto"/>
                <w:highlight w:val="none"/>
              </w:rPr>
            </w:pPr>
          </w:p>
          <w:p w14:paraId="71D93DA7">
            <w:pPr>
              <w:pStyle w:val="52"/>
              <w:rPr>
                <w:rFonts w:ascii="Times New Roman" w:hAnsi="Times New Roman"/>
                <w:color w:val="auto"/>
                <w:highlight w:val="none"/>
              </w:rPr>
            </w:pPr>
          </w:p>
          <w:p w14:paraId="476F236C">
            <w:pPr>
              <w:pStyle w:val="52"/>
              <w:rPr>
                <w:rFonts w:ascii="Times New Roman" w:hAnsi="Times New Roman"/>
                <w:color w:val="auto"/>
                <w:highlight w:val="none"/>
              </w:rPr>
            </w:pPr>
          </w:p>
          <w:p w14:paraId="29FB8422">
            <w:pPr>
              <w:pStyle w:val="52"/>
              <w:rPr>
                <w:rFonts w:ascii="Times New Roman" w:hAnsi="Times New Roman"/>
                <w:color w:val="auto"/>
                <w:highlight w:val="none"/>
              </w:rPr>
            </w:pPr>
          </w:p>
          <w:p w14:paraId="4788173F">
            <w:pPr>
              <w:pStyle w:val="52"/>
              <w:rPr>
                <w:rFonts w:ascii="Times New Roman" w:hAnsi="Times New Roman"/>
                <w:color w:val="auto"/>
                <w:highlight w:val="none"/>
              </w:rPr>
            </w:pPr>
          </w:p>
          <w:p w14:paraId="39656448">
            <w:pPr>
              <w:pStyle w:val="52"/>
              <w:rPr>
                <w:rFonts w:ascii="Times New Roman" w:hAnsi="Times New Roman"/>
                <w:color w:val="auto"/>
                <w:highlight w:val="none"/>
              </w:rPr>
            </w:pPr>
          </w:p>
          <w:p w14:paraId="056A0C7E">
            <w:pPr>
              <w:pStyle w:val="52"/>
              <w:rPr>
                <w:rFonts w:ascii="Times New Roman" w:hAnsi="Times New Roman"/>
                <w:color w:val="auto"/>
                <w:highlight w:val="none"/>
              </w:rPr>
            </w:pPr>
          </w:p>
          <w:p w14:paraId="2F9747F6">
            <w:pPr>
              <w:pStyle w:val="52"/>
              <w:rPr>
                <w:rFonts w:ascii="Times New Roman" w:hAnsi="Times New Roman"/>
                <w:color w:val="auto"/>
                <w:highlight w:val="none"/>
              </w:rPr>
            </w:pPr>
          </w:p>
          <w:p w14:paraId="143A1A93">
            <w:pPr>
              <w:pStyle w:val="52"/>
              <w:rPr>
                <w:rFonts w:ascii="Times New Roman" w:hAnsi="Times New Roman"/>
                <w:color w:val="auto"/>
                <w:highlight w:val="none"/>
              </w:rPr>
            </w:pPr>
          </w:p>
          <w:p w14:paraId="5D3057D9">
            <w:pPr>
              <w:pStyle w:val="52"/>
              <w:rPr>
                <w:rFonts w:ascii="Times New Roman" w:hAnsi="Times New Roman"/>
                <w:color w:val="auto"/>
                <w:highlight w:val="none"/>
              </w:rPr>
            </w:pPr>
          </w:p>
          <w:p w14:paraId="6A8F0900">
            <w:pPr>
              <w:pStyle w:val="52"/>
              <w:rPr>
                <w:rFonts w:ascii="Times New Roman" w:hAnsi="Times New Roman"/>
                <w:color w:val="auto"/>
                <w:highlight w:val="none"/>
              </w:rPr>
            </w:pPr>
          </w:p>
          <w:p w14:paraId="42D218B7">
            <w:pPr>
              <w:pStyle w:val="52"/>
              <w:rPr>
                <w:rFonts w:ascii="Times New Roman" w:hAnsi="Times New Roman"/>
                <w:color w:val="auto"/>
                <w:highlight w:val="none"/>
              </w:rPr>
            </w:pPr>
          </w:p>
          <w:p w14:paraId="3B288164">
            <w:pPr>
              <w:pStyle w:val="52"/>
              <w:rPr>
                <w:rFonts w:ascii="Times New Roman" w:hAnsi="Times New Roman"/>
                <w:color w:val="auto"/>
                <w:highlight w:val="none"/>
              </w:rPr>
            </w:pPr>
          </w:p>
          <w:p w14:paraId="6AD6835E">
            <w:pPr>
              <w:pStyle w:val="52"/>
              <w:rPr>
                <w:rFonts w:ascii="Times New Roman" w:hAnsi="Times New Roman"/>
                <w:color w:val="auto"/>
                <w:highlight w:val="none"/>
              </w:rPr>
            </w:pPr>
          </w:p>
          <w:p w14:paraId="6F629FA6">
            <w:pPr>
              <w:pStyle w:val="52"/>
              <w:rPr>
                <w:rFonts w:ascii="Times New Roman" w:hAnsi="Times New Roman"/>
                <w:color w:val="auto"/>
                <w:highlight w:val="none"/>
              </w:rPr>
            </w:pPr>
          </w:p>
          <w:p w14:paraId="1C9746B2">
            <w:pPr>
              <w:pStyle w:val="52"/>
              <w:rPr>
                <w:rFonts w:ascii="Times New Roman" w:hAnsi="Times New Roman"/>
                <w:color w:val="auto"/>
                <w:highlight w:val="none"/>
              </w:rPr>
            </w:pPr>
          </w:p>
          <w:p w14:paraId="46254765">
            <w:pPr>
              <w:pStyle w:val="52"/>
              <w:rPr>
                <w:rFonts w:ascii="Times New Roman" w:hAnsi="Times New Roman"/>
                <w:color w:val="auto"/>
                <w:highlight w:val="none"/>
              </w:rPr>
            </w:pPr>
          </w:p>
          <w:p w14:paraId="5FD19602">
            <w:pPr>
              <w:pStyle w:val="52"/>
              <w:rPr>
                <w:rFonts w:ascii="Times New Roman" w:hAnsi="Times New Roman"/>
                <w:color w:val="auto"/>
                <w:highlight w:val="none"/>
              </w:rPr>
            </w:pPr>
          </w:p>
          <w:p w14:paraId="278DA119">
            <w:pPr>
              <w:pStyle w:val="52"/>
              <w:rPr>
                <w:rFonts w:ascii="Times New Roman" w:hAnsi="Times New Roman"/>
                <w:color w:val="auto"/>
                <w:highlight w:val="none"/>
              </w:rPr>
            </w:pPr>
          </w:p>
          <w:p w14:paraId="2C5626AB">
            <w:pPr>
              <w:pStyle w:val="52"/>
              <w:rPr>
                <w:rFonts w:ascii="Times New Roman" w:hAnsi="Times New Roman"/>
                <w:color w:val="auto"/>
                <w:highlight w:val="none"/>
              </w:rPr>
            </w:pPr>
          </w:p>
          <w:p w14:paraId="750B09A6">
            <w:pPr>
              <w:pStyle w:val="52"/>
              <w:rPr>
                <w:rFonts w:ascii="Times New Roman" w:hAnsi="Times New Roman"/>
                <w:color w:val="auto"/>
                <w:highlight w:val="none"/>
              </w:rPr>
            </w:pPr>
          </w:p>
          <w:p w14:paraId="19149735">
            <w:pPr>
              <w:pStyle w:val="52"/>
              <w:rPr>
                <w:rFonts w:ascii="Times New Roman" w:hAnsi="Times New Roman"/>
                <w:color w:val="auto"/>
                <w:highlight w:val="none"/>
              </w:rPr>
            </w:pPr>
          </w:p>
          <w:p w14:paraId="347C752D">
            <w:pPr>
              <w:pStyle w:val="52"/>
              <w:rPr>
                <w:rFonts w:ascii="Times New Roman" w:hAnsi="Times New Roman"/>
                <w:color w:val="auto"/>
                <w:highlight w:val="none"/>
              </w:rPr>
            </w:pPr>
          </w:p>
          <w:p w14:paraId="5DBCCCB5">
            <w:pPr>
              <w:pStyle w:val="52"/>
              <w:rPr>
                <w:rFonts w:ascii="Times New Roman" w:hAnsi="Times New Roman"/>
                <w:color w:val="auto"/>
                <w:highlight w:val="none"/>
              </w:rPr>
            </w:pPr>
          </w:p>
          <w:p w14:paraId="5B5FBF4D">
            <w:pPr>
              <w:pStyle w:val="52"/>
              <w:rPr>
                <w:rFonts w:ascii="Times New Roman" w:hAnsi="Times New Roman"/>
                <w:color w:val="auto"/>
                <w:highlight w:val="none"/>
              </w:rPr>
            </w:pPr>
          </w:p>
        </w:tc>
      </w:tr>
    </w:tbl>
    <w:p w14:paraId="55D194E0">
      <w:pPr>
        <w:rPr>
          <w:color w:val="auto"/>
          <w:highlight w:val="none"/>
        </w:rPr>
        <w:sectPr>
          <w:pgSz w:w="11907" w:h="16840"/>
          <w:pgMar w:top="1440" w:right="1797" w:bottom="1440" w:left="1797" w:header="851" w:footer="1077" w:gutter="0"/>
          <w:pgBorders>
            <w:top w:val="none" w:sz="0" w:space="0"/>
            <w:left w:val="none" w:sz="0" w:space="0"/>
            <w:bottom w:val="none" w:sz="0" w:space="0"/>
            <w:right w:val="none" w:sz="0" w:space="0"/>
          </w:pgBorders>
          <w:pgNumType w:fmt="decimal"/>
          <w:cols w:space="720" w:num="1"/>
          <w:docGrid w:linePitch="312" w:charSpace="0"/>
        </w:sectPr>
      </w:pPr>
    </w:p>
    <w:p w14:paraId="3B2C9AA4">
      <w:pPr>
        <w:pStyle w:val="26"/>
        <w:spacing w:before="0" w:beforeAutospacing="0" w:after="0" w:afterAutospacing="0"/>
        <w:jc w:val="center"/>
        <w:outlineLvl w:val="0"/>
        <w:rPr>
          <w:rFonts w:ascii="Times New Roman" w:hAnsi="Times New Roman" w:eastAsia="黑体"/>
          <w:snapToGrid w:val="0"/>
          <w:color w:val="auto"/>
          <w:sz w:val="30"/>
          <w:szCs w:val="30"/>
          <w:highlight w:val="none"/>
        </w:rPr>
      </w:pPr>
      <w:r>
        <w:rPr>
          <w:rFonts w:ascii="Times New Roman" w:hAnsi="Times New Roman" w:eastAsia="黑体"/>
          <w:snapToGrid w:val="0"/>
          <w:color w:val="auto"/>
          <w:sz w:val="30"/>
          <w:szCs w:val="30"/>
          <w:highlight w:val="none"/>
        </w:rPr>
        <w:t>六、生态环境保护措施监督检查清单</w:t>
      </w:r>
    </w:p>
    <w:tbl>
      <w:tblPr>
        <w:tblStyle w:val="29"/>
        <w:tblW w:w="54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4499"/>
        <w:gridCol w:w="3104"/>
        <w:gridCol w:w="532"/>
        <w:gridCol w:w="516"/>
      </w:tblGrid>
      <w:tr w14:paraId="79C217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4" w:type="pct"/>
            <w:vMerge w:val="restart"/>
            <w:tcBorders>
              <w:tl2br w:val="single" w:color="auto" w:sz="4" w:space="0"/>
            </w:tcBorders>
            <w:noWrap w:val="0"/>
            <w:vAlign w:val="top"/>
          </w:tcPr>
          <w:p w14:paraId="45E2C275">
            <w:pPr>
              <w:spacing w:line="240" w:lineRule="atLeast"/>
              <w:jc w:val="right"/>
              <w:rPr>
                <w:color w:val="auto"/>
                <w:sz w:val="24"/>
                <w:highlight w:val="none"/>
              </w:rPr>
            </w:pPr>
            <w:r>
              <w:rPr>
                <w:color w:val="auto"/>
                <w:sz w:val="24"/>
                <w:highlight w:val="none"/>
              </w:rPr>
              <w:t>内容</w:t>
            </w:r>
          </w:p>
          <w:p w14:paraId="55027AE1">
            <w:pPr>
              <w:spacing w:line="240" w:lineRule="atLeast"/>
              <w:rPr>
                <w:color w:val="auto"/>
                <w:sz w:val="24"/>
                <w:highlight w:val="none"/>
              </w:rPr>
            </w:pPr>
          </w:p>
          <w:p w14:paraId="65861723">
            <w:pPr>
              <w:spacing w:line="240" w:lineRule="atLeast"/>
              <w:rPr>
                <w:color w:val="auto"/>
                <w:sz w:val="24"/>
                <w:highlight w:val="none"/>
              </w:rPr>
            </w:pPr>
          </w:p>
          <w:p w14:paraId="4603EF00">
            <w:pPr>
              <w:spacing w:line="240" w:lineRule="atLeast"/>
              <w:rPr>
                <w:color w:val="auto"/>
                <w:sz w:val="24"/>
                <w:highlight w:val="none"/>
              </w:rPr>
            </w:pPr>
          </w:p>
          <w:p w14:paraId="55E10EB6">
            <w:pPr>
              <w:spacing w:line="240" w:lineRule="atLeast"/>
              <w:rPr>
                <w:color w:val="auto"/>
                <w:sz w:val="24"/>
                <w:highlight w:val="none"/>
              </w:rPr>
            </w:pPr>
            <w:r>
              <w:rPr>
                <w:color w:val="auto"/>
                <w:sz w:val="24"/>
                <w:highlight w:val="none"/>
              </w:rPr>
              <w:t>要素</w:t>
            </w:r>
          </w:p>
        </w:tc>
        <w:tc>
          <w:tcPr>
            <w:tcW w:w="4056" w:type="pct"/>
            <w:gridSpan w:val="2"/>
            <w:noWrap w:val="0"/>
            <w:vAlign w:val="center"/>
          </w:tcPr>
          <w:p w14:paraId="6587B216">
            <w:pPr>
              <w:spacing w:line="240" w:lineRule="atLeast"/>
              <w:jc w:val="center"/>
              <w:rPr>
                <w:color w:val="auto"/>
                <w:sz w:val="24"/>
                <w:highlight w:val="none"/>
              </w:rPr>
            </w:pPr>
            <w:r>
              <w:rPr>
                <w:color w:val="auto"/>
                <w:sz w:val="24"/>
                <w:highlight w:val="none"/>
              </w:rPr>
              <w:t>施工期</w:t>
            </w:r>
          </w:p>
        </w:tc>
        <w:tc>
          <w:tcPr>
            <w:tcW w:w="0" w:type="auto"/>
            <w:gridSpan w:val="2"/>
            <w:noWrap w:val="0"/>
            <w:vAlign w:val="center"/>
          </w:tcPr>
          <w:p w14:paraId="26D855C6">
            <w:pPr>
              <w:spacing w:line="240" w:lineRule="atLeast"/>
              <w:jc w:val="center"/>
              <w:rPr>
                <w:color w:val="auto"/>
                <w:sz w:val="24"/>
                <w:highlight w:val="none"/>
              </w:rPr>
            </w:pPr>
            <w:r>
              <w:rPr>
                <w:color w:val="auto"/>
                <w:sz w:val="24"/>
                <w:highlight w:val="none"/>
              </w:rPr>
              <w:t>运营期</w:t>
            </w:r>
          </w:p>
        </w:tc>
      </w:tr>
      <w:tr w14:paraId="0910FD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4" w:type="pct"/>
            <w:vMerge w:val="continue"/>
            <w:noWrap w:val="0"/>
            <w:vAlign w:val="top"/>
          </w:tcPr>
          <w:p w14:paraId="155A48F0">
            <w:pPr>
              <w:spacing w:line="240" w:lineRule="atLeast"/>
              <w:jc w:val="center"/>
              <w:rPr>
                <w:color w:val="auto"/>
                <w:sz w:val="24"/>
                <w:highlight w:val="none"/>
              </w:rPr>
            </w:pPr>
          </w:p>
        </w:tc>
        <w:tc>
          <w:tcPr>
            <w:tcW w:w="2400" w:type="pct"/>
            <w:noWrap w:val="0"/>
            <w:vAlign w:val="center"/>
          </w:tcPr>
          <w:p w14:paraId="781C5022">
            <w:pPr>
              <w:spacing w:line="240" w:lineRule="atLeast"/>
              <w:jc w:val="center"/>
              <w:rPr>
                <w:color w:val="auto"/>
                <w:sz w:val="24"/>
                <w:highlight w:val="none"/>
              </w:rPr>
            </w:pPr>
            <w:r>
              <w:rPr>
                <w:color w:val="auto"/>
                <w:sz w:val="24"/>
                <w:highlight w:val="none"/>
              </w:rPr>
              <w:t>环境保护措施</w:t>
            </w:r>
          </w:p>
        </w:tc>
        <w:tc>
          <w:tcPr>
            <w:tcW w:w="1655" w:type="pct"/>
            <w:noWrap w:val="0"/>
            <w:vAlign w:val="center"/>
          </w:tcPr>
          <w:p w14:paraId="374ED9CA">
            <w:pPr>
              <w:spacing w:line="240" w:lineRule="atLeast"/>
              <w:jc w:val="center"/>
              <w:rPr>
                <w:color w:val="auto"/>
                <w:sz w:val="24"/>
                <w:highlight w:val="none"/>
              </w:rPr>
            </w:pPr>
            <w:r>
              <w:rPr>
                <w:color w:val="auto"/>
                <w:sz w:val="24"/>
                <w:highlight w:val="none"/>
              </w:rPr>
              <w:t>验收要求</w:t>
            </w:r>
          </w:p>
        </w:tc>
        <w:tc>
          <w:tcPr>
            <w:tcW w:w="0" w:type="auto"/>
            <w:noWrap w:val="0"/>
            <w:vAlign w:val="center"/>
          </w:tcPr>
          <w:p w14:paraId="275E944F">
            <w:pPr>
              <w:spacing w:line="240" w:lineRule="atLeast"/>
              <w:jc w:val="center"/>
              <w:rPr>
                <w:color w:val="auto"/>
                <w:sz w:val="24"/>
                <w:highlight w:val="none"/>
              </w:rPr>
            </w:pPr>
            <w:r>
              <w:rPr>
                <w:color w:val="auto"/>
                <w:sz w:val="24"/>
                <w:highlight w:val="none"/>
              </w:rPr>
              <w:t>环境保护措施</w:t>
            </w:r>
          </w:p>
        </w:tc>
        <w:tc>
          <w:tcPr>
            <w:tcW w:w="0" w:type="auto"/>
            <w:noWrap w:val="0"/>
            <w:vAlign w:val="center"/>
          </w:tcPr>
          <w:p w14:paraId="08DED5CB">
            <w:pPr>
              <w:spacing w:line="240" w:lineRule="atLeast"/>
              <w:jc w:val="center"/>
              <w:rPr>
                <w:color w:val="auto"/>
                <w:sz w:val="24"/>
                <w:highlight w:val="none"/>
              </w:rPr>
            </w:pPr>
            <w:r>
              <w:rPr>
                <w:color w:val="auto"/>
                <w:sz w:val="24"/>
                <w:highlight w:val="none"/>
              </w:rPr>
              <w:t>验收要求</w:t>
            </w:r>
          </w:p>
        </w:tc>
      </w:tr>
      <w:tr w14:paraId="70DC0A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4" w:type="pct"/>
            <w:noWrap w:val="0"/>
            <w:vAlign w:val="center"/>
          </w:tcPr>
          <w:p w14:paraId="4222A2E6">
            <w:pPr>
              <w:spacing w:line="240" w:lineRule="atLeast"/>
              <w:jc w:val="center"/>
              <w:rPr>
                <w:color w:val="auto"/>
                <w:sz w:val="24"/>
                <w:highlight w:val="none"/>
              </w:rPr>
            </w:pPr>
            <w:r>
              <w:rPr>
                <w:color w:val="auto"/>
                <w:sz w:val="24"/>
                <w:highlight w:val="none"/>
              </w:rPr>
              <w:t>陆生生态</w:t>
            </w:r>
          </w:p>
        </w:tc>
        <w:tc>
          <w:tcPr>
            <w:tcW w:w="2400" w:type="pct"/>
            <w:noWrap w:val="0"/>
            <w:vAlign w:val="center"/>
          </w:tcPr>
          <w:p w14:paraId="64A627ED">
            <w:pPr>
              <w:spacing w:line="240" w:lineRule="atLeast"/>
              <w:rPr>
                <w:color w:val="auto"/>
                <w:sz w:val="24"/>
                <w:highlight w:val="none"/>
              </w:rPr>
            </w:pPr>
            <w:r>
              <w:rPr>
                <w:color w:val="auto"/>
                <w:sz w:val="24"/>
                <w:highlight w:val="none"/>
              </w:rPr>
              <w:t>雨季临时水土保持措施做好挖填土方的合理调配工作，避免在降雨期间挖填土方，以防雨水冲刷造成水土流失、污染水体；施工前需进行表土剥离工作，将表土放在专门的表土堆放区，表土堆放区应设置截、排水沟、苫盖等措施。</w:t>
            </w:r>
          </w:p>
        </w:tc>
        <w:tc>
          <w:tcPr>
            <w:tcW w:w="1655" w:type="pct"/>
            <w:noWrap w:val="0"/>
            <w:vAlign w:val="center"/>
          </w:tcPr>
          <w:p w14:paraId="00381438">
            <w:pPr>
              <w:spacing w:line="240" w:lineRule="atLeast"/>
              <w:rPr>
                <w:color w:val="auto"/>
                <w:sz w:val="24"/>
                <w:highlight w:val="none"/>
              </w:rPr>
            </w:pPr>
            <w:r>
              <w:rPr>
                <w:color w:val="auto"/>
                <w:sz w:val="24"/>
                <w:highlight w:val="none"/>
              </w:rPr>
              <w:t>将挖方土堆放至项目区指定堆场堆放，待施工结束后全部回填，不存在弃土。施工结束后按照复垦方案对临时占地进行恢复，剥离的表土回填，恢复原有生态环境功能，项目区内恢复耕地和农村耕地面积为</w:t>
            </w:r>
            <w:r>
              <w:rPr>
                <w:rFonts w:hint="eastAsia"/>
                <w:color w:val="auto"/>
                <w:sz w:val="24"/>
                <w:highlight w:val="none"/>
                <w:lang w:val="en-US" w:eastAsia="zh-CN"/>
              </w:rPr>
              <w:t xml:space="preserve">     1531m</w:t>
            </w:r>
            <w:r>
              <w:rPr>
                <w:rFonts w:hint="eastAsia"/>
                <w:color w:val="auto"/>
                <w:sz w:val="24"/>
                <w:highlight w:val="none"/>
                <w:vertAlign w:val="superscript"/>
                <w:lang w:val="en-US" w:eastAsia="zh-CN"/>
              </w:rPr>
              <w:t>2</w:t>
            </w:r>
            <w:r>
              <w:rPr>
                <w:rFonts w:hint="eastAsia"/>
                <w:color w:val="auto"/>
                <w:sz w:val="24"/>
                <w:highlight w:val="none"/>
                <w:lang w:eastAsia="zh-CN"/>
              </w:rPr>
              <w:t>，</w:t>
            </w:r>
            <w:r>
              <w:rPr>
                <w:rFonts w:hint="eastAsia"/>
                <w:color w:val="auto"/>
                <w:sz w:val="24"/>
                <w:highlight w:val="none"/>
                <w:lang w:val="en-US" w:eastAsia="zh-CN"/>
              </w:rPr>
              <w:t>建设用地面积为7848m</w:t>
            </w:r>
            <w:r>
              <w:rPr>
                <w:rFonts w:hint="eastAsia"/>
                <w:color w:val="auto"/>
                <w:sz w:val="24"/>
                <w:highlight w:val="none"/>
                <w:vertAlign w:val="superscript"/>
                <w:lang w:val="en-US" w:eastAsia="zh-CN"/>
              </w:rPr>
              <w:t>2</w:t>
            </w:r>
            <w:r>
              <w:rPr>
                <w:color w:val="auto"/>
                <w:sz w:val="24"/>
                <w:highlight w:val="none"/>
              </w:rPr>
              <w:t>。</w:t>
            </w:r>
          </w:p>
        </w:tc>
        <w:tc>
          <w:tcPr>
            <w:tcW w:w="0" w:type="auto"/>
            <w:noWrap w:val="0"/>
            <w:vAlign w:val="center"/>
          </w:tcPr>
          <w:p w14:paraId="2FC1FC3C">
            <w:pPr>
              <w:spacing w:line="240" w:lineRule="atLeast"/>
              <w:jc w:val="center"/>
              <w:rPr>
                <w:color w:val="auto"/>
                <w:sz w:val="24"/>
                <w:highlight w:val="none"/>
              </w:rPr>
            </w:pPr>
            <w:r>
              <w:rPr>
                <w:color w:val="auto"/>
                <w:sz w:val="24"/>
                <w:highlight w:val="none"/>
              </w:rPr>
              <w:t>/</w:t>
            </w:r>
          </w:p>
        </w:tc>
        <w:tc>
          <w:tcPr>
            <w:tcW w:w="0" w:type="auto"/>
            <w:noWrap w:val="0"/>
            <w:vAlign w:val="center"/>
          </w:tcPr>
          <w:p w14:paraId="2A7BA75A">
            <w:pPr>
              <w:spacing w:line="240" w:lineRule="atLeast"/>
              <w:jc w:val="center"/>
              <w:rPr>
                <w:color w:val="auto"/>
                <w:sz w:val="24"/>
                <w:highlight w:val="none"/>
              </w:rPr>
            </w:pPr>
            <w:r>
              <w:rPr>
                <w:color w:val="auto"/>
                <w:sz w:val="24"/>
                <w:highlight w:val="none"/>
              </w:rPr>
              <w:t>/</w:t>
            </w:r>
          </w:p>
        </w:tc>
      </w:tr>
      <w:tr w14:paraId="13DE9C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4" w:type="pct"/>
            <w:noWrap w:val="0"/>
            <w:vAlign w:val="center"/>
          </w:tcPr>
          <w:p w14:paraId="2C60475F">
            <w:pPr>
              <w:spacing w:line="240" w:lineRule="atLeast"/>
              <w:jc w:val="center"/>
              <w:rPr>
                <w:color w:val="auto"/>
                <w:sz w:val="24"/>
                <w:highlight w:val="none"/>
              </w:rPr>
            </w:pPr>
            <w:r>
              <w:rPr>
                <w:color w:val="auto"/>
                <w:sz w:val="24"/>
                <w:highlight w:val="none"/>
              </w:rPr>
              <w:t>水生生态</w:t>
            </w:r>
          </w:p>
        </w:tc>
        <w:tc>
          <w:tcPr>
            <w:tcW w:w="2400" w:type="pct"/>
            <w:noWrap w:val="0"/>
            <w:vAlign w:val="center"/>
          </w:tcPr>
          <w:p w14:paraId="73B67792">
            <w:pPr>
              <w:spacing w:line="240" w:lineRule="atLeast"/>
              <w:jc w:val="center"/>
              <w:rPr>
                <w:color w:val="auto"/>
                <w:sz w:val="24"/>
                <w:highlight w:val="none"/>
              </w:rPr>
            </w:pPr>
            <w:r>
              <w:rPr>
                <w:color w:val="auto"/>
                <w:sz w:val="24"/>
                <w:highlight w:val="none"/>
              </w:rPr>
              <w:t>/</w:t>
            </w:r>
          </w:p>
        </w:tc>
        <w:tc>
          <w:tcPr>
            <w:tcW w:w="1655" w:type="pct"/>
            <w:noWrap w:val="0"/>
            <w:vAlign w:val="center"/>
          </w:tcPr>
          <w:p w14:paraId="338F771F">
            <w:pPr>
              <w:spacing w:line="240" w:lineRule="atLeast"/>
              <w:jc w:val="center"/>
              <w:rPr>
                <w:color w:val="auto"/>
                <w:sz w:val="24"/>
                <w:highlight w:val="none"/>
              </w:rPr>
            </w:pPr>
            <w:r>
              <w:rPr>
                <w:color w:val="auto"/>
                <w:sz w:val="24"/>
                <w:highlight w:val="none"/>
              </w:rPr>
              <w:t>/</w:t>
            </w:r>
          </w:p>
        </w:tc>
        <w:tc>
          <w:tcPr>
            <w:tcW w:w="0" w:type="auto"/>
            <w:noWrap w:val="0"/>
            <w:vAlign w:val="center"/>
          </w:tcPr>
          <w:p w14:paraId="1884B4D1">
            <w:pPr>
              <w:spacing w:line="240" w:lineRule="atLeast"/>
              <w:jc w:val="center"/>
              <w:rPr>
                <w:color w:val="auto"/>
                <w:sz w:val="24"/>
                <w:highlight w:val="none"/>
              </w:rPr>
            </w:pPr>
            <w:r>
              <w:rPr>
                <w:color w:val="auto"/>
                <w:sz w:val="24"/>
                <w:highlight w:val="none"/>
              </w:rPr>
              <w:t>/</w:t>
            </w:r>
          </w:p>
        </w:tc>
        <w:tc>
          <w:tcPr>
            <w:tcW w:w="0" w:type="auto"/>
            <w:noWrap w:val="0"/>
            <w:vAlign w:val="center"/>
          </w:tcPr>
          <w:p w14:paraId="464469BE">
            <w:pPr>
              <w:spacing w:line="240" w:lineRule="atLeast"/>
              <w:jc w:val="center"/>
              <w:rPr>
                <w:color w:val="auto"/>
                <w:sz w:val="24"/>
                <w:highlight w:val="none"/>
              </w:rPr>
            </w:pPr>
            <w:r>
              <w:rPr>
                <w:color w:val="auto"/>
                <w:sz w:val="24"/>
                <w:highlight w:val="none"/>
              </w:rPr>
              <w:t>/</w:t>
            </w:r>
          </w:p>
        </w:tc>
      </w:tr>
      <w:tr w14:paraId="594C89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4" w:type="pct"/>
            <w:noWrap w:val="0"/>
            <w:vAlign w:val="center"/>
          </w:tcPr>
          <w:p w14:paraId="2DABC4F8">
            <w:pPr>
              <w:spacing w:line="240" w:lineRule="atLeast"/>
              <w:jc w:val="center"/>
              <w:rPr>
                <w:color w:val="auto"/>
                <w:sz w:val="24"/>
                <w:highlight w:val="none"/>
              </w:rPr>
            </w:pPr>
            <w:r>
              <w:rPr>
                <w:color w:val="auto"/>
                <w:sz w:val="24"/>
                <w:highlight w:val="none"/>
              </w:rPr>
              <w:t>地表水环境</w:t>
            </w:r>
          </w:p>
        </w:tc>
        <w:tc>
          <w:tcPr>
            <w:tcW w:w="2400" w:type="pct"/>
            <w:noWrap w:val="0"/>
            <w:vAlign w:val="center"/>
          </w:tcPr>
          <w:p w14:paraId="7EC707C4">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项目无钻井废水外排，生活污水经化粪池预处理后定期委托第三方使用吸污车运送至</w:t>
            </w:r>
            <w:r>
              <w:rPr>
                <w:rFonts w:hint="eastAsia" w:cs="Times New Roman"/>
                <w:color w:val="auto"/>
                <w:sz w:val="24"/>
                <w:highlight w:val="none"/>
                <w:lang w:val="en-US" w:eastAsia="zh-CN"/>
              </w:rPr>
              <w:t>新集一</w:t>
            </w:r>
            <w:r>
              <w:rPr>
                <w:rFonts w:hint="default" w:ascii="Times New Roman" w:hAnsi="Times New Roman" w:cs="Times New Roman"/>
                <w:color w:val="auto"/>
                <w:sz w:val="24"/>
                <w:highlight w:val="none"/>
              </w:rPr>
              <w:t>矿现有生活污水处理站进行处理。</w:t>
            </w:r>
          </w:p>
          <w:p w14:paraId="58BFC2AC">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车辆冲洗废水经沉淀池处理后循环利用，不外排。</w:t>
            </w:r>
          </w:p>
          <w:p w14:paraId="5029998D">
            <w:pPr>
              <w:spacing w:line="240" w:lineRule="atLeast"/>
              <w:rPr>
                <w:color w:val="auto"/>
                <w:sz w:val="24"/>
                <w:highlight w:val="none"/>
              </w:rPr>
            </w:pPr>
            <w:r>
              <w:rPr>
                <w:rFonts w:hint="default" w:ascii="Times New Roman" w:hAnsi="Times New Roman" w:cs="Times New Roman"/>
                <w:color w:val="auto"/>
                <w:sz w:val="24"/>
                <w:highlight w:val="none"/>
              </w:rPr>
              <w:t>钻井期生产废水不外排，不会对周边地表水体产生影响。钻探废水经沉淀后回用于钻探用水。施工尽量避开雨季施工，雨天做好遮盖工作，减少冲刷雨水的产生量。</w:t>
            </w:r>
          </w:p>
        </w:tc>
        <w:tc>
          <w:tcPr>
            <w:tcW w:w="1655" w:type="pct"/>
            <w:noWrap w:val="0"/>
            <w:vAlign w:val="center"/>
          </w:tcPr>
          <w:p w14:paraId="49A46E54">
            <w:pPr>
              <w:spacing w:line="240" w:lineRule="atLeast"/>
              <w:jc w:val="left"/>
              <w:rPr>
                <w:color w:val="auto"/>
                <w:sz w:val="24"/>
                <w:highlight w:val="none"/>
              </w:rPr>
            </w:pPr>
            <w:r>
              <w:rPr>
                <w:color w:val="auto"/>
                <w:sz w:val="24"/>
                <w:highlight w:val="none"/>
              </w:rPr>
              <w:t>施工废水、施工生活污水禁止外排至地表水环境。</w:t>
            </w:r>
          </w:p>
        </w:tc>
        <w:tc>
          <w:tcPr>
            <w:tcW w:w="0" w:type="auto"/>
            <w:noWrap w:val="0"/>
            <w:vAlign w:val="center"/>
          </w:tcPr>
          <w:p w14:paraId="052B0308">
            <w:pPr>
              <w:spacing w:line="240" w:lineRule="atLeast"/>
              <w:jc w:val="center"/>
              <w:rPr>
                <w:color w:val="auto"/>
                <w:sz w:val="24"/>
                <w:highlight w:val="none"/>
              </w:rPr>
            </w:pPr>
            <w:r>
              <w:rPr>
                <w:color w:val="auto"/>
                <w:sz w:val="24"/>
                <w:highlight w:val="none"/>
              </w:rPr>
              <w:t>/</w:t>
            </w:r>
          </w:p>
        </w:tc>
        <w:tc>
          <w:tcPr>
            <w:tcW w:w="0" w:type="auto"/>
            <w:noWrap w:val="0"/>
            <w:vAlign w:val="center"/>
          </w:tcPr>
          <w:p w14:paraId="7A5D6851">
            <w:pPr>
              <w:spacing w:line="240" w:lineRule="atLeast"/>
              <w:jc w:val="center"/>
              <w:rPr>
                <w:color w:val="auto"/>
                <w:sz w:val="24"/>
                <w:highlight w:val="none"/>
              </w:rPr>
            </w:pPr>
            <w:r>
              <w:rPr>
                <w:color w:val="auto"/>
                <w:sz w:val="24"/>
                <w:highlight w:val="none"/>
              </w:rPr>
              <w:t>/</w:t>
            </w:r>
          </w:p>
        </w:tc>
      </w:tr>
      <w:tr w14:paraId="408768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4" w:type="pct"/>
            <w:noWrap w:val="0"/>
            <w:vAlign w:val="center"/>
          </w:tcPr>
          <w:p w14:paraId="45331A9C">
            <w:pPr>
              <w:spacing w:line="240" w:lineRule="atLeast"/>
              <w:jc w:val="center"/>
              <w:rPr>
                <w:color w:val="auto"/>
                <w:sz w:val="24"/>
                <w:highlight w:val="none"/>
              </w:rPr>
            </w:pPr>
            <w:r>
              <w:rPr>
                <w:color w:val="auto"/>
                <w:sz w:val="24"/>
                <w:highlight w:val="none"/>
              </w:rPr>
              <w:t>地下水及土壤环境</w:t>
            </w:r>
          </w:p>
        </w:tc>
        <w:tc>
          <w:tcPr>
            <w:tcW w:w="2400" w:type="pct"/>
            <w:noWrap w:val="0"/>
            <w:vAlign w:val="center"/>
          </w:tcPr>
          <w:p w14:paraId="2128D6C7">
            <w:pPr>
              <w:spacing w:line="240" w:lineRule="atLeast"/>
              <w:rPr>
                <w:rFonts w:hint="default" w:ascii="Segoe UI" w:hAnsi="Segoe UI" w:eastAsia="Segoe UI" w:cs="Segoe UI"/>
                <w:i w:val="0"/>
                <w:iCs w:val="0"/>
                <w:caps w:val="0"/>
                <w:color w:val="0F1115"/>
                <w:spacing w:val="0"/>
                <w:sz w:val="22"/>
                <w:szCs w:val="22"/>
                <w:shd w:val="clear" w:fill="FFFFFF"/>
              </w:rPr>
            </w:pPr>
            <w:r>
              <w:rPr>
                <w:color w:val="auto"/>
                <w:sz w:val="24"/>
                <w:highlight w:val="none"/>
              </w:rPr>
              <w:t>危废暂存间防渗措施应按照《危险废物贮存污染控制标准》（GB18597-2023）的相关要求进行，基础必须防渗，防渗层为至少1米厚粘土层(渗透系数≤10</w:t>
            </w:r>
            <w:r>
              <w:rPr>
                <w:color w:val="auto"/>
                <w:sz w:val="24"/>
                <w:highlight w:val="none"/>
                <w:vertAlign w:val="superscript"/>
              </w:rPr>
              <w:t>-7</w:t>
            </w:r>
            <w:r>
              <w:rPr>
                <w:color w:val="auto"/>
                <w:sz w:val="24"/>
                <w:highlight w:val="none"/>
              </w:rPr>
              <w:t>cm/s)，或2毫米厚</w:t>
            </w:r>
            <w:r>
              <w:rPr>
                <w:color w:val="auto"/>
                <w:sz w:val="24"/>
                <w:highlight w:val="none"/>
              </w:rPr>
              <w:fldChar w:fldCharType="begin"/>
            </w:r>
            <w:r>
              <w:rPr>
                <w:color w:val="auto"/>
                <w:sz w:val="24"/>
                <w:highlight w:val="none"/>
              </w:rPr>
              <w:instrText xml:space="preserve"> HYPERLINK "https://baike.so.com/doc/6184927-6398177.html" \t "_blank" </w:instrText>
            </w:r>
            <w:r>
              <w:rPr>
                <w:color w:val="auto"/>
                <w:sz w:val="24"/>
                <w:highlight w:val="none"/>
              </w:rPr>
              <w:fldChar w:fldCharType="separate"/>
            </w:r>
            <w:r>
              <w:rPr>
                <w:color w:val="auto"/>
                <w:sz w:val="24"/>
                <w:highlight w:val="none"/>
              </w:rPr>
              <w:t>高密度聚乙烯</w:t>
            </w:r>
            <w:r>
              <w:rPr>
                <w:color w:val="auto"/>
                <w:sz w:val="24"/>
                <w:highlight w:val="none"/>
              </w:rPr>
              <w:fldChar w:fldCharType="end"/>
            </w:r>
            <w:r>
              <w:rPr>
                <w:color w:val="auto"/>
                <w:sz w:val="24"/>
                <w:highlight w:val="none"/>
              </w:rPr>
              <w:t>，或至少2毫米厚的其它人工材料，渗透系数≤10</w:t>
            </w:r>
            <w:r>
              <w:rPr>
                <w:color w:val="auto"/>
                <w:sz w:val="24"/>
                <w:highlight w:val="none"/>
                <w:vertAlign w:val="superscript"/>
              </w:rPr>
              <w:t>-10</w:t>
            </w:r>
            <w:r>
              <w:rPr>
                <w:color w:val="auto"/>
                <w:sz w:val="24"/>
                <w:highlight w:val="none"/>
              </w:rPr>
              <w:t>cm/s；钻井井口区域、污泥干化池、沉淀池、材料堆放区及泥浆循环系统等防渗措施应按照《一般工业固体废物贮存和填埋污染控制标准》（GB18599-2020），渗透系数不应大于1.0×10</w:t>
            </w:r>
            <w:r>
              <w:rPr>
                <w:color w:val="auto"/>
                <w:sz w:val="24"/>
                <w:highlight w:val="none"/>
                <w:vertAlign w:val="superscript"/>
              </w:rPr>
              <w:t>-7</w:t>
            </w:r>
            <w:r>
              <w:rPr>
                <w:color w:val="auto"/>
                <w:sz w:val="24"/>
                <w:highlight w:val="none"/>
              </w:rPr>
              <w:t>cm/s，厚度不宜小于75cm；其他区域为简单防渗</w:t>
            </w:r>
            <w:r>
              <w:rPr>
                <w:rFonts w:hint="eastAsia"/>
                <w:color w:val="auto"/>
                <w:sz w:val="24"/>
                <w:highlight w:val="none"/>
                <w:lang w:eastAsia="zh-CN"/>
              </w:rPr>
              <w:t>，</w:t>
            </w:r>
            <w:r>
              <w:rPr>
                <w:color w:val="auto"/>
                <w:sz w:val="24"/>
                <w:highlight w:val="none"/>
              </w:rPr>
              <w:t>一般地面</w:t>
            </w:r>
            <w:r>
              <w:rPr>
                <w:rFonts w:hint="eastAsia" w:ascii="宋体" w:hAnsi="宋体" w:eastAsia="宋体" w:cs="宋体"/>
                <w:b w:val="0"/>
                <w:bCs w:val="0"/>
                <w:color w:val="auto"/>
                <w:sz w:val="24"/>
                <w:highlight w:val="none"/>
              </w:rPr>
              <w:t>硬化。</w:t>
            </w:r>
          </w:p>
        </w:tc>
        <w:tc>
          <w:tcPr>
            <w:tcW w:w="1655" w:type="pct"/>
            <w:noWrap w:val="0"/>
            <w:vAlign w:val="center"/>
          </w:tcPr>
          <w:p w14:paraId="7E451223">
            <w:pPr>
              <w:spacing w:line="240" w:lineRule="atLeast"/>
              <w:jc w:val="left"/>
              <w:rPr>
                <w:color w:val="auto"/>
                <w:sz w:val="24"/>
                <w:highlight w:val="none"/>
              </w:rPr>
            </w:pPr>
            <w:r>
              <w:rPr>
                <w:color w:val="auto"/>
                <w:sz w:val="24"/>
                <w:highlight w:val="none"/>
              </w:rPr>
              <w:t>不对周边浅层地下水以及周边土壤造成影响。</w:t>
            </w:r>
          </w:p>
        </w:tc>
        <w:tc>
          <w:tcPr>
            <w:tcW w:w="0" w:type="auto"/>
            <w:noWrap w:val="0"/>
            <w:vAlign w:val="center"/>
          </w:tcPr>
          <w:p w14:paraId="7B76A163">
            <w:pPr>
              <w:spacing w:line="240" w:lineRule="atLeast"/>
              <w:jc w:val="center"/>
              <w:rPr>
                <w:color w:val="auto"/>
                <w:sz w:val="24"/>
                <w:highlight w:val="none"/>
              </w:rPr>
            </w:pPr>
            <w:r>
              <w:rPr>
                <w:color w:val="auto"/>
                <w:sz w:val="24"/>
                <w:highlight w:val="none"/>
              </w:rPr>
              <w:t>/</w:t>
            </w:r>
          </w:p>
        </w:tc>
        <w:tc>
          <w:tcPr>
            <w:tcW w:w="0" w:type="auto"/>
            <w:noWrap w:val="0"/>
            <w:vAlign w:val="center"/>
          </w:tcPr>
          <w:p w14:paraId="0E58862F">
            <w:pPr>
              <w:spacing w:line="240" w:lineRule="atLeast"/>
              <w:jc w:val="center"/>
              <w:rPr>
                <w:color w:val="auto"/>
                <w:sz w:val="24"/>
                <w:highlight w:val="none"/>
              </w:rPr>
            </w:pPr>
            <w:r>
              <w:rPr>
                <w:color w:val="auto"/>
                <w:sz w:val="24"/>
                <w:highlight w:val="none"/>
              </w:rPr>
              <w:t>/</w:t>
            </w:r>
          </w:p>
        </w:tc>
      </w:tr>
      <w:tr w14:paraId="669F65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4" w:type="pct"/>
            <w:noWrap w:val="0"/>
            <w:vAlign w:val="center"/>
          </w:tcPr>
          <w:p w14:paraId="7D9F4D64">
            <w:pPr>
              <w:spacing w:line="240" w:lineRule="atLeast"/>
              <w:jc w:val="center"/>
              <w:rPr>
                <w:color w:val="auto"/>
                <w:sz w:val="24"/>
                <w:highlight w:val="none"/>
              </w:rPr>
            </w:pPr>
            <w:r>
              <w:rPr>
                <w:color w:val="auto"/>
                <w:sz w:val="24"/>
                <w:highlight w:val="none"/>
              </w:rPr>
              <w:t>声环境</w:t>
            </w:r>
          </w:p>
        </w:tc>
        <w:tc>
          <w:tcPr>
            <w:tcW w:w="2400" w:type="pct"/>
            <w:noWrap w:val="0"/>
            <w:vAlign w:val="center"/>
          </w:tcPr>
          <w:p w14:paraId="13CD0A96">
            <w:pPr>
              <w:spacing w:line="240" w:lineRule="atLeast"/>
              <w:rPr>
                <w:rFonts w:hint="eastAsia" w:eastAsia="宋体"/>
                <w:color w:val="auto"/>
                <w:sz w:val="24"/>
                <w:highlight w:val="none"/>
                <w:lang w:eastAsia="zh-CN"/>
              </w:rPr>
            </w:pPr>
            <w:r>
              <w:rPr>
                <w:rFonts w:hint="default" w:ascii="Times New Roman" w:hAnsi="Times New Roman" w:eastAsia="宋体" w:cs="Times New Roman"/>
                <w:sz w:val="24"/>
                <w:szCs w:val="24"/>
                <w:highlight w:val="none"/>
              </w:rPr>
              <w:t>合理安排施工时间，合理布局施工场地，选用好的施工设备，降低设备声级，降低人为的噪声，临近环保目标处建立临时隔声障减少噪声污染</w:t>
            </w:r>
            <w:r>
              <w:rPr>
                <w:rFonts w:hint="eastAsia"/>
                <w:color w:val="auto"/>
                <w:sz w:val="24"/>
                <w:highlight w:val="none"/>
                <w:lang w:eastAsia="zh-CN"/>
              </w:rPr>
              <w:t>。</w:t>
            </w:r>
          </w:p>
        </w:tc>
        <w:tc>
          <w:tcPr>
            <w:tcW w:w="1655" w:type="pct"/>
            <w:noWrap w:val="0"/>
            <w:vAlign w:val="center"/>
          </w:tcPr>
          <w:p w14:paraId="2AAB2F3D">
            <w:pPr>
              <w:spacing w:line="240" w:lineRule="atLeast"/>
              <w:jc w:val="left"/>
              <w:rPr>
                <w:color w:val="auto"/>
                <w:sz w:val="24"/>
                <w:highlight w:val="none"/>
              </w:rPr>
            </w:pPr>
            <w:r>
              <w:rPr>
                <w:color w:val="auto"/>
                <w:sz w:val="24"/>
                <w:highlight w:val="none"/>
              </w:rPr>
              <w:t>满足《建筑施工噪声排放标准》（GB12523-2025）</w:t>
            </w:r>
            <w:r>
              <w:rPr>
                <w:rFonts w:hint="eastAsia"/>
                <w:color w:val="auto"/>
                <w:sz w:val="24"/>
                <w:highlight w:val="none"/>
              </w:rPr>
              <w:t>标准限值</w:t>
            </w:r>
            <w:r>
              <w:rPr>
                <w:color w:val="auto"/>
                <w:sz w:val="24"/>
                <w:highlight w:val="none"/>
              </w:rPr>
              <w:t>，不发生扰民现象。</w:t>
            </w:r>
          </w:p>
        </w:tc>
        <w:tc>
          <w:tcPr>
            <w:tcW w:w="0" w:type="auto"/>
            <w:noWrap w:val="0"/>
            <w:vAlign w:val="center"/>
          </w:tcPr>
          <w:p w14:paraId="124330BD">
            <w:pPr>
              <w:spacing w:line="240" w:lineRule="atLeast"/>
              <w:jc w:val="center"/>
              <w:rPr>
                <w:color w:val="auto"/>
                <w:sz w:val="24"/>
                <w:highlight w:val="none"/>
              </w:rPr>
            </w:pPr>
            <w:r>
              <w:rPr>
                <w:color w:val="auto"/>
                <w:sz w:val="24"/>
                <w:highlight w:val="none"/>
              </w:rPr>
              <w:t>/</w:t>
            </w:r>
          </w:p>
        </w:tc>
        <w:tc>
          <w:tcPr>
            <w:tcW w:w="0" w:type="auto"/>
            <w:noWrap w:val="0"/>
            <w:vAlign w:val="center"/>
          </w:tcPr>
          <w:p w14:paraId="2A3EE58C">
            <w:pPr>
              <w:spacing w:line="240" w:lineRule="atLeast"/>
              <w:jc w:val="center"/>
              <w:rPr>
                <w:color w:val="auto"/>
                <w:sz w:val="24"/>
                <w:highlight w:val="none"/>
              </w:rPr>
            </w:pPr>
            <w:r>
              <w:rPr>
                <w:color w:val="auto"/>
                <w:sz w:val="24"/>
                <w:highlight w:val="none"/>
              </w:rPr>
              <w:t>/</w:t>
            </w:r>
          </w:p>
        </w:tc>
      </w:tr>
      <w:tr w14:paraId="6EE9EA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4" w:type="pct"/>
            <w:noWrap w:val="0"/>
            <w:vAlign w:val="center"/>
          </w:tcPr>
          <w:p w14:paraId="5796774E">
            <w:pPr>
              <w:spacing w:line="240" w:lineRule="atLeast"/>
              <w:jc w:val="center"/>
              <w:rPr>
                <w:color w:val="auto"/>
                <w:sz w:val="24"/>
                <w:highlight w:val="none"/>
              </w:rPr>
            </w:pPr>
            <w:r>
              <w:rPr>
                <w:color w:val="auto"/>
                <w:sz w:val="24"/>
                <w:highlight w:val="none"/>
              </w:rPr>
              <w:t>振动</w:t>
            </w:r>
          </w:p>
        </w:tc>
        <w:tc>
          <w:tcPr>
            <w:tcW w:w="2400" w:type="pct"/>
            <w:noWrap w:val="0"/>
            <w:vAlign w:val="center"/>
          </w:tcPr>
          <w:p w14:paraId="62DC3470">
            <w:pPr>
              <w:spacing w:line="240" w:lineRule="atLeast"/>
              <w:jc w:val="center"/>
              <w:rPr>
                <w:color w:val="auto"/>
                <w:sz w:val="24"/>
                <w:highlight w:val="none"/>
              </w:rPr>
            </w:pPr>
            <w:r>
              <w:rPr>
                <w:color w:val="auto"/>
                <w:sz w:val="24"/>
                <w:highlight w:val="none"/>
              </w:rPr>
              <w:t>/</w:t>
            </w:r>
          </w:p>
        </w:tc>
        <w:tc>
          <w:tcPr>
            <w:tcW w:w="1655" w:type="pct"/>
            <w:noWrap w:val="0"/>
            <w:vAlign w:val="center"/>
          </w:tcPr>
          <w:p w14:paraId="570BABCD">
            <w:pPr>
              <w:spacing w:line="240" w:lineRule="atLeast"/>
              <w:jc w:val="center"/>
              <w:rPr>
                <w:color w:val="auto"/>
                <w:sz w:val="24"/>
                <w:highlight w:val="none"/>
              </w:rPr>
            </w:pPr>
            <w:r>
              <w:rPr>
                <w:color w:val="auto"/>
                <w:sz w:val="24"/>
                <w:highlight w:val="none"/>
              </w:rPr>
              <w:t>/</w:t>
            </w:r>
          </w:p>
        </w:tc>
        <w:tc>
          <w:tcPr>
            <w:tcW w:w="0" w:type="auto"/>
            <w:noWrap w:val="0"/>
            <w:vAlign w:val="center"/>
          </w:tcPr>
          <w:p w14:paraId="7934CFF4">
            <w:pPr>
              <w:spacing w:line="240" w:lineRule="atLeast"/>
              <w:jc w:val="center"/>
              <w:rPr>
                <w:color w:val="auto"/>
                <w:sz w:val="24"/>
                <w:highlight w:val="none"/>
              </w:rPr>
            </w:pPr>
            <w:r>
              <w:rPr>
                <w:color w:val="auto"/>
                <w:sz w:val="24"/>
                <w:highlight w:val="none"/>
              </w:rPr>
              <w:t>/</w:t>
            </w:r>
          </w:p>
        </w:tc>
        <w:tc>
          <w:tcPr>
            <w:tcW w:w="0" w:type="auto"/>
            <w:noWrap w:val="0"/>
            <w:vAlign w:val="center"/>
          </w:tcPr>
          <w:p w14:paraId="5F4ACD9F">
            <w:pPr>
              <w:spacing w:line="240" w:lineRule="atLeast"/>
              <w:jc w:val="center"/>
              <w:rPr>
                <w:color w:val="auto"/>
                <w:sz w:val="24"/>
                <w:highlight w:val="none"/>
              </w:rPr>
            </w:pPr>
            <w:r>
              <w:rPr>
                <w:color w:val="auto"/>
                <w:sz w:val="24"/>
                <w:highlight w:val="none"/>
              </w:rPr>
              <w:t>/</w:t>
            </w:r>
          </w:p>
        </w:tc>
      </w:tr>
      <w:tr w14:paraId="7D0081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4" w:type="pct"/>
            <w:noWrap w:val="0"/>
            <w:vAlign w:val="center"/>
          </w:tcPr>
          <w:p w14:paraId="132C2F22">
            <w:pPr>
              <w:spacing w:line="240" w:lineRule="atLeast"/>
              <w:jc w:val="center"/>
              <w:rPr>
                <w:color w:val="auto"/>
                <w:sz w:val="24"/>
                <w:highlight w:val="none"/>
              </w:rPr>
            </w:pPr>
            <w:r>
              <w:rPr>
                <w:color w:val="auto"/>
                <w:sz w:val="24"/>
                <w:highlight w:val="none"/>
              </w:rPr>
              <w:t>大气环境</w:t>
            </w:r>
          </w:p>
        </w:tc>
        <w:tc>
          <w:tcPr>
            <w:tcW w:w="2400" w:type="pct"/>
            <w:noWrap w:val="0"/>
            <w:vAlign w:val="center"/>
          </w:tcPr>
          <w:p w14:paraId="16548EAD">
            <w:pPr>
              <w:spacing w:line="240" w:lineRule="atLeast"/>
              <w:jc w:val="left"/>
              <w:rPr>
                <w:color w:val="auto"/>
                <w:sz w:val="24"/>
                <w:highlight w:val="none"/>
              </w:rPr>
            </w:pPr>
            <w:r>
              <w:rPr>
                <w:color w:val="auto"/>
                <w:sz w:val="24"/>
                <w:highlight w:val="none"/>
              </w:rPr>
              <w:t>施工期影响主要为施工扬尘、机械尾气等。通过加强施工机械、车辆管理，进行物料覆盖，对施工道路进行固化、洒水处理等措施，施工现场扬尘污染防治应做到“六个百分之百”，减少对周边空气环境的影响</w:t>
            </w:r>
            <w:r>
              <w:rPr>
                <w:rFonts w:hint="eastAsia"/>
                <w:color w:val="auto"/>
                <w:sz w:val="24"/>
                <w:highlight w:val="none"/>
              </w:rPr>
              <w:t>。</w:t>
            </w:r>
          </w:p>
        </w:tc>
        <w:tc>
          <w:tcPr>
            <w:tcW w:w="1655" w:type="pct"/>
            <w:noWrap w:val="0"/>
            <w:vAlign w:val="center"/>
          </w:tcPr>
          <w:p w14:paraId="1BF759E7">
            <w:pPr>
              <w:spacing w:line="240" w:lineRule="atLeast"/>
              <w:jc w:val="left"/>
              <w:rPr>
                <w:color w:val="auto"/>
                <w:sz w:val="24"/>
                <w:highlight w:val="none"/>
              </w:rPr>
            </w:pPr>
            <w:r>
              <w:rPr>
                <w:color w:val="auto"/>
                <w:sz w:val="24"/>
                <w:highlight w:val="none"/>
              </w:rPr>
              <w:t>施工期</w:t>
            </w:r>
            <w:r>
              <w:rPr>
                <w:rFonts w:hint="eastAsia"/>
                <w:color w:val="auto"/>
                <w:sz w:val="24"/>
                <w:highlight w:val="none"/>
                <w:lang w:val="en-US" w:eastAsia="zh-CN"/>
              </w:rPr>
              <w:t>粉煤灰</w:t>
            </w:r>
            <w:r>
              <w:rPr>
                <w:color w:val="auto"/>
                <w:sz w:val="24"/>
                <w:highlight w:val="none"/>
              </w:rPr>
              <w:t>储罐无组织粉尘排放执行《水泥工业大气污染物排放标准》（DB34/3576-2020）中表2中的限值要求。</w:t>
            </w:r>
          </w:p>
          <w:p w14:paraId="75ED5C4E">
            <w:pPr>
              <w:spacing w:line="240" w:lineRule="atLeast"/>
              <w:jc w:val="left"/>
              <w:rPr>
                <w:color w:val="auto"/>
                <w:sz w:val="24"/>
                <w:highlight w:val="none"/>
              </w:rPr>
            </w:pPr>
            <w:r>
              <w:rPr>
                <w:color w:val="auto"/>
                <w:sz w:val="24"/>
                <w:highlight w:val="none"/>
              </w:rPr>
              <w:t>施工扬尘排放满足安徽省《施工场地颗粒物排放标准》（DB34/4811-2024）中标准限值；</w:t>
            </w:r>
          </w:p>
          <w:p w14:paraId="407A0B7D">
            <w:pPr>
              <w:spacing w:line="240" w:lineRule="atLeast"/>
              <w:jc w:val="left"/>
              <w:rPr>
                <w:rFonts w:hint="eastAsia"/>
                <w:color w:val="auto"/>
                <w:sz w:val="24"/>
                <w:highlight w:val="none"/>
              </w:rPr>
            </w:pPr>
            <w:r>
              <w:rPr>
                <w:color w:val="auto"/>
                <w:sz w:val="24"/>
                <w:highlight w:val="none"/>
              </w:rPr>
              <w:t>运输车辆废气排放满足《大气污染物综合排放标准》（GB16297-1996）中无组织排放监控浓度限值</w:t>
            </w:r>
            <w:r>
              <w:rPr>
                <w:rFonts w:hint="eastAsia"/>
                <w:color w:val="auto"/>
                <w:sz w:val="24"/>
                <w:highlight w:val="none"/>
              </w:rPr>
              <w:t>；</w:t>
            </w:r>
          </w:p>
        </w:tc>
        <w:tc>
          <w:tcPr>
            <w:tcW w:w="0" w:type="auto"/>
            <w:noWrap w:val="0"/>
            <w:vAlign w:val="center"/>
          </w:tcPr>
          <w:p w14:paraId="377BC870">
            <w:pPr>
              <w:spacing w:line="240" w:lineRule="atLeast"/>
              <w:jc w:val="center"/>
              <w:rPr>
                <w:color w:val="auto"/>
                <w:sz w:val="24"/>
                <w:highlight w:val="none"/>
              </w:rPr>
            </w:pPr>
            <w:r>
              <w:rPr>
                <w:color w:val="auto"/>
                <w:sz w:val="24"/>
                <w:highlight w:val="none"/>
              </w:rPr>
              <w:t>/</w:t>
            </w:r>
          </w:p>
        </w:tc>
        <w:tc>
          <w:tcPr>
            <w:tcW w:w="0" w:type="auto"/>
            <w:noWrap w:val="0"/>
            <w:vAlign w:val="center"/>
          </w:tcPr>
          <w:p w14:paraId="0F04EAEF">
            <w:pPr>
              <w:spacing w:line="240" w:lineRule="atLeast"/>
              <w:jc w:val="center"/>
              <w:rPr>
                <w:color w:val="auto"/>
                <w:sz w:val="24"/>
                <w:highlight w:val="none"/>
              </w:rPr>
            </w:pPr>
            <w:r>
              <w:rPr>
                <w:color w:val="auto"/>
                <w:sz w:val="24"/>
                <w:highlight w:val="none"/>
              </w:rPr>
              <w:t>/</w:t>
            </w:r>
          </w:p>
        </w:tc>
      </w:tr>
      <w:tr w14:paraId="0813BA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4" w:type="pct"/>
            <w:noWrap w:val="0"/>
            <w:vAlign w:val="center"/>
          </w:tcPr>
          <w:p w14:paraId="58D84F74">
            <w:pPr>
              <w:spacing w:line="240" w:lineRule="atLeast"/>
              <w:jc w:val="center"/>
              <w:rPr>
                <w:color w:val="auto"/>
                <w:sz w:val="24"/>
                <w:highlight w:val="none"/>
              </w:rPr>
            </w:pPr>
            <w:r>
              <w:rPr>
                <w:color w:val="auto"/>
                <w:sz w:val="24"/>
                <w:highlight w:val="none"/>
              </w:rPr>
              <w:t>固体废物</w:t>
            </w:r>
          </w:p>
        </w:tc>
        <w:tc>
          <w:tcPr>
            <w:tcW w:w="2400" w:type="pct"/>
            <w:noWrap w:val="0"/>
            <w:vAlign w:val="center"/>
          </w:tcPr>
          <w:p w14:paraId="47B400F0">
            <w:pPr>
              <w:spacing w:line="240" w:lineRule="atLeast"/>
              <w:rPr>
                <w:color w:val="auto"/>
                <w:sz w:val="24"/>
                <w:highlight w:val="none"/>
              </w:rPr>
            </w:pPr>
            <w:r>
              <w:rPr>
                <w:color w:val="auto"/>
                <w:sz w:val="24"/>
                <w:highlight w:val="none"/>
              </w:rPr>
              <w:t>废泥浆暂存于泥浆池中，施工完成后交第三方公司综合利用。岩屑暂存于场地岩屑房中定期交第三方公司综合利用。</w:t>
            </w:r>
            <w:r>
              <w:rPr>
                <w:rFonts w:hint="eastAsia"/>
                <w:color w:val="auto"/>
                <w:sz w:val="24"/>
                <w:highlight w:val="none"/>
                <w:lang w:val="en-US" w:eastAsia="zh-CN"/>
              </w:rPr>
              <w:t>废焊条及焊渣</w:t>
            </w:r>
            <w:r>
              <w:rPr>
                <w:color w:val="auto"/>
                <w:sz w:val="24"/>
                <w:highlight w:val="none"/>
              </w:rPr>
              <w:t>集中收集后交由物资回收公司综合利用废包装袋拆包后即外售给综合利用人员，施工场地不存储。生活垃圾收集后，由环卫部门清运。废</w:t>
            </w:r>
            <w:r>
              <w:rPr>
                <w:rFonts w:hint="eastAsia"/>
                <w:color w:val="auto"/>
                <w:sz w:val="24"/>
                <w:highlight w:val="none"/>
                <w:lang w:val="en-US" w:eastAsia="zh-CN"/>
              </w:rPr>
              <w:t>润滑</w:t>
            </w:r>
            <w:r>
              <w:rPr>
                <w:color w:val="auto"/>
                <w:sz w:val="24"/>
                <w:highlight w:val="none"/>
              </w:rPr>
              <w:t>油、废</w:t>
            </w:r>
            <w:r>
              <w:rPr>
                <w:rFonts w:hint="eastAsia"/>
                <w:color w:val="auto"/>
                <w:sz w:val="24"/>
                <w:highlight w:val="none"/>
                <w:lang w:val="en-US" w:eastAsia="zh-CN"/>
              </w:rPr>
              <w:t>润滑</w:t>
            </w:r>
            <w:r>
              <w:rPr>
                <w:color w:val="auto"/>
                <w:sz w:val="24"/>
                <w:highlight w:val="none"/>
              </w:rPr>
              <w:t>油桶暂存于各施工场地设置的危险废物暂存间，统一收集后定期交由有资质单位处理。</w:t>
            </w:r>
          </w:p>
          <w:p w14:paraId="3D4A485F">
            <w:pPr>
              <w:spacing w:line="240" w:lineRule="atLeast"/>
              <w:rPr>
                <w:color w:val="auto"/>
                <w:sz w:val="24"/>
                <w:highlight w:val="none"/>
              </w:rPr>
            </w:pPr>
            <w:r>
              <w:rPr>
                <w:color w:val="auto"/>
                <w:sz w:val="24"/>
                <w:highlight w:val="none"/>
              </w:rPr>
              <w:t>项目施工过程中应加强废弃泥浆的管理，严禁随意丢弃和排放，避免对周边环境造成污染。</w:t>
            </w:r>
          </w:p>
        </w:tc>
        <w:tc>
          <w:tcPr>
            <w:tcW w:w="1655" w:type="pct"/>
            <w:noWrap w:val="0"/>
            <w:vAlign w:val="center"/>
          </w:tcPr>
          <w:p w14:paraId="078E25E5">
            <w:pPr>
              <w:spacing w:line="240" w:lineRule="atLeast"/>
              <w:jc w:val="left"/>
              <w:rPr>
                <w:color w:val="auto"/>
                <w:sz w:val="24"/>
                <w:highlight w:val="none"/>
              </w:rPr>
            </w:pPr>
            <w:r>
              <w:rPr>
                <w:color w:val="auto"/>
                <w:sz w:val="24"/>
                <w:highlight w:val="none"/>
              </w:rPr>
              <w:t>处置率100%，符合环境卫生及环境保护管理要求。</w:t>
            </w:r>
          </w:p>
        </w:tc>
        <w:tc>
          <w:tcPr>
            <w:tcW w:w="284" w:type="pct"/>
            <w:noWrap w:val="0"/>
            <w:vAlign w:val="center"/>
          </w:tcPr>
          <w:p w14:paraId="2D18E54A">
            <w:pPr>
              <w:spacing w:line="240" w:lineRule="atLeast"/>
              <w:jc w:val="center"/>
              <w:rPr>
                <w:color w:val="auto"/>
                <w:sz w:val="24"/>
                <w:highlight w:val="none"/>
              </w:rPr>
            </w:pPr>
            <w:r>
              <w:rPr>
                <w:color w:val="auto"/>
                <w:sz w:val="24"/>
                <w:highlight w:val="none"/>
              </w:rPr>
              <w:t>/</w:t>
            </w:r>
          </w:p>
        </w:tc>
        <w:tc>
          <w:tcPr>
            <w:tcW w:w="275" w:type="pct"/>
            <w:noWrap w:val="0"/>
            <w:vAlign w:val="center"/>
          </w:tcPr>
          <w:p w14:paraId="49846CF3">
            <w:pPr>
              <w:spacing w:line="240" w:lineRule="atLeast"/>
              <w:jc w:val="center"/>
              <w:rPr>
                <w:color w:val="auto"/>
                <w:sz w:val="24"/>
                <w:highlight w:val="none"/>
              </w:rPr>
            </w:pPr>
            <w:r>
              <w:rPr>
                <w:color w:val="auto"/>
                <w:sz w:val="24"/>
                <w:highlight w:val="none"/>
              </w:rPr>
              <w:t>/</w:t>
            </w:r>
          </w:p>
        </w:tc>
      </w:tr>
      <w:tr w14:paraId="3D64F2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4" w:type="pct"/>
            <w:noWrap w:val="0"/>
            <w:vAlign w:val="center"/>
          </w:tcPr>
          <w:p w14:paraId="50D9A485">
            <w:pPr>
              <w:spacing w:line="240" w:lineRule="atLeast"/>
              <w:jc w:val="center"/>
              <w:rPr>
                <w:color w:val="auto"/>
                <w:sz w:val="24"/>
                <w:highlight w:val="none"/>
              </w:rPr>
            </w:pPr>
            <w:r>
              <w:rPr>
                <w:color w:val="auto"/>
                <w:sz w:val="24"/>
                <w:highlight w:val="none"/>
              </w:rPr>
              <w:t>电磁环境</w:t>
            </w:r>
          </w:p>
        </w:tc>
        <w:tc>
          <w:tcPr>
            <w:tcW w:w="2400" w:type="pct"/>
            <w:noWrap w:val="0"/>
            <w:vAlign w:val="center"/>
          </w:tcPr>
          <w:p w14:paraId="43F5EF39">
            <w:pPr>
              <w:spacing w:line="240" w:lineRule="atLeast"/>
              <w:jc w:val="center"/>
              <w:rPr>
                <w:color w:val="auto"/>
                <w:sz w:val="24"/>
                <w:highlight w:val="none"/>
              </w:rPr>
            </w:pPr>
            <w:r>
              <w:rPr>
                <w:color w:val="auto"/>
                <w:sz w:val="24"/>
                <w:highlight w:val="none"/>
              </w:rPr>
              <w:t>/</w:t>
            </w:r>
          </w:p>
        </w:tc>
        <w:tc>
          <w:tcPr>
            <w:tcW w:w="1655" w:type="pct"/>
            <w:noWrap w:val="0"/>
            <w:vAlign w:val="center"/>
          </w:tcPr>
          <w:p w14:paraId="16103867">
            <w:pPr>
              <w:spacing w:line="240" w:lineRule="atLeast"/>
              <w:jc w:val="center"/>
              <w:rPr>
                <w:color w:val="auto"/>
                <w:sz w:val="24"/>
                <w:highlight w:val="none"/>
              </w:rPr>
            </w:pPr>
            <w:r>
              <w:rPr>
                <w:color w:val="auto"/>
                <w:sz w:val="24"/>
                <w:highlight w:val="none"/>
              </w:rPr>
              <w:t>/</w:t>
            </w:r>
          </w:p>
        </w:tc>
        <w:tc>
          <w:tcPr>
            <w:tcW w:w="0" w:type="auto"/>
            <w:noWrap w:val="0"/>
            <w:vAlign w:val="center"/>
          </w:tcPr>
          <w:p w14:paraId="7F685964">
            <w:pPr>
              <w:spacing w:line="240" w:lineRule="atLeast"/>
              <w:jc w:val="center"/>
              <w:rPr>
                <w:color w:val="auto"/>
                <w:sz w:val="24"/>
                <w:highlight w:val="none"/>
              </w:rPr>
            </w:pPr>
            <w:r>
              <w:rPr>
                <w:color w:val="auto"/>
                <w:sz w:val="24"/>
                <w:highlight w:val="none"/>
              </w:rPr>
              <w:t>/</w:t>
            </w:r>
          </w:p>
        </w:tc>
        <w:tc>
          <w:tcPr>
            <w:tcW w:w="0" w:type="auto"/>
            <w:noWrap w:val="0"/>
            <w:vAlign w:val="center"/>
          </w:tcPr>
          <w:p w14:paraId="1B063518">
            <w:pPr>
              <w:spacing w:line="240" w:lineRule="atLeast"/>
              <w:jc w:val="center"/>
              <w:rPr>
                <w:color w:val="auto"/>
                <w:sz w:val="24"/>
                <w:highlight w:val="none"/>
              </w:rPr>
            </w:pPr>
            <w:r>
              <w:rPr>
                <w:color w:val="auto"/>
                <w:sz w:val="24"/>
                <w:highlight w:val="none"/>
              </w:rPr>
              <w:t>/</w:t>
            </w:r>
          </w:p>
        </w:tc>
      </w:tr>
      <w:tr w14:paraId="089925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4" w:type="pct"/>
            <w:noWrap w:val="0"/>
            <w:vAlign w:val="center"/>
          </w:tcPr>
          <w:p w14:paraId="07B8D5C2">
            <w:pPr>
              <w:spacing w:line="240" w:lineRule="atLeast"/>
              <w:jc w:val="center"/>
              <w:rPr>
                <w:color w:val="auto"/>
                <w:sz w:val="24"/>
                <w:highlight w:val="none"/>
              </w:rPr>
            </w:pPr>
            <w:r>
              <w:rPr>
                <w:color w:val="auto"/>
                <w:sz w:val="24"/>
                <w:highlight w:val="none"/>
              </w:rPr>
              <w:t>环境风险</w:t>
            </w:r>
          </w:p>
        </w:tc>
        <w:tc>
          <w:tcPr>
            <w:tcW w:w="2400" w:type="pct"/>
            <w:noWrap w:val="0"/>
            <w:vAlign w:val="center"/>
          </w:tcPr>
          <w:p w14:paraId="36964D3F">
            <w:pPr>
              <w:spacing w:line="240" w:lineRule="atLeast"/>
              <w:jc w:val="left"/>
              <w:rPr>
                <w:color w:val="auto"/>
                <w:sz w:val="24"/>
                <w:highlight w:val="none"/>
              </w:rPr>
            </w:pPr>
            <w:r>
              <w:rPr>
                <w:color w:val="auto"/>
                <w:sz w:val="24"/>
                <w:highlight w:val="none"/>
              </w:rPr>
              <w:t>废润滑油桶放置于防渗托盘中，托盘有效容积应满足单桶物料泄漏的容纳能力，单层码放，禁止多层堆叠，危险废物暂存间做漫坡。</w:t>
            </w:r>
          </w:p>
        </w:tc>
        <w:tc>
          <w:tcPr>
            <w:tcW w:w="1655" w:type="pct"/>
            <w:noWrap w:val="0"/>
            <w:vAlign w:val="center"/>
          </w:tcPr>
          <w:p w14:paraId="659CD6D5">
            <w:pPr>
              <w:spacing w:line="240" w:lineRule="atLeast"/>
              <w:jc w:val="center"/>
              <w:rPr>
                <w:color w:val="auto"/>
                <w:sz w:val="24"/>
                <w:highlight w:val="none"/>
              </w:rPr>
            </w:pPr>
            <w:r>
              <w:rPr>
                <w:color w:val="auto"/>
                <w:sz w:val="24"/>
                <w:highlight w:val="none"/>
              </w:rPr>
              <w:t>不发生环境风险事故</w:t>
            </w:r>
          </w:p>
        </w:tc>
        <w:tc>
          <w:tcPr>
            <w:tcW w:w="0" w:type="auto"/>
            <w:noWrap w:val="0"/>
            <w:vAlign w:val="center"/>
          </w:tcPr>
          <w:p w14:paraId="046BBBE5">
            <w:pPr>
              <w:spacing w:line="240" w:lineRule="atLeast"/>
              <w:jc w:val="center"/>
              <w:rPr>
                <w:color w:val="auto"/>
                <w:sz w:val="24"/>
                <w:highlight w:val="none"/>
              </w:rPr>
            </w:pPr>
            <w:r>
              <w:rPr>
                <w:color w:val="auto"/>
                <w:sz w:val="24"/>
                <w:highlight w:val="none"/>
              </w:rPr>
              <w:t>/</w:t>
            </w:r>
          </w:p>
        </w:tc>
        <w:tc>
          <w:tcPr>
            <w:tcW w:w="0" w:type="auto"/>
            <w:noWrap w:val="0"/>
            <w:vAlign w:val="center"/>
          </w:tcPr>
          <w:p w14:paraId="6692327B">
            <w:pPr>
              <w:spacing w:line="240" w:lineRule="atLeast"/>
              <w:jc w:val="center"/>
              <w:rPr>
                <w:color w:val="auto"/>
                <w:sz w:val="24"/>
                <w:highlight w:val="none"/>
              </w:rPr>
            </w:pPr>
            <w:r>
              <w:rPr>
                <w:color w:val="auto"/>
                <w:sz w:val="24"/>
                <w:highlight w:val="none"/>
              </w:rPr>
              <w:t>/</w:t>
            </w:r>
          </w:p>
        </w:tc>
      </w:tr>
      <w:tr w14:paraId="2007BD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4" w:type="pct"/>
            <w:noWrap w:val="0"/>
            <w:vAlign w:val="center"/>
          </w:tcPr>
          <w:p w14:paraId="68A8F10E">
            <w:pPr>
              <w:spacing w:line="240" w:lineRule="atLeast"/>
              <w:jc w:val="center"/>
              <w:rPr>
                <w:color w:val="auto"/>
                <w:sz w:val="24"/>
                <w:highlight w:val="none"/>
              </w:rPr>
            </w:pPr>
            <w:r>
              <w:rPr>
                <w:color w:val="auto"/>
                <w:sz w:val="24"/>
                <w:highlight w:val="none"/>
              </w:rPr>
              <w:t>环境监测</w:t>
            </w:r>
          </w:p>
        </w:tc>
        <w:tc>
          <w:tcPr>
            <w:tcW w:w="2400" w:type="pct"/>
            <w:noWrap w:val="0"/>
            <w:vAlign w:val="center"/>
          </w:tcPr>
          <w:p w14:paraId="1941F815">
            <w:pPr>
              <w:spacing w:line="240" w:lineRule="atLeast"/>
              <w:jc w:val="left"/>
              <w:rPr>
                <w:color w:val="auto"/>
                <w:sz w:val="24"/>
                <w:highlight w:val="none"/>
              </w:rPr>
            </w:pPr>
            <w:r>
              <w:rPr>
                <w:color w:val="auto"/>
                <w:sz w:val="24"/>
                <w:highlight w:val="none"/>
              </w:rPr>
              <w:t>按监测计划进行监测。</w:t>
            </w:r>
          </w:p>
        </w:tc>
        <w:tc>
          <w:tcPr>
            <w:tcW w:w="1655" w:type="pct"/>
            <w:noWrap w:val="0"/>
            <w:vAlign w:val="center"/>
          </w:tcPr>
          <w:p w14:paraId="515291FD">
            <w:pPr>
              <w:spacing w:line="240" w:lineRule="atLeast"/>
              <w:jc w:val="center"/>
              <w:rPr>
                <w:color w:val="auto"/>
                <w:sz w:val="24"/>
                <w:highlight w:val="none"/>
              </w:rPr>
            </w:pPr>
            <w:r>
              <w:rPr>
                <w:color w:val="auto"/>
                <w:sz w:val="24"/>
                <w:highlight w:val="none"/>
              </w:rPr>
              <w:t>/</w:t>
            </w:r>
          </w:p>
        </w:tc>
        <w:tc>
          <w:tcPr>
            <w:tcW w:w="0" w:type="auto"/>
            <w:noWrap w:val="0"/>
            <w:vAlign w:val="center"/>
          </w:tcPr>
          <w:p w14:paraId="705FB55A">
            <w:pPr>
              <w:spacing w:line="240" w:lineRule="atLeast"/>
              <w:jc w:val="center"/>
              <w:rPr>
                <w:color w:val="auto"/>
                <w:sz w:val="24"/>
                <w:highlight w:val="none"/>
              </w:rPr>
            </w:pPr>
            <w:r>
              <w:rPr>
                <w:color w:val="auto"/>
                <w:sz w:val="24"/>
                <w:highlight w:val="none"/>
              </w:rPr>
              <w:t>/</w:t>
            </w:r>
          </w:p>
        </w:tc>
        <w:tc>
          <w:tcPr>
            <w:tcW w:w="0" w:type="auto"/>
            <w:noWrap w:val="0"/>
            <w:vAlign w:val="center"/>
          </w:tcPr>
          <w:p w14:paraId="778A2C0F">
            <w:pPr>
              <w:spacing w:line="240" w:lineRule="atLeast"/>
              <w:jc w:val="center"/>
              <w:rPr>
                <w:color w:val="auto"/>
                <w:sz w:val="24"/>
                <w:highlight w:val="none"/>
              </w:rPr>
            </w:pPr>
            <w:r>
              <w:rPr>
                <w:color w:val="auto"/>
                <w:sz w:val="24"/>
                <w:highlight w:val="none"/>
              </w:rPr>
              <w:t>/</w:t>
            </w:r>
          </w:p>
        </w:tc>
      </w:tr>
      <w:tr w14:paraId="175B25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84" w:type="pct"/>
            <w:noWrap w:val="0"/>
            <w:vAlign w:val="center"/>
          </w:tcPr>
          <w:p w14:paraId="4897162B">
            <w:pPr>
              <w:spacing w:line="240" w:lineRule="atLeast"/>
              <w:jc w:val="center"/>
              <w:rPr>
                <w:color w:val="auto"/>
                <w:sz w:val="24"/>
                <w:highlight w:val="none"/>
              </w:rPr>
            </w:pPr>
            <w:r>
              <w:rPr>
                <w:color w:val="auto"/>
                <w:sz w:val="24"/>
                <w:highlight w:val="none"/>
              </w:rPr>
              <w:t>其他</w:t>
            </w:r>
          </w:p>
        </w:tc>
        <w:tc>
          <w:tcPr>
            <w:tcW w:w="2400" w:type="pct"/>
            <w:noWrap w:val="0"/>
            <w:vAlign w:val="center"/>
          </w:tcPr>
          <w:p w14:paraId="2BA4D6AA">
            <w:pPr>
              <w:spacing w:line="240" w:lineRule="atLeast"/>
              <w:jc w:val="left"/>
              <w:rPr>
                <w:color w:val="auto"/>
                <w:sz w:val="24"/>
                <w:highlight w:val="none"/>
              </w:rPr>
            </w:pPr>
            <w:r>
              <w:rPr>
                <w:color w:val="auto"/>
                <w:sz w:val="24"/>
                <w:highlight w:val="none"/>
              </w:rPr>
              <w:t>设立环境保护管理机构；健全环境管理制度。</w:t>
            </w:r>
          </w:p>
        </w:tc>
        <w:tc>
          <w:tcPr>
            <w:tcW w:w="1655" w:type="pct"/>
            <w:noWrap w:val="0"/>
            <w:vAlign w:val="center"/>
          </w:tcPr>
          <w:p w14:paraId="3ECCE2C8">
            <w:pPr>
              <w:spacing w:line="240" w:lineRule="atLeast"/>
              <w:jc w:val="left"/>
              <w:rPr>
                <w:color w:val="auto"/>
                <w:sz w:val="24"/>
                <w:highlight w:val="none"/>
              </w:rPr>
            </w:pPr>
            <w:r>
              <w:rPr>
                <w:color w:val="auto"/>
                <w:sz w:val="24"/>
                <w:highlight w:val="none"/>
              </w:rPr>
              <w:t>设立环境保护管理机构；健全环境管理制度。</w:t>
            </w:r>
          </w:p>
        </w:tc>
        <w:tc>
          <w:tcPr>
            <w:tcW w:w="0" w:type="auto"/>
            <w:noWrap w:val="0"/>
            <w:vAlign w:val="center"/>
          </w:tcPr>
          <w:p w14:paraId="6615A723">
            <w:pPr>
              <w:spacing w:line="240" w:lineRule="atLeast"/>
              <w:jc w:val="center"/>
              <w:rPr>
                <w:color w:val="auto"/>
                <w:sz w:val="24"/>
                <w:highlight w:val="none"/>
              </w:rPr>
            </w:pPr>
            <w:r>
              <w:rPr>
                <w:color w:val="auto"/>
                <w:sz w:val="24"/>
                <w:highlight w:val="none"/>
              </w:rPr>
              <w:t>/</w:t>
            </w:r>
          </w:p>
        </w:tc>
        <w:tc>
          <w:tcPr>
            <w:tcW w:w="0" w:type="auto"/>
            <w:noWrap w:val="0"/>
            <w:vAlign w:val="center"/>
          </w:tcPr>
          <w:p w14:paraId="54616C63">
            <w:pPr>
              <w:spacing w:line="240" w:lineRule="atLeast"/>
              <w:jc w:val="center"/>
              <w:rPr>
                <w:color w:val="auto"/>
                <w:sz w:val="24"/>
                <w:highlight w:val="none"/>
              </w:rPr>
            </w:pPr>
            <w:r>
              <w:rPr>
                <w:color w:val="auto"/>
                <w:sz w:val="24"/>
                <w:highlight w:val="none"/>
              </w:rPr>
              <w:t>/</w:t>
            </w:r>
          </w:p>
        </w:tc>
      </w:tr>
    </w:tbl>
    <w:p w14:paraId="4B6CFC5A">
      <w:pPr>
        <w:pStyle w:val="26"/>
        <w:jc w:val="center"/>
        <w:outlineLvl w:val="0"/>
        <w:rPr>
          <w:rFonts w:ascii="Times New Roman" w:hAnsi="Times New Roman" w:eastAsia="黑体"/>
          <w:snapToGrid w:val="0"/>
          <w:color w:val="auto"/>
          <w:sz w:val="30"/>
          <w:szCs w:val="30"/>
          <w:highlight w:val="none"/>
        </w:rPr>
      </w:pPr>
      <w:r>
        <w:rPr>
          <w:rFonts w:ascii="Times New Roman" w:hAnsi="Times New Roman"/>
          <w:color w:val="auto"/>
          <w:highlight w:val="none"/>
        </w:rPr>
        <w:br w:type="page"/>
      </w:r>
      <w:r>
        <w:rPr>
          <w:rFonts w:ascii="Times New Roman" w:hAnsi="Times New Roman" w:eastAsia="黑体"/>
          <w:snapToGrid w:val="0"/>
          <w:color w:val="auto"/>
          <w:sz w:val="30"/>
          <w:szCs w:val="30"/>
          <w:highlight w:val="none"/>
        </w:rPr>
        <w:t>七、结论</w:t>
      </w:r>
    </w:p>
    <w:tbl>
      <w:tblPr>
        <w:tblStyle w:val="29"/>
        <w:tblW w:w="500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8522"/>
      </w:tblGrid>
      <w:tr w14:paraId="27BBC49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589" w:hRule="atLeast"/>
          <w:jc w:val="center"/>
        </w:trPr>
        <w:tc>
          <w:tcPr>
            <w:tcW w:w="5000" w:type="pct"/>
            <w:noWrap w:val="0"/>
            <w:vAlign w:val="top"/>
          </w:tcPr>
          <w:p w14:paraId="0D49FA13">
            <w:pPr>
              <w:spacing w:line="360" w:lineRule="auto"/>
              <w:ind w:firstLine="480" w:firstLineChars="200"/>
              <w:rPr>
                <w:rFonts w:hint="default" w:ascii="Times New Roman" w:hAnsi="Times New Roman" w:cs="Times New Roman"/>
                <w:sz w:val="24"/>
                <w:highlight w:val="none"/>
              </w:rPr>
            </w:pPr>
            <w:r>
              <w:rPr>
                <w:color w:val="auto"/>
                <w:sz w:val="24"/>
                <w:highlight w:val="none"/>
              </w:rPr>
              <w:t>综上所述</w:t>
            </w:r>
            <w:r>
              <w:rPr>
                <w:rFonts w:ascii="Times New Roman" w:hAnsi="Times New Roman" w:eastAsia="宋体" w:cs="Times New Roman"/>
                <w:color w:val="auto"/>
                <w:sz w:val="24"/>
                <w:highlight w:val="none"/>
              </w:rPr>
              <w:t>，</w:t>
            </w:r>
            <w:r>
              <w:rPr>
                <w:rFonts w:hint="eastAsia" w:cs="Times New Roman"/>
                <w:color w:val="auto"/>
                <w:sz w:val="24"/>
                <w:highlight w:val="none"/>
                <w:lang w:val="en-US" w:eastAsia="zh-CN"/>
              </w:rPr>
              <w:t>新集一矿覆岩离层注浆减沉控沉绿色开采治理工程</w:t>
            </w:r>
            <w:r>
              <w:rPr>
                <w:rFonts w:ascii="Times New Roman" w:hAnsi="Times New Roman" w:eastAsia="宋体" w:cs="Times New Roman"/>
                <w:color w:val="auto"/>
                <w:sz w:val="24"/>
                <w:highlight w:val="none"/>
              </w:rPr>
              <w:t>建设符合相关产业政策的要求，选址符合相关规划要求，选址</w:t>
            </w:r>
            <w:r>
              <w:rPr>
                <w:color w:val="auto"/>
                <w:sz w:val="24"/>
                <w:highlight w:val="none"/>
              </w:rPr>
              <w:t>合理，</w:t>
            </w:r>
            <w:r>
              <w:rPr>
                <w:rFonts w:hint="default" w:ascii="Times New Roman" w:hAnsi="Times New Roman" w:cs="Times New Roman"/>
                <w:bCs/>
                <w:sz w:val="24"/>
                <w:highlight w:val="none"/>
              </w:rPr>
              <w:t>本工程施工期对环境有一定的不利影响，但严格落实本报告提出的各项污染治理措施、风险防范措施、生态保护措施，进一步优化施工方案，加强施工期环境管理工作的情况下，不利环境影响是局部的、短期的和可逆的，随着施工的结束，影响也随之消失。工程的实施对生态环境影响有限</w:t>
            </w:r>
            <w:r>
              <w:rPr>
                <w:rFonts w:hint="default" w:ascii="Times New Roman" w:hAnsi="Times New Roman" w:cs="Times New Roman"/>
                <w:sz w:val="24"/>
                <w:highlight w:val="none"/>
              </w:rPr>
              <w:t>，施工期环境影响在可接受范围之内。</w:t>
            </w:r>
          </w:p>
          <w:p w14:paraId="7F20083F">
            <w:pPr>
              <w:widowControl/>
              <w:spacing w:line="360" w:lineRule="auto"/>
              <w:ind w:firstLine="480" w:firstLineChars="200"/>
              <w:jc w:val="left"/>
              <w:rPr>
                <w:color w:val="auto"/>
                <w:szCs w:val="21"/>
                <w:highlight w:val="none"/>
              </w:rPr>
            </w:pPr>
            <w:r>
              <w:rPr>
                <w:rFonts w:hint="default" w:ascii="Times New Roman" w:hAnsi="Times New Roman" w:cs="Times New Roman"/>
                <w:bCs/>
                <w:sz w:val="24"/>
                <w:highlight w:val="none"/>
              </w:rPr>
              <w:t>因此，建设单位在严格执行环境保护“三同时”制度，强化环境管理，认真落实报告所提出的污染防治措施的前提下，对环境的不利影响可减缓至最低程度，从环境</w:t>
            </w:r>
            <w:r>
              <w:rPr>
                <w:rFonts w:hint="eastAsia" w:ascii="Times New Roman" w:hAnsi="Times New Roman" w:cs="Times New Roman"/>
                <w:bCs/>
                <w:sz w:val="24"/>
                <w:highlight w:val="none"/>
                <w:lang w:eastAsia="zh-CN"/>
              </w:rPr>
              <w:t>保护</w:t>
            </w:r>
            <w:r>
              <w:rPr>
                <w:rFonts w:hint="default" w:ascii="Times New Roman" w:hAnsi="Times New Roman" w:cs="Times New Roman"/>
                <w:bCs/>
                <w:sz w:val="24"/>
                <w:highlight w:val="none"/>
              </w:rPr>
              <w:t>角度而言，</w:t>
            </w:r>
            <w:r>
              <w:rPr>
                <w:rFonts w:hint="default" w:ascii="Times New Roman" w:hAnsi="Times New Roman" w:cs="Times New Roman"/>
                <w:sz w:val="24"/>
                <w:highlight w:val="none"/>
              </w:rPr>
              <w:t>本工程</w:t>
            </w:r>
            <w:r>
              <w:rPr>
                <w:rFonts w:hint="default" w:ascii="Times New Roman" w:hAnsi="Times New Roman" w:cs="Times New Roman"/>
                <w:bCs/>
                <w:sz w:val="24"/>
                <w:highlight w:val="none"/>
              </w:rPr>
              <w:t>的建设是可行的。</w:t>
            </w:r>
          </w:p>
        </w:tc>
      </w:tr>
    </w:tbl>
    <w:p w14:paraId="5CB3398A">
      <w:pPr>
        <w:rPr>
          <w:color w:val="auto"/>
          <w:highlight w:val="none"/>
        </w:rPr>
      </w:pPr>
    </w:p>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楷体_GB2312">
    <w:panose1 w:val="02010609030101010101"/>
    <w:charset w:val="86"/>
    <w:family w:val="modern"/>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仿宋_GB2312">
    <w:panose1 w:val="02010609030101010101"/>
    <w:charset w:val="86"/>
    <w:family w:val="auto"/>
    <w:pitch w:val="default"/>
    <w:sig w:usb0="00000001" w:usb1="080E0000" w:usb2="00000000" w:usb3="00000000" w:csb0="00040000" w:csb1="00000000"/>
  </w:font>
  <w:font w:name="Arial Black">
    <w:panose1 w:val="020B0A04020102020204"/>
    <w:charset w:val="00"/>
    <w:family w:val="swiss"/>
    <w:pitch w:val="default"/>
    <w:sig w:usb0="00000287" w:usb1="00000000" w:usb2="00000000" w:usb3="00000000" w:csb0="2000009F" w:csb1="DFD7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Cambria Math">
    <w:panose1 w:val="02040503050406030204"/>
    <w:charset w:val="00"/>
    <w:family w:val="auto"/>
    <w:pitch w:val="default"/>
    <w:sig w:usb0="E00002FF" w:usb1="420024FF" w:usb2="00000000" w:usb3="00000000" w:csb0="2000019F" w:csb1="00000000"/>
  </w:font>
  <w:font w:name="Segoe UI">
    <w:panose1 w:val="020B0502040204020203"/>
    <w:charset w:val="00"/>
    <w:family w:val="auto"/>
    <w:pitch w:val="default"/>
    <w:sig w:usb0="E10022FF" w:usb1="C000E47F" w:usb2="00000029" w:usb3="00000000" w:csb0="200001DF" w:csb1="20000000"/>
  </w:font>
  <w:font w:name="微软雅黑">
    <w:panose1 w:val="020B0503020204020204"/>
    <w:charset w:val="86"/>
    <w:family w:val="swiss"/>
    <w:pitch w:val="default"/>
    <w:sig w:usb0="80000287" w:usb1="280F3C52" w:usb2="00000016" w:usb3="00000000" w:csb0="0004001F" w:csb1="00000000"/>
  </w:font>
  <w:font w:name="D Y 1 + ZID Hj 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F0F3D">
    <w:pPr>
      <w:pStyle w:val="19"/>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A68EB">
    <w:pPr>
      <w:pStyle w:val="19"/>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07B3E">
    <w:pPr>
      <w:pStyle w:val="19"/>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722BB">
    <w:pPr>
      <w:pStyle w:val="1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FFCCE8F">
                          <w:pPr>
                            <w:pStyle w:val="19"/>
                            <w:jc w:val="center"/>
                          </w:pPr>
                          <w:r>
                            <w:fldChar w:fldCharType="begin"/>
                          </w:r>
                          <w:r>
                            <w:instrText xml:space="preserve"> PAGE   \* MERGEFORMAT </w:instrText>
                          </w:r>
                          <w:r>
                            <w:fldChar w:fldCharType="separate"/>
                          </w:r>
                          <w:r>
                            <w:rPr>
                              <w:lang w:val="zh-CN"/>
                            </w:rPr>
                            <w:t>87</w:t>
                          </w:r>
                          <w: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2b84N4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q+ec+aEpYlfvn+7/Ph1+fmV&#10;LZM+fYCK0u4CJeLwyg+0NbMfyJloD2206U+EGMVJ3fNVXTUgk+nSerVelxSSFJsPhF/cXw8R8I3y&#10;liWj5pHGl1UVp3eAY+qckqo5f6uNySM07i8HYSZPkXofe0wWDvthIrT3zZn40DugOp2PXzjraQtq&#10;7mjpOTNvHYmcFmY24mzsZ0M4SRdrjpyN5mscF+sYoj50edVSUxBeHpE6zQRSG2PtqTuaa5Zg2sG0&#10;OH+ec9b9u9v+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XZvzg3gEAAL8DAAAOAAAAAAAA&#10;AAEAIAAAAB4BAABkcnMvZTJvRG9jLnhtbFBLBQYAAAAABgAGAFkBAABuBQAAAAA=&#10;">
              <v:fill on="f" focussize="0,0"/>
              <v:stroke on="f"/>
              <v:imagedata o:title=""/>
              <o:lock v:ext="edit" aspectratio="f"/>
              <v:textbox inset="0mm,0mm,0mm,0mm" style="mso-fit-shape-to-text:t;">
                <w:txbxContent>
                  <w:p w14:paraId="6FFCCE8F">
                    <w:pPr>
                      <w:pStyle w:val="19"/>
                      <w:jc w:val="center"/>
                    </w:pPr>
                    <w:r>
                      <w:fldChar w:fldCharType="begin"/>
                    </w:r>
                    <w:r>
                      <w:instrText xml:space="preserve"> PAGE   \* MERGEFORMAT </w:instrText>
                    </w:r>
                    <w:r>
                      <w:fldChar w:fldCharType="separate"/>
                    </w:r>
                    <w:r>
                      <w:rPr>
                        <w:lang w:val="zh-CN"/>
                      </w:rPr>
                      <w:t>87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68227E"/>
    <w:multiLevelType w:val="singleLevel"/>
    <w:tmpl w:val="8368227E"/>
    <w:lvl w:ilvl="0" w:tentative="0">
      <w:start w:val="3"/>
      <w:numFmt w:val="decimal"/>
      <w:suff w:val="nothing"/>
      <w:lvlText w:val="（%1）"/>
      <w:lvlJc w:val="left"/>
    </w:lvl>
  </w:abstractNum>
  <w:abstractNum w:abstractNumId="1">
    <w:nsid w:val="D8FBE9EE"/>
    <w:multiLevelType w:val="singleLevel"/>
    <w:tmpl w:val="D8FBE9EE"/>
    <w:lvl w:ilvl="0" w:tentative="0">
      <w:start w:val="3"/>
      <w:numFmt w:val="decimal"/>
      <w:suff w:val="nothing"/>
      <w:lvlText w:val="（%1）"/>
      <w:lvlJc w:val="left"/>
    </w:lvl>
  </w:abstractNum>
  <w:abstractNum w:abstractNumId="2">
    <w:nsid w:val="057D66CC"/>
    <w:multiLevelType w:val="singleLevel"/>
    <w:tmpl w:val="057D66CC"/>
    <w:lvl w:ilvl="0" w:tentative="0">
      <w:start w:val="3"/>
      <w:numFmt w:val="decimal"/>
      <w:suff w:val="nothing"/>
      <w:lvlText w:val="%1、"/>
      <w:lvlJc w:val="left"/>
    </w:lvl>
  </w:abstractNum>
  <w:abstractNum w:abstractNumId="3">
    <w:nsid w:val="09F351ED"/>
    <w:multiLevelType w:val="multilevel"/>
    <w:tmpl w:val="09F351ED"/>
    <w:lvl w:ilvl="0" w:tentative="0">
      <w:start w:val="1"/>
      <w:numFmt w:val="decimalEnclosedCircle"/>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45064F26"/>
    <w:multiLevelType w:val="singleLevel"/>
    <w:tmpl w:val="45064F26"/>
    <w:lvl w:ilvl="0" w:tentative="0">
      <w:start w:val="1"/>
      <w:numFmt w:val="decimal"/>
      <w:suff w:val="nothing"/>
      <w:lvlText w:val="%1、"/>
      <w:lvlJc w:val="left"/>
    </w:lvl>
  </w:abstractNum>
  <w:abstractNum w:abstractNumId="5">
    <w:nsid w:val="46D1B8B3"/>
    <w:multiLevelType w:val="multilevel"/>
    <w:tmpl w:val="46D1B8B3"/>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541C751F"/>
    <w:multiLevelType w:val="multilevel"/>
    <w:tmpl w:val="541C751F"/>
    <w:lvl w:ilvl="0" w:tentative="0">
      <w:start w:val="1"/>
      <w:numFmt w:val="decimalEnclosedCircle"/>
      <w:lvlText w:val="%1"/>
      <w:lvlJc w:val="left"/>
      <w:pPr>
        <w:ind w:left="840" w:hanging="360"/>
      </w:pPr>
      <w:rPr>
        <w:rFonts w:hint="default" w:ascii="宋体" w:hAnsi="宋体" w:cs="宋体"/>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
    <w:nsid w:val="78976D12"/>
    <w:multiLevelType w:val="singleLevel"/>
    <w:tmpl w:val="78976D12"/>
    <w:lvl w:ilvl="0" w:tentative="0">
      <w:start w:val="2"/>
      <w:numFmt w:val="decimal"/>
      <w:suff w:val="nothing"/>
      <w:lvlText w:val="%1、"/>
      <w:lvlJc w:val="left"/>
      <w:pPr>
        <w:ind w:left="-62"/>
      </w:pPr>
    </w:lvl>
  </w:abstractNum>
  <w:abstractNum w:abstractNumId="8">
    <w:nsid w:val="7D311998"/>
    <w:multiLevelType w:val="multilevel"/>
    <w:tmpl w:val="7D311998"/>
    <w:lvl w:ilvl="0" w:tentative="0">
      <w:start w:val="1"/>
      <w:numFmt w:val="decimalEnclosedCircle"/>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5"/>
  </w:num>
  <w:num w:numId="2">
    <w:abstractNumId w:val="2"/>
  </w:num>
  <w:num w:numId="3">
    <w:abstractNumId w:val="0"/>
  </w:num>
  <w:num w:numId="4">
    <w:abstractNumId w:val="7"/>
  </w:num>
  <w:num w:numId="5">
    <w:abstractNumId w:val="4"/>
  </w:num>
  <w:num w:numId="6">
    <w:abstractNumId w:val="1"/>
  </w:num>
  <w:num w:numId="7">
    <w:abstractNumId w:val="3"/>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3NWY5M2ExZWI1OTJhOGVjN2Q3NjViN2Y5ZDYyMTgifQ=="/>
  </w:docVars>
  <w:rsids>
    <w:rsidRoot w:val="00172A27"/>
    <w:rsid w:val="0000172D"/>
    <w:rsid w:val="00001CED"/>
    <w:rsid w:val="00001E67"/>
    <w:rsid w:val="00003CD8"/>
    <w:rsid w:val="000071CD"/>
    <w:rsid w:val="00014965"/>
    <w:rsid w:val="0001523A"/>
    <w:rsid w:val="000156B9"/>
    <w:rsid w:val="00016ECB"/>
    <w:rsid w:val="000269F6"/>
    <w:rsid w:val="0003089E"/>
    <w:rsid w:val="00031939"/>
    <w:rsid w:val="00032D25"/>
    <w:rsid w:val="0003772E"/>
    <w:rsid w:val="00040B5D"/>
    <w:rsid w:val="0005219D"/>
    <w:rsid w:val="0005405D"/>
    <w:rsid w:val="0005568F"/>
    <w:rsid w:val="000557BF"/>
    <w:rsid w:val="0006153D"/>
    <w:rsid w:val="00061B1F"/>
    <w:rsid w:val="00064E31"/>
    <w:rsid w:val="000664DB"/>
    <w:rsid w:val="0007127D"/>
    <w:rsid w:val="00071AE5"/>
    <w:rsid w:val="00072D25"/>
    <w:rsid w:val="0007323E"/>
    <w:rsid w:val="00074783"/>
    <w:rsid w:val="00077B0C"/>
    <w:rsid w:val="000801E0"/>
    <w:rsid w:val="00082A29"/>
    <w:rsid w:val="0008331D"/>
    <w:rsid w:val="00083C18"/>
    <w:rsid w:val="0009080F"/>
    <w:rsid w:val="00091438"/>
    <w:rsid w:val="00092899"/>
    <w:rsid w:val="00094463"/>
    <w:rsid w:val="000A1323"/>
    <w:rsid w:val="000A178E"/>
    <w:rsid w:val="000A557E"/>
    <w:rsid w:val="000B058F"/>
    <w:rsid w:val="000B4FA4"/>
    <w:rsid w:val="000B693F"/>
    <w:rsid w:val="000B6C71"/>
    <w:rsid w:val="000C09AC"/>
    <w:rsid w:val="000C0A63"/>
    <w:rsid w:val="000C2F04"/>
    <w:rsid w:val="000C437E"/>
    <w:rsid w:val="000D45F3"/>
    <w:rsid w:val="000D7E83"/>
    <w:rsid w:val="000E5F16"/>
    <w:rsid w:val="000E7F1A"/>
    <w:rsid w:val="000F3D9E"/>
    <w:rsid w:val="000F4452"/>
    <w:rsid w:val="000F6DA1"/>
    <w:rsid w:val="000F701B"/>
    <w:rsid w:val="0010249D"/>
    <w:rsid w:val="001056A0"/>
    <w:rsid w:val="00114AA9"/>
    <w:rsid w:val="00115279"/>
    <w:rsid w:val="00117459"/>
    <w:rsid w:val="0011749A"/>
    <w:rsid w:val="00126375"/>
    <w:rsid w:val="00127A68"/>
    <w:rsid w:val="001308F2"/>
    <w:rsid w:val="00131F2C"/>
    <w:rsid w:val="00140B13"/>
    <w:rsid w:val="00141B68"/>
    <w:rsid w:val="00141BD1"/>
    <w:rsid w:val="0014240E"/>
    <w:rsid w:val="001451E8"/>
    <w:rsid w:val="00145252"/>
    <w:rsid w:val="001466DA"/>
    <w:rsid w:val="00154DE1"/>
    <w:rsid w:val="00155B40"/>
    <w:rsid w:val="00156032"/>
    <w:rsid w:val="00157435"/>
    <w:rsid w:val="00163EEA"/>
    <w:rsid w:val="00163EF7"/>
    <w:rsid w:val="00164EE6"/>
    <w:rsid w:val="001652D3"/>
    <w:rsid w:val="00167A07"/>
    <w:rsid w:val="0017046A"/>
    <w:rsid w:val="001704A3"/>
    <w:rsid w:val="00171119"/>
    <w:rsid w:val="00172855"/>
    <w:rsid w:val="0017504D"/>
    <w:rsid w:val="00175558"/>
    <w:rsid w:val="00175B47"/>
    <w:rsid w:val="00177422"/>
    <w:rsid w:val="00184F10"/>
    <w:rsid w:val="00185546"/>
    <w:rsid w:val="0018589F"/>
    <w:rsid w:val="00187BA9"/>
    <w:rsid w:val="0019146B"/>
    <w:rsid w:val="00194398"/>
    <w:rsid w:val="0019500D"/>
    <w:rsid w:val="00196417"/>
    <w:rsid w:val="001A191C"/>
    <w:rsid w:val="001A6AC0"/>
    <w:rsid w:val="001A7D2A"/>
    <w:rsid w:val="001B574C"/>
    <w:rsid w:val="001B6118"/>
    <w:rsid w:val="001B73BD"/>
    <w:rsid w:val="001C0AF9"/>
    <w:rsid w:val="001C1073"/>
    <w:rsid w:val="001C155A"/>
    <w:rsid w:val="001C3CEC"/>
    <w:rsid w:val="001C3D8B"/>
    <w:rsid w:val="001C4236"/>
    <w:rsid w:val="001C48C0"/>
    <w:rsid w:val="001C559A"/>
    <w:rsid w:val="001C6ECE"/>
    <w:rsid w:val="001D1E73"/>
    <w:rsid w:val="001D56B7"/>
    <w:rsid w:val="001D6726"/>
    <w:rsid w:val="001D67A1"/>
    <w:rsid w:val="001D7F23"/>
    <w:rsid w:val="001E0C48"/>
    <w:rsid w:val="001F3347"/>
    <w:rsid w:val="001F37FD"/>
    <w:rsid w:val="001F4334"/>
    <w:rsid w:val="001F4440"/>
    <w:rsid w:val="001F69E4"/>
    <w:rsid w:val="0020079C"/>
    <w:rsid w:val="00203A93"/>
    <w:rsid w:val="0020467F"/>
    <w:rsid w:val="00206A65"/>
    <w:rsid w:val="00210B99"/>
    <w:rsid w:val="00212D31"/>
    <w:rsid w:val="002130C7"/>
    <w:rsid w:val="00216836"/>
    <w:rsid w:val="0021720E"/>
    <w:rsid w:val="002218A8"/>
    <w:rsid w:val="0022306D"/>
    <w:rsid w:val="00223F34"/>
    <w:rsid w:val="00226574"/>
    <w:rsid w:val="00226675"/>
    <w:rsid w:val="002278EC"/>
    <w:rsid w:val="00231D2E"/>
    <w:rsid w:val="00234A97"/>
    <w:rsid w:val="002357C7"/>
    <w:rsid w:val="002367C4"/>
    <w:rsid w:val="00237077"/>
    <w:rsid w:val="0025679E"/>
    <w:rsid w:val="002609D1"/>
    <w:rsid w:val="00260C68"/>
    <w:rsid w:val="002625C1"/>
    <w:rsid w:val="00264736"/>
    <w:rsid w:val="002648B0"/>
    <w:rsid w:val="00267871"/>
    <w:rsid w:val="002703A4"/>
    <w:rsid w:val="00271961"/>
    <w:rsid w:val="00275271"/>
    <w:rsid w:val="0027535E"/>
    <w:rsid w:val="00275AA6"/>
    <w:rsid w:val="002807D5"/>
    <w:rsid w:val="0028106A"/>
    <w:rsid w:val="00282044"/>
    <w:rsid w:val="00282B09"/>
    <w:rsid w:val="00282CCD"/>
    <w:rsid w:val="002853D6"/>
    <w:rsid w:val="002A168C"/>
    <w:rsid w:val="002A2C48"/>
    <w:rsid w:val="002A3EED"/>
    <w:rsid w:val="002A3F8B"/>
    <w:rsid w:val="002A4A39"/>
    <w:rsid w:val="002A5A17"/>
    <w:rsid w:val="002A6425"/>
    <w:rsid w:val="002B011F"/>
    <w:rsid w:val="002B31FF"/>
    <w:rsid w:val="002B49E2"/>
    <w:rsid w:val="002B7B00"/>
    <w:rsid w:val="002B7C44"/>
    <w:rsid w:val="002C1388"/>
    <w:rsid w:val="002C28CE"/>
    <w:rsid w:val="002C3C6A"/>
    <w:rsid w:val="002C4BCE"/>
    <w:rsid w:val="002D42DB"/>
    <w:rsid w:val="002E09A9"/>
    <w:rsid w:val="002E1F3A"/>
    <w:rsid w:val="002E2084"/>
    <w:rsid w:val="002E298A"/>
    <w:rsid w:val="002E2AC2"/>
    <w:rsid w:val="002E4E8D"/>
    <w:rsid w:val="002F02A4"/>
    <w:rsid w:val="002F0BB4"/>
    <w:rsid w:val="002F2506"/>
    <w:rsid w:val="002F272B"/>
    <w:rsid w:val="002F7C6D"/>
    <w:rsid w:val="003027E4"/>
    <w:rsid w:val="0030332C"/>
    <w:rsid w:val="00303643"/>
    <w:rsid w:val="0030368C"/>
    <w:rsid w:val="003049CE"/>
    <w:rsid w:val="00305E32"/>
    <w:rsid w:val="00312296"/>
    <w:rsid w:val="0031340E"/>
    <w:rsid w:val="00316464"/>
    <w:rsid w:val="0032073A"/>
    <w:rsid w:val="00320872"/>
    <w:rsid w:val="00321D8E"/>
    <w:rsid w:val="00322E3C"/>
    <w:rsid w:val="00334996"/>
    <w:rsid w:val="00336969"/>
    <w:rsid w:val="00336C52"/>
    <w:rsid w:val="00340227"/>
    <w:rsid w:val="00341B3E"/>
    <w:rsid w:val="00341B42"/>
    <w:rsid w:val="00345154"/>
    <w:rsid w:val="0034560E"/>
    <w:rsid w:val="00350523"/>
    <w:rsid w:val="003527C0"/>
    <w:rsid w:val="00352975"/>
    <w:rsid w:val="00354D14"/>
    <w:rsid w:val="00354EF5"/>
    <w:rsid w:val="00356661"/>
    <w:rsid w:val="00356868"/>
    <w:rsid w:val="0036143A"/>
    <w:rsid w:val="0036401D"/>
    <w:rsid w:val="0036485B"/>
    <w:rsid w:val="00365E50"/>
    <w:rsid w:val="00373B0D"/>
    <w:rsid w:val="0037647F"/>
    <w:rsid w:val="00376988"/>
    <w:rsid w:val="00381A72"/>
    <w:rsid w:val="00381F66"/>
    <w:rsid w:val="00385558"/>
    <w:rsid w:val="00390C09"/>
    <w:rsid w:val="00391613"/>
    <w:rsid w:val="003A1948"/>
    <w:rsid w:val="003A34F4"/>
    <w:rsid w:val="003B152A"/>
    <w:rsid w:val="003B4977"/>
    <w:rsid w:val="003B545B"/>
    <w:rsid w:val="003B7677"/>
    <w:rsid w:val="003C489A"/>
    <w:rsid w:val="003C60F7"/>
    <w:rsid w:val="003D1D7F"/>
    <w:rsid w:val="003D3EE9"/>
    <w:rsid w:val="003D5D79"/>
    <w:rsid w:val="003D6102"/>
    <w:rsid w:val="003E7681"/>
    <w:rsid w:val="003F0809"/>
    <w:rsid w:val="003F1DBD"/>
    <w:rsid w:val="003F5F1E"/>
    <w:rsid w:val="003F611C"/>
    <w:rsid w:val="003F755C"/>
    <w:rsid w:val="00406F01"/>
    <w:rsid w:val="00410DFE"/>
    <w:rsid w:val="00411B36"/>
    <w:rsid w:val="004121D7"/>
    <w:rsid w:val="00416D50"/>
    <w:rsid w:val="0041713D"/>
    <w:rsid w:val="00417772"/>
    <w:rsid w:val="00420E6A"/>
    <w:rsid w:val="004218AA"/>
    <w:rsid w:val="0042253B"/>
    <w:rsid w:val="00424E80"/>
    <w:rsid w:val="00427EC2"/>
    <w:rsid w:val="00431E1C"/>
    <w:rsid w:val="00432A8B"/>
    <w:rsid w:val="00433CA9"/>
    <w:rsid w:val="0043521D"/>
    <w:rsid w:val="00442024"/>
    <w:rsid w:val="0044254C"/>
    <w:rsid w:val="004430BF"/>
    <w:rsid w:val="004437C7"/>
    <w:rsid w:val="00443F6A"/>
    <w:rsid w:val="00450A17"/>
    <w:rsid w:val="0045325A"/>
    <w:rsid w:val="00466321"/>
    <w:rsid w:val="004663F2"/>
    <w:rsid w:val="004672AF"/>
    <w:rsid w:val="0047053D"/>
    <w:rsid w:val="004727B0"/>
    <w:rsid w:val="00480247"/>
    <w:rsid w:val="0048081D"/>
    <w:rsid w:val="0048117E"/>
    <w:rsid w:val="004855F6"/>
    <w:rsid w:val="00485FDA"/>
    <w:rsid w:val="00486F0C"/>
    <w:rsid w:val="0049045E"/>
    <w:rsid w:val="00494670"/>
    <w:rsid w:val="00497E76"/>
    <w:rsid w:val="004A09D0"/>
    <w:rsid w:val="004A0EB4"/>
    <w:rsid w:val="004A3823"/>
    <w:rsid w:val="004A59BB"/>
    <w:rsid w:val="004A7A79"/>
    <w:rsid w:val="004B2DF1"/>
    <w:rsid w:val="004B43A3"/>
    <w:rsid w:val="004B4C49"/>
    <w:rsid w:val="004B5559"/>
    <w:rsid w:val="004B58A5"/>
    <w:rsid w:val="004B63D9"/>
    <w:rsid w:val="004B6CB6"/>
    <w:rsid w:val="004C0252"/>
    <w:rsid w:val="004C0882"/>
    <w:rsid w:val="004C55BE"/>
    <w:rsid w:val="004D7A74"/>
    <w:rsid w:val="004E1437"/>
    <w:rsid w:val="004E5B30"/>
    <w:rsid w:val="004F0779"/>
    <w:rsid w:val="004F1230"/>
    <w:rsid w:val="004F173F"/>
    <w:rsid w:val="004F177C"/>
    <w:rsid w:val="004F233B"/>
    <w:rsid w:val="004F2DCE"/>
    <w:rsid w:val="005015C5"/>
    <w:rsid w:val="005039CB"/>
    <w:rsid w:val="0050558F"/>
    <w:rsid w:val="005057E0"/>
    <w:rsid w:val="00506286"/>
    <w:rsid w:val="00510286"/>
    <w:rsid w:val="00510813"/>
    <w:rsid w:val="00511DE0"/>
    <w:rsid w:val="005144D4"/>
    <w:rsid w:val="00517F02"/>
    <w:rsid w:val="00521027"/>
    <w:rsid w:val="00524547"/>
    <w:rsid w:val="005258A2"/>
    <w:rsid w:val="00525EE6"/>
    <w:rsid w:val="00530F7C"/>
    <w:rsid w:val="00533009"/>
    <w:rsid w:val="00534567"/>
    <w:rsid w:val="00534F43"/>
    <w:rsid w:val="00535A84"/>
    <w:rsid w:val="00536817"/>
    <w:rsid w:val="00536889"/>
    <w:rsid w:val="00536F98"/>
    <w:rsid w:val="00541990"/>
    <w:rsid w:val="00541FC8"/>
    <w:rsid w:val="00542E07"/>
    <w:rsid w:val="0055084E"/>
    <w:rsid w:val="00551455"/>
    <w:rsid w:val="00552965"/>
    <w:rsid w:val="00554A7B"/>
    <w:rsid w:val="0055572C"/>
    <w:rsid w:val="00556294"/>
    <w:rsid w:val="0056064F"/>
    <w:rsid w:val="005613A9"/>
    <w:rsid w:val="00561B84"/>
    <w:rsid w:val="00571336"/>
    <w:rsid w:val="00571D98"/>
    <w:rsid w:val="005720AE"/>
    <w:rsid w:val="005731F2"/>
    <w:rsid w:val="0058030D"/>
    <w:rsid w:val="00582045"/>
    <w:rsid w:val="0058541F"/>
    <w:rsid w:val="00585AA7"/>
    <w:rsid w:val="00590AE3"/>
    <w:rsid w:val="00590BF8"/>
    <w:rsid w:val="0059189E"/>
    <w:rsid w:val="005918F1"/>
    <w:rsid w:val="0059525B"/>
    <w:rsid w:val="00595A71"/>
    <w:rsid w:val="005A06B7"/>
    <w:rsid w:val="005A0822"/>
    <w:rsid w:val="005A1759"/>
    <w:rsid w:val="005A64B0"/>
    <w:rsid w:val="005B0905"/>
    <w:rsid w:val="005B5979"/>
    <w:rsid w:val="005B7BB6"/>
    <w:rsid w:val="005C0A18"/>
    <w:rsid w:val="005C37EA"/>
    <w:rsid w:val="005C7E8F"/>
    <w:rsid w:val="005D0369"/>
    <w:rsid w:val="005D4724"/>
    <w:rsid w:val="005D4FAB"/>
    <w:rsid w:val="005D53FE"/>
    <w:rsid w:val="005D7A0F"/>
    <w:rsid w:val="005E0438"/>
    <w:rsid w:val="005E1791"/>
    <w:rsid w:val="005E2CE6"/>
    <w:rsid w:val="005E3004"/>
    <w:rsid w:val="005E553B"/>
    <w:rsid w:val="005E6324"/>
    <w:rsid w:val="005F153F"/>
    <w:rsid w:val="005F228B"/>
    <w:rsid w:val="005F29CD"/>
    <w:rsid w:val="005F2E96"/>
    <w:rsid w:val="005F2F15"/>
    <w:rsid w:val="005F4870"/>
    <w:rsid w:val="005F4DFB"/>
    <w:rsid w:val="005F6CC0"/>
    <w:rsid w:val="00603E5B"/>
    <w:rsid w:val="00604600"/>
    <w:rsid w:val="00604BC8"/>
    <w:rsid w:val="00615B4C"/>
    <w:rsid w:val="00615B5D"/>
    <w:rsid w:val="0062146F"/>
    <w:rsid w:val="00625178"/>
    <w:rsid w:val="0062524D"/>
    <w:rsid w:val="006343AF"/>
    <w:rsid w:val="006362F9"/>
    <w:rsid w:val="0063634A"/>
    <w:rsid w:val="00637A48"/>
    <w:rsid w:val="0064250D"/>
    <w:rsid w:val="00642E5B"/>
    <w:rsid w:val="00643F01"/>
    <w:rsid w:val="00646CAA"/>
    <w:rsid w:val="00651163"/>
    <w:rsid w:val="00651C13"/>
    <w:rsid w:val="006535EB"/>
    <w:rsid w:val="00660E62"/>
    <w:rsid w:val="006620CD"/>
    <w:rsid w:val="00662845"/>
    <w:rsid w:val="00662A62"/>
    <w:rsid w:val="00663016"/>
    <w:rsid w:val="00664D11"/>
    <w:rsid w:val="00671C68"/>
    <w:rsid w:val="00673740"/>
    <w:rsid w:val="00674605"/>
    <w:rsid w:val="006748B8"/>
    <w:rsid w:val="0068535B"/>
    <w:rsid w:val="0068736E"/>
    <w:rsid w:val="00687E67"/>
    <w:rsid w:val="00691DAE"/>
    <w:rsid w:val="00691DBE"/>
    <w:rsid w:val="00692437"/>
    <w:rsid w:val="0069290A"/>
    <w:rsid w:val="00693F2C"/>
    <w:rsid w:val="006968E7"/>
    <w:rsid w:val="00697032"/>
    <w:rsid w:val="0069711A"/>
    <w:rsid w:val="006975AC"/>
    <w:rsid w:val="006A15FB"/>
    <w:rsid w:val="006A34E1"/>
    <w:rsid w:val="006A49E5"/>
    <w:rsid w:val="006A6231"/>
    <w:rsid w:val="006A72BF"/>
    <w:rsid w:val="006B332A"/>
    <w:rsid w:val="006B33BD"/>
    <w:rsid w:val="006B4FC0"/>
    <w:rsid w:val="006B62E5"/>
    <w:rsid w:val="006B6EA6"/>
    <w:rsid w:val="006C1615"/>
    <w:rsid w:val="006C3F75"/>
    <w:rsid w:val="006D170E"/>
    <w:rsid w:val="006D5DEE"/>
    <w:rsid w:val="006E0512"/>
    <w:rsid w:val="006E06AF"/>
    <w:rsid w:val="006E0EDA"/>
    <w:rsid w:val="006E138E"/>
    <w:rsid w:val="006E182D"/>
    <w:rsid w:val="006E6553"/>
    <w:rsid w:val="006E7C74"/>
    <w:rsid w:val="006E7F2F"/>
    <w:rsid w:val="006F1789"/>
    <w:rsid w:val="006F3726"/>
    <w:rsid w:val="006F5BC5"/>
    <w:rsid w:val="00700354"/>
    <w:rsid w:val="00706C5D"/>
    <w:rsid w:val="00706F87"/>
    <w:rsid w:val="007118E6"/>
    <w:rsid w:val="007225C9"/>
    <w:rsid w:val="00725745"/>
    <w:rsid w:val="007339E6"/>
    <w:rsid w:val="00735CD7"/>
    <w:rsid w:val="00740AFC"/>
    <w:rsid w:val="0074322F"/>
    <w:rsid w:val="0074583A"/>
    <w:rsid w:val="00754034"/>
    <w:rsid w:val="0075443C"/>
    <w:rsid w:val="00754BF1"/>
    <w:rsid w:val="00755A30"/>
    <w:rsid w:val="00755E1C"/>
    <w:rsid w:val="00756556"/>
    <w:rsid w:val="0076132B"/>
    <w:rsid w:val="007623AE"/>
    <w:rsid w:val="00770B19"/>
    <w:rsid w:val="007716E8"/>
    <w:rsid w:val="00774FA0"/>
    <w:rsid w:val="00776620"/>
    <w:rsid w:val="00777B6D"/>
    <w:rsid w:val="00781109"/>
    <w:rsid w:val="00784855"/>
    <w:rsid w:val="00784F39"/>
    <w:rsid w:val="0078545C"/>
    <w:rsid w:val="00785B23"/>
    <w:rsid w:val="00785E4B"/>
    <w:rsid w:val="007906C4"/>
    <w:rsid w:val="00793745"/>
    <w:rsid w:val="007940EA"/>
    <w:rsid w:val="007967E8"/>
    <w:rsid w:val="007A319C"/>
    <w:rsid w:val="007A63F2"/>
    <w:rsid w:val="007B3815"/>
    <w:rsid w:val="007B68DE"/>
    <w:rsid w:val="007C09D5"/>
    <w:rsid w:val="007C0AD1"/>
    <w:rsid w:val="007C1857"/>
    <w:rsid w:val="007C1CEE"/>
    <w:rsid w:val="007C514F"/>
    <w:rsid w:val="007D0F95"/>
    <w:rsid w:val="007D6065"/>
    <w:rsid w:val="007D7ECB"/>
    <w:rsid w:val="007E0E0B"/>
    <w:rsid w:val="007E25A1"/>
    <w:rsid w:val="007E3B6A"/>
    <w:rsid w:val="007E4BD2"/>
    <w:rsid w:val="007E7145"/>
    <w:rsid w:val="007F36B5"/>
    <w:rsid w:val="007F3916"/>
    <w:rsid w:val="00801179"/>
    <w:rsid w:val="00802479"/>
    <w:rsid w:val="00805372"/>
    <w:rsid w:val="00805B7B"/>
    <w:rsid w:val="00810FE1"/>
    <w:rsid w:val="0081293E"/>
    <w:rsid w:val="00813DF5"/>
    <w:rsid w:val="00814FFB"/>
    <w:rsid w:val="00820568"/>
    <w:rsid w:val="00831A80"/>
    <w:rsid w:val="008331D1"/>
    <w:rsid w:val="008332C8"/>
    <w:rsid w:val="00833743"/>
    <w:rsid w:val="008340A4"/>
    <w:rsid w:val="008341AA"/>
    <w:rsid w:val="00834786"/>
    <w:rsid w:val="00836799"/>
    <w:rsid w:val="00837028"/>
    <w:rsid w:val="008370D9"/>
    <w:rsid w:val="00837131"/>
    <w:rsid w:val="00841BC0"/>
    <w:rsid w:val="008428A1"/>
    <w:rsid w:val="00845AA6"/>
    <w:rsid w:val="00845F57"/>
    <w:rsid w:val="00845F74"/>
    <w:rsid w:val="00846DE2"/>
    <w:rsid w:val="00847879"/>
    <w:rsid w:val="008504C6"/>
    <w:rsid w:val="008521E0"/>
    <w:rsid w:val="00852447"/>
    <w:rsid w:val="008525B0"/>
    <w:rsid w:val="00860CA1"/>
    <w:rsid w:val="00867CBC"/>
    <w:rsid w:val="008714B3"/>
    <w:rsid w:val="00871665"/>
    <w:rsid w:val="00872802"/>
    <w:rsid w:val="00872C25"/>
    <w:rsid w:val="00872D96"/>
    <w:rsid w:val="00876C30"/>
    <w:rsid w:val="00877017"/>
    <w:rsid w:val="008773C0"/>
    <w:rsid w:val="00880364"/>
    <w:rsid w:val="00880BAD"/>
    <w:rsid w:val="008839A8"/>
    <w:rsid w:val="00886C4C"/>
    <w:rsid w:val="0088711C"/>
    <w:rsid w:val="00891849"/>
    <w:rsid w:val="00892ECF"/>
    <w:rsid w:val="00892F06"/>
    <w:rsid w:val="00894285"/>
    <w:rsid w:val="00895F88"/>
    <w:rsid w:val="008A3D38"/>
    <w:rsid w:val="008A40AE"/>
    <w:rsid w:val="008A4E19"/>
    <w:rsid w:val="008A67C5"/>
    <w:rsid w:val="008B22E1"/>
    <w:rsid w:val="008B3C78"/>
    <w:rsid w:val="008B4AE9"/>
    <w:rsid w:val="008B577D"/>
    <w:rsid w:val="008B5E5A"/>
    <w:rsid w:val="008C1A00"/>
    <w:rsid w:val="008C30AD"/>
    <w:rsid w:val="008C46A1"/>
    <w:rsid w:val="008C4CC6"/>
    <w:rsid w:val="008D0634"/>
    <w:rsid w:val="008D068E"/>
    <w:rsid w:val="008D0F7A"/>
    <w:rsid w:val="008D3C0E"/>
    <w:rsid w:val="008D4044"/>
    <w:rsid w:val="008D63BE"/>
    <w:rsid w:val="008E0CFF"/>
    <w:rsid w:val="008E5D6B"/>
    <w:rsid w:val="008E689B"/>
    <w:rsid w:val="008E76F0"/>
    <w:rsid w:val="008F15FE"/>
    <w:rsid w:val="008F2726"/>
    <w:rsid w:val="008F2A94"/>
    <w:rsid w:val="008F378F"/>
    <w:rsid w:val="008F3E08"/>
    <w:rsid w:val="008F4A22"/>
    <w:rsid w:val="008F5187"/>
    <w:rsid w:val="008F709C"/>
    <w:rsid w:val="0090312B"/>
    <w:rsid w:val="00903185"/>
    <w:rsid w:val="00904961"/>
    <w:rsid w:val="009054D4"/>
    <w:rsid w:val="00905AB2"/>
    <w:rsid w:val="00906124"/>
    <w:rsid w:val="00916E12"/>
    <w:rsid w:val="0091736D"/>
    <w:rsid w:val="009235AD"/>
    <w:rsid w:val="0092592C"/>
    <w:rsid w:val="00926059"/>
    <w:rsid w:val="00930AA7"/>
    <w:rsid w:val="00931001"/>
    <w:rsid w:val="00931863"/>
    <w:rsid w:val="009329F5"/>
    <w:rsid w:val="00933524"/>
    <w:rsid w:val="00940ED4"/>
    <w:rsid w:val="00941EEC"/>
    <w:rsid w:val="0094278D"/>
    <w:rsid w:val="00942DC7"/>
    <w:rsid w:val="0095308A"/>
    <w:rsid w:val="00955AEE"/>
    <w:rsid w:val="00956F14"/>
    <w:rsid w:val="009620FD"/>
    <w:rsid w:val="0096247A"/>
    <w:rsid w:val="0096332F"/>
    <w:rsid w:val="00963805"/>
    <w:rsid w:val="00964462"/>
    <w:rsid w:val="00965F4B"/>
    <w:rsid w:val="009701B2"/>
    <w:rsid w:val="00970F8A"/>
    <w:rsid w:val="00971FB5"/>
    <w:rsid w:val="00972D2A"/>
    <w:rsid w:val="00973851"/>
    <w:rsid w:val="00975CC5"/>
    <w:rsid w:val="00976328"/>
    <w:rsid w:val="00976B4E"/>
    <w:rsid w:val="0097768E"/>
    <w:rsid w:val="00984458"/>
    <w:rsid w:val="00985283"/>
    <w:rsid w:val="00986D1A"/>
    <w:rsid w:val="00987322"/>
    <w:rsid w:val="009A0F3B"/>
    <w:rsid w:val="009A0FE3"/>
    <w:rsid w:val="009A2263"/>
    <w:rsid w:val="009A3549"/>
    <w:rsid w:val="009A72C7"/>
    <w:rsid w:val="009B0897"/>
    <w:rsid w:val="009B4B03"/>
    <w:rsid w:val="009D0852"/>
    <w:rsid w:val="009D1FBF"/>
    <w:rsid w:val="009D753E"/>
    <w:rsid w:val="009E2ECB"/>
    <w:rsid w:val="009E399C"/>
    <w:rsid w:val="009E43C1"/>
    <w:rsid w:val="009E5480"/>
    <w:rsid w:val="009E7E95"/>
    <w:rsid w:val="009F064C"/>
    <w:rsid w:val="009F116F"/>
    <w:rsid w:val="009F133E"/>
    <w:rsid w:val="009F329E"/>
    <w:rsid w:val="009F7ED3"/>
    <w:rsid w:val="00A03607"/>
    <w:rsid w:val="00A047FF"/>
    <w:rsid w:val="00A04FEF"/>
    <w:rsid w:val="00A07881"/>
    <w:rsid w:val="00A10E51"/>
    <w:rsid w:val="00A122CD"/>
    <w:rsid w:val="00A12A32"/>
    <w:rsid w:val="00A14248"/>
    <w:rsid w:val="00A14947"/>
    <w:rsid w:val="00A2007E"/>
    <w:rsid w:val="00A23DC5"/>
    <w:rsid w:val="00A24726"/>
    <w:rsid w:val="00A32252"/>
    <w:rsid w:val="00A34028"/>
    <w:rsid w:val="00A35568"/>
    <w:rsid w:val="00A35720"/>
    <w:rsid w:val="00A37056"/>
    <w:rsid w:val="00A4358F"/>
    <w:rsid w:val="00A46F67"/>
    <w:rsid w:val="00A479E2"/>
    <w:rsid w:val="00A47E70"/>
    <w:rsid w:val="00A54AA1"/>
    <w:rsid w:val="00A568FF"/>
    <w:rsid w:val="00A57106"/>
    <w:rsid w:val="00A60CCC"/>
    <w:rsid w:val="00A61496"/>
    <w:rsid w:val="00A61833"/>
    <w:rsid w:val="00A624C6"/>
    <w:rsid w:val="00A63CEC"/>
    <w:rsid w:val="00A66C99"/>
    <w:rsid w:val="00A675A6"/>
    <w:rsid w:val="00A67677"/>
    <w:rsid w:val="00A702E4"/>
    <w:rsid w:val="00A7031E"/>
    <w:rsid w:val="00A7130B"/>
    <w:rsid w:val="00A71524"/>
    <w:rsid w:val="00A71930"/>
    <w:rsid w:val="00A728B1"/>
    <w:rsid w:val="00A734B3"/>
    <w:rsid w:val="00A763DE"/>
    <w:rsid w:val="00A767AA"/>
    <w:rsid w:val="00A80289"/>
    <w:rsid w:val="00A803D6"/>
    <w:rsid w:val="00A81282"/>
    <w:rsid w:val="00A81A93"/>
    <w:rsid w:val="00A828D4"/>
    <w:rsid w:val="00A8713F"/>
    <w:rsid w:val="00A8717C"/>
    <w:rsid w:val="00A90509"/>
    <w:rsid w:val="00A91167"/>
    <w:rsid w:val="00A9171C"/>
    <w:rsid w:val="00A92FFD"/>
    <w:rsid w:val="00A95975"/>
    <w:rsid w:val="00A9708D"/>
    <w:rsid w:val="00AA2C17"/>
    <w:rsid w:val="00AA4172"/>
    <w:rsid w:val="00AA44D6"/>
    <w:rsid w:val="00AA5C3C"/>
    <w:rsid w:val="00AB1914"/>
    <w:rsid w:val="00AB5330"/>
    <w:rsid w:val="00AB5F39"/>
    <w:rsid w:val="00AB6C90"/>
    <w:rsid w:val="00AB7747"/>
    <w:rsid w:val="00AB776E"/>
    <w:rsid w:val="00AC2532"/>
    <w:rsid w:val="00AD1507"/>
    <w:rsid w:val="00AD5A70"/>
    <w:rsid w:val="00AD60AC"/>
    <w:rsid w:val="00AD738B"/>
    <w:rsid w:val="00AE1BF4"/>
    <w:rsid w:val="00AE5D97"/>
    <w:rsid w:val="00AE61C9"/>
    <w:rsid w:val="00AE6794"/>
    <w:rsid w:val="00AF0702"/>
    <w:rsid w:val="00AF6EF1"/>
    <w:rsid w:val="00B00879"/>
    <w:rsid w:val="00B01110"/>
    <w:rsid w:val="00B02262"/>
    <w:rsid w:val="00B02CEA"/>
    <w:rsid w:val="00B03CEC"/>
    <w:rsid w:val="00B05C83"/>
    <w:rsid w:val="00B0654A"/>
    <w:rsid w:val="00B1209F"/>
    <w:rsid w:val="00B12AD0"/>
    <w:rsid w:val="00B14501"/>
    <w:rsid w:val="00B22A5C"/>
    <w:rsid w:val="00B24F30"/>
    <w:rsid w:val="00B31329"/>
    <w:rsid w:val="00B31ABF"/>
    <w:rsid w:val="00B335AE"/>
    <w:rsid w:val="00B37CE1"/>
    <w:rsid w:val="00B40ACF"/>
    <w:rsid w:val="00B46BAA"/>
    <w:rsid w:val="00B50B5F"/>
    <w:rsid w:val="00B54128"/>
    <w:rsid w:val="00B55817"/>
    <w:rsid w:val="00B55826"/>
    <w:rsid w:val="00B57559"/>
    <w:rsid w:val="00B60426"/>
    <w:rsid w:val="00B622DD"/>
    <w:rsid w:val="00B63522"/>
    <w:rsid w:val="00B63F09"/>
    <w:rsid w:val="00B656F5"/>
    <w:rsid w:val="00B752C8"/>
    <w:rsid w:val="00B76F1D"/>
    <w:rsid w:val="00B8026A"/>
    <w:rsid w:val="00B80E2B"/>
    <w:rsid w:val="00B85B46"/>
    <w:rsid w:val="00B90D39"/>
    <w:rsid w:val="00B92A19"/>
    <w:rsid w:val="00B93CCB"/>
    <w:rsid w:val="00B9544C"/>
    <w:rsid w:val="00B9770D"/>
    <w:rsid w:val="00BA016C"/>
    <w:rsid w:val="00BA1093"/>
    <w:rsid w:val="00BA29E9"/>
    <w:rsid w:val="00BA5831"/>
    <w:rsid w:val="00BA59B1"/>
    <w:rsid w:val="00BA634D"/>
    <w:rsid w:val="00BA685B"/>
    <w:rsid w:val="00BA7F06"/>
    <w:rsid w:val="00BB128C"/>
    <w:rsid w:val="00BB3618"/>
    <w:rsid w:val="00BB4362"/>
    <w:rsid w:val="00BB656B"/>
    <w:rsid w:val="00BC0C9E"/>
    <w:rsid w:val="00BC32DC"/>
    <w:rsid w:val="00BC5D19"/>
    <w:rsid w:val="00BC6BD9"/>
    <w:rsid w:val="00BC6D18"/>
    <w:rsid w:val="00BC7BF9"/>
    <w:rsid w:val="00BD0494"/>
    <w:rsid w:val="00BD0956"/>
    <w:rsid w:val="00BD1B51"/>
    <w:rsid w:val="00BD21EC"/>
    <w:rsid w:val="00BD47F6"/>
    <w:rsid w:val="00BD6988"/>
    <w:rsid w:val="00BD78BB"/>
    <w:rsid w:val="00BE312D"/>
    <w:rsid w:val="00BE3FCA"/>
    <w:rsid w:val="00BE60E2"/>
    <w:rsid w:val="00BF5B02"/>
    <w:rsid w:val="00BF61BE"/>
    <w:rsid w:val="00C05719"/>
    <w:rsid w:val="00C10578"/>
    <w:rsid w:val="00C16E25"/>
    <w:rsid w:val="00C17D62"/>
    <w:rsid w:val="00C17F7D"/>
    <w:rsid w:val="00C21FDC"/>
    <w:rsid w:val="00C24EE7"/>
    <w:rsid w:val="00C2596A"/>
    <w:rsid w:val="00C263A1"/>
    <w:rsid w:val="00C271BE"/>
    <w:rsid w:val="00C27425"/>
    <w:rsid w:val="00C27E87"/>
    <w:rsid w:val="00C319D9"/>
    <w:rsid w:val="00C328FE"/>
    <w:rsid w:val="00C33A05"/>
    <w:rsid w:val="00C36839"/>
    <w:rsid w:val="00C42500"/>
    <w:rsid w:val="00C4409D"/>
    <w:rsid w:val="00C455BE"/>
    <w:rsid w:val="00C51E5F"/>
    <w:rsid w:val="00C526BA"/>
    <w:rsid w:val="00C551D5"/>
    <w:rsid w:val="00C55C16"/>
    <w:rsid w:val="00C56CEC"/>
    <w:rsid w:val="00C61E4B"/>
    <w:rsid w:val="00C62E3A"/>
    <w:rsid w:val="00C64503"/>
    <w:rsid w:val="00C64526"/>
    <w:rsid w:val="00C64A1F"/>
    <w:rsid w:val="00C64BFF"/>
    <w:rsid w:val="00C763C9"/>
    <w:rsid w:val="00C80057"/>
    <w:rsid w:val="00C82C79"/>
    <w:rsid w:val="00C84753"/>
    <w:rsid w:val="00C8785D"/>
    <w:rsid w:val="00C91611"/>
    <w:rsid w:val="00C94CC1"/>
    <w:rsid w:val="00CA1236"/>
    <w:rsid w:val="00CA3585"/>
    <w:rsid w:val="00CA3D5A"/>
    <w:rsid w:val="00CA4C7C"/>
    <w:rsid w:val="00CB0183"/>
    <w:rsid w:val="00CB1EA3"/>
    <w:rsid w:val="00CB4909"/>
    <w:rsid w:val="00CB552C"/>
    <w:rsid w:val="00CB6A9E"/>
    <w:rsid w:val="00CC0CCB"/>
    <w:rsid w:val="00CC500D"/>
    <w:rsid w:val="00CC6181"/>
    <w:rsid w:val="00CD091C"/>
    <w:rsid w:val="00CD15D8"/>
    <w:rsid w:val="00CD2BCD"/>
    <w:rsid w:val="00CD36AA"/>
    <w:rsid w:val="00CD3791"/>
    <w:rsid w:val="00CD4751"/>
    <w:rsid w:val="00CD65B0"/>
    <w:rsid w:val="00CE02CD"/>
    <w:rsid w:val="00CE10E9"/>
    <w:rsid w:val="00CF4437"/>
    <w:rsid w:val="00CF5C07"/>
    <w:rsid w:val="00D0072E"/>
    <w:rsid w:val="00D01A3F"/>
    <w:rsid w:val="00D15727"/>
    <w:rsid w:val="00D16332"/>
    <w:rsid w:val="00D16A9D"/>
    <w:rsid w:val="00D209E9"/>
    <w:rsid w:val="00D24972"/>
    <w:rsid w:val="00D2515E"/>
    <w:rsid w:val="00D259DB"/>
    <w:rsid w:val="00D26A9B"/>
    <w:rsid w:val="00D308ED"/>
    <w:rsid w:val="00D3149B"/>
    <w:rsid w:val="00D32C39"/>
    <w:rsid w:val="00D47816"/>
    <w:rsid w:val="00D55CE2"/>
    <w:rsid w:val="00D56178"/>
    <w:rsid w:val="00D56CF0"/>
    <w:rsid w:val="00D56F5C"/>
    <w:rsid w:val="00D64AE0"/>
    <w:rsid w:val="00D65818"/>
    <w:rsid w:val="00D65FBB"/>
    <w:rsid w:val="00D704B1"/>
    <w:rsid w:val="00D70B63"/>
    <w:rsid w:val="00D70E09"/>
    <w:rsid w:val="00D72B92"/>
    <w:rsid w:val="00D72ED4"/>
    <w:rsid w:val="00D733BC"/>
    <w:rsid w:val="00D73F61"/>
    <w:rsid w:val="00D754C0"/>
    <w:rsid w:val="00D75A4D"/>
    <w:rsid w:val="00D75F69"/>
    <w:rsid w:val="00D76689"/>
    <w:rsid w:val="00D776A2"/>
    <w:rsid w:val="00D801C4"/>
    <w:rsid w:val="00D80F57"/>
    <w:rsid w:val="00D8331C"/>
    <w:rsid w:val="00D902D2"/>
    <w:rsid w:val="00D90836"/>
    <w:rsid w:val="00D95896"/>
    <w:rsid w:val="00D95CC6"/>
    <w:rsid w:val="00DA2DA3"/>
    <w:rsid w:val="00DA6615"/>
    <w:rsid w:val="00DA76AE"/>
    <w:rsid w:val="00DB071D"/>
    <w:rsid w:val="00DB181E"/>
    <w:rsid w:val="00DB1C7A"/>
    <w:rsid w:val="00DB2983"/>
    <w:rsid w:val="00DB343D"/>
    <w:rsid w:val="00DB3CEB"/>
    <w:rsid w:val="00DB5579"/>
    <w:rsid w:val="00DB5CFE"/>
    <w:rsid w:val="00DC12B9"/>
    <w:rsid w:val="00DC4BA3"/>
    <w:rsid w:val="00DC72A6"/>
    <w:rsid w:val="00DD2113"/>
    <w:rsid w:val="00DD265E"/>
    <w:rsid w:val="00DD67BF"/>
    <w:rsid w:val="00DE5A67"/>
    <w:rsid w:val="00DF187A"/>
    <w:rsid w:val="00DF1930"/>
    <w:rsid w:val="00DF2CF9"/>
    <w:rsid w:val="00DF514A"/>
    <w:rsid w:val="00E0155C"/>
    <w:rsid w:val="00E0358D"/>
    <w:rsid w:val="00E06327"/>
    <w:rsid w:val="00E13A1F"/>
    <w:rsid w:val="00E2064B"/>
    <w:rsid w:val="00E20692"/>
    <w:rsid w:val="00E23AA3"/>
    <w:rsid w:val="00E24BC5"/>
    <w:rsid w:val="00E25239"/>
    <w:rsid w:val="00E265B1"/>
    <w:rsid w:val="00E275B0"/>
    <w:rsid w:val="00E34DFC"/>
    <w:rsid w:val="00E412D0"/>
    <w:rsid w:val="00E43723"/>
    <w:rsid w:val="00E467E5"/>
    <w:rsid w:val="00E47931"/>
    <w:rsid w:val="00E47CDB"/>
    <w:rsid w:val="00E53D4D"/>
    <w:rsid w:val="00E566BC"/>
    <w:rsid w:val="00E56C14"/>
    <w:rsid w:val="00E60982"/>
    <w:rsid w:val="00E60C8D"/>
    <w:rsid w:val="00E6162F"/>
    <w:rsid w:val="00E6311B"/>
    <w:rsid w:val="00E65D97"/>
    <w:rsid w:val="00E67EFD"/>
    <w:rsid w:val="00E702DC"/>
    <w:rsid w:val="00E71FFB"/>
    <w:rsid w:val="00E76D1D"/>
    <w:rsid w:val="00E806F8"/>
    <w:rsid w:val="00E80BB0"/>
    <w:rsid w:val="00E869EE"/>
    <w:rsid w:val="00E873B5"/>
    <w:rsid w:val="00E87752"/>
    <w:rsid w:val="00E8793B"/>
    <w:rsid w:val="00E90F81"/>
    <w:rsid w:val="00E91A6D"/>
    <w:rsid w:val="00E9242D"/>
    <w:rsid w:val="00E97C53"/>
    <w:rsid w:val="00EA1876"/>
    <w:rsid w:val="00EA2494"/>
    <w:rsid w:val="00EA39ED"/>
    <w:rsid w:val="00EA6E83"/>
    <w:rsid w:val="00EB041C"/>
    <w:rsid w:val="00EB4B09"/>
    <w:rsid w:val="00EB6D87"/>
    <w:rsid w:val="00EC2DB8"/>
    <w:rsid w:val="00EC34A0"/>
    <w:rsid w:val="00EC3836"/>
    <w:rsid w:val="00EC5874"/>
    <w:rsid w:val="00ED0E0A"/>
    <w:rsid w:val="00ED192D"/>
    <w:rsid w:val="00ED30B4"/>
    <w:rsid w:val="00ED31F5"/>
    <w:rsid w:val="00ED6A47"/>
    <w:rsid w:val="00EF2759"/>
    <w:rsid w:val="00EF43C6"/>
    <w:rsid w:val="00EF45EB"/>
    <w:rsid w:val="00EF46E4"/>
    <w:rsid w:val="00EF5099"/>
    <w:rsid w:val="00EF5E33"/>
    <w:rsid w:val="00F00075"/>
    <w:rsid w:val="00F0378F"/>
    <w:rsid w:val="00F047EF"/>
    <w:rsid w:val="00F0496B"/>
    <w:rsid w:val="00F06649"/>
    <w:rsid w:val="00F07822"/>
    <w:rsid w:val="00F10CE6"/>
    <w:rsid w:val="00F10E74"/>
    <w:rsid w:val="00F15C95"/>
    <w:rsid w:val="00F160AF"/>
    <w:rsid w:val="00F160F5"/>
    <w:rsid w:val="00F1680E"/>
    <w:rsid w:val="00F17FDF"/>
    <w:rsid w:val="00F222F2"/>
    <w:rsid w:val="00F225F5"/>
    <w:rsid w:val="00F22985"/>
    <w:rsid w:val="00F236FD"/>
    <w:rsid w:val="00F241AB"/>
    <w:rsid w:val="00F251B6"/>
    <w:rsid w:val="00F3096B"/>
    <w:rsid w:val="00F31382"/>
    <w:rsid w:val="00F35829"/>
    <w:rsid w:val="00F409D4"/>
    <w:rsid w:val="00F42868"/>
    <w:rsid w:val="00F465A7"/>
    <w:rsid w:val="00F46764"/>
    <w:rsid w:val="00F50B7C"/>
    <w:rsid w:val="00F5202D"/>
    <w:rsid w:val="00F52CF6"/>
    <w:rsid w:val="00F54496"/>
    <w:rsid w:val="00F61097"/>
    <w:rsid w:val="00F62264"/>
    <w:rsid w:val="00F630E8"/>
    <w:rsid w:val="00F71F75"/>
    <w:rsid w:val="00F7230B"/>
    <w:rsid w:val="00F74345"/>
    <w:rsid w:val="00F74441"/>
    <w:rsid w:val="00F74487"/>
    <w:rsid w:val="00F76833"/>
    <w:rsid w:val="00F76A7C"/>
    <w:rsid w:val="00F76FE2"/>
    <w:rsid w:val="00F77F30"/>
    <w:rsid w:val="00F82589"/>
    <w:rsid w:val="00F82B19"/>
    <w:rsid w:val="00F84389"/>
    <w:rsid w:val="00F85CC3"/>
    <w:rsid w:val="00F90AA7"/>
    <w:rsid w:val="00F9212D"/>
    <w:rsid w:val="00F92EB3"/>
    <w:rsid w:val="00FA301A"/>
    <w:rsid w:val="00FA405B"/>
    <w:rsid w:val="00FA406A"/>
    <w:rsid w:val="00FA5CB6"/>
    <w:rsid w:val="00FB0245"/>
    <w:rsid w:val="00FB279F"/>
    <w:rsid w:val="00FB2864"/>
    <w:rsid w:val="00FC21A4"/>
    <w:rsid w:val="00FC34E1"/>
    <w:rsid w:val="00FC4EF5"/>
    <w:rsid w:val="00FC5B3F"/>
    <w:rsid w:val="00FC66AC"/>
    <w:rsid w:val="00FC7AFA"/>
    <w:rsid w:val="00FD18F4"/>
    <w:rsid w:val="00FD31BF"/>
    <w:rsid w:val="00FD729F"/>
    <w:rsid w:val="00FD74B4"/>
    <w:rsid w:val="00FE0D85"/>
    <w:rsid w:val="00FE2678"/>
    <w:rsid w:val="00FE3321"/>
    <w:rsid w:val="00FE339C"/>
    <w:rsid w:val="00FE3AB3"/>
    <w:rsid w:val="00FE7FE3"/>
    <w:rsid w:val="00FF10A9"/>
    <w:rsid w:val="00FF6FCE"/>
    <w:rsid w:val="00FF7518"/>
    <w:rsid w:val="00FF7FD8"/>
    <w:rsid w:val="012A4F88"/>
    <w:rsid w:val="019C2F42"/>
    <w:rsid w:val="024A7BAF"/>
    <w:rsid w:val="025739FF"/>
    <w:rsid w:val="027F0426"/>
    <w:rsid w:val="0281282A"/>
    <w:rsid w:val="02915E9D"/>
    <w:rsid w:val="029C7664"/>
    <w:rsid w:val="02D84D77"/>
    <w:rsid w:val="0305797D"/>
    <w:rsid w:val="033A05E5"/>
    <w:rsid w:val="035B6E9D"/>
    <w:rsid w:val="03CE413A"/>
    <w:rsid w:val="03FF4B96"/>
    <w:rsid w:val="040E11E6"/>
    <w:rsid w:val="044F24F6"/>
    <w:rsid w:val="046A3171"/>
    <w:rsid w:val="04794EA6"/>
    <w:rsid w:val="04B12E02"/>
    <w:rsid w:val="04BF5B95"/>
    <w:rsid w:val="04F025E4"/>
    <w:rsid w:val="04FD3E4D"/>
    <w:rsid w:val="05113B5A"/>
    <w:rsid w:val="05294579"/>
    <w:rsid w:val="05570A53"/>
    <w:rsid w:val="055C132D"/>
    <w:rsid w:val="05742AC8"/>
    <w:rsid w:val="059A49D0"/>
    <w:rsid w:val="060262BF"/>
    <w:rsid w:val="062F6A41"/>
    <w:rsid w:val="06337603"/>
    <w:rsid w:val="06352F05"/>
    <w:rsid w:val="063E7D85"/>
    <w:rsid w:val="068C5D45"/>
    <w:rsid w:val="069858DD"/>
    <w:rsid w:val="069B2982"/>
    <w:rsid w:val="069D6D66"/>
    <w:rsid w:val="070875E0"/>
    <w:rsid w:val="07293586"/>
    <w:rsid w:val="07295285"/>
    <w:rsid w:val="07770C56"/>
    <w:rsid w:val="07BE007D"/>
    <w:rsid w:val="07EA4D8C"/>
    <w:rsid w:val="07F43D25"/>
    <w:rsid w:val="083A505A"/>
    <w:rsid w:val="08A01AA5"/>
    <w:rsid w:val="08AB6853"/>
    <w:rsid w:val="08F71041"/>
    <w:rsid w:val="08FA3336"/>
    <w:rsid w:val="092217DD"/>
    <w:rsid w:val="092F174C"/>
    <w:rsid w:val="093A7294"/>
    <w:rsid w:val="093A7BD7"/>
    <w:rsid w:val="0A1841FE"/>
    <w:rsid w:val="0A841672"/>
    <w:rsid w:val="0A8B3026"/>
    <w:rsid w:val="0ABE7602"/>
    <w:rsid w:val="0AFB3F4C"/>
    <w:rsid w:val="0B341748"/>
    <w:rsid w:val="0B5813BF"/>
    <w:rsid w:val="0BA23811"/>
    <w:rsid w:val="0BD04822"/>
    <w:rsid w:val="0BD27BF6"/>
    <w:rsid w:val="0C1069CD"/>
    <w:rsid w:val="0C155CF3"/>
    <w:rsid w:val="0C2F2FA9"/>
    <w:rsid w:val="0C684A5B"/>
    <w:rsid w:val="0C783BC6"/>
    <w:rsid w:val="0D174738"/>
    <w:rsid w:val="0D607DC0"/>
    <w:rsid w:val="0DB040A8"/>
    <w:rsid w:val="0DE6259C"/>
    <w:rsid w:val="0E110D06"/>
    <w:rsid w:val="0E794E7D"/>
    <w:rsid w:val="0E87741A"/>
    <w:rsid w:val="0F13775A"/>
    <w:rsid w:val="0F254129"/>
    <w:rsid w:val="0F2E7896"/>
    <w:rsid w:val="0F346102"/>
    <w:rsid w:val="0F671A32"/>
    <w:rsid w:val="0F684B78"/>
    <w:rsid w:val="0F917E25"/>
    <w:rsid w:val="0F9A112B"/>
    <w:rsid w:val="0FA20284"/>
    <w:rsid w:val="0FB82F5E"/>
    <w:rsid w:val="0FC87CEA"/>
    <w:rsid w:val="0FCE72CB"/>
    <w:rsid w:val="0FD85BAB"/>
    <w:rsid w:val="10491C43"/>
    <w:rsid w:val="106D2F64"/>
    <w:rsid w:val="10B63710"/>
    <w:rsid w:val="11064836"/>
    <w:rsid w:val="111C2F7A"/>
    <w:rsid w:val="113013DE"/>
    <w:rsid w:val="11784768"/>
    <w:rsid w:val="118A00C5"/>
    <w:rsid w:val="11BD75F7"/>
    <w:rsid w:val="11CD36EE"/>
    <w:rsid w:val="11FD5C45"/>
    <w:rsid w:val="121E4061"/>
    <w:rsid w:val="122B06C2"/>
    <w:rsid w:val="122D2087"/>
    <w:rsid w:val="12D44BF8"/>
    <w:rsid w:val="12F173CF"/>
    <w:rsid w:val="13005682"/>
    <w:rsid w:val="137D0DEC"/>
    <w:rsid w:val="13841D40"/>
    <w:rsid w:val="13951726"/>
    <w:rsid w:val="13AE1551"/>
    <w:rsid w:val="13DF6E3E"/>
    <w:rsid w:val="13EE3C3A"/>
    <w:rsid w:val="14396509"/>
    <w:rsid w:val="1447165C"/>
    <w:rsid w:val="145A6BFB"/>
    <w:rsid w:val="14EB1382"/>
    <w:rsid w:val="155B515D"/>
    <w:rsid w:val="15744470"/>
    <w:rsid w:val="157A2AC8"/>
    <w:rsid w:val="15B341B0"/>
    <w:rsid w:val="15C0054B"/>
    <w:rsid w:val="15D05B4B"/>
    <w:rsid w:val="15ED20CD"/>
    <w:rsid w:val="163A1454"/>
    <w:rsid w:val="16581A7F"/>
    <w:rsid w:val="165D4F05"/>
    <w:rsid w:val="167F33D5"/>
    <w:rsid w:val="16D144B6"/>
    <w:rsid w:val="17342109"/>
    <w:rsid w:val="17606A5A"/>
    <w:rsid w:val="176A74F8"/>
    <w:rsid w:val="176C41FD"/>
    <w:rsid w:val="17705E48"/>
    <w:rsid w:val="17735226"/>
    <w:rsid w:val="177D4F26"/>
    <w:rsid w:val="17DC623F"/>
    <w:rsid w:val="17E20348"/>
    <w:rsid w:val="1808630A"/>
    <w:rsid w:val="181F7875"/>
    <w:rsid w:val="1832618D"/>
    <w:rsid w:val="18913115"/>
    <w:rsid w:val="18EC0939"/>
    <w:rsid w:val="19514280"/>
    <w:rsid w:val="1995435F"/>
    <w:rsid w:val="19C21C4E"/>
    <w:rsid w:val="19DC5C37"/>
    <w:rsid w:val="19F00E89"/>
    <w:rsid w:val="1A1C66C0"/>
    <w:rsid w:val="1A42393B"/>
    <w:rsid w:val="1A4C59BC"/>
    <w:rsid w:val="1A881BD3"/>
    <w:rsid w:val="1A9A1B4D"/>
    <w:rsid w:val="1AB41D72"/>
    <w:rsid w:val="1AE26695"/>
    <w:rsid w:val="1B046F80"/>
    <w:rsid w:val="1B192AA5"/>
    <w:rsid w:val="1B1D02F9"/>
    <w:rsid w:val="1B3267B5"/>
    <w:rsid w:val="1B4A6BB9"/>
    <w:rsid w:val="1B8823D1"/>
    <w:rsid w:val="1B990D75"/>
    <w:rsid w:val="1BAB415B"/>
    <w:rsid w:val="1BB455C7"/>
    <w:rsid w:val="1BC25DC8"/>
    <w:rsid w:val="1C220782"/>
    <w:rsid w:val="1C5E7925"/>
    <w:rsid w:val="1C887FC8"/>
    <w:rsid w:val="1CC21F65"/>
    <w:rsid w:val="1CE912A0"/>
    <w:rsid w:val="1D5F1562"/>
    <w:rsid w:val="1D5F6196"/>
    <w:rsid w:val="1D6132A5"/>
    <w:rsid w:val="1D887881"/>
    <w:rsid w:val="1D8E56D5"/>
    <w:rsid w:val="1DC259CF"/>
    <w:rsid w:val="1DDA3A89"/>
    <w:rsid w:val="1DE119D8"/>
    <w:rsid w:val="1E652BA8"/>
    <w:rsid w:val="1E7A43DA"/>
    <w:rsid w:val="1E8719CA"/>
    <w:rsid w:val="1E9866AA"/>
    <w:rsid w:val="1EB277FE"/>
    <w:rsid w:val="1EDB02AE"/>
    <w:rsid w:val="1F15084D"/>
    <w:rsid w:val="1F28440B"/>
    <w:rsid w:val="1F3D3B25"/>
    <w:rsid w:val="1F4F0BD0"/>
    <w:rsid w:val="1F781F9A"/>
    <w:rsid w:val="1FA45952"/>
    <w:rsid w:val="1FE7539E"/>
    <w:rsid w:val="200B035A"/>
    <w:rsid w:val="207227AC"/>
    <w:rsid w:val="207531BB"/>
    <w:rsid w:val="207708B2"/>
    <w:rsid w:val="20963CB8"/>
    <w:rsid w:val="20B07FB6"/>
    <w:rsid w:val="20B4512D"/>
    <w:rsid w:val="21081E03"/>
    <w:rsid w:val="210E20EA"/>
    <w:rsid w:val="213827F6"/>
    <w:rsid w:val="213B74B1"/>
    <w:rsid w:val="215A2310"/>
    <w:rsid w:val="219436D8"/>
    <w:rsid w:val="219D4563"/>
    <w:rsid w:val="21BE0F4D"/>
    <w:rsid w:val="21DE318A"/>
    <w:rsid w:val="21EB3156"/>
    <w:rsid w:val="21EF5B80"/>
    <w:rsid w:val="22220D29"/>
    <w:rsid w:val="22473E0E"/>
    <w:rsid w:val="22576990"/>
    <w:rsid w:val="226F57C5"/>
    <w:rsid w:val="229C4EAB"/>
    <w:rsid w:val="22B3508E"/>
    <w:rsid w:val="22BE6D2B"/>
    <w:rsid w:val="22C95DFC"/>
    <w:rsid w:val="22CC1448"/>
    <w:rsid w:val="230647F0"/>
    <w:rsid w:val="233450D6"/>
    <w:rsid w:val="23683DF3"/>
    <w:rsid w:val="23AF3EAD"/>
    <w:rsid w:val="24153449"/>
    <w:rsid w:val="242F60F0"/>
    <w:rsid w:val="2432352D"/>
    <w:rsid w:val="243B6A85"/>
    <w:rsid w:val="250E5D48"/>
    <w:rsid w:val="25177B73"/>
    <w:rsid w:val="251B2213"/>
    <w:rsid w:val="252D53FE"/>
    <w:rsid w:val="253F5E8A"/>
    <w:rsid w:val="254E5A01"/>
    <w:rsid w:val="25752E79"/>
    <w:rsid w:val="25A9340B"/>
    <w:rsid w:val="25AC229A"/>
    <w:rsid w:val="25DB2E46"/>
    <w:rsid w:val="25DF6824"/>
    <w:rsid w:val="25EC2D81"/>
    <w:rsid w:val="25F0544D"/>
    <w:rsid w:val="25FE2D3F"/>
    <w:rsid w:val="264528BD"/>
    <w:rsid w:val="267F550F"/>
    <w:rsid w:val="26B90657"/>
    <w:rsid w:val="26F83E9A"/>
    <w:rsid w:val="26F96584"/>
    <w:rsid w:val="275330DE"/>
    <w:rsid w:val="27646C5A"/>
    <w:rsid w:val="27870033"/>
    <w:rsid w:val="27920944"/>
    <w:rsid w:val="27D15DD1"/>
    <w:rsid w:val="27EA19CB"/>
    <w:rsid w:val="28210866"/>
    <w:rsid w:val="28377363"/>
    <w:rsid w:val="28554414"/>
    <w:rsid w:val="28802805"/>
    <w:rsid w:val="28814A83"/>
    <w:rsid w:val="28A76295"/>
    <w:rsid w:val="28D9788C"/>
    <w:rsid w:val="28F64481"/>
    <w:rsid w:val="29206EB8"/>
    <w:rsid w:val="293308DC"/>
    <w:rsid w:val="29E325E0"/>
    <w:rsid w:val="29FF1F86"/>
    <w:rsid w:val="29FF65A7"/>
    <w:rsid w:val="2A305352"/>
    <w:rsid w:val="2A452503"/>
    <w:rsid w:val="2A514725"/>
    <w:rsid w:val="2A5C782B"/>
    <w:rsid w:val="2A9B2198"/>
    <w:rsid w:val="2B2B34C8"/>
    <w:rsid w:val="2BA936A8"/>
    <w:rsid w:val="2BBE7D9C"/>
    <w:rsid w:val="2BC35332"/>
    <w:rsid w:val="2C315A5A"/>
    <w:rsid w:val="2C656F25"/>
    <w:rsid w:val="2C947316"/>
    <w:rsid w:val="2CCF6B30"/>
    <w:rsid w:val="2CEC168C"/>
    <w:rsid w:val="2CF338DD"/>
    <w:rsid w:val="2D040FD4"/>
    <w:rsid w:val="2D08490C"/>
    <w:rsid w:val="2D216834"/>
    <w:rsid w:val="2D26486B"/>
    <w:rsid w:val="2D291BFA"/>
    <w:rsid w:val="2D9D6784"/>
    <w:rsid w:val="2D9E56F5"/>
    <w:rsid w:val="2DC32A6C"/>
    <w:rsid w:val="2DE35051"/>
    <w:rsid w:val="2E1C7D93"/>
    <w:rsid w:val="2E3F7B32"/>
    <w:rsid w:val="2E642E7C"/>
    <w:rsid w:val="2E667F96"/>
    <w:rsid w:val="2E8226AB"/>
    <w:rsid w:val="2E8C44C1"/>
    <w:rsid w:val="2EAA1EAA"/>
    <w:rsid w:val="2EEF3A98"/>
    <w:rsid w:val="2F2D7712"/>
    <w:rsid w:val="2F3004E0"/>
    <w:rsid w:val="2F713AA3"/>
    <w:rsid w:val="2F832C79"/>
    <w:rsid w:val="2F9F3CEB"/>
    <w:rsid w:val="2FB8419F"/>
    <w:rsid w:val="2FEE4D03"/>
    <w:rsid w:val="2FEF2D58"/>
    <w:rsid w:val="3045198E"/>
    <w:rsid w:val="304742E7"/>
    <w:rsid w:val="30514255"/>
    <w:rsid w:val="30580BC9"/>
    <w:rsid w:val="30670A02"/>
    <w:rsid w:val="30CF56A8"/>
    <w:rsid w:val="31126CE6"/>
    <w:rsid w:val="311E2ED7"/>
    <w:rsid w:val="31336B36"/>
    <w:rsid w:val="315C449C"/>
    <w:rsid w:val="31952DEF"/>
    <w:rsid w:val="3199450D"/>
    <w:rsid w:val="31AE0FA1"/>
    <w:rsid w:val="31B82709"/>
    <w:rsid w:val="320E1D12"/>
    <w:rsid w:val="32400B34"/>
    <w:rsid w:val="3245438E"/>
    <w:rsid w:val="329E6876"/>
    <w:rsid w:val="32D27B67"/>
    <w:rsid w:val="33364277"/>
    <w:rsid w:val="33377551"/>
    <w:rsid w:val="333E4F07"/>
    <w:rsid w:val="334A4B46"/>
    <w:rsid w:val="33613E2E"/>
    <w:rsid w:val="336A7CD2"/>
    <w:rsid w:val="337D4A81"/>
    <w:rsid w:val="33833DA5"/>
    <w:rsid w:val="33AB50A9"/>
    <w:rsid w:val="33D12612"/>
    <w:rsid w:val="33D934D4"/>
    <w:rsid w:val="33DF078F"/>
    <w:rsid w:val="33FE2F6A"/>
    <w:rsid w:val="33FF2E27"/>
    <w:rsid w:val="34021FDC"/>
    <w:rsid w:val="343B467F"/>
    <w:rsid w:val="34474DD2"/>
    <w:rsid w:val="345C7A88"/>
    <w:rsid w:val="347A6367"/>
    <w:rsid w:val="34836E33"/>
    <w:rsid w:val="349D2C44"/>
    <w:rsid w:val="35073103"/>
    <w:rsid w:val="35834760"/>
    <w:rsid w:val="35A65B28"/>
    <w:rsid w:val="35C73782"/>
    <w:rsid w:val="35D227A5"/>
    <w:rsid w:val="35E0728C"/>
    <w:rsid w:val="36074A7F"/>
    <w:rsid w:val="36087D90"/>
    <w:rsid w:val="361A7746"/>
    <w:rsid w:val="3623361D"/>
    <w:rsid w:val="36434EA5"/>
    <w:rsid w:val="366D6646"/>
    <w:rsid w:val="36785841"/>
    <w:rsid w:val="368600AA"/>
    <w:rsid w:val="36923549"/>
    <w:rsid w:val="3693565C"/>
    <w:rsid w:val="36A82B4A"/>
    <w:rsid w:val="36AF6836"/>
    <w:rsid w:val="36B75FBF"/>
    <w:rsid w:val="36FB4891"/>
    <w:rsid w:val="37233B96"/>
    <w:rsid w:val="37282B33"/>
    <w:rsid w:val="37527F33"/>
    <w:rsid w:val="37574BAC"/>
    <w:rsid w:val="38332D84"/>
    <w:rsid w:val="38456265"/>
    <w:rsid w:val="385276E0"/>
    <w:rsid w:val="385D3EE6"/>
    <w:rsid w:val="38A30462"/>
    <w:rsid w:val="38CA77D4"/>
    <w:rsid w:val="38E70F75"/>
    <w:rsid w:val="38F12CD3"/>
    <w:rsid w:val="38F512A1"/>
    <w:rsid w:val="38F94775"/>
    <w:rsid w:val="38FC1E4B"/>
    <w:rsid w:val="39202096"/>
    <w:rsid w:val="392971ED"/>
    <w:rsid w:val="39784CC0"/>
    <w:rsid w:val="397A7F5A"/>
    <w:rsid w:val="39F41558"/>
    <w:rsid w:val="3A1514CF"/>
    <w:rsid w:val="3A4715A4"/>
    <w:rsid w:val="3A5C70FE"/>
    <w:rsid w:val="3AAB1F6D"/>
    <w:rsid w:val="3AE93C1B"/>
    <w:rsid w:val="3B057795"/>
    <w:rsid w:val="3B21635E"/>
    <w:rsid w:val="3B2A71FC"/>
    <w:rsid w:val="3B2F67C7"/>
    <w:rsid w:val="3B3763D1"/>
    <w:rsid w:val="3B4E732D"/>
    <w:rsid w:val="3B583D69"/>
    <w:rsid w:val="3B893F22"/>
    <w:rsid w:val="3B9C410C"/>
    <w:rsid w:val="3BA50857"/>
    <w:rsid w:val="3BBE2B99"/>
    <w:rsid w:val="3BCB043B"/>
    <w:rsid w:val="3BCF4116"/>
    <w:rsid w:val="3BE276B6"/>
    <w:rsid w:val="3C432323"/>
    <w:rsid w:val="3C997315"/>
    <w:rsid w:val="3CDA245A"/>
    <w:rsid w:val="3CE516EA"/>
    <w:rsid w:val="3CEC29B6"/>
    <w:rsid w:val="3CEE0A37"/>
    <w:rsid w:val="3D5B7118"/>
    <w:rsid w:val="3D6C5D66"/>
    <w:rsid w:val="3DAC214A"/>
    <w:rsid w:val="3E97034A"/>
    <w:rsid w:val="3ED97F9D"/>
    <w:rsid w:val="3F024F66"/>
    <w:rsid w:val="3F224C76"/>
    <w:rsid w:val="3F4A1C1A"/>
    <w:rsid w:val="3F5040C2"/>
    <w:rsid w:val="3F581694"/>
    <w:rsid w:val="3F660E74"/>
    <w:rsid w:val="3F9B3D7E"/>
    <w:rsid w:val="3F9E6193"/>
    <w:rsid w:val="3FBB0422"/>
    <w:rsid w:val="3FCB3F41"/>
    <w:rsid w:val="3FE32EDB"/>
    <w:rsid w:val="40200788"/>
    <w:rsid w:val="403C77B5"/>
    <w:rsid w:val="40491ED2"/>
    <w:rsid w:val="407A6407"/>
    <w:rsid w:val="4094566C"/>
    <w:rsid w:val="40D56A42"/>
    <w:rsid w:val="40DC100D"/>
    <w:rsid w:val="40E614F6"/>
    <w:rsid w:val="40FF649E"/>
    <w:rsid w:val="41290E0A"/>
    <w:rsid w:val="41432DC5"/>
    <w:rsid w:val="417659CE"/>
    <w:rsid w:val="418B4CCD"/>
    <w:rsid w:val="41A82C28"/>
    <w:rsid w:val="41CF5494"/>
    <w:rsid w:val="42217D95"/>
    <w:rsid w:val="423A3BCC"/>
    <w:rsid w:val="426E79CE"/>
    <w:rsid w:val="428F1A0E"/>
    <w:rsid w:val="42CB0CD0"/>
    <w:rsid w:val="42D81365"/>
    <w:rsid w:val="431C0D67"/>
    <w:rsid w:val="431D4C79"/>
    <w:rsid w:val="433A6FE6"/>
    <w:rsid w:val="4350713C"/>
    <w:rsid w:val="436653E0"/>
    <w:rsid w:val="43DE11D6"/>
    <w:rsid w:val="43F5258B"/>
    <w:rsid w:val="444D01F7"/>
    <w:rsid w:val="445104BA"/>
    <w:rsid w:val="44932D89"/>
    <w:rsid w:val="44B74016"/>
    <w:rsid w:val="44C3626D"/>
    <w:rsid w:val="44CD14E0"/>
    <w:rsid w:val="452100E5"/>
    <w:rsid w:val="4530540F"/>
    <w:rsid w:val="453B2E05"/>
    <w:rsid w:val="45596E3C"/>
    <w:rsid w:val="456D056E"/>
    <w:rsid w:val="458946E9"/>
    <w:rsid w:val="45A32084"/>
    <w:rsid w:val="45EF4882"/>
    <w:rsid w:val="45F11F3F"/>
    <w:rsid w:val="46822979"/>
    <w:rsid w:val="46D955A7"/>
    <w:rsid w:val="470C3AC9"/>
    <w:rsid w:val="47133957"/>
    <w:rsid w:val="47556E28"/>
    <w:rsid w:val="47601B1B"/>
    <w:rsid w:val="47627207"/>
    <w:rsid w:val="4779329E"/>
    <w:rsid w:val="477E06B3"/>
    <w:rsid w:val="47875097"/>
    <w:rsid w:val="47A07E0C"/>
    <w:rsid w:val="47AD0F98"/>
    <w:rsid w:val="484C72E7"/>
    <w:rsid w:val="4870272E"/>
    <w:rsid w:val="488541C9"/>
    <w:rsid w:val="48A4239B"/>
    <w:rsid w:val="48E970B9"/>
    <w:rsid w:val="495B21DD"/>
    <w:rsid w:val="495C2976"/>
    <w:rsid w:val="496C05A0"/>
    <w:rsid w:val="49A9034E"/>
    <w:rsid w:val="49AA7F6B"/>
    <w:rsid w:val="49CF6C97"/>
    <w:rsid w:val="49DC7715"/>
    <w:rsid w:val="49ED5A43"/>
    <w:rsid w:val="49F84514"/>
    <w:rsid w:val="4A023139"/>
    <w:rsid w:val="4A1A3B32"/>
    <w:rsid w:val="4A317C5F"/>
    <w:rsid w:val="4A7B576F"/>
    <w:rsid w:val="4A9F67D2"/>
    <w:rsid w:val="4B022DA3"/>
    <w:rsid w:val="4B0C247A"/>
    <w:rsid w:val="4B414BEA"/>
    <w:rsid w:val="4B840262"/>
    <w:rsid w:val="4BE066CA"/>
    <w:rsid w:val="4BF74ED8"/>
    <w:rsid w:val="4C012C9D"/>
    <w:rsid w:val="4C4A0649"/>
    <w:rsid w:val="4C6D3284"/>
    <w:rsid w:val="4C9104FD"/>
    <w:rsid w:val="4CE470D3"/>
    <w:rsid w:val="4D2F0C57"/>
    <w:rsid w:val="4D407324"/>
    <w:rsid w:val="4D4214D6"/>
    <w:rsid w:val="4D685415"/>
    <w:rsid w:val="4DA41071"/>
    <w:rsid w:val="4DEC4FB0"/>
    <w:rsid w:val="4E075D8A"/>
    <w:rsid w:val="4E1A6C5C"/>
    <w:rsid w:val="4E23666D"/>
    <w:rsid w:val="4E2D2AF5"/>
    <w:rsid w:val="4E39021B"/>
    <w:rsid w:val="4E434405"/>
    <w:rsid w:val="4E652C42"/>
    <w:rsid w:val="4EBB21ED"/>
    <w:rsid w:val="4F136306"/>
    <w:rsid w:val="4F1D22E1"/>
    <w:rsid w:val="4FB37368"/>
    <w:rsid w:val="4FC62A8C"/>
    <w:rsid w:val="4FE20F0D"/>
    <w:rsid w:val="500428C9"/>
    <w:rsid w:val="5013053D"/>
    <w:rsid w:val="50305D57"/>
    <w:rsid w:val="50504C4B"/>
    <w:rsid w:val="50583C03"/>
    <w:rsid w:val="509C6E7C"/>
    <w:rsid w:val="50D22F7B"/>
    <w:rsid w:val="50EA44D5"/>
    <w:rsid w:val="50EF43D0"/>
    <w:rsid w:val="51173AE3"/>
    <w:rsid w:val="51256B65"/>
    <w:rsid w:val="513149E8"/>
    <w:rsid w:val="5162104E"/>
    <w:rsid w:val="516A7E2C"/>
    <w:rsid w:val="517341F0"/>
    <w:rsid w:val="51B104EA"/>
    <w:rsid w:val="51D3784E"/>
    <w:rsid w:val="52017237"/>
    <w:rsid w:val="524D5466"/>
    <w:rsid w:val="52522E68"/>
    <w:rsid w:val="52554706"/>
    <w:rsid w:val="52734B8D"/>
    <w:rsid w:val="52A12F0C"/>
    <w:rsid w:val="531F3F92"/>
    <w:rsid w:val="539C3793"/>
    <w:rsid w:val="53A039CC"/>
    <w:rsid w:val="53A1505A"/>
    <w:rsid w:val="53A92F5C"/>
    <w:rsid w:val="53C63792"/>
    <w:rsid w:val="54063E08"/>
    <w:rsid w:val="543437E8"/>
    <w:rsid w:val="54A92A22"/>
    <w:rsid w:val="54B020C8"/>
    <w:rsid w:val="550F5041"/>
    <w:rsid w:val="55195186"/>
    <w:rsid w:val="556E620B"/>
    <w:rsid w:val="559B174B"/>
    <w:rsid w:val="55CE0CF4"/>
    <w:rsid w:val="560D084D"/>
    <w:rsid w:val="567E247E"/>
    <w:rsid w:val="568369F5"/>
    <w:rsid w:val="56921A85"/>
    <w:rsid w:val="5697709C"/>
    <w:rsid w:val="56B22A9C"/>
    <w:rsid w:val="56DD246B"/>
    <w:rsid w:val="56E0681A"/>
    <w:rsid w:val="56F4123A"/>
    <w:rsid w:val="57875362"/>
    <w:rsid w:val="57B72A76"/>
    <w:rsid w:val="57D66E92"/>
    <w:rsid w:val="57D91E79"/>
    <w:rsid w:val="57DA7B88"/>
    <w:rsid w:val="57DF519E"/>
    <w:rsid w:val="57E7243B"/>
    <w:rsid w:val="57EF588A"/>
    <w:rsid w:val="58146B79"/>
    <w:rsid w:val="58B4291C"/>
    <w:rsid w:val="58D5778B"/>
    <w:rsid w:val="58D67320"/>
    <w:rsid w:val="58FD0649"/>
    <w:rsid w:val="58FF53CC"/>
    <w:rsid w:val="59345365"/>
    <w:rsid w:val="59771406"/>
    <w:rsid w:val="59A25532"/>
    <w:rsid w:val="59A60143"/>
    <w:rsid w:val="59EE269B"/>
    <w:rsid w:val="59F74D60"/>
    <w:rsid w:val="5A096502"/>
    <w:rsid w:val="5A19280F"/>
    <w:rsid w:val="5A37717F"/>
    <w:rsid w:val="5A3C747D"/>
    <w:rsid w:val="5A504A01"/>
    <w:rsid w:val="5A587CD5"/>
    <w:rsid w:val="5A867519"/>
    <w:rsid w:val="5A9E4452"/>
    <w:rsid w:val="5ABE2233"/>
    <w:rsid w:val="5ACC12DE"/>
    <w:rsid w:val="5AE36373"/>
    <w:rsid w:val="5AED1DBC"/>
    <w:rsid w:val="5B044F1C"/>
    <w:rsid w:val="5B276D18"/>
    <w:rsid w:val="5B30719C"/>
    <w:rsid w:val="5B3E042E"/>
    <w:rsid w:val="5B4E2FC8"/>
    <w:rsid w:val="5B8075F5"/>
    <w:rsid w:val="5B954AB5"/>
    <w:rsid w:val="5BAC35E9"/>
    <w:rsid w:val="5BAD59DD"/>
    <w:rsid w:val="5BDF5D95"/>
    <w:rsid w:val="5BEB2A3D"/>
    <w:rsid w:val="5C2874B5"/>
    <w:rsid w:val="5C455A7E"/>
    <w:rsid w:val="5C4E3F01"/>
    <w:rsid w:val="5C657C3C"/>
    <w:rsid w:val="5C7659A5"/>
    <w:rsid w:val="5CE448C3"/>
    <w:rsid w:val="5CFE0803"/>
    <w:rsid w:val="5D1A3F40"/>
    <w:rsid w:val="5D1F1328"/>
    <w:rsid w:val="5D9E3405"/>
    <w:rsid w:val="5D9F3C5D"/>
    <w:rsid w:val="5D9F512C"/>
    <w:rsid w:val="5DF87A0F"/>
    <w:rsid w:val="5DFB3A87"/>
    <w:rsid w:val="5E102070"/>
    <w:rsid w:val="5E582E0F"/>
    <w:rsid w:val="5E6E26AA"/>
    <w:rsid w:val="5E6F08FE"/>
    <w:rsid w:val="5ED313FC"/>
    <w:rsid w:val="5F044AD1"/>
    <w:rsid w:val="5F097472"/>
    <w:rsid w:val="5F1A2B43"/>
    <w:rsid w:val="5F3F60EC"/>
    <w:rsid w:val="5F4D64C9"/>
    <w:rsid w:val="5FB837BB"/>
    <w:rsid w:val="602D75D4"/>
    <w:rsid w:val="60452A70"/>
    <w:rsid w:val="606A7710"/>
    <w:rsid w:val="61630162"/>
    <w:rsid w:val="617A29E7"/>
    <w:rsid w:val="619C1A0A"/>
    <w:rsid w:val="619C214D"/>
    <w:rsid w:val="61C73A0A"/>
    <w:rsid w:val="61C91F3D"/>
    <w:rsid w:val="62356935"/>
    <w:rsid w:val="62364782"/>
    <w:rsid w:val="62711A72"/>
    <w:rsid w:val="629322A6"/>
    <w:rsid w:val="62933DA8"/>
    <w:rsid w:val="6294224B"/>
    <w:rsid w:val="62C731FF"/>
    <w:rsid w:val="62C95C4A"/>
    <w:rsid w:val="631164E1"/>
    <w:rsid w:val="63334CD8"/>
    <w:rsid w:val="635822A8"/>
    <w:rsid w:val="636D30DF"/>
    <w:rsid w:val="63D40BE9"/>
    <w:rsid w:val="63E0211F"/>
    <w:rsid w:val="63E92F01"/>
    <w:rsid w:val="6440191D"/>
    <w:rsid w:val="647363BA"/>
    <w:rsid w:val="649B2267"/>
    <w:rsid w:val="64C7402B"/>
    <w:rsid w:val="65373578"/>
    <w:rsid w:val="656C151D"/>
    <w:rsid w:val="656D7892"/>
    <w:rsid w:val="65A95811"/>
    <w:rsid w:val="65B13B16"/>
    <w:rsid w:val="65D92594"/>
    <w:rsid w:val="667B2536"/>
    <w:rsid w:val="668E3C3F"/>
    <w:rsid w:val="66905674"/>
    <w:rsid w:val="66CB7ADA"/>
    <w:rsid w:val="66CF4630"/>
    <w:rsid w:val="66FA1E5A"/>
    <w:rsid w:val="670B5CF4"/>
    <w:rsid w:val="670F09F1"/>
    <w:rsid w:val="673F2C7A"/>
    <w:rsid w:val="6770235F"/>
    <w:rsid w:val="67754D90"/>
    <w:rsid w:val="67A05FCC"/>
    <w:rsid w:val="67A755AC"/>
    <w:rsid w:val="67E30355"/>
    <w:rsid w:val="67EB7247"/>
    <w:rsid w:val="67F307F2"/>
    <w:rsid w:val="680B538A"/>
    <w:rsid w:val="681F6961"/>
    <w:rsid w:val="6832115E"/>
    <w:rsid w:val="68610A2F"/>
    <w:rsid w:val="68805514"/>
    <w:rsid w:val="68BC5088"/>
    <w:rsid w:val="694E2071"/>
    <w:rsid w:val="69517D13"/>
    <w:rsid w:val="6966007F"/>
    <w:rsid w:val="697A3B33"/>
    <w:rsid w:val="699E2456"/>
    <w:rsid w:val="6A024D1C"/>
    <w:rsid w:val="6A0415DD"/>
    <w:rsid w:val="6A113F58"/>
    <w:rsid w:val="6A191675"/>
    <w:rsid w:val="6A3F387A"/>
    <w:rsid w:val="6A6065E3"/>
    <w:rsid w:val="6A621ECD"/>
    <w:rsid w:val="6A872C82"/>
    <w:rsid w:val="6AAF0798"/>
    <w:rsid w:val="6AD14E1A"/>
    <w:rsid w:val="6AFC176B"/>
    <w:rsid w:val="6B322639"/>
    <w:rsid w:val="6BE00672"/>
    <w:rsid w:val="6BF863D7"/>
    <w:rsid w:val="6BF91F03"/>
    <w:rsid w:val="6C18748F"/>
    <w:rsid w:val="6C597148"/>
    <w:rsid w:val="6C636C38"/>
    <w:rsid w:val="6C6A6EDA"/>
    <w:rsid w:val="6C6D3B8A"/>
    <w:rsid w:val="6C727F37"/>
    <w:rsid w:val="6C7F21C4"/>
    <w:rsid w:val="6C832A81"/>
    <w:rsid w:val="6C8D4D71"/>
    <w:rsid w:val="6CD26C28"/>
    <w:rsid w:val="6CEB4E40"/>
    <w:rsid w:val="6D317DF2"/>
    <w:rsid w:val="6D5D0BE7"/>
    <w:rsid w:val="6D7B4CAA"/>
    <w:rsid w:val="6D9B31D8"/>
    <w:rsid w:val="6DB34098"/>
    <w:rsid w:val="6DB545B6"/>
    <w:rsid w:val="6DBD4CD3"/>
    <w:rsid w:val="6DBE6BDE"/>
    <w:rsid w:val="6E4375A0"/>
    <w:rsid w:val="6E455E09"/>
    <w:rsid w:val="6E514CED"/>
    <w:rsid w:val="6E79491A"/>
    <w:rsid w:val="6E7F290B"/>
    <w:rsid w:val="6E9741C8"/>
    <w:rsid w:val="6EB44A25"/>
    <w:rsid w:val="6EB563D5"/>
    <w:rsid w:val="6ED5644D"/>
    <w:rsid w:val="6F225983"/>
    <w:rsid w:val="6F451933"/>
    <w:rsid w:val="6F5D703D"/>
    <w:rsid w:val="6F6F075E"/>
    <w:rsid w:val="6F7915DC"/>
    <w:rsid w:val="6F856571"/>
    <w:rsid w:val="6FFC5590"/>
    <w:rsid w:val="70301DA3"/>
    <w:rsid w:val="706D1DD0"/>
    <w:rsid w:val="70856B87"/>
    <w:rsid w:val="709D1573"/>
    <w:rsid w:val="70C44AD9"/>
    <w:rsid w:val="70D527EE"/>
    <w:rsid w:val="70E76A1A"/>
    <w:rsid w:val="71222905"/>
    <w:rsid w:val="71245EA3"/>
    <w:rsid w:val="715B5300"/>
    <w:rsid w:val="715F4BD7"/>
    <w:rsid w:val="71642B33"/>
    <w:rsid w:val="71644A42"/>
    <w:rsid w:val="717B788E"/>
    <w:rsid w:val="71BB7888"/>
    <w:rsid w:val="71CF3736"/>
    <w:rsid w:val="71D24AFC"/>
    <w:rsid w:val="71D27F8A"/>
    <w:rsid w:val="71F744C6"/>
    <w:rsid w:val="71F960CF"/>
    <w:rsid w:val="72447CA3"/>
    <w:rsid w:val="72604CD6"/>
    <w:rsid w:val="72E61148"/>
    <w:rsid w:val="731F5D5E"/>
    <w:rsid w:val="736F189D"/>
    <w:rsid w:val="73811040"/>
    <w:rsid w:val="73E55492"/>
    <w:rsid w:val="741E793C"/>
    <w:rsid w:val="745069C0"/>
    <w:rsid w:val="74877846"/>
    <w:rsid w:val="74A92964"/>
    <w:rsid w:val="74FD4C05"/>
    <w:rsid w:val="74FE028A"/>
    <w:rsid w:val="75250E60"/>
    <w:rsid w:val="75383C3C"/>
    <w:rsid w:val="758300CB"/>
    <w:rsid w:val="758D75E2"/>
    <w:rsid w:val="75AB6056"/>
    <w:rsid w:val="75FA2CA1"/>
    <w:rsid w:val="760A64BD"/>
    <w:rsid w:val="76201A19"/>
    <w:rsid w:val="76376842"/>
    <w:rsid w:val="76592168"/>
    <w:rsid w:val="76674885"/>
    <w:rsid w:val="76876CD5"/>
    <w:rsid w:val="76EE0B02"/>
    <w:rsid w:val="77545CF4"/>
    <w:rsid w:val="7758108D"/>
    <w:rsid w:val="77756A50"/>
    <w:rsid w:val="77762421"/>
    <w:rsid w:val="777927CB"/>
    <w:rsid w:val="77A10A30"/>
    <w:rsid w:val="77CB58F3"/>
    <w:rsid w:val="77ED174B"/>
    <w:rsid w:val="780F09F4"/>
    <w:rsid w:val="78453CC0"/>
    <w:rsid w:val="785C135A"/>
    <w:rsid w:val="788A2AAC"/>
    <w:rsid w:val="789A18E2"/>
    <w:rsid w:val="789B6A68"/>
    <w:rsid w:val="789C4F47"/>
    <w:rsid w:val="78A75303"/>
    <w:rsid w:val="78A90480"/>
    <w:rsid w:val="78B65D69"/>
    <w:rsid w:val="78EF73DD"/>
    <w:rsid w:val="79040C5A"/>
    <w:rsid w:val="79295162"/>
    <w:rsid w:val="792C08BD"/>
    <w:rsid w:val="79646E84"/>
    <w:rsid w:val="79686715"/>
    <w:rsid w:val="79811327"/>
    <w:rsid w:val="799A3C71"/>
    <w:rsid w:val="79A54FB9"/>
    <w:rsid w:val="7A364017"/>
    <w:rsid w:val="7A3F7EA5"/>
    <w:rsid w:val="7A8265E1"/>
    <w:rsid w:val="7AD1051F"/>
    <w:rsid w:val="7B4F7695"/>
    <w:rsid w:val="7B561B15"/>
    <w:rsid w:val="7B686D42"/>
    <w:rsid w:val="7B7D2454"/>
    <w:rsid w:val="7B83491B"/>
    <w:rsid w:val="7B841746"/>
    <w:rsid w:val="7BAE0860"/>
    <w:rsid w:val="7BC7265C"/>
    <w:rsid w:val="7BD048F2"/>
    <w:rsid w:val="7C6261CD"/>
    <w:rsid w:val="7CD24A22"/>
    <w:rsid w:val="7CEA3A14"/>
    <w:rsid w:val="7CEA4552"/>
    <w:rsid w:val="7D0107D4"/>
    <w:rsid w:val="7D0239FF"/>
    <w:rsid w:val="7D5E40CD"/>
    <w:rsid w:val="7D6829E3"/>
    <w:rsid w:val="7D693BED"/>
    <w:rsid w:val="7D845806"/>
    <w:rsid w:val="7DB21F99"/>
    <w:rsid w:val="7DC92B51"/>
    <w:rsid w:val="7DF70F93"/>
    <w:rsid w:val="7E3A287F"/>
    <w:rsid w:val="7E3F39F1"/>
    <w:rsid w:val="7E8C0808"/>
    <w:rsid w:val="7ECA19E7"/>
    <w:rsid w:val="7FA61B02"/>
    <w:rsid w:val="7FE47E5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ocked="1"/>
    <w:lsdException w:qFormat="1" w:unhideWhenUsed="0" w:uiPriority="0" w:semiHidden="0" w:name="heading 3" w:locked="1"/>
    <w:lsdException w:qFormat="1" w:unhideWhenUsed="0" w:uiPriority="1"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ocked="1"/>
    <w:lsdException w:qFormat="1"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qFormat="1" w:unhideWhenUsed="0" w:uiPriority="0" w:semiHidden="0" w:name="toc 9" w:locked="1"/>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iPriority="99"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ocked="1"/>
    <w:lsdException w:qFormat="1" w:unhideWhenUsed="0" w:uiPriority="0" w:semiHidden="0" w:name="Emphasis" w:locked="1"/>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4">
    <w:name w:val="heading 2"/>
    <w:basedOn w:val="1"/>
    <w:next w:val="1"/>
    <w:qFormat/>
    <w:locked/>
    <w:uiPriority w:val="0"/>
    <w:pPr>
      <w:keepNext/>
      <w:keepLines/>
      <w:adjustRightInd w:val="0"/>
      <w:snapToGrid w:val="0"/>
      <w:ind w:firstLine="0" w:firstLineChars="0"/>
      <w:jc w:val="left"/>
      <w:outlineLvl w:val="1"/>
    </w:pPr>
    <w:rPr>
      <w:b/>
      <w:bCs/>
      <w:sz w:val="32"/>
    </w:rPr>
  </w:style>
  <w:style w:type="paragraph" w:styleId="5">
    <w:name w:val="heading 3"/>
    <w:basedOn w:val="1"/>
    <w:next w:val="1"/>
    <w:link w:val="36"/>
    <w:qFormat/>
    <w:locked/>
    <w:uiPriority w:val="0"/>
    <w:pPr>
      <w:keepNext/>
      <w:keepLines/>
      <w:spacing w:before="260" w:beforeLines="0" w:after="260" w:afterLines="0" w:line="416" w:lineRule="auto"/>
      <w:outlineLvl w:val="2"/>
    </w:pPr>
    <w:rPr>
      <w:b/>
      <w:bCs/>
      <w:kern w:val="0"/>
      <w:sz w:val="32"/>
      <w:szCs w:val="32"/>
    </w:rPr>
  </w:style>
  <w:style w:type="paragraph" w:styleId="2">
    <w:name w:val="heading 4"/>
    <w:basedOn w:val="1"/>
    <w:next w:val="1"/>
    <w:qFormat/>
    <w:locked/>
    <w:uiPriority w:val="1"/>
    <w:pPr>
      <w:ind w:left="1068"/>
      <w:outlineLvl w:val="3"/>
    </w:pPr>
    <w:rPr>
      <w:rFonts w:ascii="宋体" w:hAnsi="宋体" w:eastAsia="宋体" w:cs="宋体"/>
      <w:b/>
      <w:bCs/>
      <w:sz w:val="24"/>
      <w:szCs w:val="24"/>
      <w:lang w:val="zh-CN" w:eastAsia="zh-CN" w:bidi="zh-CN"/>
    </w:rPr>
  </w:style>
  <w:style w:type="character" w:default="1" w:styleId="31">
    <w:name w:val="Default Paragraph Font"/>
    <w:semiHidden/>
    <w:qFormat/>
    <w:uiPriority w:val="0"/>
  </w:style>
  <w:style w:type="table" w:default="1" w:styleId="29">
    <w:name w:val="Normal Table"/>
    <w:semiHidden/>
    <w:qFormat/>
    <w:uiPriority w:val="0"/>
    <w:tblPr>
      <w:tblCellMar>
        <w:top w:w="0" w:type="dxa"/>
        <w:left w:w="108" w:type="dxa"/>
        <w:bottom w:w="0" w:type="dxa"/>
        <w:right w:w="108" w:type="dxa"/>
      </w:tblCellMar>
    </w:tblPr>
  </w:style>
  <w:style w:type="paragraph" w:styleId="6">
    <w:name w:val="Note Heading"/>
    <w:basedOn w:val="1"/>
    <w:next w:val="1"/>
    <w:link w:val="37"/>
    <w:unhideWhenUsed/>
    <w:qFormat/>
    <w:uiPriority w:val="99"/>
    <w:pPr>
      <w:jc w:val="center"/>
    </w:pPr>
  </w:style>
  <w:style w:type="paragraph" w:styleId="7">
    <w:name w:val="Normal Indent"/>
    <w:basedOn w:val="1"/>
    <w:next w:val="1"/>
    <w:link w:val="38"/>
    <w:qFormat/>
    <w:uiPriority w:val="0"/>
    <w:pPr>
      <w:ind w:firstLine="200" w:firstLineChars="200"/>
    </w:pPr>
    <w:rPr>
      <w:sz w:val="28"/>
    </w:rPr>
  </w:style>
  <w:style w:type="paragraph" w:styleId="8">
    <w:name w:val="caption"/>
    <w:basedOn w:val="1"/>
    <w:next w:val="1"/>
    <w:qFormat/>
    <w:locked/>
    <w:uiPriority w:val="0"/>
    <w:rPr>
      <w:rFonts w:ascii="Cambria" w:hAnsi="Cambria" w:eastAsia="黑体" w:cs="Times New Roman"/>
      <w:sz w:val="20"/>
      <w:szCs w:val="20"/>
    </w:rPr>
  </w:style>
  <w:style w:type="paragraph" w:styleId="9">
    <w:name w:val="Document Map"/>
    <w:basedOn w:val="1"/>
    <w:link w:val="39"/>
    <w:qFormat/>
    <w:uiPriority w:val="0"/>
    <w:rPr>
      <w:rFonts w:ascii="宋体"/>
      <w:sz w:val="18"/>
      <w:szCs w:val="18"/>
    </w:rPr>
  </w:style>
  <w:style w:type="paragraph" w:styleId="10">
    <w:name w:val="annotation text"/>
    <w:basedOn w:val="1"/>
    <w:link w:val="40"/>
    <w:qFormat/>
    <w:uiPriority w:val="99"/>
    <w:pPr>
      <w:jc w:val="left"/>
    </w:pPr>
    <w:rPr>
      <w:kern w:val="0"/>
      <w:sz w:val="24"/>
      <w:szCs w:val="20"/>
    </w:rPr>
  </w:style>
  <w:style w:type="paragraph" w:styleId="11">
    <w:name w:val="Salutation"/>
    <w:basedOn w:val="1"/>
    <w:next w:val="1"/>
    <w:qFormat/>
    <w:uiPriority w:val="0"/>
  </w:style>
  <w:style w:type="paragraph" w:styleId="12">
    <w:name w:val="Body Text"/>
    <w:basedOn w:val="1"/>
    <w:link w:val="41"/>
    <w:qFormat/>
    <w:uiPriority w:val="0"/>
    <w:pPr>
      <w:widowControl/>
      <w:snapToGrid w:val="0"/>
      <w:spacing w:before="60" w:after="160" w:line="259" w:lineRule="auto"/>
      <w:ind w:right="113"/>
    </w:pPr>
    <w:rPr>
      <w:kern w:val="0"/>
      <w:sz w:val="18"/>
      <w:szCs w:val="20"/>
    </w:rPr>
  </w:style>
  <w:style w:type="paragraph" w:styleId="13">
    <w:name w:val="Body Text Indent"/>
    <w:basedOn w:val="1"/>
    <w:next w:val="14"/>
    <w:link w:val="42"/>
    <w:semiHidden/>
    <w:qFormat/>
    <w:uiPriority w:val="0"/>
    <w:pPr>
      <w:spacing w:after="120"/>
      <w:ind w:left="420" w:leftChars="200"/>
    </w:pPr>
    <w:rPr>
      <w:kern w:val="0"/>
      <w:sz w:val="24"/>
    </w:rPr>
  </w:style>
  <w:style w:type="paragraph" w:styleId="14">
    <w:name w:val="Body Text Indent 2"/>
    <w:basedOn w:val="1"/>
    <w:next w:val="15"/>
    <w:qFormat/>
    <w:uiPriority w:val="0"/>
    <w:pPr>
      <w:spacing w:after="120" w:line="480" w:lineRule="auto"/>
      <w:ind w:left="420" w:leftChars="200"/>
    </w:pPr>
  </w:style>
  <w:style w:type="paragraph" w:styleId="15">
    <w:name w:val="Body Text First Indent 2"/>
    <w:basedOn w:val="13"/>
    <w:next w:val="1"/>
    <w:qFormat/>
    <w:uiPriority w:val="0"/>
    <w:pPr>
      <w:spacing w:after="120"/>
      <w:ind w:left="420" w:firstLine="210"/>
    </w:pPr>
    <w:rPr>
      <w:rFonts w:eastAsia="楷体_GB2312"/>
      <w:sz w:val="30"/>
    </w:rPr>
  </w:style>
  <w:style w:type="paragraph" w:styleId="16">
    <w:name w:val="Plain Text"/>
    <w:basedOn w:val="1"/>
    <w:next w:val="11"/>
    <w:link w:val="43"/>
    <w:qFormat/>
    <w:uiPriority w:val="0"/>
    <w:pPr>
      <w:snapToGrid w:val="0"/>
      <w:spacing w:line="324" w:lineRule="auto"/>
    </w:pPr>
    <w:rPr>
      <w:rFonts w:ascii="宋体" w:hAnsi="Courier New"/>
    </w:rPr>
  </w:style>
  <w:style w:type="paragraph" w:styleId="17">
    <w:name w:val="Date"/>
    <w:basedOn w:val="1"/>
    <w:next w:val="1"/>
    <w:link w:val="44"/>
    <w:qFormat/>
    <w:uiPriority w:val="0"/>
    <w:pPr>
      <w:ind w:left="100" w:leftChars="2500"/>
    </w:pPr>
    <w:rPr>
      <w:kern w:val="0"/>
      <w:sz w:val="24"/>
      <w:szCs w:val="20"/>
    </w:rPr>
  </w:style>
  <w:style w:type="paragraph" w:styleId="18">
    <w:name w:val="Balloon Text"/>
    <w:basedOn w:val="1"/>
    <w:link w:val="45"/>
    <w:semiHidden/>
    <w:qFormat/>
    <w:uiPriority w:val="0"/>
    <w:rPr>
      <w:kern w:val="0"/>
      <w:sz w:val="18"/>
      <w:szCs w:val="18"/>
    </w:rPr>
  </w:style>
  <w:style w:type="paragraph" w:styleId="19">
    <w:name w:val="footer"/>
    <w:basedOn w:val="1"/>
    <w:link w:val="46"/>
    <w:qFormat/>
    <w:uiPriority w:val="99"/>
    <w:pPr>
      <w:tabs>
        <w:tab w:val="center" w:pos="4153"/>
        <w:tab w:val="right" w:pos="8306"/>
      </w:tabs>
      <w:snapToGrid w:val="0"/>
      <w:jc w:val="left"/>
    </w:pPr>
    <w:rPr>
      <w:kern w:val="0"/>
      <w:sz w:val="18"/>
      <w:szCs w:val="18"/>
    </w:rPr>
  </w:style>
  <w:style w:type="paragraph" w:styleId="20">
    <w:name w:val="header"/>
    <w:basedOn w:val="1"/>
    <w:link w:val="47"/>
    <w:qFormat/>
    <w:uiPriority w:val="99"/>
    <w:pPr>
      <w:pBdr>
        <w:bottom w:val="single" w:color="auto" w:sz="6" w:space="1"/>
      </w:pBdr>
      <w:tabs>
        <w:tab w:val="center" w:pos="4153"/>
        <w:tab w:val="right" w:pos="8306"/>
      </w:tabs>
      <w:snapToGrid w:val="0"/>
      <w:jc w:val="center"/>
    </w:pPr>
    <w:rPr>
      <w:kern w:val="0"/>
      <w:sz w:val="18"/>
      <w:szCs w:val="18"/>
    </w:rPr>
  </w:style>
  <w:style w:type="paragraph" w:styleId="21">
    <w:name w:val="toc 1"/>
    <w:basedOn w:val="1"/>
    <w:next w:val="1"/>
    <w:semiHidden/>
    <w:qFormat/>
    <w:locked/>
    <w:uiPriority w:val="0"/>
  </w:style>
  <w:style w:type="paragraph" w:styleId="22">
    <w:name w:val="List"/>
    <w:basedOn w:val="1"/>
    <w:qFormat/>
    <w:uiPriority w:val="0"/>
    <w:pPr>
      <w:jc w:val="center"/>
    </w:pPr>
    <w:rPr>
      <w:kern w:val="21"/>
      <w:szCs w:val="22"/>
    </w:rPr>
  </w:style>
  <w:style w:type="paragraph" w:styleId="23">
    <w:name w:val="toc 2"/>
    <w:basedOn w:val="1"/>
    <w:next w:val="1"/>
    <w:qFormat/>
    <w:locked/>
    <w:uiPriority w:val="0"/>
    <w:pPr>
      <w:jc w:val="center"/>
    </w:pPr>
  </w:style>
  <w:style w:type="paragraph" w:styleId="24">
    <w:name w:val="toc 9"/>
    <w:basedOn w:val="1"/>
    <w:next w:val="1"/>
    <w:qFormat/>
    <w:locked/>
    <w:uiPriority w:val="0"/>
    <w:pPr>
      <w:wordWrap w:val="0"/>
      <w:ind w:left="2975"/>
      <w:jc w:val="both"/>
    </w:pPr>
    <w:rPr>
      <w:rFonts w:ascii="Times New Roman" w:hAnsi="Times New Roman" w:eastAsia="宋体" w:cs="Times New Roman"/>
      <w:sz w:val="21"/>
      <w:szCs w:val="22"/>
      <w:lang w:val="en-US" w:eastAsia="zh-CN" w:bidi="ar-SA"/>
    </w:rPr>
  </w:style>
  <w:style w:type="paragraph" w:styleId="25">
    <w:name w:val="Body Text 2"/>
    <w:basedOn w:val="1"/>
    <w:qFormat/>
    <w:uiPriority w:val="0"/>
    <w:pPr>
      <w:spacing w:line="420" w:lineRule="exact"/>
    </w:pPr>
    <w:rPr>
      <w:bCs/>
      <w:sz w:val="28"/>
    </w:rPr>
  </w:style>
  <w:style w:type="paragraph" w:styleId="26">
    <w:name w:val="Normal (Web)"/>
    <w:basedOn w:val="1"/>
    <w:link w:val="48"/>
    <w:qFormat/>
    <w:uiPriority w:val="99"/>
    <w:pPr>
      <w:widowControl/>
      <w:spacing w:before="100" w:beforeAutospacing="1" w:after="100" w:afterAutospacing="1"/>
      <w:jc w:val="left"/>
    </w:pPr>
    <w:rPr>
      <w:rFonts w:ascii="宋体" w:hAnsi="宋体"/>
      <w:kern w:val="0"/>
      <w:sz w:val="24"/>
      <w:szCs w:val="20"/>
    </w:rPr>
  </w:style>
  <w:style w:type="paragraph" w:styleId="27">
    <w:name w:val="annotation subject"/>
    <w:basedOn w:val="10"/>
    <w:next w:val="10"/>
    <w:link w:val="49"/>
    <w:semiHidden/>
    <w:qFormat/>
    <w:uiPriority w:val="0"/>
    <w:rPr>
      <w:b/>
      <w:bCs/>
      <w:kern w:val="2"/>
      <w:sz w:val="20"/>
      <w:szCs w:val="24"/>
    </w:rPr>
  </w:style>
  <w:style w:type="paragraph" w:styleId="28">
    <w:name w:val="Body Text First Indent"/>
    <w:basedOn w:val="12"/>
    <w:qFormat/>
    <w:uiPriority w:val="0"/>
    <w:pPr>
      <w:spacing w:after="120" w:line="240" w:lineRule="auto"/>
      <w:ind w:firstLine="420" w:firstLineChars="100"/>
    </w:pPr>
    <w:rPr>
      <w:rFonts w:ascii="Times New Roman"/>
      <w:sz w:val="21"/>
    </w:rPr>
  </w:style>
  <w:style w:type="table" w:styleId="30">
    <w:name w:val="Table Grid"/>
    <w:basedOn w:val="29"/>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qFormat/>
    <w:locked/>
    <w:uiPriority w:val="0"/>
    <w:rPr>
      <w:b/>
    </w:rPr>
  </w:style>
  <w:style w:type="character" w:styleId="33">
    <w:name w:val="page number"/>
    <w:qFormat/>
    <w:uiPriority w:val="0"/>
  </w:style>
  <w:style w:type="character" w:styleId="34">
    <w:name w:val="Hyperlink"/>
    <w:qFormat/>
    <w:uiPriority w:val="0"/>
    <w:rPr>
      <w:color w:val="0000FF"/>
      <w:u w:val="single"/>
    </w:rPr>
  </w:style>
  <w:style w:type="character" w:styleId="35">
    <w:name w:val="annotation reference"/>
    <w:semiHidden/>
    <w:qFormat/>
    <w:uiPriority w:val="0"/>
    <w:rPr>
      <w:sz w:val="21"/>
    </w:rPr>
  </w:style>
  <w:style w:type="character" w:customStyle="1" w:styleId="36">
    <w:name w:val="标题 3 字符"/>
    <w:link w:val="5"/>
    <w:qFormat/>
    <w:uiPriority w:val="0"/>
    <w:rPr>
      <w:b/>
      <w:bCs/>
      <w:sz w:val="32"/>
      <w:szCs w:val="32"/>
    </w:rPr>
  </w:style>
  <w:style w:type="character" w:customStyle="1" w:styleId="37">
    <w:name w:val="注释标题 字符"/>
    <w:link w:val="6"/>
    <w:unhideWhenUsed/>
    <w:qFormat/>
    <w:locked/>
    <w:uiPriority w:val="99"/>
  </w:style>
  <w:style w:type="character" w:customStyle="1" w:styleId="38">
    <w:name w:val="正文缩进 字符"/>
    <w:link w:val="7"/>
    <w:qFormat/>
    <w:uiPriority w:val="0"/>
    <w:rPr>
      <w:kern w:val="2"/>
      <w:sz w:val="28"/>
      <w:szCs w:val="24"/>
    </w:rPr>
  </w:style>
  <w:style w:type="character" w:customStyle="1" w:styleId="39">
    <w:name w:val="文档结构图 字符"/>
    <w:link w:val="9"/>
    <w:qFormat/>
    <w:uiPriority w:val="0"/>
    <w:rPr>
      <w:rFonts w:ascii="宋体"/>
      <w:kern w:val="2"/>
      <w:sz w:val="18"/>
      <w:szCs w:val="18"/>
    </w:rPr>
  </w:style>
  <w:style w:type="character" w:customStyle="1" w:styleId="40">
    <w:name w:val="批注文字 字符"/>
    <w:link w:val="10"/>
    <w:qFormat/>
    <w:locked/>
    <w:uiPriority w:val="99"/>
    <w:rPr>
      <w:rFonts w:ascii="Times New Roman" w:hAnsi="Times New Roman" w:eastAsia="宋体"/>
      <w:sz w:val="24"/>
    </w:rPr>
  </w:style>
  <w:style w:type="character" w:customStyle="1" w:styleId="41">
    <w:name w:val="正文文本 字符"/>
    <w:link w:val="12"/>
    <w:qFormat/>
    <w:locked/>
    <w:uiPriority w:val="0"/>
    <w:rPr>
      <w:sz w:val="18"/>
    </w:rPr>
  </w:style>
  <w:style w:type="character" w:customStyle="1" w:styleId="42">
    <w:name w:val="正文文本缩进 字符"/>
    <w:link w:val="13"/>
    <w:semiHidden/>
    <w:qFormat/>
    <w:locked/>
    <w:uiPriority w:val="0"/>
    <w:rPr>
      <w:rFonts w:ascii="Times New Roman" w:hAnsi="Times New Roman" w:eastAsia="宋体" w:cs="Times New Roman"/>
      <w:sz w:val="24"/>
      <w:szCs w:val="24"/>
    </w:rPr>
  </w:style>
  <w:style w:type="character" w:customStyle="1" w:styleId="43">
    <w:name w:val="纯文本 字符"/>
    <w:link w:val="16"/>
    <w:qFormat/>
    <w:uiPriority w:val="0"/>
    <w:rPr>
      <w:rFonts w:ascii="宋体" w:hAnsi="Courier New"/>
      <w:kern w:val="2"/>
      <w:sz w:val="21"/>
      <w:szCs w:val="24"/>
    </w:rPr>
  </w:style>
  <w:style w:type="character" w:customStyle="1" w:styleId="44">
    <w:name w:val="日期 字符1"/>
    <w:link w:val="17"/>
    <w:qFormat/>
    <w:locked/>
    <w:uiPriority w:val="0"/>
    <w:rPr>
      <w:rFonts w:ascii="Times New Roman" w:hAnsi="Times New Roman" w:eastAsia="宋体"/>
      <w:sz w:val="24"/>
    </w:rPr>
  </w:style>
  <w:style w:type="character" w:customStyle="1" w:styleId="45">
    <w:name w:val="批注框文本 字符"/>
    <w:link w:val="18"/>
    <w:semiHidden/>
    <w:qFormat/>
    <w:locked/>
    <w:uiPriority w:val="0"/>
    <w:rPr>
      <w:rFonts w:ascii="Times New Roman" w:hAnsi="Times New Roman" w:eastAsia="宋体" w:cs="Times New Roman"/>
      <w:sz w:val="18"/>
      <w:szCs w:val="18"/>
    </w:rPr>
  </w:style>
  <w:style w:type="character" w:customStyle="1" w:styleId="46">
    <w:name w:val="页脚 字符"/>
    <w:link w:val="19"/>
    <w:qFormat/>
    <w:locked/>
    <w:uiPriority w:val="99"/>
    <w:rPr>
      <w:rFonts w:cs="Times New Roman"/>
      <w:sz w:val="18"/>
      <w:szCs w:val="18"/>
    </w:rPr>
  </w:style>
  <w:style w:type="character" w:customStyle="1" w:styleId="47">
    <w:name w:val="页眉 字符"/>
    <w:link w:val="20"/>
    <w:qFormat/>
    <w:locked/>
    <w:uiPriority w:val="99"/>
    <w:rPr>
      <w:rFonts w:cs="Times New Roman"/>
      <w:sz w:val="18"/>
      <w:szCs w:val="18"/>
    </w:rPr>
  </w:style>
  <w:style w:type="character" w:customStyle="1" w:styleId="48">
    <w:name w:val="普通(网站) 字符"/>
    <w:link w:val="26"/>
    <w:qFormat/>
    <w:locked/>
    <w:uiPriority w:val="0"/>
    <w:rPr>
      <w:rFonts w:ascii="宋体" w:hAnsi="宋体" w:eastAsia="宋体"/>
      <w:sz w:val="24"/>
    </w:rPr>
  </w:style>
  <w:style w:type="character" w:customStyle="1" w:styleId="49">
    <w:name w:val="批注主题 字符"/>
    <w:link w:val="27"/>
    <w:semiHidden/>
    <w:qFormat/>
    <w:locked/>
    <w:uiPriority w:val="0"/>
    <w:rPr>
      <w:rFonts w:cs="Times New Roman"/>
      <w:b/>
      <w:bCs/>
      <w:kern w:val="2"/>
      <w:szCs w:val="24"/>
    </w:rPr>
  </w:style>
  <w:style w:type="paragraph" w:customStyle="1" w:styleId="50">
    <w:name w:val="xl27"/>
    <w:basedOn w:val="1"/>
    <w:next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PMingLiU" w:eastAsia="PMingLiU"/>
      <w:kern w:val="0"/>
      <w:sz w:val="16"/>
      <w:szCs w:val="16"/>
      <w:lang w:eastAsia="zh-TW"/>
    </w:rPr>
  </w:style>
  <w:style w:type="paragraph" w:customStyle="1" w:styleId="51">
    <w:name w:val="样式 正文文本缩进正文文字缩进 + 首行缩进:  2 字符"/>
    <w:basedOn w:val="1"/>
    <w:next w:val="1"/>
    <w:unhideWhenUsed/>
    <w:qFormat/>
    <w:uiPriority w:val="0"/>
    <w:pPr>
      <w:widowControl/>
      <w:spacing w:line="336" w:lineRule="auto"/>
      <w:ind w:firstLine="560"/>
      <w:jc w:val="left"/>
    </w:pPr>
    <w:rPr>
      <w:rFonts w:hint="default" w:ascii="宋体" w:eastAsia="宋体" w:cs="宋体"/>
      <w:sz w:val="28"/>
      <w:szCs w:val="28"/>
    </w:rPr>
  </w:style>
  <w:style w:type="paragraph" w:customStyle="1" w:styleId="52">
    <w:name w:val="Default"/>
    <w:basedOn w:val="53"/>
    <w:qFormat/>
    <w:uiPriority w:val="0"/>
    <w:pPr>
      <w:widowControl w:val="0"/>
      <w:autoSpaceDE w:val="0"/>
      <w:autoSpaceDN w:val="0"/>
      <w:adjustRightInd w:val="0"/>
    </w:pPr>
    <w:rPr>
      <w:color w:val="000000"/>
      <w:sz w:val="24"/>
      <w:szCs w:val="24"/>
      <w:lang w:val="en-US" w:eastAsia="zh-CN" w:bidi="ar-SA"/>
    </w:rPr>
  </w:style>
  <w:style w:type="paragraph" w:customStyle="1" w:styleId="53">
    <w:name w:val="纯文本1"/>
    <w:basedOn w:val="1"/>
    <w:qFormat/>
    <w:uiPriority w:val="0"/>
    <w:pPr>
      <w:adjustRightInd w:val="0"/>
    </w:pPr>
    <w:rPr>
      <w:rFonts w:ascii="宋体" w:hAnsi="Courier New"/>
      <w:szCs w:val="20"/>
    </w:rPr>
  </w:style>
  <w:style w:type="paragraph" w:customStyle="1" w:styleId="54">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character" w:customStyle="1" w:styleId="55">
    <w:name w:val="注释标题 Char1"/>
    <w:qFormat/>
    <w:uiPriority w:val="0"/>
    <w:rPr>
      <w:kern w:val="2"/>
      <w:sz w:val="21"/>
      <w:szCs w:val="24"/>
    </w:rPr>
  </w:style>
  <w:style w:type="character" w:customStyle="1" w:styleId="56">
    <w:name w:val="日期 字符"/>
    <w:semiHidden/>
    <w:qFormat/>
    <w:uiPriority w:val="0"/>
    <w:rPr>
      <w:rFonts w:ascii="Times New Roman" w:hAnsi="Times New Roman" w:eastAsia="宋体" w:cs="Times New Roman"/>
      <w:sz w:val="24"/>
      <w:szCs w:val="24"/>
    </w:rPr>
  </w:style>
  <w:style w:type="character" w:customStyle="1" w:styleId="57">
    <w:name w:val="正文文本 字符1"/>
    <w:semiHidden/>
    <w:qFormat/>
    <w:uiPriority w:val="0"/>
    <w:rPr>
      <w:rFonts w:ascii="Times New Roman" w:hAnsi="Times New Roman" w:eastAsia="宋体" w:cs="Times New Roman"/>
      <w:sz w:val="24"/>
      <w:szCs w:val="24"/>
    </w:rPr>
  </w:style>
  <w:style w:type="paragraph" w:customStyle="1" w:styleId="58">
    <w:name w:val="普通(网站)2"/>
    <w:basedOn w:val="1"/>
    <w:qFormat/>
    <w:uiPriority w:val="0"/>
    <w:pPr>
      <w:widowControl/>
      <w:spacing w:before="100" w:beforeAutospacing="1" w:after="100" w:afterAutospacing="1"/>
      <w:jc w:val="left"/>
    </w:pPr>
    <w:rPr>
      <w:rFonts w:ascii="宋体" w:hAnsi="宋体"/>
      <w:sz w:val="24"/>
      <w:szCs w:val="20"/>
    </w:rPr>
  </w:style>
  <w:style w:type="character" w:customStyle="1" w:styleId="59">
    <w:name w:val="表格 Char"/>
    <w:link w:val="60"/>
    <w:qFormat/>
    <w:locked/>
    <w:uiPriority w:val="0"/>
    <w:rPr>
      <w:rFonts w:ascii="宋体"/>
      <w:sz w:val="21"/>
    </w:rPr>
  </w:style>
  <w:style w:type="paragraph" w:customStyle="1" w:styleId="60">
    <w:name w:val="表格"/>
    <w:basedOn w:val="1"/>
    <w:next w:val="1"/>
    <w:link w:val="59"/>
    <w:qFormat/>
    <w:uiPriority w:val="0"/>
    <w:pPr>
      <w:adjustRightInd w:val="0"/>
      <w:snapToGrid w:val="0"/>
      <w:spacing w:beforeLines="10" w:afterLines="10" w:line="259" w:lineRule="auto"/>
      <w:jc w:val="center"/>
    </w:pPr>
    <w:rPr>
      <w:rFonts w:ascii="宋体"/>
      <w:kern w:val="0"/>
      <w:szCs w:val="20"/>
    </w:rPr>
  </w:style>
  <w:style w:type="character" w:customStyle="1" w:styleId="61">
    <w:name w:val="批注文字 字符1"/>
    <w:semiHidden/>
    <w:qFormat/>
    <w:uiPriority w:val="0"/>
    <w:rPr>
      <w:rFonts w:ascii="Times New Roman" w:hAnsi="Times New Roman" w:eastAsia="宋体" w:cs="Times New Roman"/>
      <w:sz w:val="24"/>
      <w:szCs w:val="24"/>
    </w:rPr>
  </w:style>
  <w:style w:type="character" w:customStyle="1" w:styleId="62">
    <w:name w:val="普通(网站) Char"/>
    <w:qFormat/>
    <w:locked/>
    <w:uiPriority w:val="0"/>
    <w:rPr>
      <w:rFonts w:ascii="宋体" w:hAnsi="宋体" w:eastAsia="宋体"/>
      <w:sz w:val="24"/>
    </w:rPr>
  </w:style>
  <w:style w:type="paragraph" w:customStyle="1" w:styleId="63">
    <w:name w:val="表头文字"/>
    <w:basedOn w:val="1"/>
    <w:qFormat/>
    <w:uiPriority w:val="0"/>
    <w:pPr>
      <w:spacing w:line="240" w:lineRule="atLeast"/>
      <w:jc w:val="center"/>
    </w:pPr>
    <w:rPr>
      <w:position w:val="-10"/>
      <w:sz w:val="24"/>
      <w:szCs w:val="22"/>
    </w:rPr>
  </w:style>
  <w:style w:type="paragraph" w:customStyle="1" w:styleId="64">
    <w:name w:val="表格文字"/>
    <w:basedOn w:val="12"/>
    <w:qFormat/>
    <w:uiPriority w:val="0"/>
    <w:pPr>
      <w:jc w:val="center"/>
    </w:pPr>
    <w:rPr>
      <w:rFonts w:ascii="仿宋_GB2312" w:hAnsi="Arial Black" w:eastAsia="仿宋_GB2312"/>
      <w:kern w:val="44"/>
      <w:sz w:val="24"/>
      <w:szCs w:val="20"/>
    </w:rPr>
  </w:style>
  <w:style w:type="paragraph" w:customStyle="1" w:styleId="65">
    <w:name w:val="Char Char Char Char Char Char"/>
    <w:basedOn w:val="1"/>
    <w:qFormat/>
    <w:uiPriority w:val="0"/>
    <w:rPr>
      <w:sz w:val="24"/>
    </w:rPr>
  </w:style>
  <w:style w:type="paragraph" w:customStyle="1" w:styleId="66">
    <w:name w:val="xl22"/>
    <w:basedOn w:val="1"/>
    <w:qFormat/>
    <w:uiPriority w:val="0"/>
    <w:pPr>
      <w:widowControl/>
      <w:spacing w:before="100" w:beforeLines="0" w:after="100" w:afterLines="0"/>
      <w:jc w:val="center"/>
    </w:pPr>
    <w:rPr>
      <w:rFonts w:eastAsia="宋体"/>
      <w:sz w:val="24"/>
      <w:szCs w:val="24"/>
      <w:lang w:val="en-US" w:eastAsia="zh-CN" w:bidi="ar-SA"/>
    </w:rPr>
  </w:style>
  <w:style w:type="paragraph" w:customStyle="1" w:styleId="67">
    <w:name w:val="xl29"/>
    <w:basedOn w:val="1"/>
    <w:qFormat/>
    <w:uiPriority w:val="0"/>
    <w:pPr>
      <w:widowControl/>
      <w:pBdr>
        <w:left w:val="single" w:color="auto" w:sz="8" w:space="0"/>
      </w:pBdr>
      <w:spacing w:before="100" w:beforeAutospacing="1" w:after="100" w:afterAutospacing="1"/>
      <w:jc w:val="center"/>
    </w:pPr>
    <w:rPr>
      <w:rFonts w:ascii="楷体_GB2312" w:hAnsi="宋体" w:eastAsia="楷体_GB2312"/>
      <w:kern w:val="0"/>
      <w:sz w:val="24"/>
    </w:rPr>
  </w:style>
  <w:style w:type="paragraph" w:customStyle="1" w:styleId="68">
    <w:name w:val="表"/>
    <w:basedOn w:val="1"/>
    <w:qFormat/>
    <w:uiPriority w:val="0"/>
    <w:pPr>
      <w:snapToGrid w:val="0"/>
      <w:jc w:val="center"/>
    </w:pPr>
    <w:rPr>
      <w:rFonts w:eastAsia="宋体"/>
      <w:spacing w:val="2"/>
      <w:sz w:val="24"/>
      <w:szCs w:val="22"/>
    </w:rPr>
  </w:style>
  <w:style w:type="paragraph" w:customStyle="1" w:styleId="69">
    <w:name w:val="表格内容自定"/>
    <w:basedOn w:val="1"/>
    <w:qFormat/>
    <w:uiPriority w:val="0"/>
    <w:pPr>
      <w:spacing w:line="280" w:lineRule="exact"/>
      <w:jc w:val="center"/>
    </w:pPr>
    <w:rPr>
      <w:kern w:val="0"/>
      <w:sz w:val="18"/>
      <w:szCs w:val="20"/>
    </w:rPr>
  </w:style>
  <w:style w:type="paragraph" w:customStyle="1" w:styleId="70">
    <w:name w:val="标题44"/>
    <w:basedOn w:val="1"/>
    <w:next w:val="1"/>
    <w:qFormat/>
    <w:uiPriority w:val="0"/>
    <w:pPr>
      <w:ind w:firstLine="0" w:firstLineChars="0"/>
      <w:jc w:val="left"/>
    </w:pPr>
    <w:rPr>
      <w:b/>
      <w:sz w:val="28"/>
      <w:szCs w:val="24"/>
    </w:rPr>
  </w:style>
  <w:style w:type="paragraph" w:customStyle="1" w:styleId="71">
    <w:name w:val="表头"/>
    <w:basedOn w:val="72"/>
    <w:next w:val="1"/>
    <w:qFormat/>
    <w:uiPriority w:val="0"/>
    <w:pPr>
      <w:keepNext/>
      <w:widowControl/>
      <w:ind w:firstLine="0" w:firstLineChars="0"/>
      <w:jc w:val="center"/>
    </w:pPr>
    <w:rPr>
      <w:b/>
      <w:sz w:val="21"/>
    </w:rPr>
  </w:style>
  <w:style w:type="paragraph" w:customStyle="1" w:styleId="72">
    <w:name w:val="文本"/>
    <w:basedOn w:val="1"/>
    <w:next w:val="1"/>
    <w:qFormat/>
    <w:uiPriority w:val="0"/>
    <w:pPr>
      <w:adjustRightInd w:val="0"/>
      <w:snapToGrid w:val="0"/>
      <w:ind w:firstLine="960"/>
    </w:pPr>
  </w:style>
  <w:style w:type="paragraph" w:customStyle="1" w:styleId="73">
    <w:name w:val="居中正文"/>
    <w:basedOn w:val="28"/>
    <w:qFormat/>
    <w:uiPriority w:val="0"/>
    <w:pPr>
      <w:adjustRightInd w:val="0"/>
      <w:spacing w:before="120" w:after="0" w:line="360" w:lineRule="auto"/>
      <w:ind w:firstLine="0" w:firstLineChars="0"/>
      <w:jc w:val="center"/>
      <w:textAlignment w:val="baseline"/>
    </w:pPr>
    <w:rPr>
      <w:rFonts w:ascii="宋体"/>
      <w:kern w:val="28"/>
      <w:sz w:val="24"/>
      <w:szCs w:val="20"/>
    </w:rPr>
  </w:style>
  <w:style w:type="paragraph" w:customStyle="1" w:styleId="74">
    <w:name w:val="正文-Jin"/>
    <w:basedOn w:val="1"/>
    <w:qFormat/>
    <w:uiPriority w:val="0"/>
    <w:pPr>
      <w:spacing w:line="360" w:lineRule="auto"/>
      <w:ind w:firstLine="480" w:firstLineChars="200"/>
    </w:pPr>
    <w:rPr>
      <w:rFonts w:eastAsia="宋体"/>
    </w:rPr>
  </w:style>
  <w:style w:type="paragraph" w:customStyle="1" w:styleId="75">
    <w:name w:val="Table Paragraph"/>
    <w:basedOn w:val="1"/>
    <w:qFormat/>
    <w:uiPriority w:val="1"/>
    <w:pPr>
      <w:jc w:val="center"/>
    </w:pPr>
    <w:rPr>
      <w:rFonts w:ascii="Times New Roman" w:hAnsi="Times New Roman" w:eastAsia="Times New Roman" w:cs="Times New Roman"/>
      <w:lang w:val="zh-CN" w:eastAsia="zh-CN" w:bidi="zh-CN"/>
    </w:rPr>
  </w:style>
  <w:style w:type="paragraph" w:customStyle="1" w:styleId="76">
    <w:name w:val="2"/>
    <w:basedOn w:val="1"/>
    <w:next w:val="16"/>
    <w:qFormat/>
    <w:uiPriority w:val="0"/>
    <w:pPr>
      <w:spacing w:after="120" w:afterLines="0" w:line="480" w:lineRule="auto"/>
    </w:pPr>
    <w:rPr>
      <w:rFonts w:ascii="Times New Roman" w:hAnsi="Times New Roman"/>
      <w:snapToGrid/>
      <w:sz w:val="24"/>
      <w:szCs w:val="20"/>
    </w:rPr>
  </w:style>
  <w:style w:type="paragraph" w:customStyle="1" w:styleId="77">
    <w:name w:val="11正文"/>
    <w:qFormat/>
    <w:uiPriority w:val="0"/>
    <w:pPr>
      <w:spacing w:line="360" w:lineRule="auto"/>
      <w:ind w:firstLine="200" w:firstLineChars="200"/>
      <w:jc w:val="both"/>
    </w:pPr>
    <w:rPr>
      <w:rFonts w:ascii="Times New Roman" w:hAnsi="Times New Roman" w:eastAsia="宋体" w:cs="Times New Roman"/>
      <w:kern w:val="2"/>
      <w:sz w:val="24"/>
      <w:szCs w:val="22"/>
      <w:lang w:val="en-US" w:eastAsia="zh-CN" w:bidi="ar-SA"/>
    </w:rPr>
  </w:style>
  <w:style w:type="paragraph" w:customStyle="1" w:styleId="78">
    <w:name w:val="表格标题"/>
    <w:basedOn w:val="1"/>
    <w:link w:val="79"/>
    <w:qFormat/>
    <w:uiPriority w:val="0"/>
    <w:pPr>
      <w:adjustRightInd w:val="0"/>
      <w:snapToGrid w:val="0"/>
      <w:spacing w:before="60" w:line="460" w:lineRule="exact"/>
      <w:jc w:val="center"/>
    </w:pPr>
    <w:rPr>
      <w:rFonts w:ascii="Calibri" w:hAnsi="Calibri"/>
      <w:sz w:val="24"/>
      <w:szCs w:val="20"/>
    </w:rPr>
  </w:style>
  <w:style w:type="character" w:customStyle="1" w:styleId="79">
    <w:name w:val="表格标题 Char"/>
    <w:link w:val="78"/>
    <w:qFormat/>
    <w:uiPriority w:val="0"/>
    <w:rPr>
      <w:rFonts w:ascii="Calibri" w:hAnsi="Calibri"/>
      <w:kern w:val="2"/>
      <w:sz w:val="24"/>
    </w:rPr>
  </w:style>
  <w:style w:type="character" w:customStyle="1" w:styleId="80">
    <w:name w:val="font21"/>
    <w:qFormat/>
    <w:uiPriority w:val="0"/>
    <w:rPr>
      <w:rFonts w:hint="default" w:ascii="Times New Roman" w:hAnsi="Times New Roman" w:cs="Times New Roman"/>
      <w:color w:val="000000"/>
      <w:sz w:val="21"/>
      <w:szCs w:val="21"/>
      <w:u w:val="none"/>
    </w:rPr>
  </w:style>
  <w:style w:type="paragraph" w:customStyle="1" w:styleId="81">
    <w:name w:val="表格内容"/>
    <w:basedOn w:val="16"/>
    <w:next w:val="1"/>
    <w:link w:val="82"/>
    <w:qFormat/>
    <w:uiPriority w:val="0"/>
    <w:pPr>
      <w:tabs>
        <w:tab w:val="left" w:pos="0"/>
      </w:tabs>
      <w:jc w:val="center"/>
    </w:pPr>
    <w:rPr>
      <w:rFonts w:ascii="Times New Roman" w:hAnsi="Times New Roman"/>
      <w:szCs w:val="21"/>
    </w:rPr>
  </w:style>
  <w:style w:type="character" w:customStyle="1" w:styleId="82">
    <w:name w:val="表格内容 Char"/>
    <w:link w:val="81"/>
    <w:qFormat/>
    <w:uiPriority w:val="0"/>
    <w:rPr>
      <w:kern w:val="2"/>
      <w:sz w:val="21"/>
      <w:szCs w:val="21"/>
    </w:rPr>
  </w:style>
  <w:style w:type="character" w:customStyle="1" w:styleId="83">
    <w:name w:val="eia正文 Char"/>
    <w:link w:val="84"/>
    <w:unhideWhenUsed/>
    <w:qFormat/>
    <w:locked/>
    <w:uiPriority w:val="99"/>
    <w:rPr>
      <w:rFonts w:ascii="Calibri" w:hAnsi="Calibri"/>
      <w:color w:val="000000"/>
      <w:sz w:val="22"/>
      <w:lang w:val="sq-AL" w:eastAsia="en-US"/>
    </w:rPr>
  </w:style>
  <w:style w:type="paragraph" w:customStyle="1" w:styleId="84">
    <w:name w:val="eia正文"/>
    <w:basedOn w:val="1"/>
    <w:next w:val="1"/>
    <w:link w:val="83"/>
    <w:unhideWhenUsed/>
    <w:qFormat/>
    <w:uiPriority w:val="99"/>
    <w:pPr>
      <w:spacing w:line="360" w:lineRule="auto"/>
      <w:ind w:firstLine="200" w:firstLineChars="200"/>
      <w:jc w:val="left"/>
    </w:pPr>
    <w:rPr>
      <w:rFonts w:ascii="Calibri" w:hAnsi="Calibri"/>
      <w:color w:val="000000"/>
      <w:kern w:val="0"/>
      <w:sz w:val="22"/>
      <w:szCs w:val="20"/>
      <w:lang w:val="sq-AL" w:eastAsia="en-US"/>
    </w:rPr>
  </w:style>
  <w:style w:type="character" w:customStyle="1" w:styleId="85">
    <w:name w:val="样式41 Char"/>
    <w:link w:val="86"/>
    <w:qFormat/>
    <w:uiPriority w:val="0"/>
    <w:rPr>
      <w:rFonts w:ascii="黑体" w:eastAsia="黑体"/>
      <w:sz w:val="24"/>
      <w:szCs w:val="24"/>
    </w:rPr>
  </w:style>
  <w:style w:type="paragraph" w:customStyle="1" w:styleId="86">
    <w:name w:val="样式41"/>
    <w:basedOn w:val="1"/>
    <w:link w:val="85"/>
    <w:qFormat/>
    <w:uiPriority w:val="0"/>
    <w:pPr>
      <w:spacing w:before="156" w:beforeLines="50" w:after="156" w:afterLines="50" w:line="400" w:lineRule="exact"/>
      <w:jc w:val="center"/>
    </w:pPr>
    <w:rPr>
      <w:rFonts w:ascii="黑体" w:eastAsia="黑体"/>
      <w:kern w:val="0"/>
      <w:sz w:val="24"/>
    </w:rPr>
  </w:style>
  <w:style w:type="paragraph" w:customStyle="1" w:styleId="87">
    <w:name w:val="eia标题表头"/>
    <w:basedOn w:val="8"/>
    <w:unhideWhenUsed/>
    <w:qFormat/>
    <w:uiPriority w:val="99"/>
    <w:pPr>
      <w:tabs>
        <w:tab w:val="left" w:pos="1080"/>
      </w:tabs>
      <w:spacing w:line="360" w:lineRule="auto"/>
      <w:jc w:val="center"/>
    </w:pPr>
    <w:rPr>
      <w:rFonts w:hint="eastAsia" w:ascii="Arial" w:hAnsi="Arial" w:cs="Times New Roman"/>
      <w:sz w:val="24"/>
      <w:lang w:eastAsia="en-US"/>
    </w:rPr>
  </w:style>
  <w:style w:type="paragraph" w:customStyle="1" w:styleId="88">
    <w:name w:val="正文部分"/>
    <w:basedOn w:val="1"/>
    <w:qFormat/>
    <w:uiPriority w:val="0"/>
    <w:pPr>
      <w:topLinePunct/>
      <w:adjustRightInd w:val="0"/>
      <w:snapToGrid w:val="0"/>
      <w:spacing w:line="360" w:lineRule="auto"/>
      <w:ind w:firstLine="480" w:firstLineChars="200"/>
    </w:pPr>
    <w:rPr>
      <w:kern w:val="0"/>
      <w:sz w:val="24"/>
      <w:shd w:val="clear" w:color="auto" w:fill="FFFFFF"/>
      <w:lang w:val="zh-CN"/>
    </w:rPr>
  </w:style>
  <w:style w:type="paragraph" w:customStyle="1" w:styleId="89">
    <w:name w:val="_Style 87"/>
    <w:unhideWhenUsed/>
    <w:qFormat/>
    <w:uiPriority w:val="99"/>
    <w:rPr>
      <w:rFonts w:ascii="Times New Roman" w:hAnsi="Times New Roman" w:eastAsia="宋体" w:cs="Times New Roman"/>
      <w:kern w:val="2"/>
      <w:sz w:val="21"/>
      <w:szCs w:val="24"/>
      <w:lang w:val="en-US" w:eastAsia="zh-CN" w:bidi="ar-SA"/>
    </w:rPr>
  </w:style>
  <w:style w:type="paragraph" w:customStyle="1" w:styleId="90">
    <w:name w:val="paragraph"/>
    <w:basedOn w:val="1"/>
    <w:qFormat/>
    <w:uiPriority w:val="0"/>
    <w:pPr>
      <w:widowControl/>
      <w:spacing w:before="100" w:beforeAutospacing="1" w:after="100" w:afterAutospacing="1"/>
      <w:jc w:val="left"/>
    </w:pPr>
    <w:rPr>
      <w:rFonts w:ascii="宋体" w:hAnsi="宋体" w:cs="宋体"/>
      <w:kern w:val="0"/>
      <w:sz w:val="24"/>
    </w:rPr>
  </w:style>
  <w:style w:type="character" w:customStyle="1" w:styleId="91">
    <w:name w:val="表格正文 Char"/>
    <w:link w:val="92"/>
    <w:qFormat/>
    <w:locked/>
    <w:uiPriority w:val="0"/>
    <w:rPr>
      <w:kern w:val="2"/>
      <w:sz w:val="24"/>
      <w:szCs w:val="24"/>
    </w:rPr>
  </w:style>
  <w:style w:type="paragraph" w:customStyle="1" w:styleId="92">
    <w:name w:val="表格正文"/>
    <w:basedOn w:val="1"/>
    <w:next w:val="1"/>
    <w:link w:val="91"/>
    <w:qFormat/>
    <w:uiPriority w:val="0"/>
    <w:pPr>
      <w:spacing w:line="300" w:lineRule="auto"/>
      <w:jc w:val="center"/>
    </w:pPr>
    <w:rPr>
      <w:sz w:val="24"/>
    </w:rPr>
  </w:style>
  <w:style w:type="paragraph" w:customStyle="1" w:styleId="93">
    <w:name w:val=" Char Char Char Char Char Char Char Char Char Char Char Char Char Char Char Char Char Char Char Char Char Char"/>
    <w:basedOn w:val="1"/>
    <w:qFormat/>
    <w:uiPriority w:val="0"/>
    <w:pPr>
      <w:widowControl/>
      <w:spacing w:after="160" w:line="240" w:lineRule="exact"/>
      <w:jc w:val="left"/>
    </w:pPr>
  </w:style>
  <w:style w:type="character" w:customStyle="1" w:styleId="94">
    <w:name w:val="3-四级标题 字符"/>
    <w:link w:val="95"/>
    <w:qFormat/>
    <w:uiPriority w:val="0"/>
    <w:rPr>
      <w:rFonts w:ascii="仿宋_GB2312" w:hAnsi="宋体" w:eastAsia="仿宋_GB2312"/>
      <w:b/>
      <w:kern w:val="2"/>
      <w:sz w:val="30"/>
      <w:szCs w:val="32"/>
    </w:rPr>
  </w:style>
  <w:style w:type="paragraph" w:customStyle="1" w:styleId="95">
    <w:name w:val="3-四级标题"/>
    <w:basedOn w:val="1"/>
    <w:link w:val="94"/>
    <w:qFormat/>
    <w:uiPriority w:val="0"/>
    <w:pPr>
      <w:adjustRightInd w:val="0"/>
      <w:snapToGrid w:val="0"/>
      <w:spacing w:line="360" w:lineRule="auto"/>
      <w:ind w:firstLine="200" w:firstLineChars="200"/>
      <w:outlineLvl w:val="3"/>
    </w:pPr>
    <w:rPr>
      <w:rFonts w:ascii="仿宋_GB2312" w:hAnsi="宋体" w:eastAsia="仿宋_GB2312"/>
      <w:b/>
      <w:sz w:val="30"/>
      <w:szCs w:val="32"/>
    </w:rPr>
  </w:style>
  <w:style w:type="paragraph" w:customStyle="1" w:styleId="96">
    <w:name w:val="表内容2"/>
    <w:basedOn w:val="1"/>
    <w:link w:val="97"/>
    <w:qFormat/>
    <w:uiPriority w:val="0"/>
    <w:pPr>
      <w:jc w:val="center"/>
    </w:pPr>
    <w:rPr>
      <w:szCs w:val="21"/>
    </w:rPr>
  </w:style>
  <w:style w:type="character" w:customStyle="1" w:styleId="97">
    <w:name w:val="表内容2 Char Char"/>
    <w:link w:val="96"/>
    <w:qFormat/>
    <w:uiPriority w:val="0"/>
    <w:rPr>
      <w:kern w:val="2"/>
      <w:sz w:val="21"/>
      <w:szCs w:val="21"/>
    </w:rPr>
  </w:style>
  <w:style w:type="paragraph" w:customStyle="1" w:styleId="98">
    <w:name w:val="说明书正文"/>
    <w:basedOn w:val="1"/>
    <w:qFormat/>
    <w:uiPriority w:val="0"/>
    <w:pPr>
      <w:spacing w:line="480" w:lineRule="exact"/>
      <w:ind w:firstLine="600" w:firstLineChars="200"/>
    </w:pPr>
    <w:rPr>
      <w:rFonts w:eastAsia="仿宋_GB2312"/>
      <w:color w:val="000000"/>
      <w:sz w:val="30"/>
    </w:rPr>
  </w:style>
  <w:style w:type="paragraph" w:customStyle="1" w:styleId="99">
    <w:name w:val="15"/>
    <w:basedOn w:val="1"/>
    <w:qFormat/>
    <w:uiPriority w:val="0"/>
    <w:pPr>
      <w:widowControl/>
      <w:spacing w:before="100" w:beforeAutospacing="1" w:after="100" w:afterAutospacing="1"/>
      <w:jc w:val="left"/>
    </w:pPr>
    <w:rPr>
      <w:rFonts w:ascii="宋体" w:hAnsi="宋体" w:cs="宋体"/>
      <w:kern w:val="0"/>
      <w:sz w:val="24"/>
    </w:rPr>
  </w:style>
  <w:style w:type="character" w:customStyle="1" w:styleId="100">
    <w:name w:val="报告表正文 Char"/>
    <w:link w:val="101"/>
    <w:qFormat/>
    <w:locked/>
    <w:uiPriority w:val="0"/>
    <w:rPr>
      <w:sz w:val="24"/>
    </w:rPr>
  </w:style>
  <w:style w:type="paragraph" w:customStyle="1" w:styleId="101">
    <w:name w:val="报告表正文"/>
    <w:basedOn w:val="1"/>
    <w:link w:val="100"/>
    <w:qFormat/>
    <w:uiPriority w:val="0"/>
    <w:pPr>
      <w:adjustRightInd w:val="0"/>
      <w:spacing w:line="312" w:lineRule="auto"/>
      <w:ind w:left="113" w:right="113" w:firstLine="482"/>
      <w:jc w:val="left"/>
    </w:pPr>
    <w:rPr>
      <w:kern w:val="0"/>
      <w:sz w:val="24"/>
      <w:szCs w:val="20"/>
    </w:rPr>
  </w:style>
  <w:style w:type="paragraph" w:customStyle="1" w:styleId="102">
    <w:name w:val="my正文"/>
    <w:basedOn w:val="1"/>
    <w:qFormat/>
    <w:uiPriority w:val="0"/>
    <w:pPr>
      <w:spacing w:beforeLines="50" w:afterLines="50" w:line="324" w:lineRule="auto"/>
      <w:ind w:firstLine="200" w:firstLineChars="200"/>
    </w:pPr>
    <w:rPr>
      <w:spacing w:val="4"/>
      <w:sz w:val="24"/>
      <w:szCs w:val="21"/>
    </w:rPr>
  </w:style>
  <w:style w:type="paragraph" w:customStyle="1" w:styleId="103">
    <w:name w:val="自己的正文"/>
    <w:basedOn w:val="1"/>
    <w:qFormat/>
    <w:uiPriority w:val="0"/>
    <w:pPr>
      <w:adjustRightInd w:val="0"/>
      <w:snapToGrid w:val="0"/>
      <w:spacing w:line="360" w:lineRule="auto"/>
      <w:ind w:firstLine="560" w:firstLineChars="200"/>
      <w:textAlignment w:val="baseline"/>
    </w:pPr>
    <w:rPr>
      <w:color w:val="000000"/>
      <w:sz w:val="28"/>
      <w:szCs w:val="28"/>
    </w:rPr>
  </w:style>
  <w:style w:type="paragraph" w:customStyle="1" w:styleId="104">
    <w:name w:val="表图号"/>
    <w:basedOn w:val="1"/>
    <w:qFormat/>
    <w:uiPriority w:val="99"/>
    <w:pPr>
      <w:spacing w:before="60" w:after="60" w:line="240" w:lineRule="auto"/>
      <w:jc w:val="center"/>
    </w:pPr>
    <w:rPr>
      <w:rFonts w:eastAsia="黑体"/>
      <w:lang w:val="zh-CN"/>
    </w:rPr>
  </w:style>
  <w:style w:type="paragraph" w:customStyle="1" w:styleId="105">
    <w:name w:val="表格CAT"/>
    <w:basedOn w:val="106"/>
    <w:qFormat/>
    <w:uiPriority w:val="99"/>
    <w:pPr>
      <w:widowControl/>
      <w:tabs>
        <w:tab w:val="left" w:pos="560"/>
      </w:tabs>
      <w:spacing w:line="240" w:lineRule="auto"/>
      <w:ind w:firstLine="0" w:firstLineChars="0"/>
      <w:jc w:val="center"/>
    </w:pPr>
    <w:rPr>
      <w:rFonts w:ascii="Times New Roman" w:hAnsi="Times New Roman" w:eastAsia="宋体"/>
      <w:sz w:val="18"/>
    </w:rPr>
  </w:style>
  <w:style w:type="paragraph" w:customStyle="1" w:styleId="106">
    <w:name w:val="表格文字-表外"/>
    <w:basedOn w:val="1"/>
    <w:unhideWhenUsed/>
    <w:qFormat/>
    <w:uiPriority w:val="0"/>
    <w:pPr>
      <w:snapToGrid w:val="0"/>
      <w:spacing w:beforeLines="0" w:afterLines="0"/>
      <w:jc w:val="center"/>
    </w:pPr>
    <w:rPr>
      <w:rFonts w:hint="default" w:ascii="Times New Roman" w:hAnsi="Times New Roman" w:eastAsia="Times New Roman"/>
    </w:rPr>
  </w:style>
  <w:style w:type="paragraph" w:customStyle="1" w:styleId="107">
    <w:name w:val="正文首行缩进1"/>
    <w:basedOn w:val="12"/>
    <w:next w:val="1"/>
    <w:qFormat/>
    <w:uiPriority w:val="2457"/>
    <w:pPr>
      <w:spacing w:before="0" w:after="120" w:line="240" w:lineRule="auto"/>
      <w:ind w:left="0" w:right="0" w:firstLine="420"/>
    </w:pPr>
    <w:rPr>
      <w:sz w:val="28"/>
    </w:rPr>
  </w:style>
  <w:style w:type="paragraph" w:customStyle="1" w:styleId="108">
    <w:name w:val="正文最终"/>
    <w:qFormat/>
    <w:uiPriority w:val="0"/>
    <w:pPr>
      <w:widowControl w:val="0"/>
      <w:snapToGrid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character" w:customStyle="1" w:styleId="109">
    <w:name w:val="表内正文 Char"/>
    <w:link w:val="110"/>
    <w:qFormat/>
    <w:uiPriority w:val="0"/>
    <w:rPr>
      <w:rFonts w:hint="eastAsia" w:ascii="Times New Roman" w:hAnsi="Times New Roman"/>
    </w:rPr>
  </w:style>
  <w:style w:type="paragraph" w:customStyle="1" w:styleId="110">
    <w:name w:val="表内正文"/>
    <w:basedOn w:val="1"/>
    <w:link w:val="109"/>
    <w:qFormat/>
    <w:uiPriority w:val="0"/>
    <w:pPr>
      <w:wordWrap w:val="0"/>
      <w:spacing w:line="360" w:lineRule="auto"/>
      <w:ind w:firstLine="1044" w:firstLineChars="200"/>
      <w:jc w:val="left"/>
    </w:pPr>
    <w:rPr>
      <w:rFonts w:hint="eastAsia" w:ascii="Times New Roman" w:hAnsi="Times New Roman"/>
    </w:rPr>
  </w:style>
  <w:style w:type="table" w:customStyle="1" w:styleId="111">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112">
    <w:name w:val="！正文"/>
    <w:basedOn w:val="1"/>
    <w:qFormat/>
    <w:uiPriority w:val="0"/>
    <w:pPr>
      <w:spacing w:line="360" w:lineRule="auto"/>
      <w:ind w:firstLine="480" w:firstLineChars="200"/>
    </w:pPr>
    <w:rPr>
      <w:rFonts w:ascii="Times New Roman" w:hAnsi="Times New Roman" w:eastAsia="宋体" w:cs="Times New Roman"/>
      <w:color w:val="FF0000"/>
      <w:sz w:val="24"/>
      <w:szCs w:val="24"/>
    </w:rPr>
  </w:style>
  <w:style w:type="table" w:customStyle="1" w:styleId="113">
    <w:name w:val="三线表1"/>
    <w:basedOn w:val="29"/>
    <w:qFormat/>
    <w:uiPriority w:val="0"/>
    <w:rPr>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14">
    <w:name w:val="fontstyle01"/>
    <w:qFormat/>
    <w:uiPriority w:val="0"/>
    <w:rPr>
      <w:rFonts w:hint="eastAsia" w:ascii="宋体" w:hAnsi="宋体" w:eastAsia="宋体" w:cs="宋体"/>
      <w:color w:val="000000"/>
      <w:sz w:val="30"/>
      <w:szCs w:val="30"/>
    </w:rPr>
  </w:style>
  <w:style w:type="paragraph" w:styleId="115">
    <w:name w:val="List Paragraph"/>
    <w:basedOn w:val="1"/>
    <w:qFormat/>
    <w:uiPriority w:val="34"/>
    <w:pPr>
      <w:ind w:firstLine="420" w:firstLineChars="200"/>
    </w:pPr>
    <w:rPr>
      <w:rFonts w:ascii="Times New Roman" w:hAnsi="Times New Roman" w:eastAsia="宋体" w:cs="Times New Roman"/>
    </w:rPr>
  </w:style>
  <w:style w:type="character" w:customStyle="1" w:styleId="116">
    <w:name w:val="font41"/>
    <w:basedOn w:val="31"/>
    <w:qFormat/>
    <w:uiPriority w:val="0"/>
    <w:rPr>
      <w:rFonts w:hint="default" w:ascii="Times New Roman" w:hAnsi="Times New Roman" w:cs="Times New Roman"/>
      <w:color w:val="000000"/>
      <w:sz w:val="21"/>
      <w:szCs w:val="21"/>
      <w:u w:val="none"/>
      <w:vertAlign w:val="subscript"/>
    </w:rPr>
  </w:style>
  <w:style w:type="paragraph" w:customStyle="1" w:styleId="117">
    <w:name w:val="表格内格式"/>
    <w:basedOn w:val="1"/>
    <w:qFormat/>
    <w:uiPriority w:val="0"/>
    <w:pPr>
      <w:adjustRightInd w:val="0"/>
      <w:snapToGrid w:val="0"/>
      <w:spacing w:before="60"/>
      <w:jc w:val="center"/>
    </w:pPr>
    <w:rPr>
      <w:rFonts w:ascii="Times New Roman" w:hAnsi="Times New Roman" w:eastAsia="宋体" w:cs="宋体"/>
      <w:snapToGrid w:val="0"/>
      <w:kern w:val="0"/>
      <w:sz w:val="18"/>
      <w:szCs w:val="20"/>
    </w:rPr>
  </w:style>
  <w:style w:type="paragraph" w:customStyle="1" w:styleId="118">
    <w:name w:val="Table Text"/>
    <w:basedOn w:val="1"/>
    <w:semiHidden/>
    <w:qFormat/>
    <w:uiPriority w:val="0"/>
    <w:rPr>
      <w:rFonts w:ascii="宋体" w:hAnsi="宋体" w:eastAsia="宋体" w:cs="宋体"/>
      <w:sz w:val="20"/>
      <w:szCs w:val="20"/>
      <w:lang w:val="en-US" w:eastAsia="en-US" w:bidi="ar-SA"/>
    </w:rPr>
  </w:style>
  <w:style w:type="paragraph" w:customStyle="1" w:styleId="119">
    <w:name w:val="正文-H"/>
    <w:basedOn w:val="1"/>
    <w:qFormat/>
    <w:uiPriority w:val="0"/>
    <w:pPr>
      <w:spacing w:line="360" w:lineRule="auto"/>
      <w:ind w:firstLine="720" w:firstLineChars="200"/>
    </w:pPr>
    <w:rPr>
      <w:sz w:val="24"/>
    </w:rPr>
  </w:style>
  <w:style w:type="paragraph" w:customStyle="1" w:styleId="120">
    <w:name w:val="1正文段落"/>
    <w:basedOn w:val="1"/>
    <w:qFormat/>
    <w:uiPriority w:val="0"/>
    <w:pPr>
      <w:ind w:firstLine="480"/>
      <w:jc w:val="left"/>
    </w:pPr>
    <w:rPr>
      <w:snapToGrid w:val="0"/>
      <w:kern w:val="0"/>
    </w:rPr>
  </w:style>
  <w:style w:type="paragraph" w:customStyle="1" w:styleId="121">
    <w:name w:val="环评正文"/>
    <w:basedOn w:val="1"/>
    <w:qFormat/>
    <w:uiPriority w:val="0"/>
    <w:pPr>
      <w:spacing w:before="60" w:after="60" w:line="400" w:lineRule="exact"/>
    </w:pPr>
    <w:rPr>
      <w:rFonts w:eastAsia="仿宋_GB2312"/>
    </w:rPr>
  </w:style>
  <w:style w:type="character" w:customStyle="1" w:styleId="122">
    <w:name w:val="font31"/>
    <w:qFormat/>
    <w:uiPriority w:val="0"/>
    <w:rPr>
      <w:rFonts w:hint="default" w:ascii="Times New Roman" w:hAnsi="Times New Roman" w:cs="Times New Roman"/>
      <w:color w:val="000000"/>
      <w:sz w:val="21"/>
      <w:szCs w:val="21"/>
      <w:u w:val="none"/>
      <w:vertAlign w:val="superscript"/>
    </w:rPr>
  </w:style>
  <w:style w:type="character" w:customStyle="1" w:styleId="123">
    <w:name w:val="font11"/>
    <w:qFormat/>
    <w:uiPriority w:val="0"/>
    <w:rPr>
      <w:rFonts w:hint="eastAsia" w:ascii="宋体" w:hAnsi="宋体" w:eastAsia="宋体" w:cs="宋体"/>
      <w:color w:val="000000"/>
      <w:sz w:val="21"/>
      <w:szCs w:val="21"/>
      <w:u w:val="none"/>
    </w:rPr>
  </w:style>
  <w:style w:type="paragraph" w:customStyle="1" w:styleId="124">
    <w:name w:val="页末正文"/>
    <w:basedOn w:val="1"/>
    <w:qFormat/>
    <w:uiPriority w:val="0"/>
    <w:pPr>
      <w:spacing w:after="240" w:line="480" w:lineRule="exact"/>
      <w:ind w:firstLine="560" w:firstLineChars="200"/>
    </w:pPr>
    <w:rPr>
      <w:rFonts w:eastAsia="楷体_GB2312"/>
      <w:color w:val="000000"/>
      <w:sz w:val="28"/>
      <w:szCs w:val="20"/>
    </w:rPr>
  </w:style>
  <w:style w:type="paragraph" w:customStyle="1" w:styleId="125">
    <w:name w:val="表格内容wmc"/>
    <w:basedOn w:val="1"/>
    <w:next w:val="1"/>
    <w:qFormat/>
    <w:uiPriority w:val="0"/>
    <w:pPr>
      <w:spacing w:line="240" w:lineRule="auto"/>
      <w:ind w:firstLine="0" w:firstLineChars="0"/>
      <w:jc w:val="center"/>
    </w:pPr>
    <w:rPr>
      <w:sz w:val="21"/>
      <w:szCs w:val="21"/>
    </w:rPr>
  </w:style>
  <w:style w:type="paragraph" w:customStyle="1" w:styleId="126">
    <w:name w:val="正文 首行缩进:  2 字符"/>
    <w:qFormat/>
    <w:uiPriority w:val="0"/>
    <w:pPr>
      <w:widowControl w:val="0"/>
      <w:ind w:firstLine="579" w:firstLineChars="200"/>
      <w:jc w:val="both"/>
    </w:pPr>
    <w:rPr>
      <w:rFonts w:ascii="Times New Roman" w:hAnsi="Times New Roman" w:eastAsia="宋体" w:cs="宋体"/>
      <w:kern w:val="2"/>
      <w:sz w:val="21"/>
      <w:szCs w:val="20"/>
      <w:lang w:val="en-US" w:eastAsia="zh-CN" w:bidi="ar-SA"/>
    </w:rPr>
  </w:style>
  <w:style w:type="paragraph" w:customStyle="1" w:styleId="127">
    <w:name w:val="表名"/>
    <w:basedOn w:val="1"/>
    <w:autoRedefine/>
    <w:qFormat/>
    <w:uiPriority w:val="0"/>
    <w:pPr>
      <w:ind w:firstLine="0" w:firstLineChars="0"/>
      <w:jc w:val="center"/>
    </w:pPr>
    <w:rPr>
      <w:b/>
    </w:rPr>
  </w:style>
  <w:style w:type="paragraph" w:customStyle="1" w:styleId="128">
    <w:name w:val="图名表名"/>
    <w:basedOn w:val="1"/>
    <w:qFormat/>
    <w:uiPriority w:val="0"/>
    <w:pPr>
      <w:widowControl/>
      <w:ind w:firstLine="0" w:firstLineChars="0"/>
      <w:jc w:val="center"/>
    </w:pPr>
    <w:rPr>
      <w:rFonts w:cs="仿宋_GB2312"/>
      <w:b/>
    </w:rPr>
  </w:style>
  <w:style w:type="paragraph" w:customStyle="1" w:styleId="129">
    <w:name w:val="图表"/>
    <w:qFormat/>
    <w:uiPriority w:val="0"/>
    <w:pPr>
      <w:widowControl w:val="0"/>
      <w:jc w:val="center"/>
    </w:pPr>
    <w:rPr>
      <w:rFonts w:asciiTheme="minorHAnsi" w:hAnsiTheme="minorHAnsi" w:eastAsiaTheme="minorEastAsia" w:cstheme="minorBidi"/>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4.png"/><Relationship Id="rId20" Type="http://schemas.openxmlformats.org/officeDocument/2006/relationships/image" Target="media/image13.emf"/><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extobjs>
    <extobj name="E657119C-6982-421D-8BA7-E74DEB70A7D9-1">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MU56Z2xNa01sTWpKemFHOTNSM0pwWkNVeU1pVXpRWFJ5ZFdVbE1rTWxNakp5YVdOb1ZHVjRkQ1V5TWlVelFYUnlkV1VsTWtNbE1qSm9aV2xuYUhRbE1qSWxNMEV4TURBd0pUZEVKVEpESlRJeVpXeGxiV1Z1ZEhNbE1qSWxNMEVsTjBJbE1qSnBiRXBSZEdWalJteDJOakE1TURBNEpUSXlKVE5CSlRkQ0pUSXlhV1FsTWpJbE0wRWxNakpwYkVwUmRHVmpSbXgyTmpBNU1EQTR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SlRaME5zVTJSQlVVNDJORE0zTWpNbE1qSWxOMFFsTWtNbE4wSWxNakp1WVcxbEpUSXlKVE5CSlRJeUpVVTFKVGt3SlRoRUpVVTNKVUUzSlVJd0pUSXlKVEpESlRJeWRIbHdaU1V5TWlVelFTVXlNbk4wY21sdVp5VXlNaVV5UXlVeU1uWmhiSFZsSlRJeUpUTkJKVEl5SlRJeUpUSkRKVEl5WTJGMFpXZHZjbmtsTWpJbE0wRWxNakprWldaaGRXeDBKVEl5SlRKREpUSXlhV1FsTWpJbE0wRWxNakowY21GU1VVdDVkSGxuTXpRek1URTB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ZbTlzWkNVeU1pVXpRWFJ5ZFdVbE1rTWxNakp6YVhwbEpUSXlKVE5CTVRZbE4wUWxNa01sTWpKMFpYaDBRbXh2WTJzbE1qSWxNMEVsTlVJbE4wSWxNakp3YjNOcGRHbHZiaVV5TWlVelFTVTNRaVV5TW5nbE1qSWxNMEV4TUNVeVF5VXlNbmtsTWpJbE0wRXdKVEpESlRJeWR5VXlNaVV6UVNVeU1uY3RNakFsTWpJbE1rTWxNakpvSlRJeUpUTkJKVEl5YUNVeU1pVTNSQ1V5UXlVeU1uUmxlSFFsTWpJbE0wRWxNaklsUlRjbE9UUWxPVVlsUlRZbFFqUWxRa0lsUlRjbE9UUWxRVGdsUlRZbFFqQWxRal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Vja1YwVW1sNGExWkpOamd4T1RJMEpUSXlKVE5CSlRkQ0pUSXlhV1FsTWpJbE0wRWxNakpFY2tWMFVtbDRhMVpKTmpneE9USTB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NXFZV2RGVjJKeFRsSTFOVEl6TmpBbE1qSWxOMFFsTWtNbE4wSWxNakp1WVcxbEpUSXlKVE5CSlRJeUpVVTFKVGt3SlRoRUpVVTNKVUUzSlVJd0pUSXlKVEpESlRJeWRIbHdaU1V5TWlVelFTVXlNbk4wY21sdVp5VXlNaVV5UXlVeU1uWmhiSFZsSlRJeUpUTkJKVEl5SlRJeUpUSkRKVEl5WTJGMFpXZHZjbmtsTWpJbE0wRWxNakprWldaaGRXeDBKVEl5SlRKREpUSXlhV1FsTWpJbE0wRWxNakpLUkhGNVNucGhSMkpZTmpZMU1EUTN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EpUSXlZbTlzWkNVeU1pVXpRWFJ5ZFdVbE4wUWxNa01sTWpKMFpYaDBRbXh2WTJzbE1qSWxNMEVsTlVJbE4wSWxNakp3YjNOcGRHbHZiaVV5TWlVelFTVTNRaVV5TW5nbE1qSWxNMEV4TUNVeVF5VXlNbmtsTWpJbE0wRXdKVEpESlRJeWR5VXlNaVV6UVNVeU1uY3RNakFsTWpJbE1rTWxNakpvSlRJeUpUTkJKVEl5YUNVeU1pVTNSQ1V5UXlVeU1uUmxlSFFsTWpJbE0wRWxNaklsUlRVbE9FTWxPVFlsUlRjbFFqSWxRVUVsUlRZbFFqRWxRVE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nFkblowWlZCRVdrVktNekUwTVRJekpUSXlKVE5CSlRkQ0pUSXlhV1FsTWpJbE0wRWxNakpxZG5aMFpWQkVXa1ZLTXpFME1USXp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MU1ZkMVdYUjJiRloyT0RnME1qVXlKVEl5SlRkRUpUSkRKVGRDSlRJeWJtRnRaU1V5TWlVelFTVXlNaVZGTlNVNU1DVTRSQ1ZGTnlWQk55VkNNQ1V5TWlVeVF5VXlNblI1Y0dVbE1qSWxNMEVsTWpKemRISnBibWNsTWpJbE1rTWxNakoyWVd4MVpTVXlNaVV6UVNVeU1pVXlNaVV5UXlVeU1tTmhkR1ZuYjNKNUpUSXlKVE5CSlRJeVpHVm1ZWFZzZENVeU1pVXlReVV5TW1sa0pUSXlKVE5CSlRJeWFscGhTVkZRY1ZGblNqSTVNRGd3Tk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1rTWxNakppYjJ4a0pUSXlKVE5CZEhKMVpTVTNSQ1V5UXlVeU1uUmxlSFJDYkc5amF5VXlNaVV6UVNVMVFpVTNRaVV5TW5CdmMybDBhVzl1SlRJeUpUTkJKVGRDSlRJeWVDVXlNaVV6UVRBbE1rTWxNako1SlRJeUpUTkJNQ1V5UXlVeU1uY2xNaklsTTBFbE1qSjNKVEl5SlRKREpUSXlhQ1V5TWlVelFTVXlNbWdsTWpJbE4wUWxNa01sTWpKMFpYaDBKVEl5SlROQkpUSXlKVVUySlRrMkpVSXdKVVU1SlRsQ0pUZzJKVVUwSlVJNEpUZ3dKVVUzSlRsR0pVSkdKVVUySlVJeEpVRXhKVVUySlVJd0pVSTBKVVUxSlVFMEpUZzBKVVUzSlRrd0pUZzJKVVUzSlVGQ0pUazV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ZtOTRaRUZDZWtWMWFURXpNVGd6TVNVeU1pVXpRU1UzUWlVeU1tbGtKVEl5SlROQkpUSXlWbTk0WkVGQ2VrVjFhVEV6TVRnek1T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QlFrbEZiMkpVVmtGcE9UYzRPREF5SlRJeUpUZEVKVEpESlRkQ0pUSXlibUZ0WlNVeU1pVXpRU1V5TWlWRk5TVTVNQ1U0UkNWRk55VkJOeVZDTUNVeU1pVXlReVV5TW5SNWNHVWxNaklsTTBFbE1qSnpkSEpwYm1jbE1qSWxNa01sTWpKMllXeDFaU1V5TWlVelFTVXlNaVV5TWlVeVF5VXlNbU5oZEdWbmIzSjVKVEl5SlROQkpUSXlaR1ZtWVhWc2RDVXlNaVV5UXlVeU1tbGtKVEl5SlROQkpUSXlSMjVQV1Vka2VIWnRkelk0TlRBek1p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EpUSXlZbTlzWkNVeU1pVXpRWFJ5ZFdVbE4wUWxNa01sTWpKMFpYaDBRbXh2WTJzbE1qSWxNMEVsTlVJbE4wSWxNakp3YjNOcGRHbHZiaVV5TWlVelFTVTNRaVV5TW5nbE1qSWxNMEV4TUNVeVF5VXlNbmtsTWpJbE0wRXdKVEpESlRJeWR5VXlNaVV6UVNVeU1uY3RNakFsTWpJbE1rTWxNakpvSlRJeUpUTkJKVEl5YUNVeU1pVTNSQ1V5UXlVeU1uUmxlSFFsTWpJbE0wRWxNaklsUlRVbE9EZ2xRallsUlRZbFFqVWxPRFlsUlRZbFFqTWxRVGdsUlRZbFFqVWxPRFlsUlRjbE9UUWxRVGdsUlRZbFFqQWxRal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mlXa2RsY1hsUFJYTkZNRFE0TkRVNEpUSXlKVE5CSlRkQ0pUSXlhV1FsTWpJbE0wRWxNakppV2tkbGNYbFBSWE5GTURRNE5EVTR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1Y0VsUVVXOXhZWFZtTnpneE9UZ3dKVEl5SlRkRUpUSkRKVGRDSlRJeWJtRnRaU1V5TWlVelFTVXlNaVZGTlNVNU1DVTRSQ1ZGTnlWQk55VkNNQ1V5TWlVeVF5VXlNblI1Y0dVbE1qSWxNMEVsTWpKemRISnBibWNsTWpJbE1rTWxNakoyWVd4MVpTVXlNaVV6UVNVeU1pVXlNaVV5UXlVeU1tTmhkR1ZuYjNKNUpUSXlKVE5CSlRJeVpHVm1ZWFZzZENVeU1pVXlReVV5TW1sa0pUSXlKVE5CSlRJeVZYZENhbE50WjJkdWRqRTBOekk0TU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kpUSkRKVEl5WW05c1pDVXlNaVV6UVhSeWRXVWxOMFFsTWtNbE1qSjBaWGgwUW14dlkyc2xNaklsTTBFbE5VSWxOMElsTWpKd2IzTnBkR2x2YmlVeU1pVXpRU1UzUWlVeU1uZ2xNaklsTTBFd0pUSkRKVEl5ZVNVeU1pVXpRVEFsTWtNbE1qSjNKVEl5SlROQkpUSXlkeVV5TWlVeVF5VXlNbWdsTWpJbE0wRWxNakpvSlRJeUpUZEVKVEpESlRJeWRHVjRkQ1V5TWlVelFTVXlNaVZGTnlVNU5DVkJPQ1ZGTkNWQ1FTVTRSU1ZGTlNVNE9DVkNOaVZGTmlWQ05TVTROaVZGT0NWQ1JpVTVRaVZGTlNVNE5TVkJOU1ZGTlNVNVF5VkNNQ1ZGTkNWQ09DVTRRa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aElZVTluVlVWMlptVTFOalEwTmpnbE1qSWxNMEVsTjBJbE1qSnBaQ1V5TWlVelFTVXlNbmhJWVU5blZVVjJabVUxTmpRME5qZ2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NFbHBjMmROYlhweFpqQTBPVGd3TXlVeU1pVTNSQ1V5UXlVM1FpVXlNbTVoYldVbE1qSWxNMEVsTWpJbFJUVWxPVEFsT0VRbFJUY2xRVGNsUWpBbE1qSWxNa01sTWpKMGVYQmxKVEl5SlROQkpUSXljM1J5YVc1bkpUSXlKVEpESlRJeWRtRnNkV1VsTWpJbE0wRWxNaklsTWpJbE1rTWxNakpqWVhSbFoyOXllU1V5TWlVelFTVXlNbVJsWm1GMWJIUWxNaklsTWtNbE1qSnBaQ1V5TWlVelFTVXlNbE5YVTBWRlNGRlpibU00TnpFNE5qa2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EpUSXlZbTlzWkNVeU1pVXpRWFJ5ZFdVbE4wUWxNa01sTWpKMFpYaDBRbXh2WTJzbE1qSWxNMEVsTlVJbE4wSWxNakp3YjNOcGRHbHZiaVV5TWlVelFTVTNRaVV5TW5nbE1qSWxNMEV4TUNVeVF5VXlNbmtsTWpJbE0wRXdKVEpESlRJeWR5VXlNaVV6UVNVeU1uY3RNakFsTWpJbE1rTWxNakpvSlRJeUpUTkJKVEl5YUNVeU1pVTNSQ1V5UXlVeU1uUmxlSFFsTWpJbE0wRWxNaklsUlRrbE9USWxRa0lsUlRRbFFrRWxPVFVsUlRZbFFqWWxRaklsUlRjbE9UUWxRVGdsUlRZbFFqQWxRal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xSRkpxVW0xelNWQnZORGt5TURRNUpUSXlKVE5CSlRkQ0pUSXlhV1FsTWpJbE0wRWxNakpMUkZKcVVtMXpTVkJ2TkRreU1EUTV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cHNSVzFUVFZkTVQxUTJOelk0TVRNbE1qSWxOMFFsTWtNbE4wSWxNakp1WVcxbEpUSXlKVE5CSlRJeUpVVTFKVGt3SlRoRUpVVTNKVUUzSlVJd0pUSXlKVEpESlRJeWRIbHdaU1V5TWlVelFTVXlNbk4wY21sdVp5VXlNaVV5UXlVeU1uWmhiSFZsSlRJeUpUTkJKVEl5SlRJeUpUSkRKVEl5WTJGMFpXZHZjbmtsTWpJbE0wRWxNakprWldaaGRXeDBKVEl5SlRKREpUSXlhV1FsTWpJbE0wRWxNakpLYjB4eFZtbFhVa2x3T1RBeE5UUTF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mlVeVF5VXlNbUp2YkdRbE1qSWxNMEYwY25WbEpUZEVKVEpESlRJeWRHVjRkRUpzYjJOckpUSXlKVE5CSlRWQ0pUZENKVEl5Y0c5emFYUnBiMjRsTWpJbE0wRWxOMElsTWpKNEpUSXlKVE5CTVRBbE1rTWxNako1SlRJeUpUTkJNQ1V5UXlVeU1uY2xNaklsTTBFbE1qSjNMVEl3SlRJeUpUSkRKVEl5YUNVeU1pVXpRU1V5TW1nbE1qSWxOMFFsTWtNbE1qSjBaWGgwSlRJeUpUTkJKVEl5SlVVMkpVSXpKVUUxSlVVMkpVSTFKVGcySlVVMkpVSXhKVUV3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hVmh4YjFWcVIyMUxjak01T1RVM05TVXlNaVV6UVNVM1FpVXlNbWxrSlRJeUpUTkJKVEl5YVZoeGIxVnFSMjFMY2pNNU9UVTNOU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5UVmhoVDIxWWQyMUJPVEV5TWpVeUpUSXlKVGRFSlRKREpUZENKVEl5Ym1GdFpTVXlNaVV6UVNVeU1pVkZOU1U1TUNVNFJDVkZOeVZCTnlWQ01DVXlNaVV5UXlVeU1uUjVjR1VsTWpJbE0wRWxNakp6ZEhKcGJtY2xNaklsTWtNbE1qSjJZV3gxWlNVeU1pVXpRU1V5TWlVeU1pVXlReVV5TW1OaGRHVm5iM0o1SlRJeUpUTkJKVEl5WkdWbVlYVnNkQ1V5TWlVeVF5VXlNbWxrSlRJeUpUTkJKVEl5WWxaMmIxSndlWFJ5ZGpVek16a3lNU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1rTWxNakppYjJ4a0pUSXlKVE5CZEhKMVpTVTNSQ1V5UXlVeU1uUmxlSFJDYkc5amF5VXlNaVV6UVNVMVFpVTNRaVV5TW5CdmMybDBhVzl1SlRJeUpUTkJKVGRDSlRJeWVDVXlNaVV6UVRFd0pUSkRKVEl5ZVNVeU1pVXpRVEFsTWtNbE1qSjNKVEl5SlROQkpUSXlkeTB5TUNVeU1pVXlReVV5TW1nbE1qSWxNMEVsTWpKb0pUSXlKVGRFSlRKREpUSXlkR1Y0ZENVeU1pVXpRU1V5TWlWRk9DVkNSQ1ZCTmlWRk9DVkNSU1U0TmlWRk5TVTROaVZDTWlWRk5pVkNOQ1U1TnlWRk55VTVOQ1ZCT0NWRk5pVkNNQ1ZDTk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GhSY0hoclZuVkdUVXd6TkRVME1EZ2xNaklsTTBFbE4wSWxNakpwWkNVeU1pVXpRU1V5TWxoUmNIaHJWblZHVFV3ek5EVTBNRGd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XbGRsUkZaUFNrdEZlakV4TXpNMU1DVXlNaVUzUkNVeVF5VTNRaVV5TW01aGJXVWxNaklsTTBFbE1qSWxSVFVsT1RBbE9FUWxSVGNsUVRjbFFqQWxNaklsTWtNbE1qSjBlWEJsSlRJeUpUTkJKVEl5YzNSeWFXNW5KVEl5SlRKREpUSXlkbUZzZFdVbE1qSWxNMEVsTWpJbE1qSWxNa01sTWpKallYUmxaMjl5ZVNVeU1pVXpRU1V5TW1SbFptRjFiSFFsTWpJbE1rTWxNakpwWkNVeU1pVXpRU1V5TW5kdFFsbG9jbTlSWlVrME1URTFORE1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kpUSkRKVEl5WW05c1pDVXlNaVV6UVhSeWRXVWxOMFFsTWtNbE1qSjBaWGgwUW14dlkyc2xNaklsTTBFbE5VSWxOMElsTWpKd2IzTnBkR2x2YmlVeU1pVXpRU1UzUWlVeU1uZ2xNaklsTTBFeE1DVXlReVV5TW5rbE1qSWxNMEV3SlRKREpUSXlkeVV5TWlVelFTVXlNbmN0TWpBbE1qSWxNa01sTWpKb0pUSXlKVE5CSlRJeWFDVXlNaVUzUkNVeVF5VXlNblJsZUhRbE1qSWxNMEVsTWpJbFJUWWxRaklsT0RrbFJUWWxRamNsT0RBbFJUWWxRakVsUVRB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0VkVGbVozSndkbTUxTVRZMU56RTBKVEl5SlROQkpUZENKVEl5YVdRbE1qSWxNMEVsTWpKdFZFRm1aM0p3ZG01MU1UWTFOekUw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YWNtSlpjMGxEYjNKQ01UYzRPVEV6SlRJeUpUZEVKVEpESlRkQ0pUSXlibUZ0WlNVeU1pVXpRU1V5TWlWRk5TVTVNQ1U0UkNWRk55VkJOeVZDTUNVeU1pVXlReVV5TW5SNWNHVWxNaklsTTBFbE1qSnpkSEpwYm1jbE1qSWxNa01sTWpKMllXeDFaU1V5TWlVelFTVXlNaVV5TWlVeVF5VXlNbU5oZEdWbmIzSjVKVEl5SlROQkpUSXlaR1ZtWVhWc2RDVXlNaVV5UXlVeU1tbGtKVEl5SlROQkpUSXlXbk5XYzA5cmRsWmFhVGN5TURVNE5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JKVEpESlRJeVltOXNaQ1V5TWlVelFYUnlkV1VsTjBRbE1rTWxNakowWlhoMFFteHZZMnNsTWpJbE0wRWxOVUlsTjBJbE1qSndiM05wZEdsdmJpVXlNaVV6UVNVM1FpVXlNbmdsTWpJbE0wRXdKVEpESlRJeWVTVXlNaVV6UVRBbE1rTWxNakozSlRJeUpUTkJKVEl5ZHlVeU1pVXlReVV5TW1nbE1qSWxNMEVsTWpKb0pUSXlKVGRFSlRKREpUSXlkR1Y0ZENVeU1pVXpRU1V5TWlWRk5TVkNRU1U1UmlWRk5pVkNNeVZCTlNWRk5pVkNOU1U0TmlWRk15VTRNQ1U0TVNWRk5TVkNNaVZCT1NWRk5TVkNNU1U1TVNWRk5TVkNPQ1ZCTmlWRk5TVTROeVZDUVRF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ozYmtOelRraHBTazFpT1RnMU1ESXpKVEl5SlROQkpUZENKVEl5YVdRbE1qSWxNMEVsTWpKM2JrTnpUa2hwU2sxaU9UZzFNREl6SlRJeUpUSkRKVEl5Ym1GdFpTVXlNaVV6UVNVeU1uTjBZVzVrWVhKa1ZHVjRkQ1V5TWlVeVF5VXlNblJwZEd4bEpUSXlKVE5CSlRJeUpUSXlKVEpESlRJeVkyRjBaV2R2Y25rbE1qSWxNMEVsTWpKemRHRnVaR0Z5WkN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xUkNVeVF5VXlNbkJ5YjNCekpUSXlKVE5CSlRkQ0pUSXllQ1V5TWlVelFUTTROU1V5UXlVeU1ua2xNaklsTTBFM05pVXlReVV5TW5jbE1qSWxNMEV4TURBbE1rTWxNakpvSlRJeUpUTkJOREFsTWtNbE1qSjZhVzVrWlhnbE1qSWxNMEV6T0NVeVF5VXlNbUZ1WjJ4bEpUSXlKVE5CTUNVM1JDVXlReVV5TW5Ob1lYQmxVM1I1YkdVbE1qSWxNMEVsTjBJbE1qSmhiSEJvWVNVeU1pVXpRVEVsTjBRbE1rTWxNakpzYVc1bFUzUjViR1VsTWpJbE0wRWxOMEl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aVV5UXlVeU1tSnZiR1FsTWpJbE0wRjBjblZsSlRkRUpUSkRKVEl5ZEdWNGRFSnNiMk5ySlRJeUpUTkJKVFZDSlRkQ0pUSXljRzl6YVhScGIyNGxNaklsTTBFbE4wSWxNako0SlRJeUpUTkJNQ1V5UXlVeU1ua2xNaklsTTBFd0pUSkRKVEl5ZHlVeU1pVXpRU1V5TW5jbE1qSWxNa01sTWpKb0pUSXlKVE5CSlRJeWFDVXlNaVUzUkNVeVF5VXlNblJsZUhRbE1qSWxNMEVsTWpJd0xqSTB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RscDBRVWxUZFhab2FqSTFPRE0xTlNVeU1pVXpRU1UzUWlVeU1tbGtKVEl5SlROQkpUSXlUbHAwUVVsVGRYWm9hakkxT0RNMU5T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ZM2QyUzNWbFQyaE1TREUwTmpRd015VXlNaVUzUkNVeVF5VTNRaVV5TW01aGJXVWxNaklsTTBFbE1qSWxSVFVsT1RBbE9FUWxSVGNsUVRjbFFqQWxNaklsTWtNbE1qSjBlWEJsSlRJeUpUTkJKVEl5YzNSeWFXNW5KVEl5SlRKREpUSXlkbUZzZFdVbE1qSWxNMEVsTWpJbE1qSWxNa01sTWpKallYUmxaMjl5ZVNVeU1pVXpRU1V5TW1SbFptRjFiSFFsTWpJbE1rTWxNakpwWkNVeU1pVXpRU1V5TW5oWlZFNXpVRlpDVjFJNU9USXpPVGt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mlVeVF5VXlNbUp2YkdRbE1qSWxNMEYwY25WbEpUZEVKVEpESlRJeWRHVjRkRUpzYjJOckpUSXlKVE5CSlRWQ0pUZENKVEl5Y0c5emFYUnBiMjRsTWpJbE0wRWxOMElsTWpKNEpUSXlKVE5CTUNVeVF5VXlNbmtsTWpJbE0wRXdKVEpESlRJeWR5VXlNaVV6UVNVeU1uY2xNaklsTWtNbE1qSm9KVEl5SlROQkpUSXlhQ1V5TWlVM1JDVXlReVV5TW5SbGVIUWxNaklsTTBFbE1qSXdMalF3T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lZFUkVONWFHdEZlbWt4TXpjNU9EY2xNaklsTTBFbE4wSWxNakpwWkNVeU1pVXpRU1V5TW5WRVJFTjVhR3RGZW1reE16YzVPRGN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1OWlUxbG1WVTV4ZG00eE5ERXdOVFVsTWpJbE4wUWxNa01sTjBJbE1qSnVZVzFsSlRJeUpUTkJKVEl5SlVVMUpUa3dKVGhFSlVVM0pVRTNKVUl3SlRJeUpUSkRKVEl5ZEhsd1pTVXlNaVV6UVNVeU1uTjBjbWx1WnlVeU1pVXlReVV5TW5aaGJIVmxKVEl5SlROQkpUSXlKVEl5SlRKREpUSXlZMkYwWldkdmNua2xNaklsTTBFbE1qSmtaV1poZFd4MEpUSXlKVEpESlRJeWFXUWxNaklsTTBFbE1qSkhUbFpVUzFwb1IydFRNemMzTkRRMk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WWxNa01sTWpKaWIyeGtKVEl5SlROQmRISjFaU1UzUkNVeVF5VXlNblJsZUhSQ2JHOWpheVV5TWlVelFTVTFRaVUzUWlVeU1uQnZjMmwwYVc5dUpUSXlKVE5CSlRkQ0pUSXllQ1V5TWlVelFUQWxNa01sTWpKNUpUSXlKVE5CTUNVeVF5VXlNbmNsTWpJbE0wRWxNakozSlRJeUpUSkRKVEl5YUNVeU1pVXpRU1V5TW1nbE1qSWxOMFFsTWtNbE1qSjBaWGgwSlRJeUpUTkJKVEl5SlVVMkpUazJKVUl3SlVVNUpVSXlKVGxESlVVMkpVSXdKVUkw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SbmgzVldodmQxZFBWRGMzTmpRNE9TVXlNaVV6UVNVM1FpVXlNbWxrSlRJeUpUTkJKVEl5Um5oM1ZXaHZkMWRQVkRjM05qUTRPU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ldUa2wyV0ZCblUyeENORGs1T0RjMUpUSXlKVGRFSlRKREpUZENKVEl5Ym1GdFpTVXlNaVV6UVNVeU1pVkZOU1U1TUNVNFJDVkZOeVZCTnlWQ01DVXlNaVV5UXlVeU1uUjVjR1VsTWpJbE0wRWxNakp6ZEhKcGJtY2xNaklsTWtNbE1qSjJZV3gxWlNVeU1pVXpRU1V5TWlVeU1pVXlReVV5TW1OaGRHVm5iM0o1SlRJeUpUTkJKVEl5WkdWbVlYVnNkQ1V5TWlVeVF5VXlNbWxrSlRJeUpUTkJKVEl5ZUd0TFVuVnJZV3h0VERBd01UTTNN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1rTWxNakppYjJ4a0pUSXlKVE5CZEhKMVpTVTNSQ1V5UXlVeU1uUmxlSFJDYkc5amF5VXlNaVV6UVNVMVFpVTNRaVV5TW5CdmMybDBhVzl1SlRJeUpUTkJKVGRDSlRJeWVDVXlNaVV6UVRFd0pUSkRKVEl5ZVNVeU1pVXpRVEFsTWtNbE1qSjNKVEl5SlROQkpUSXlkeTB5TUNVeU1pVXlReVV5TW1nbE1qSWxNMEVsTWpKb0pUSXlKVGRFSlRKREpUSXlkR1Y0ZENVeU1pVXpRU1V5TWlWRk5pVkNOQ1U1TWlWRk5pVkNNQ1ZDTkNWRk5pVTRRU1U1TVNWRk5TVkNNQ1U1T0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mhvVVZCMWEyRjRXSEkzTkRJM05qTWxNaklsTTBFbE4wSWxNakpwWkNVeU1pVXpRU1V5TW5ob1VWQjFhMkY0V0hJM05ESTNOak1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5wV2MxUlRUVTVUZGxNek1USTBNVElsTWpJbE4wUWxNa01sTjBJbE1qSnVZVzFsSlRJeUpUTkJKVEl5SlVVMUpUa3dKVGhFSlVVM0pVRTNKVUl3SlRJeUpUSkRKVEl5ZEhsd1pTVXlNaVV6UVNVeU1uTjBjbWx1WnlVeU1pVXlReVV5TW5aaGJIVmxKVEl5SlROQkpUSXlKVEl5SlRKREpUSXlZMkYwWldkdmNua2xNaklsTTBFbE1qSmtaV1poZFd4MEpUSXlKVEpESlRJeWFXUWxNaklsTTBFbE1qSmhRMGx3UkhWaVYwUjBPRFkxT1Rjek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WWxNa01sTWpKaWIyeGtKVEl5SlROQmRISjFaU1UzUkNVeVF5VXlNblJsZUhSQ2JHOWpheVV5TWlVelFTVTFRaVUzUWlVeU1uQnZjMmwwYVc5dUpUSXlKVE5CSlRkQ0pUSXllQ1V5TWlVelFUQWxNa01sTWpKNUpUSXlKVE5CTUNVeVF5VXlNbmNsTWpJbE0wRWxNakozSlRJeUpUSkRKVEl5YUNVeU1pVXpRU1V5TW1nbE1qSWxOMFFsTWtNbE1qSjBaWGgwSlRJeUpUTkJKVEl5TUM0eU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YzJsbGVWUnVjRTlFYURBME1qTTBOeVV5TWlVelFTVTNRaVV5TW1sa0pUSXlKVE5CSlRJeWMybGxlVlJ1Y0U5RWFEQTBNak0wTnl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RVlVwbWVIRjNjMnR0TmpFeE9UTXhKVEl5SlRkRUpUSkRKVGRDSlRJeWJtRnRaU1V5TWlVelFTVXlNaVZGTlNVNU1DVTRSQ1ZGTnlWQk55VkNNQ1V5TWlVeVF5VXlNblI1Y0dVbE1qSWxNMEVsTWpKemRISnBibWNsTWpJbE1rTWxNakoyWVd4MVpTVXlNaVV6UVNVeU1pVXlNaVV5UXlVeU1tTmhkR1ZuYjNKNUpUSXlKVE5CSlRJeVpHVm1ZWFZzZENVeU1pVXlReVV5TW1sa0pUSXlKVE5CSlRJeWJtNTFTazFIVGtwNVRUYzFOekkzTk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VWxNa01sTWpKaWIyeGtKVEl5SlROQmRISjFaU1UzUkNVeVF5VXlNblJsZUhSQ2JHOWpheVV5TWlVelFTVTFRaVUzUWlVeU1uQnZjMmwwYVc5dUpUSXlKVE5CSlRkQ0pUSXllQ1V5TWlVelFURXdKVEpESlRJeWVTVXlNaVV6UVRBbE1rTWxNakozSlRJeUpUTkJKVEl5ZHkweU1DVXlNaVV5UXlVeU1tZ2xNaklsTTBFbE1qSm9KVEl5SlRkRUpUSkRKVEl5ZEdWNGRDVXlNaVV6UVNVeU1pVkZOU1U1UWlWQ1FTVkZOQ1ZDUVNVNU5TVkZOU1ZDTUNVNE1TVkZOU1ZCUkNVNU5DVkZOaVZDTUNWQ05DVkZOaVZDTXlWQk5TVkZPU1U0TlNVNFJDVkZOaVZDTlNVNE5pVkZOeVU1TkNWQk9DVkZOaVZDTUNWQ05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GcFYxRlRWbEZKUzNNNU16QTVOellsTWpJbE0wRWxOMElsTWpKcFpDVXlNaVV6UVNVeU1sRnBWMUZUVmxGSlMzTTVNekE1TnpZ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QlRSM1JXY0dWSWRYVXlPRE00TWpBbE1qSWxOMFFsTWtNbE4wSWxNakp1WVcxbEpUSXlKVE5CSlRJeUpVVTFKVGt3SlRoRUpVVTNKVUUzSlVJd0pUSXlKVEpESlRJeWRIbHdaU1V5TWlVelFTVXlNbk4wY21sdVp5VXlNaVV5UXlVeU1uWmhiSFZsSlRJeUpUTkJKVEl5SlRJeUpUSkRKVEl5WTJGMFpXZHZjbmtsTWpJbE0wRWxNakprWldaaGRXeDBKVEl5SlRKREpUSXlhV1FsTWpJbE0wRWxNako0ZG1wSWRFSmhaVWhaTVRjM01qSXp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VsTWtNbE1qSmliMnhrSlRJeUpUTkJkSEoxWlNVM1JDVXlReVV5TW5SbGVIUkNiRzlqYXlVeU1pVXpRU1UxUWlVM1FpVXlNbkJ2YzJsMGFXOXVKVEl5SlROQkpUZENKVEl5ZUNVeU1pVXpRVEFsTWtNbE1qSjVKVEl5SlROQk1DVXlReVV5TW5jbE1qSWxNMEVsTWpKM0pUSXlKVEpESlRJeWFDVXlNaVV6UVNVeU1tZ2xNaklsTjBRbE1rTWxNakowWlhoMEpUSXlKVE5CSlRJeUpVVTRKVUpHSlRsQ0pVVTFKVGcxSlVFMUpVVTFKVGxESlVJd0pVVTBKVUk0SlRoQ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"/>
    </extobj>
    <extobj name="E657119C-6982-421D-8BA7-E74DEB70A7D9-2">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NE1EQWxNa01sTWpKemFHOTNSM0pwWkNVeU1pVXpRWFJ5ZFdVbE1rTWxNakp5YVdOb1ZHVjRkQ1V5TWlVelFYUnlkV1VsTWtNbE1qSm9aV2xuYUhRbE1qSWxNMEV4TmpBd0pUZEVKVEpESlRJeVpXeGxiV1Z1ZEhNbE1qSWxNMEVsTjBJbE1qSkNWR1owWlV4U1lXSmFNREUyTkRJM0pUSXlKVE5CSlRkQ0pUSXlhV1FsTWpJbE0wRWxNakpDVkdaMFpVeFNZV0phTURFMk5ESTN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RnJhM0ZJWVZScmQxQXpOVEE0TURFbE1qSWxOMFFsTWtNbE4wSWxNakp1WVcxbEpUSXlKVE5CSlRJeUpVVTFKVGt3SlRoRUpVVTNKVUUzSlVJd0pUSXlKVEpESlRJeWRIbHdaU1V5TWlVelFTVXlNbk4wY21sdVp5VXlNaVV5UXlVeU1uWmhiSFZsSlRJeUpUTkJKVEl5SlRJeUpUSkRKVEl5WTJGMFpXZHZjbmtsTWpJbE0wRWxNakprWldaaGRXeDBKVEl5SlRKREpUSXlhV1FsTWpJbE0wRWxNakpMYlUxQlZtOWFaRzFVT0RjMk1qQXl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jZUVkJQZFd0VlNrMXVNVEEwTVRReUpUSXlKVE5CSlRkQ0pUSXlhV1FsTWpJbE0wRWxNako2VFZCUGRXdFZTazF1TVRBME1UUXl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WnljRzFOVG1kaVJrUXhNRFkxTmpjbE1qSWxOMFFsTWtNbE4wSWxNakp1WVcxbEpUSXlKVE5CSlRJeUpVVTFKVGt3SlRoRUpVVTNKVUUzSlVJd0pUSXlKVEpESlRJeWRIbHdaU1V5TWlVelFTVXlNbk4wY21sdVp5VXlNaVV5UXlVeU1uWmhiSFZsSlRJeUpUTkJKVEl5SlRJeUpUSkRKVEl5WTJGMFpXZHZjbmtsTWpJbE0wRWxNakprWldaaGRXeDBKVEl5SlRKREpUSXlhV1FsTWpJbE0wRWxNako0VDFwaVpsRmxhbkJYTVRJeU5qTTN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UpUSkRKVEl5WW05c1pDVXlNaVV6UVhSeWRXVWxOMFFsTWtNbE1qSjBaWGgwUW14dlkyc2xNaklsTTBFbE5VSWxOMElsTWpKd2IzTnBkR2x2YmlVeU1pVXpRU1UzUWlVeU1uZ2xNaklsTTBFeE1DVXlReVV5TW5rbE1qSWxNMEV3SlRKREpUSXlkeVV5TWlVelFTVXlNbmN0TWpBbE1qSWxNa01sTWpKb0pUSXlKVE5CSlRJeWFDVXlNaVUzUkNVeVF5VXlNblJsZUhRbE1qSWxNMEVsTWpJbFJUUWxRamdsT0RBbFJUVWxRa01sT0RBbFJVWWxRa01sT0RnbFJUVWxPVVVsT0RJbFJUY2xPVUlsUWpRbFJUWWxRVVVsUWpVbFJVWWxRa01sT0RrbFJUa2xPVElsUWtJbFJUZ2xRa1lsT1VJ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rVEZSeWRWVkRXblY1TWpRMU56QXlKVEl5SlROQkpUZENKVEl5YVdRbE1qSWxNMEVsTWpKa1RGUnlkVlZEV25WNU1qUTFOekF5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RlZYTkRXbko0Wms5YU9UZzFPREk0SlRJeUpUZEVKVEpESlRkQ0pUSXlibUZ0WlNVeU1pVXpRU1V5TWlWRk5TVTVNQ1U0UkNWRk55VkJOeVZDTUNVeU1pVXlReVV5TW5SNWNHVWxNaklsTTBFbE1qSnpkSEpwYm1jbE1qSWxNa01sTWpKMllXeDFaU1V5TWlVelFTVXlNaVV5TWlVeVF5VXlNbU5oZEdWbmIzSjVKVEl5SlROQkpUSXlaR1ZtWVhWc2RDVXlNaVV5UXlVeU1tbGtKVEl5SlROQkpUSXllVkptVFhSeGFXUnFlamN4TWpZM01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VWxNa01sTWpKaWIyeGtKVEl5SlROQmRISjFaU1UzUkNVeVF5VXlNblJsZUhSQ2JHOWpheVV5TWlVelFTVTFRaVUzUWlVeU1uQnZjMmwwYVc5dUpUSXlKVE5CSlRkQ0pUSXllQ1V5TWlVelFUQWxNa01sTWpKNUpUSXlKVE5CTUNVeVF5VXlNbmNsTWpJbE0wRWxNakozSlRJeUpUSkRKVEl5YUNVeU1pVXpRU1V5TW1nbE1qSWxOMFFsTWtNbE1qSjBaWGgwSlRJeUpUTkJKVEl5VGlWRk15VTRNQ1U0TVZN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JWVhsblUzRldUV3B2TVRVek56RTJKVEl5SlROQkpUZENKVEl5YVdRbE1qSWxNMEVsTWpKSVlYbG5VM0ZXVFdwdk1UVXpOekUy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nBGUTJaQ2QwSnNWVVF3TnpZMU16TWxNaklsTjBRbE1rTWxOMElsTWpKdVlXMWxKVEl5SlROQkpUSXlKVVUxSlRrd0pUaEVKVVUzSlVFM0pVSXdKVEl5SlRKREpUSXlkSGx3WlNVeU1pVXpRU1V5TW5OMGNtbHVaeVV5TWlVeVF5VXlNblpoYkhWbEpUSXlKVE5CSlRJeUpUSXlKVEpESlRJeVkyRjBaV2R2Y25rbE1qSWxNMEVsTWpKa1pXWmhkV3gwSlRJeUpUSkRKVEl5YVdRbE1qSWxNMEVsTWpKSFUydHZUWGRGYzNGeU16Z3pOVGc0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FKVEpESlRJeVltOXNaQ1V5TWlVelFYUnlkV1VsTjBRbE1rTWxNakowWlhoMFFteHZZMnNsTWpJbE0wRWxOVUlsTjBJbE1qSndiM05wZEdsdmJpVXlNaVV6UVNVM1FpVXlNbmdsTWpJbE0wRXhNQ1V5UXlVeU1ua2xNaklsTTBFd0pUSkRKVEl5ZHlVeU1pVXpRU1V5TW5jdE1qQWxNaklsTWtNbE1qSm9KVEl5SlROQkpUSXlhQ1V5TWlVM1JDVXlReVV5TW5SbGVIUWxNaklsTTBFbE1qSWxSVFFsUWpnbE9FSWxSVGNsUVVVbFFURWxSVFVsT1VJbFFrRWxSVFFsUWtFbE9UVWxSVE1sT0RBbE9ERWxSVFFsUWpnbE9EQWxSVFVsUWtNbE9EQWxSVGdsUVVZbE9UVWxSVFVsT0VVbE9FS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SVFuTnFWa2RMUlUxaE1ERTJOREF3SlRJeUpUTkJKVGRDSlRJeWFXUWxNaklsTTBFbE1qSklRbk5xVmtkTFJVMWhNREUyTkRBd0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xOWGVuUk1TRVpFYm1vNE9UQTBOVFlsTWpJbE4wUWxNa01sTjBJbE1qSnVZVzFsSlRJeUpUTkJKVEl5SlVVMUpUa3dKVGhFSlVVM0pVRTNKVUl3SlRJeUpUSkRKVEl5ZEhsd1pTVXlNaVV6UVNVeU1uTjBjbWx1WnlVeU1pVXlReVV5TW5aaGJIVmxKVEl5SlROQkpUSXlKVEl5SlRKREpUSXlZMkYwWldkdmNua2xNaklsTTBFbE1qSmtaV1poZFd4MEpUSXlKVEpESlRJeWFXUWxNaklsTTBFbE1qSlVWMnA2VW1KNVRHeGlNVEE0TmpNM0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xSlRKREpUSXlZbTlzWkNVeU1pVXpRWFJ5ZFdVbE4wUWxNa01sTWpKMFpYaDBRbXh2WTJzbE1qSWxNMEVsTlVJbE4wSWxNakp3YjNOcGRHbHZiaVV5TWlVelFTVTNRaVV5TW5nbE1qSWxNMEV4TUNVeVF5VXlNbmtsTWpJbE0wRXdKVEpESlRJeWR5VXlNaVV6UVNVeU1uY3RNakFsTWpJbE1rTWxNakpvSlRJeUpUTkJKVEl5YUNVeU1pVTNSQ1V5UXlVeU1uUmxlSFFsTWpJbE0wRWxNaklsUlRRbFFrRWxPRU1sUlRVbFFrTWxPREFsUlVZbFFrTWxPRGdsUlRrbE9EQWxRVEFsUlRZbE9UWWxPVU1sUlRZbFFVVWxRalVsUlVZbFFrTWxPRGtsUlRrbE9USWxRa0lsUlRnbFFrWWxPVUl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jZSa1Y2WlhGemJWRndOemMwTmpFeEpUSXlKVE5CSlRkQ0pUSXlhV1FsTWpJbE0wRWxNako2UmtWNlpYRnpiVkZ3TnpjME5qRXh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NZW5OS2ExaEVjRXRxT1RBM09UWXhKVEl5SlRkRUpUSkRKVGRDSlRJeWJtRnRaU1V5TWlVelFTVXlNaVZGTlNVNU1DVTRSQ1ZGTnlWQk55VkNNQ1V5TWlVeVF5VXlNblI1Y0dVbE1qSWxNMEVsTWpKemRISnBibWNsTWpJbE1rTWxNakoyWVd4MVpTVXlNaVV6UVNVeU1pVXlNaVV5UXlVeU1tTmhkR1ZuYjNKNUpUSXlKVE5CSlRJeVpHVm1ZWFZzZENVeU1pVXlReVV5TW1sa0pUSXlKVE5CSlRJeVNsaHNkblZFYzNaRWRqVXdOVFU0TV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UpUSkRKVEl5WW05c1pDVXlNaVV6UVhSeWRXVWxOMFFsTWtNbE1qSjBaWGgwUW14dlkyc2xNaklsTTBFbE5VSWxOMElsTWpKd2IzTnBkR2x2YmlVeU1pVXpRU1UzUWlVeU1uZ2xNaklsTTBFd0pUSkRKVEl5ZVNVeU1pVXpRVEFsTWtNbE1qSjNKVEl5SlROQkpUSXlkeVV5TWlVeVF5VXlNbWdsTWpJbE0wRWxNakpvSlRJeUpUZEVKVEpESlRJeWRHVjRkQ1V5TWlVelFTVXlNazRsUlRNbE9EQWxPREZU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XbWh1ZUZaWGMwSktaREExTXpZM01DVXlNaVV6UVNVM1FpVXlNbWxrSlRJeUpUTkJKVEl5V21odWVGWlhjMEpLWkRBMU16WTNNQ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hVbWxCVVVGelNFbFhOakE1TlRRM0pUSXlKVGRFSlRKREpUZENKVEl5Ym1GdFpTVXlNaVV6UVNVeU1pVkZOU1U1TUNVNFJDVkZOeVZCTnlWQ01DVXlNaVV5UXlVeU1uUjVjR1VsTWpJbE0wRWxNakp6ZEhKcGJtY2xNaklsTWtNbE1qSjJZV3gxWlNVeU1pVXpRU1V5TWlVeU1pVXlReVV5TW1OaGRHVm5iM0o1SlRJeUpUTkJKVEl5WkdWbVlYVnNkQ1V5TWlVeVF5VXlNbWxrSlRJeUpUTkJKVEl5Y1ZkYVNXNW9hRUpCVnpnM09EUTJOe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VsTWtNbE1qSmliMnhrSlRJeUpUTkJkSEoxWlNVM1JDVXlReVV5TW5SbGVIUkNiRzlqYXlVeU1pVXpRU1UxUWlVM1FpVXlNbkJ2YzJsMGFXOXVKVEl5SlROQkpUZENKVEl5ZUNVeU1pVXpRVEV3SlRKREpUSXllU1V5TWlVelFUQWxNa01sTWpKM0pUSXlKVE5CSlRJeWR5MHlNQ1V5TWlVeVF5VXlNbWdsTWpJbE0wRWxNakpvSlRJeUpUZEVKVEpESlRJeWRHVjRkQ1V5TWlVelFTVXlNaVZGTkNWQ09DVTRRaVZGTnlWQlJTVkJNU1ZGTlNVNVFpVkNRU1ZGTkNWQ1FTVTVOU1ZGTXlVNE1DVTRNU1ZGTkNWQ1FTVTRReVZGTlNWQ1F5VTRNQ1ZGT0NVNE1DVTVNQ1ZGTlNVNFJTVTRRaVZGT0NWQlJpVTVOU1ZGT1NWQlFTVTRRe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bHhZV3hCZGxGMlZYTTFNVE14T0RFbE1qSWxNMEVsTjBJbE1qSnBaQ1V5TWlVelFTVXlNbmx4WVd4QmRsRjJWWE0xTVRNeE9ER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FXOWlZbWhTV2xKNlJEWXpNRFl4TVNVeU1pVTNSQ1V5UXlVM1FpVXlNbTVoYldVbE1qSWxNMEVsTWpJbFJUVWxPVEFsT0VRbFJUY2xRVGNsUWpBbE1qSWxNa01sTWpKMGVYQmxKVEl5SlROQkpUSXljM1J5YVc1bkpUSXlKVEpESlRJeWRtRnNkV1VsTWpJbE0wRWxNaklsTWpJbE1rTWxNakpqWVhSbFoyOXllU1V5TWlVelFTVXlNbVJsWm1GMWJIUWxNaklsTWtNbE1qSnBaQ1V5TWlVelFTVXlNbkIwU0c5UWQzRnVhRkV5TlRreU5qW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FKVEpESlRJeVltOXNaQ1V5TWlVelFYUnlkV1VsTjBRbE1rTWxNakowWlhoMFFteHZZMnNsTWpJbE0wRWxOVUlsTjBJbE1qSndiM05wZEdsdmJpVXlNaVV6UVNVM1FpVXlNbmdsTWpJbE0wRXhNQ1V5UXlVeU1ua2xNaklsTTBFd0pUSkRKVEl5ZHlVeU1pVXpRU1V5TW5jdE1qQWxNaklsTWtNbE1qSm9KVEl5SlROQkpUSXlhQ1V5TWlVM1JDVXlReVV5TW5SbGVIUWxNaklsTTBFbE1qSWxSVFFsUWpnbE9Ea2xSVFVsUWtNbE9EQWxSVVlsUWtNbE9EZ2xSVGdsUWtZbE9URWxSVFlsUWpBbFFqUWxSVFVsUWprbFFqTWxSVFlsUWpNbFFUZ2xSVFlsUWpVbE9EWWxSVFlsUVVVbFFqVWxSVVlsUWtNbE9Ea2xSVGtsT1RJbFFrSWxSVGdsUWtZbE9VS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V1pXZDVjbWRqU2s5SE5EY3hOakkxSlRJeUpUTkJKVGRDSlRJeWFXUWxNaklsTTBFbE1qSldaV2Q1Y21kalNrOUhORGN4TmpJMU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xWa1duTlBiSGwwV1hnME5UVTBOellsTWpJbE4wUWxNa01sTjBJbE1qSnVZVzFsSlRJeUpUTkJKVEl5SlVVMUpUa3dKVGhFSlVVM0pVRTNKVUl3SlRJeUpUSkRKVEl5ZEhsd1pTVXlNaVV6UVNVeU1uTjBjbWx1WnlVeU1pVXlReVV5TW5aaGJIVmxKVEl5SlROQkpUSXlKVEl5SlRKREpUSXlZMkYwWldkdmNua2xNaklsTTBFbE1qSmtaV1poZFd4MEpUSXlKVEpESlRJeWFXUWxNaklsTTBFbE1qSkdZWFJCVFU1VVJXSmxPRE00T0RjM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U1V5UXlVeU1tSnZiR1FsTWpJbE0wRjBjblZsSlRkRUpUSkRKVEl5ZEdWNGRFSnNiMk5ySlRJeUpUTkJKVFZDSlRkQ0pUSXljRzl6YVhScGIyNGxNaklsTTBFbE4wSWxNako0SlRJeUpUTkJNVEFsTWtNbE1qSjVKVEl5SlROQk1DVXlReVV5TW5jbE1qSWxNMEVsTWpKM0xUSXdKVEl5SlRKREpUSXlhQ1V5TWlVelFTVXlNbWdsTWpJbE4wUWxNa01sTWpKMFpYaDBKVEl5SlROQkpUSXlKVVUySlVJMUpUaENKVVUwSlVKQkpUazFKVVV6SlRnd0pUZ3hKVVUxSlVKRUpUazFKVVUwSlVKQkpUazF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EydGtWazlFYVVobVp6TXpORE13TkNVeU1pVXpRU1UzUWlVeU1tbGtKVEl5SlROQkpUSXlRMnRrVms5RWFVaG1aek16TkRNd05D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VVU53Ym10WGVVMXhSVFE1TkRFM05pVXlNaVUzUkNVeVF5VTNRaVV5TW01aGJXVWxNaklsTTBFbE1qSWxSVFVsT1RBbE9FUWxSVGNsUVRjbFFqQWxNaklsTWtNbE1qSjBlWEJsSlRJeUpUTkJKVEl5YzNSeWFXNW5KVEl5SlRKREpUSXlkbUZzZFdVbE1qSWxNMEVsTWpJbE1qSWxNa01sTWpKallYUmxaMjl5ZVNVeU1pVXpRU1V5TW1SbFptRjFiSFFsTWpJbE1rTWxNakpwWkNVeU1pVXpRU1V5TWs5NlZVbEhWR2hPWW5rM05USTBORFF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lNVeVF5VXlNbUp2YkdRbE1qSWxNMEYwY25WbEpUZEVKVEpESlRJeWRHVjRkRUpzYjJOckpUSXlKVE5CSlRWQ0pUZENKVEl5Y0c5emFYUnBiMjRsTWpJbE0wRWxOMElsTWpKNEpUSXlKVE5CTUNVeVF5VXlNbmtsTWpJbE0wRXdKVEpESlRJeWR5VXlNaVV6UVNVeU1uY2xNaklsTWtNbE1qSm9KVEl5SlROQkpUSXlhQ1V5TWlVM1JDVXlReVV5TW5SbGVIUWxNaklsTTBFbE1qSk9KVVV6SlRnd0pUZ3hVe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aRVZGV1hKd1dWaE5Uek01TnpFNE5TVXlNaVUzUkNVeVF5VTNRaVV5TW01aGJXVWxNaklsTTBFbE1qSWxSVFVsT1RBbE9FUWxSVGNsUVRjbFFqQWxNaklsTWtNbE1qSjBlWEJsSlRJeUpUTkJKVEl5YzNSeWFXNW5KVEl5SlRKREpUSXlkbUZzZFdVbE1qSWxNMEVsTWpJbE1qSWxNa01sTWpKallYUmxaMjl5ZVNVeU1pVXpRU1V5TW1SbFptRjFiSFFsTWpJbE1rTWxNakpwWkNVeU1pVXpRU1V5TWxsNWFWRmFSMlpxZFhJMU9ESTJOell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UpUSkRKVEl5WW05c1pDVXlNaVV6UVhSeWRXVWxOMFFsTWtNbE1qSjBaWGgwUW14dlkyc2xNaklsTTBFbE5VSWxOMElsTWpKd2IzTnBkR2x2YmlVeU1pVXpRU1UzUWlVeU1uZ2xNaklsTTBFeE1DVXlReVV5TW5rbE1qSWxNMEV3SlRKREpUSXlkeVV5TWlVelFTVXlNbmN0TWpBbE1qSWxNa01sTWpKb0pUSXlKVE5CSlRJeWFDVXlNaVUzUkNVeVF5VXlNblJsZUhRbE1qSWxNMEVsTWpJbFJUVWxRVVFsT1RRbFJUVWxPRVlsUVRNbFJUZ2xRVE1sT0RVbFJUY2xRa1FsUVVVbFJUVWxRVVVsT0RrbFJUZ2xRVE1sT0R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jJaeGNFTnphR1ZUU2pNNE1EQTFNaVV5TWlVM1JDVXlReVUzUWlVeU1tNWhiV1VsTWpJbE0wRWxNaklsUlRVbE9UQWxPRVFsUlRjbFFUY2xRakFsTWpJbE1rTWxNakowZVhCbEpUSXlKVE5CSlRJeWMzUnlhVzVuSlRJeUpUSkRKVEl5ZG1Gc2RXVWxNaklsTTBFbE1qSWxNaklsTWtNbE1qSmpZWFJsWjI5eWVTVXlNaVV6UVNVeU1tUmxabUYxYkhRbE1qSWxNa01sTWpKcFpDVXlNaVV6UVNVeU1sSnNiVUZLYjBWUGQxVTNOakF4TWpV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xSlRKREpUSXlZbTlzWkNVeU1pVXpRWFJ5ZFdVbE4wUWxNa01sTWpKMFpYaDBRbXh2WTJzbE1qSWxNMEVsTlVJbE4wSWxNakp3YjNOcGRHbHZiaVV5TWlVelFTVTNRaVV5TW5nbE1qSWxNMEV4TUNVeVF5VXlNbmtsTWpJbE0wRXdKVEpESlRJeWR5VXlNaVV6UVNVeU1uY3RNakFsTWpJbE1rTWxNakpvSlRJeUpUTkJKVEl5YUNVeU1pVTNSQ1V5UXlVeU1uUmxlSFFsTWpJbE0wRWxNaklsUlRZbFFqTWxRVGdsUlRZbFFqVWxPRFlsUlRjbFFVVWxRVEVsUlRrbE9ERWxPVE1sUlRZbE9UVWxRamNsUlRnbFFVVWxRa1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XU21oT1kybERkV1JRTVRreE9UazVKVEl5SlRkRUpUSkRKVGRDSlRJeWJtRnRaU1V5TWlVelFTVXlNaVZGTlNVNU1DVTRSQ1ZGTnlWQk55VkNNQ1V5TWlVeVF5VXlNblI1Y0dVbE1qSWxNMEVsTWpKemRISnBibWNsTWpJbE1rTWxNakoyWVd4MVpTVXlNaVV6UVNVeU1pVXlNaVV5UXlVeU1tTmhkR1ZuYjNKNUpUSXlKVE5CSlRJeVpHVm1ZWFZzZENVeU1pVXlReVV5TW1sa0pUSXlKVE5CSlRJeWRVUnJSMDlFVUVaNFpUUTFOalE1TX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U1V5UXlVeU1tSnZiR1FsTWpJbE0wRjBjblZsSlRkRUpUSkRKVEl5ZEdWNGRFSnNiMk5ySlRJeUpUTkJKVFZDSlRkQ0pUSXljRzl6YVhScGIyNGxNaklsTTBFbE4wSWxNako0SlRJeUpUTkJNVEFsTWtNbE1qSjVKVEl5SlROQk1DVXlReVV5TW5jbE1qSWxNMEVsTWpKM0xUSXdKVEl5SlRKREpUSXlhQ1V5TWlVelFTVXlNbWdsTWpJbE4wUWxNa01sTWpKMFpYaDBKVEl5SlROQkpUSXlKVVUySlVJekpVRTRKVVUySlVJMUpUZzJKVVV6SlRnd0pUZ3hKVVUxSlVJd0pUZ3hKVVUxSlVGRUpUazB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VSFJ3ZVVWSlkxUlFiRGt5TkRBd01TVXlNaVUzUkNVeVF5VTNRaVV5TW01aGJXVWxNaklsTTBFbE1qSWxSVFVsT1RBbE9FUWxSVGNsUVRjbFFqQWxNaklsTWtNbE1qSjBlWEJsSlRJeUpUTkJKVEl5YzNSeWFXNW5KVEl5SlRKREpUSXlkbUZzZFdVbE1qSWxNMEVsTWpJbE1qSWxNa01sTWpKallYUmxaMjl5ZVNVeU1pVXpRU1V5TW1SbFptRjFiSFFsTWpJbE1rTWxNakpwWkNVeU1pVXpRU1V5TW5wclJFVjViVUphVldjek9UQXhPVEl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FKVEpESlRJeVltOXNaQ1V5TWlVelFYUnlkV1VsTjBRbE1rTWxNakowWlhoMFFteHZZMnNsTWpJbE0wRWxOVUlsTjBJbE1qSndiM05wZEdsdmJpVXlNaVV6UVNVM1FpVXlNbmdsTWpJbE0wRXhNQ1V5UXlVeU1ua2xNaklsTTBFd0pUSkRKVEl5ZHlVeU1pVXpRU1V5TW5jdE1qQWxNaklsTWtNbE1qSm9KVEl5SlROQkpUSXlhQ1V5TWlVM1JDVXlReVV5TW5SbGVIUWxNaklsTTBFbE1qSWxSVGtsUVVFbE9FTWxSVFlsT1RRbFFqW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oyMVRlR1oyUkZwSVN6RTBOakEwTkNVeU1pVTNSQ1V5UXlVM1FpVXlNbTVoYldVbE1qSWxNMEVsTWpJbFJUVWxPVEFsT0VRbFJUY2xRVGNsUWpBbE1qSWxNa01sTWpKMGVYQmxKVEl5SlROQkpUSXljM1J5YVc1bkpUSXlKVEpESlRJeWRtRnNkV1VsTWpJbE0wRWxNaklsTWpJbE1rTWxNakpqWVhSbFoyOXllU1V5TWlVelFTVXlNbVJsWm1GMWJIUWxNaklsTWtNbE1qSnBaQ1V5TWlVelFTVXlNa05JY1doT1pFNXpkbXczTlRVeU5ER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xSlRKREpUSXlZbTlzWkNVeU1pVXpRWFJ5ZFdVbE4wUWxNa01sTWpKMFpYaDBRbXh2WTJzbE1qSWxNMEVsTlVJbE4wSWxNakp3YjNOcGRHbHZiaVV5TWlVelFTVTNRaVV5TW5nbE1qSWxNMEV4TUNVeVF5VXlNbmtsTWpJbE0wRXdKVEpESlRJeWR5VXlNaVV6UVNVeU1uY3RNakFsTWpJbE1rTWxNakpvSlRJeUpUTkJKVEl5YUNVeU1pVTNSQ1V5UXlVeU1uUmxlSFFsTWpJbE0wRWxNaklsUlRZbE9USWxRVFFsUlRVbE9VTWxRa0VsUlRVbE9EY2xPRFlsUlRVbFFUUWxPRGN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jBRbE1rTWxNakpqYjIxdFpXNTBjeVV5TWlVelFTVTFRaVUxUkNVeVF5VXlNbkJzZFdkcGJuTWxNaklsTTBFbE4wSWxOMFFsTWtNbE1qSmhhVU52Ym5SaGFXNWxjbk1sTWpJbE0wRWxOMElsTjBRbE1rTWxNakpwYm5ObGNuUlFZV2RsVDNCMGN5VXlNaVV6UVNVM1FpVTNSQ1V5UXlVeU1uQnZjM1JRWVhsdFpXNTBKVEl5SlROQkpUZENKVGRFSlRKREpUSXlkR2hsYldVbE1qSWxNMEVsTjBJbE1qSndZV2RsSlRJeUpUTkJKVGRDSlRJeVltRmphMmR5YjNWdVpFTnZiRzl5SlRJeUpUTkJKVEl5ZEhKaGJuTndZWEpsYm5RbE1qSWxOMFFsTjBRbE4wUT0iLAoJIkZpbGVJZCIgOiAiNmMyZTE2NzMtMTcwOS00NjY2LTliZDAtYjVhYjNlZDhjYzgxIgp9Cg=="/>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112</Pages>
  <Words>97</Words>
  <Characters>97</Characters>
  <Lines>499</Lines>
  <Paragraphs>140</Paragraphs>
  <TotalTime>8</TotalTime>
  <ScaleCrop>false</ScaleCrop>
  <LinksUpToDate>false</LinksUpToDate>
  <CharactersWithSpaces>132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2022-02-14T16:14:00Z</dcterms:created>
  <cp:lastPrinted>2026-10-18T10:24:00Z</cp:lastPrinted>
  <dcterms:modified xsi:type="dcterms:W3CDTF">2026-10-27T01:40:19Z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D06A46C38A5A404BAB1983511E305E7D_13</vt:lpwstr>
  </property>
  <property fmtid="{D5CDD505-2E9C-101B-9397-08002B2CF9AE}" pid="4" name="KSOTemplateDocerSaveRecord">
    <vt:lpwstr>eyJoZGlkIjoiYjk4MTdlNWRmMDY1YmUzMzBkNjM5MTYwYTA5NDliYmQiLCJ1c2VySWQiOiIzMDkxMDk3NTcifQ==</vt:lpwstr>
  </property>
</Properties>
</file>