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keepNext w:val="false"/>
        <w:keepLines w:val="false"/>
        <w:pageBreakBefore w:val="false"/>
        <w:widowControl w:val="false"/>
        <w:pBdr/>
        <w:spacing w:line="590" w:lineRule="exact"/>
        <w:ind/>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xml:space="preserve">起草说明</w:t>
      </w:r>
      <w:r>
        <w:rPr>
          <w:rFonts w:hint="eastAsia" w:ascii="方正小标宋简体" w:hAnsi="方正小标宋简体" w:eastAsia="方正小标宋简体" w:cs="方正小标宋简体"/>
          <w:sz w:val="44"/>
          <w:szCs w:val="44"/>
          <w:lang w:eastAsia="zh-CN"/>
        </w:rPr>
      </w:r>
      <w:r>
        <w:rPr>
          <w:rFonts w:hint="eastAsia" w:ascii="方正小标宋简体" w:hAnsi="方正小标宋简体" w:eastAsia="方正小标宋简体" w:cs="方正小标宋简体"/>
          <w:sz w:val="44"/>
          <w:szCs w:val="44"/>
          <w:lang w:eastAsia="zh-CN"/>
        </w:rPr>
      </w:r>
    </w:p>
    <w:p>
      <w:pPr>
        <w:pStyle w:val="616"/>
        <w:keepNext w:val="false"/>
        <w:keepLines w:val="false"/>
        <w:pageBreakBefore w:val="false"/>
        <w:widowControl w:val="false"/>
        <w:pBdr/>
        <w:spacing w:line="590" w:lineRule="exact"/>
        <w:ind w:firstLine="640"/>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r>
      <w:r>
        <w:rPr>
          <w:rFonts w:hint="eastAsia" w:ascii="国标黑体" w:hAnsi="国标黑体" w:eastAsia="国标黑体" w:cs="国标黑体"/>
          <w:sz w:val="32"/>
          <w:szCs w:val="32"/>
          <w:lang w:eastAsia="zh-CN"/>
        </w:rPr>
      </w:r>
    </w:p>
    <w:p>
      <w:pPr>
        <w:pStyle w:val="616"/>
        <w:keepNext w:val="false"/>
        <w:keepLines w:val="false"/>
        <w:pageBreakBefore w:val="false"/>
        <w:widowControl w:val="false"/>
        <w:pBdr/>
        <w:spacing w:line="590" w:lineRule="exact"/>
        <w:ind w:firstLine="640"/>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 xml:space="preserve">一、起草背景</w:t>
      </w:r>
      <w:r>
        <w:rPr>
          <w:rFonts w:hint="eastAsia" w:ascii="国标黑体" w:hAnsi="国标黑体" w:eastAsia="国标黑体" w:cs="国标黑体"/>
          <w:sz w:val="32"/>
          <w:szCs w:val="32"/>
          <w:lang w:eastAsia="zh-CN"/>
        </w:rPr>
      </w:r>
      <w:r>
        <w:rPr>
          <w:rFonts w:hint="eastAsia" w:ascii="国标黑体" w:hAnsi="国标黑体" w:eastAsia="国标黑体" w:cs="国标黑体"/>
          <w:sz w:val="32"/>
          <w:szCs w:val="32"/>
          <w:lang w:eastAsia="zh-CN"/>
        </w:rPr>
      </w:r>
    </w:p>
    <w:p>
      <w:pPr>
        <w:pStyle w:val="616"/>
        <w:keepNext w:val="false"/>
        <w:keepLines w:val="false"/>
        <w:pageBreakBefore w:val="false"/>
        <w:widowControl w:val="false"/>
        <w:pBdr/>
        <w:spacing w:line="59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为进一步做好我县采煤沉陷区农村集体土地居民搬迁安置补偿工作，根据省、市相关文件精神，在充分尊重搬迁群众意愿的基础上，积极拓宽搬迁安置补偿</w:t>
      </w:r>
      <w:r>
        <w:rPr>
          <w:rFonts w:hint="eastAsia" w:ascii="仿宋_GB2312" w:hAnsi="仿宋_GB2312" w:eastAsia="仿宋_GB2312" w:cs="仿宋_GB2312"/>
          <w:sz w:val="32"/>
          <w:szCs w:val="32"/>
          <w:highlight w:val="none"/>
          <w:lang w:eastAsia="zh-CN"/>
        </w:rPr>
        <w:t xml:space="preserve">多种</w:t>
      </w:r>
      <w:r>
        <w:rPr>
          <w:rFonts w:hint="eastAsia" w:ascii="仿宋_GB2312" w:hAnsi="仿宋_GB2312" w:eastAsia="仿宋_GB2312" w:cs="仿宋_GB2312"/>
          <w:sz w:val="32"/>
          <w:szCs w:val="32"/>
          <w:highlight w:val="none"/>
        </w:rPr>
        <w:t xml:space="preserve">渠道，缩短搬迁安置补偿周期，</w:t>
      </w:r>
      <w:r>
        <w:rPr>
          <w:rFonts w:hint="eastAsia" w:ascii="仿宋_GB2312" w:hAnsi="仿宋_GB2312" w:eastAsia="仿宋_GB2312" w:cs="仿宋_GB2312"/>
          <w:sz w:val="32"/>
          <w:szCs w:val="32"/>
          <w:highlight w:val="none"/>
          <w:lang w:eastAsia="zh-CN"/>
        </w:rPr>
        <w:t xml:space="preserve">保障沉陷区搬迁群众生命财产安全，</w:t>
      </w:r>
      <w:r>
        <w:rPr>
          <w:rFonts w:hint="eastAsia" w:ascii="仿宋_GB2312" w:hAnsi="仿宋_GB2312" w:eastAsia="仿宋_GB2312" w:cs="仿宋_GB2312"/>
          <w:sz w:val="32"/>
          <w:szCs w:val="32"/>
          <w:highlight w:val="none"/>
        </w:rPr>
        <w:t xml:space="preserve">维护搬迁群众合法权益</w:t>
      </w:r>
      <w:r>
        <w:rPr>
          <w:rFonts w:hint="eastAsia" w:ascii="仿宋_GB2312" w:hAnsi="仿宋_GB2312" w:eastAsia="仿宋_GB2312" w:cs="仿宋_GB2312"/>
          <w:sz w:val="32"/>
          <w:szCs w:val="32"/>
          <w:highlight w:val="none"/>
          <w:lang w:eastAsia="zh-CN"/>
        </w:rPr>
        <w:t xml:space="preserve">。</w:t>
      </w:r>
      <w:r>
        <w:rPr>
          <w:rFonts w:hint="eastAsia" w:ascii="仿宋_GB2312" w:hAnsi="仿宋_GB2312" w:eastAsia="仿宋_GB2312" w:cs="仿宋_GB2312"/>
          <w:sz w:val="32"/>
          <w:szCs w:val="32"/>
          <w:highlight w:val="none"/>
          <w:lang w:eastAsia="zh-CN"/>
        </w:rPr>
      </w:r>
      <w:r>
        <w:rPr>
          <w:rFonts w:hint="eastAsia" w:ascii="仿宋_GB2312" w:hAnsi="仿宋_GB2312" w:eastAsia="仿宋_GB2312" w:cs="仿宋_GB2312"/>
          <w:sz w:val="32"/>
          <w:szCs w:val="32"/>
          <w:highlight w:val="none"/>
          <w:lang w:eastAsia="zh-CN"/>
        </w:rPr>
      </w:r>
    </w:p>
    <w:p>
      <w:pPr>
        <w:pStyle w:val="616"/>
        <w:keepNext w:val="false"/>
        <w:keepLines w:val="false"/>
        <w:pageBreakBefore w:val="false"/>
        <w:widowControl w:val="false"/>
        <w:pBdr/>
        <w:spacing w:line="590" w:lineRule="exact"/>
        <w:ind w:firstLine="640"/>
        <w:rPr>
          <w:rFonts w:hint="eastAsia" w:ascii="国标黑体" w:hAnsi="国标黑体" w:eastAsia="国标黑体" w:cs="国标黑体"/>
          <w:sz w:val="32"/>
          <w:szCs w:val="32"/>
          <w:highlight w:val="none"/>
          <w:lang w:eastAsia="zh-CN"/>
        </w:rPr>
      </w:pPr>
      <w:r>
        <w:rPr>
          <w:rFonts w:hint="eastAsia" w:ascii="国标黑体" w:hAnsi="国标黑体" w:eastAsia="国标黑体" w:cs="国标黑体"/>
          <w:sz w:val="32"/>
          <w:szCs w:val="32"/>
          <w:highlight w:val="none"/>
          <w:lang w:eastAsia="zh-CN"/>
        </w:rPr>
        <w:t xml:space="preserve">二、制定依据</w:t>
      </w:r>
      <w:r>
        <w:rPr>
          <w:rFonts w:hint="eastAsia" w:ascii="国标黑体" w:hAnsi="国标黑体" w:eastAsia="国标黑体" w:cs="国标黑体"/>
          <w:sz w:val="32"/>
          <w:szCs w:val="32"/>
          <w:highlight w:val="none"/>
          <w:lang w:eastAsia="zh-CN"/>
        </w:rPr>
      </w:r>
      <w:r>
        <w:rPr>
          <w:rFonts w:hint="eastAsia" w:ascii="国标黑体" w:hAnsi="国标黑体" w:eastAsia="国标黑体" w:cs="国标黑体"/>
          <w:sz w:val="32"/>
          <w:szCs w:val="32"/>
          <w:highlight w:val="none"/>
          <w:lang w:eastAsia="zh-CN"/>
        </w:rPr>
      </w:r>
    </w:p>
    <w:p>
      <w:pPr>
        <w:pStyle w:val="616"/>
        <w:keepNext w:val="false"/>
        <w:keepLines w:val="false"/>
        <w:pageBreakBefore w:val="false"/>
        <w:widowControl w:val="false"/>
        <w:pBdr/>
        <w:spacing w:line="590" w:lineRule="exact"/>
        <w:ind w:firstLine="640"/>
        <w:rPr>
          <w:rFonts w:ascii="Times New Roman" w:hAnsi="Times New Roman" w:eastAsia="仿宋_GB2312" w:cs="Times New Roman"/>
          <w:bCs/>
          <w:sz w:val="32"/>
          <w:szCs w:val="32"/>
        </w:rPr>
      </w:pPr>
      <w:r>
        <w:rPr>
          <w:rFonts w:ascii="Times New Roman" w:hAnsi="Times New Roman" w:eastAsia="仿宋_GB2312" w:cs="Times New Roman"/>
          <w:sz w:val="32"/>
          <w:szCs w:val="32"/>
        </w:rPr>
        <w:t xml:space="preserve">安徽省人民政府办公厅《关于进一步做好采煤沉陷区居民搬迁安置补偿工作的通知》（皖政办〔</w:t>
      </w:r>
      <w:r>
        <w:rPr>
          <w:rFonts w:ascii="Times New Roman" w:hAnsi="Times New Roman" w:eastAsia="仿宋_GB2312" w:cs="Times New Roman"/>
          <w:sz w:val="32"/>
          <w:szCs w:val="32"/>
          <w:lang w:val="en-US" w:eastAsia="zh-CN"/>
        </w:rPr>
        <w:t xml:space="preserve">2008</w:t>
      </w:r>
      <w:r>
        <w:rPr>
          <w:rFonts w:ascii="Times New Roman" w:hAnsi="Times New Roman" w:eastAsia="仿宋_GB2312" w:cs="Times New Roman"/>
          <w:sz w:val="32"/>
          <w:szCs w:val="32"/>
        </w:rPr>
        <w:t xml:space="preserve">〕58号）、淮南市人民政府《关于印发淮南市采煤沉陷区农村集体土地居民搬迁安置补偿办法的通知》（淮府〔</w:t>
      </w:r>
      <w:r>
        <w:rPr>
          <w:rFonts w:ascii="Times New Roman" w:hAnsi="Times New Roman" w:eastAsia="仿宋_GB2312" w:cs="Times New Roman"/>
          <w:sz w:val="32"/>
          <w:szCs w:val="32"/>
          <w:lang w:val="en-US" w:eastAsia="zh-CN"/>
        </w:rPr>
        <w:t xml:space="preserve">2023</w:t>
      </w:r>
      <w:r>
        <w:rPr>
          <w:rFonts w:ascii="Times New Roman" w:hAnsi="Times New Roman" w:eastAsia="仿宋_GB2312" w:cs="Times New Roman"/>
          <w:sz w:val="32"/>
          <w:szCs w:val="32"/>
        </w:rPr>
        <w:t xml:space="preserve">〕37号）、</w:t>
      </w:r>
      <w:r>
        <w:rPr>
          <w:rFonts w:ascii="Times New Roman" w:hAnsi="Times New Roman" w:eastAsia="仿宋_GB2312" w:cs="Times New Roman"/>
          <w:bCs/>
          <w:sz w:val="32"/>
          <w:szCs w:val="32"/>
        </w:rPr>
        <w:t xml:space="preserve">淮南市人民政府办公室关于印发《淮南市房票安置管理办法（试行）》的通知（淮府办</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lang w:val="en-US" w:eastAsia="zh-CN"/>
        </w:rPr>
        <w:t xml:space="preserve">2025</w:t>
      </w:r>
      <w:r>
        <w:rPr>
          <w:rFonts w:ascii="Times New Roman" w:hAnsi="Times New Roman" w:eastAsia="仿宋_GB2312" w:cs="Times New Roman"/>
          <w:sz w:val="32"/>
          <w:szCs w:val="32"/>
        </w:rPr>
        <w:t xml:space="preserve">〕</w:t>
      </w:r>
      <w:r>
        <w:rPr>
          <w:rFonts w:ascii="Times New Roman" w:hAnsi="Times New Roman" w:eastAsia="仿宋_GB2312" w:cs="Times New Roman"/>
          <w:bCs/>
          <w:sz w:val="32"/>
          <w:szCs w:val="32"/>
        </w:rPr>
        <w:t xml:space="preserve">1号）</w:t>
      </w:r>
      <w:r>
        <w:rPr>
          <w:rFonts w:ascii="Times New Roman" w:hAnsi="Times New Roman" w:eastAsia="仿宋_GB2312" w:cs="Times New Roman"/>
          <w:bCs/>
          <w:sz w:val="32"/>
          <w:szCs w:val="32"/>
        </w:rPr>
      </w:r>
      <w:r>
        <w:rPr>
          <w:rFonts w:ascii="Times New Roman" w:hAnsi="Times New Roman" w:eastAsia="仿宋_GB2312" w:cs="Times New Roman"/>
          <w:bCs/>
          <w:sz w:val="32"/>
          <w:szCs w:val="32"/>
        </w:rPr>
      </w:r>
    </w:p>
    <w:p>
      <w:pPr>
        <w:pStyle w:val="616"/>
        <w:keepNext w:val="false"/>
        <w:keepLines w:val="false"/>
        <w:pageBreakBefore w:val="false"/>
        <w:widowControl w:val="false"/>
        <w:pBdr/>
        <w:spacing w:line="590" w:lineRule="exact"/>
        <w:ind w:firstLine="640"/>
        <w:rPr>
          <w:rFonts w:hint="eastAsia" w:ascii="国标黑体" w:hAnsi="国标黑体" w:eastAsia="国标黑体" w:cs="国标黑体"/>
          <w:bCs/>
          <w:sz w:val="32"/>
          <w:szCs w:val="32"/>
          <w:lang w:eastAsia="zh-CN"/>
        </w:rPr>
      </w:pPr>
      <w:r>
        <w:rPr>
          <w:rFonts w:hint="eastAsia" w:ascii="国标黑体" w:hAnsi="国标黑体" w:eastAsia="国标黑体" w:cs="国标黑体"/>
          <w:bCs/>
          <w:sz w:val="32"/>
          <w:szCs w:val="32"/>
          <w:lang w:eastAsia="zh-CN"/>
        </w:rPr>
        <w:t xml:space="preserve">三、起草过程</w:t>
      </w:r>
      <w:r>
        <w:rPr>
          <w:rFonts w:hint="eastAsia" w:ascii="国标黑体" w:hAnsi="国标黑体" w:eastAsia="国标黑体" w:cs="国标黑体"/>
          <w:bCs/>
          <w:sz w:val="32"/>
          <w:szCs w:val="32"/>
          <w:lang w:eastAsia="zh-CN"/>
        </w:rPr>
      </w:r>
      <w:r>
        <w:rPr>
          <w:rFonts w:hint="eastAsia" w:ascii="国标黑体" w:hAnsi="国标黑体" w:eastAsia="国标黑体" w:cs="国标黑体"/>
          <w:bCs/>
          <w:sz w:val="32"/>
          <w:szCs w:val="32"/>
          <w:lang w:eastAsia="zh-CN"/>
        </w:rPr>
      </w:r>
    </w:p>
    <w:p>
      <w:pPr>
        <w:pStyle w:val="616"/>
        <w:keepNext w:val="false"/>
        <w:keepLines w:val="false"/>
        <w:pageBreakBefore w:val="false"/>
        <w:widowControl w:val="false"/>
        <w:pBdr/>
        <w:spacing w:line="590" w:lineRule="exact"/>
        <w:ind w:firstLine="640"/>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sz w:val="32"/>
          <w:szCs w:val="32"/>
          <w:highlight w:val="none"/>
          <w:lang w:eastAsia="zh-CN"/>
        </w:rPr>
        <w:t xml:space="preserve">县委常委、副县长杨秀风指导本方案起草、修改等工作，同时征求了县住建局、县自规局、县财政局、县农业农村局、县审计局、新集镇、岳张集镇、顾桥镇、丁集镇、桂集镇、大兴镇、钱庙乡、关店乡、古店乡、</w:t>
      </w:r>
      <w:r>
        <w:rPr>
          <w:rFonts w:ascii="Times New Roman" w:hAnsi="Times New Roman" w:eastAsia="仿宋_GB2312" w:cs="Times New Roman"/>
          <w:sz w:val="32"/>
          <w:szCs w:val="32"/>
          <w:highlight w:val="none"/>
          <w:lang w:eastAsia="zh-CN"/>
        </w:rPr>
        <w:t xml:space="preserve">淮河能源控股集团公司资环部</w:t>
      </w:r>
      <w:r>
        <w:rPr>
          <w:rFonts w:hint="eastAsia" w:ascii="Times New Roman" w:hAnsi="Times New Roman" w:eastAsia="仿宋_GB2312" w:cs="Times New Roman"/>
          <w:sz w:val="32"/>
          <w:szCs w:val="32"/>
          <w:highlight w:val="none"/>
          <w:lang w:eastAsia="zh-CN"/>
        </w:rPr>
        <w:t xml:space="preserve">、</w:t>
      </w:r>
      <w:r>
        <w:rPr>
          <w:rFonts w:ascii="Times New Roman" w:hAnsi="Times New Roman" w:eastAsia="仿宋_GB2312" w:cs="Times New Roman"/>
          <w:sz w:val="32"/>
          <w:szCs w:val="32"/>
          <w:highlight w:val="none"/>
          <w:lang w:eastAsia="zh-CN"/>
        </w:rPr>
        <w:t xml:space="preserve">中煤新集公司新集一矿</w:t>
      </w:r>
      <w:r>
        <w:rPr>
          <w:rFonts w:hint="eastAsia" w:ascii="Times New Roman" w:hAnsi="Times New Roman" w:eastAsia="仿宋_GB2312" w:cs="Times New Roman"/>
          <w:sz w:val="32"/>
          <w:szCs w:val="32"/>
          <w:highlight w:val="none"/>
          <w:lang w:eastAsia="zh-CN"/>
        </w:rPr>
        <w:t xml:space="preserve">、</w:t>
      </w:r>
      <w:r>
        <w:rPr>
          <w:rFonts w:ascii="Times New Roman" w:hAnsi="Times New Roman" w:eastAsia="仿宋_GB2312" w:cs="Times New Roman"/>
          <w:sz w:val="32"/>
          <w:szCs w:val="32"/>
          <w:highlight w:val="none"/>
          <w:lang w:eastAsia="zh-CN"/>
        </w:rPr>
        <w:t xml:space="preserve">中安联合煤矿分公司朱集西矿</w:t>
      </w:r>
      <w:r>
        <w:rPr>
          <w:rFonts w:hint="eastAsia" w:ascii="Times New Roman" w:hAnsi="Times New Roman" w:eastAsia="仿宋_GB2312" w:cs="Times New Roman"/>
          <w:sz w:val="32"/>
          <w:szCs w:val="32"/>
          <w:highlight w:val="none"/>
          <w:lang w:eastAsia="zh-CN"/>
        </w:rPr>
        <w:t xml:space="preserve">意见</w:t>
      </w:r>
      <w:r>
        <w:rPr>
          <w:rFonts w:hint="eastAsia" w:ascii="Times New Roman" w:hAnsi="Times New Roman" w:eastAsia="仿宋_GB2312" w:cs="Times New Roman"/>
          <w:sz w:val="32"/>
          <w:szCs w:val="32"/>
          <w:highlight w:val="none"/>
          <w:lang w:eastAsia="zh-CN"/>
        </w:rPr>
      </w:r>
      <w:r>
        <w:rPr>
          <w:rFonts w:hint="eastAsia" w:ascii="Times New Roman" w:hAnsi="Times New Roman" w:eastAsia="仿宋_GB2312" w:cs="Times New Roman"/>
          <w:sz w:val="32"/>
          <w:szCs w:val="32"/>
          <w:highlight w:val="none"/>
          <w:lang w:eastAsia="zh-CN"/>
        </w:rPr>
      </w:r>
    </w:p>
    <w:p>
      <w:pPr>
        <w:pStyle w:val="616"/>
        <w:keepNext w:val="false"/>
        <w:keepLines w:val="false"/>
        <w:pageBreakBefore w:val="false"/>
        <w:widowControl w:val="false"/>
        <w:pBdr/>
        <w:spacing w:line="590" w:lineRule="exact"/>
        <w:ind w:firstLine="640"/>
        <w:rPr>
          <w:rFonts w:hint="eastAsia" w:ascii="国标黑体" w:hAnsi="国标黑体" w:eastAsia="国标黑体" w:cs="国标黑体"/>
          <w:sz w:val="32"/>
          <w:szCs w:val="32"/>
          <w:highlight w:val="none"/>
          <w:lang w:eastAsia="zh-CN"/>
        </w:rPr>
      </w:pPr>
      <w:r>
        <w:rPr>
          <w:rFonts w:hint="eastAsia" w:ascii="国标黑体" w:hAnsi="国标黑体" w:eastAsia="国标黑体" w:cs="国标黑体"/>
          <w:sz w:val="32"/>
          <w:szCs w:val="32"/>
          <w:highlight w:val="none"/>
          <w:lang w:eastAsia="zh-CN"/>
        </w:rPr>
        <w:t xml:space="preserve">四、主要内容</w:t>
      </w:r>
      <w:r>
        <w:rPr>
          <w:rFonts w:hint="eastAsia" w:ascii="国标黑体" w:hAnsi="国标黑体" w:eastAsia="国标黑体" w:cs="国标黑体"/>
          <w:sz w:val="32"/>
          <w:szCs w:val="32"/>
          <w:highlight w:val="none"/>
          <w:lang w:eastAsia="zh-CN"/>
        </w:rPr>
      </w:r>
      <w:r>
        <w:rPr>
          <w:rFonts w:hint="eastAsia" w:ascii="国标黑体" w:hAnsi="国标黑体" w:eastAsia="国标黑体" w:cs="国标黑体"/>
          <w:sz w:val="32"/>
          <w:szCs w:val="32"/>
          <w:highlight w:val="none"/>
          <w:lang w:eastAsia="zh-CN"/>
        </w:rPr>
      </w:r>
    </w:p>
    <w:p>
      <w:pPr>
        <w:pStyle w:val="616"/>
        <w:keepNext w:val="false"/>
        <w:keepLines w:val="false"/>
        <w:pageBreakBefore w:val="false"/>
        <w:widowControl w:val="false"/>
        <w:pBdr/>
        <w:spacing w:line="59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eastAsia="zh-CN"/>
        </w:rPr>
        <w:t xml:space="preserve">凤台县采煤沉陷区2025-2030年搬迁安置补偿工作方案</w:t>
      </w:r>
      <w:r>
        <w:rPr>
          <w:rFonts w:ascii="Times New Roman" w:hAnsi="Times New Roman" w:eastAsia="仿宋_GB2312" w:cs="Times New Roman"/>
          <w:sz w:val="32"/>
          <w:szCs w:val="32"/>
          <w:highlight w:val="none"/>
        </w:rPr>
        <w:t xml:space="preserve">共分</w:t>
      </w:r>
      <w:r>
        <w:rPr>
          <w:rFonts w:hint="eastAsia" w:ascii="Times New Roman" w:hAnsi="Times New Roman" w:eastAsia="仿宋_GB2312" w:cs="Times New Roman"/>
          <w:sz w:val="32"/>
          <w:szCs w:val="32"/>
          <w:highlight w:val="none"/>
          <w:lang w:val="en-US" w:eastAsia="zh-CN"/>
        </w:rPr>
        <w:t xml:space="preserve">3</w:t>
      </w:r>
      <w:r>
        <w:rPr>
          <w:rFonts w:ascii="Times New Roman" w:hAnsi="Times New Roman" w:eastAsia="仿宋_GB2312" w:cs="Times New Roman"/>
          <w:sz w:val="32"/>
          <w:szCs w:val="32"/>
          <w:highlight w:val="none"/>
        </w:rPr>
        <w:t xml:space="preserve">个部分；主要</w:t>
      </w:r>
      <w:r>
        <w:rPr>
          <w:rFonts w:hint="eastAsia" w:ascii="Times New Roman" w:hAnsi="Times New Roman" w:eastAsia="仿宋_GB2312" w:cs="Times New Roman"/>
          <w:sz w:val="32"/>
          <w:szCs w:val="32"/>
          <w:highlight w:val="none"/>
          <w:lang w:eastAsia="zh-CN"/>
        </w:rPr>
        <w:t xml:space="preserve">为</w:t>
      </w:r>
      <w:r>
        <w:rPr>
          <w:rFonts w:ascii="Times New Roman" w:hAnsi="Times New Roman" w:eastAsia="仿宋_GB2312" w:cs="Times New Roman"/>
          <w:sz w:val="32"/>
          <w:szCs w:val="32"/>
          <w:highlight w:val="none"/>
        </w:rPr>
        <w:t xml:space="preserve">承接凤台县采煤沉陷区2022-2025年搬迁安置工作方案，结合我县实际提出具体落实意见。</w:t>
      </w:r>
      <w:r>
        <w:rPr>
          <w:rFonts w:ascii="Times New Roman" w:hAnsi="Times New Roman" w:eastAsia="仿宋_GB2312" w:cs="Times New Roman"/>
          <w:b/>
          <w:bCs/>
          <w:sz w:val="32"/>
          <w:szCs w:val="32"/>
          <w:highlight w:val="none"/>
        </w:rPr>
        <w:t xml:space="preserve">第一部分“总体</w:t>
      </w:r>
      <w:r>
        <w:rPr>
          <w:rFonts w:hint="eastAsia" w:ascii="Times New Roman" w:hAnsi="Times New Roman" w:eastAsia="仿宋_GB2312" w:cs="Times New Roman"/>
          <w:b/>
          <w:bCs/>
          <w:sz w:val="32"/>
          <w:szCs w:val="32"/>
          <w:highlight w:val="none"/>
          <w:lang w:eastAsia="zh-CN"/>
        </w:rPr>
        <w:t xml:space="preserve">目标</w:t>
      </w:r>
      <w:r>
        <w:rPr>
          <w:rFonts w:ascii="Times New Roman" w:hAnsi="Times New Roman" w:eastAsia="仿宋_GB2312" w:cs="Times New Roman"/>
          <w:b/>
          <w:bCs/>
          <w:sz w:val="32"/>
          <w:szCs w:val="32"/>
          <w:highlight w:val="none"/>
        </w:rPr>
        <w:t xml:space="preserve">”，</w:t>
      </w:r>
      <w:r>
        <w:rPr>
          <w:rFonts w:hint="eastAsia" w:ascii="Times New Roman" w:hAnsi="Times New Roman" w:eastAsia="仿宋_GB2312" w:cs="Times New Roman"/>
          <w:b w:val="0"/>
          <w:bCs w:val="0"/>
          <w:sz w:val="32"/>
          <w:szCs w:val="32"/>
          <w:highlight w:val="none"/>
          <w:lang w:eastAsia="zh-CN"/>
        </w:rPr>
        <w:t xml:space="preserve">提出采取</w:t>
      </w:r>
      <w:r>
        <w:rPr>
          <w:rFonts w:hint="eastAsia" w:ascii="Times New Roman" w:hAnsi="Times New Roman" w:eastAsia="仿宋_GB2312" w:cs="Times New Roman"/>
          <w:sz w:val="32"/>
          <w:szCs w:val="32"/>
          <w:lang w:eastAsia="zh-CN"/>
        </w:rPr>
        <w:t xml:space="preserve">多渠道安置补偿方式，</w:t>
      </w:r>
      <w:r>
        <w:rPr>
          <w:rFonts w:hint="eastAsia" w:ascii="Times New Roman" w:hAnsi="Times New Roman" w:eastAsia="仿宋_GB2312" w:cs="Times New Roman"/>
          <w:b w:val="0"/>
          <w:bCs w:val="0"/>
          <w:sz w:val="32"/>
          <w:szCs w:val="32"/>
          <w:lang w:eastAsia="zh-CN"/>
        </w:rPr>
        <w:t xml:space="preserve">明确涉矿乡镇人民政府为采煤沉陷区实施搬迁安置工作第一责任人，</w:t>
      </w:r>
      <w:r>
        <w:rPr>
          <w:rFonts w:ascii="Times New Roman" w:hAnsi="Times New Roman" w:eastAsia="仿宋_GB2312" w:cs="Times New Roman"/>
          <w:sz w:val="32"/>
          <w:szCs w:val="32"/>
        </w:rPr>
        <w:t xml:space="preserve">确保搬迁安置补偿任务序时完成</w:t>
      </w:r>
      <w:r>
        <w:rPr>
          <w:rFonts w:ascii="Times New Roman" w:hAnsi="Times New Roman" w:eastAsia="仿宋_GB2312" w:cs="Times New Roman"/>
          <w:sz w:val="32"/>
          <w:szCs w:val="32"/>
          <w:highlight w:val="none"/>
        </w:rPr>
        <w:t xml:space="preserve">。</w:t>
      </w:r>
      <w:r>
        <w:rPr>
          <w:rFonts w:ascii="Times New Roman" w:hAnsi="Times New Roman" w:eastAsia="仿宋_GB2312" w:cs="Times New Roman"/>
          <w:b/>
          <w:bCs/>
          <w:sz w:val="32"/>
          <w:szCs w:val="32"/>
          <w:highlight w:val="none"/>
        </w:rPr>
        <w:t xml:space="preserve">第</w:t>
      </w:r>
      <w:r>
        <w:rPr>
          <w:rFonts w:hint="eastAsia" w:ascii="Times New Roman" w:hAnsi="Times New Roman" w:eastAsia="仿宋_GB2312" w:cs="Times New Roman"/>
          <w:b/>
          <w:bCs/>
          <w:sz w:val="32"/>
          <w:szCs w:val="32"/>
          <w:highlight w:val="none"/>
          <w:lang w:eastAsia="zh-CN"/>
        </w:rPr>
        <w:t xml:space="preserve">二</w:t>
      </w:r>
      <w:r>
        <w:rPr>
          <w:rFonts w:ascii="Times New Roman" w:hAnsi="Times New Roman" w:eastAsia="仿宋_GB2312" w:cs="Times New Roman"/>
          <w:b/>
          <w:bCs/>
          <w:sz w:val="32"/>
          <w:szCs w:val="32"/>
          <w:highlight w:val="none"/>
        </w:rPr>
        <w:t xml:space="preserve">部分“安置</w:t>
      </w:r>
      <w:r>
        <w:rPr>
          <w:rFonts w:hint="eastAsia" w:ascii="Times New Roman" w:hAnsi="Times New Roman" w:eastAsia="仿宋_GB2312" w:cs="Times New Roman"/>
          <w:b/>
          <w:bCs/>
          <w:sz w:val="32"/>
          <w:szCs w:val="32"/>
          <w:highlight w:val="none"/>
          <w:lang w:eastAsia="zh-CN"/>
        </w:rPr>
        <w:t xml:space="preserve">方式</w:t>
      </w:r>
      <w:r>
        <w:rPr>
          <w:rFonts w:ascii="Times New Roman" w:hAnsi="Times New Roman" w:eastAsia="仿宋_GB2312" w:cs="Times New Roman"/>
          <w:b/>
          <w:bCs/>
          <w:sz w:val="32"/>
          <w:szCs w:val="32"/>
          <w:highlight w:val="none"/>
        </w:rPr>
        <w:t xml:space="preserve">”，</w:t>
      </w:r>
      <w:r>
        <w:rPr>
          <w:rFonts w:ascii="Times New Roman" w:hAnsi="Times New Roman" w:eastAsia="仿宋_GB2312" w:cs="Times New Roman"/>
          <w:sz w:val="32"/>
          <w:szCs w:val="32"/>
          <w:highlight w:val="none"/>
        </w:rPr>
        <w:t xml:space="preserve">提出货币化安置</w:t>
      </w:r>
      <w:r>
        <w:rPr>
          <w:rFonts w:ascii="Times New Roman" w:hAnsi="Times New Roman" w:eastAsia="仿宋_GB2312" w:cs="Times New Roman"/>
          <w:sz w:val="32"/>
          <w:szCs w:val="32"/>
          <w:highlight w:val="none"/>
          <w:lang w:eastAsia="zh-CN"/>
        </w:rPr>
        <w:t xml:space="preserve">、房票安置、乡镇就近就地安置</w:t>
      </w:r>
      <w:r>
        <w:rPr>
          <w:rFonts w:ascii="Times New Roman" w:hAnsi="Times New Roman" w:eastAsia="仿宋_GB2312" w:cs="Times New Roman"/>
          <w:sz w:val="32"/>
          <w:szCs w:val="32"/>
          <w:highlight w:val="none"/>
          <w:lang w:val="en-US" w:eastAsia="zh-CN"/>
        </w:rPr>
        <w:t xml:space="preserve">3种安置方式</w:t>
      </w:r>
      <w:r>
        <w:rPr>
          <w:rFonts w:ascii="Times New Roman" w:hAnsi="Times New Roman" w:eastAsia="仿宋_GB2312" w:cs="Times New Roman"/>
          <w:sz w:val="32"/>
          <w:szCs w:val="32"/>
          <w:highlight w:val="none"/>
        </w:rPr>
        <w:t xml:space="preserve">。</w:t>
      </w:r>
      <w:r>
        <w:rPr>
          <w:rFonts w:ascii="Times New Roman" w:hAnsi="Times New Roman" w:eastAsia="仿宋_GB2312" w:cs="Times New Roman"/>
          <w:b/>
          <w:bCs/>
          <w:sz w:val="32"/>
          <w:szCs w:val="32"/>
          <w:highlight w:val="none"/>
        </w:rPr>
        <w:t xml:space="preserve">第</w:t>
      </w:r>
      <w:r>
        <w:rPr>
          <w:rFonts w:hint="eastAsia" w:ascii="Times New Roman" w:hAnsi="Times New Roman" w:eastAsia="仿宋_GB2312" w:cs="Times New Roman"/>
          <w:b/>
          <w:bCs/>
          <w:sz w:val="32"/>
          <w:szCs w:val="32"/>
          <w:highlight w:val="none"/>
          <w:lang w:eastAsia="zh-CN"/>
        </w:rPr>
        <w:t xml:space="preserve">三</w:t>
      </w:r>
      <w:r>
        <w:rPr>
          <w:rFonts w:ascii="Times New Roman" w:hAnsi="Times New Roman" w:eastAsia="仿宋_GB2312" w:cs="Times New Roman"/>
          <w:b/>
          <w:bCs/>
          <w:sz w:val="32"/>
          <w:szCs w:val="32"/>
          <w:highlight w:val="none"/>
        </w:rPr>
        <w:t xml:space="preserve">部分“</w:t>
      </w:r>
      <w:r>
        <w:rPr>
          <w:rFonts w:hint="eastAsia" w:ascii="Times New Roman" w:hAnsi="Times New Roman" w:eastAsia="仿宋_GB2312" w:cs="Times New Roman"/>
          <w:b/>
          <w:bCs/>
          <w:sz w:val="32"/>
          <w:szCs w:val="32"/>
          <w:highlight w:val="none"/>
          <w:lang w:eastAsia="zh-CN"/>
        </w:rPr>
        <w:t xml:space="preserve">工作</w:t>
      </w:r>
      <w:r>
        <w:rPr>
          <w:rFonts w:ascii="Times New Roman" w:hAnsi="Times New Roman" w:eastAsia="仿宋_GB2312" w:cs="Times New Roman"/>
          <w:b/>
          <w:bCs/>
          <w:sz w:val="32"/>
          <w:szCs w:val="32"/>
          <w:highlight w:val="none"/>
        </w:rPr>
        <w:t xml:space="preserve">措施”，</w:t>
      </w:r>
      <w:r>
        <w:rPr>
          <w:rFonts w:ascii="Times New Roman" w:hAnsi="Times New Roman" w:eastAsia="仿宋_GB2312" w:cs="Times New Roman"/>
          <w:sz w:val="32"/>
          <w:szCs w:val="32"/>
          <w:highlight w:val="none"/>
        </w:rPr>
        <w:t xml:space="preserve">提出</w:t>
      </w:r>
      <w:r>
        <w:rPr>
          <w:rFonts w:ascii="Times New Roman" w:hAnsi="Times New Roman" w:eastAsia="仿宋_GB2312" w:cs="Times New Roman"/>
          <w:sz w:val="32"/>
          <w:szCs w:val="32"/>
          <w:highlight w:val="none"/>
          <w:lang w:eastAsia="zh-CN"/>
        </w:rPr>
        <w:t xml:space="preserve">各相关部门严格按照主要职责落实工作任务，坚持方案引领，全力推进安置方案落实落地</w:t>
      </w:r>
      <w:r>
        <w:rPr>
          <w:rFonts w:ascii="Times New Roman" w:hAnsi="Times New Roman" w:eastAsia="仿宋_GB2312" w:cs="Times New Roman"/>
          <w:sz w:val="32"/>
          <w:szCs w:val="32"/>
          <w:highlight w:val="none"/>
        </w:rPr>
        <w:t xml:space="preserve">。</w:t>
      </w:r>
      <w:r>
        <w:rPr>
          <w:rFonts w:ascii="Times New Roman" w:hAnsi="Times New Roman" w:eastAsia="仿宋_GB2312" w:cs="Times New Roman"/>
          <w:sz w:val="32"/>
          <w:szCs w:val="32"/>
          <w:highlight w:val="none"/>
        </w:rPr>
      </w:r>
      <w:r>
        <w:rPr>
          <w:rFonts w:ascii="Times New Roman" w:hAnsi="Times New Roman" w:eastAsia="仿宋_GB2312" w:cs="Times New Roman"/>
          <w:sz w:val="32"/>
          <w:szCs w:val="32"/>
          <w:highlight w:val="none"/>
        </w:rPr>
      </w:r>
    </w:p>
    <w:sectPr>
      <w:footnotePr/>
      <w:endnotePr/>
      <w:type w:val="nextPage"/>
      <w:pgSz w:h="16838" w:orient="landscape" w:w="11906"/>
      <w:pgMar w:top="2041" w:right="1417" w:bottom="1587" w:left="1474" w:header="720" w:footer="72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国标黑体">
    <w:panose1 w:val="020B0604020202020204"/>
  </w:font>
  <w:font w:name="仿宋_GB2312">
    <w:panose1 w:val="02010609060101010101"/>
  </w:font>
  <w:font w:name="方正小标宋简体">
    <w:panose1 w:val="020B0604020202020204"/>
  </w:font>
  <w:font w:name="Noto Sans CJK SC Regular">
    <w:panose1 w:val="020B0604020202020204"/>
  </w:font>
  <w:font w:name="Liberation Sans">
    <w:panose1 w:val="020B0604020202020204"/>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pPr>
      <w:widowControl w:val="false"/>
      <w:pBdr/>
      <w:spacing/>
      <w:ind/>
      <w:jc w:val="both"/>
    </w:pPr>
    <w:rPr>
      <w:rFonts w:ascii="Calibri" w:hAnsi="Calibri" w:eastAsia="宋体" w:cs="Times New Roman"/>
      <w:color w:val="000000"/>
      <w:sz w:val="21"/>
      <w:szCs w:val="24"/>
      <w:lang w:val="en-US" w:eastAsia="zh-CN" w:bidi="ar-SA"/>
    </w:rPr>
  </w:style>
  <w:style w:type="character" w:styleId="617">
    <w:name w:val="默认段落字体"/>
    <w:next w:val="617"/>
    <w:link w:val="616"/>
    <w:pPr>
      <w:pBdr/>
      <w:spacing/>
      <w:ind/>
    </w:pPr>
  </w:style>
  <w:style w:type="table" w:styleId="618">
    <w:name w:val="普通表格"/>
    <w:next w:val="618"/>
    <w:link w:val="616"/>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题注"/>
    <w:basedOn w:val="616"/>
    <w:next w:val="619"/>
    <w:link w:val="616"/>
    <w:pPr>
      <w:widowControl w:val="false"/>
      <w:suppressLineNumbers w:val="true"/>
      <w:pBdr/>
      <w:spacing w:after="120" w:before="120"/>
      <w:ind/>
    </w:pPr>
    <w:rPr>
      <w:i/>
      <w:iCs/>
      <w:sz w:val="24"/>
      <w:szCs w:val="24"/>
    </w:rPr>
  </w:style>
  <w:style w:type="paragraph" w:styleId="620">
    <w:name w:val="正文文本"/>
    <w:basedOn w:val="616"/>
    <w:next w:val="620"/>
    <w:link w:val="616"/>
    <w:pPr>
      <w:pBdr/>
      <w:spacing w:after="140" w:before="0" w:line="276" w:lineRule="auto"/>
      <w:ind/>
    </w:pPr>
  </w:style>
  <w:style w:type="paragraph" w:styleId="621">
    <w:name w:val="列表"/>
    <w:basedOn w:val="620"/>
    <w:next w:val="621"/>
    <w:link w:val="616"/>
    <w:pPr>
      <w:pBdr/>
      <w:spacing/>
      <w:ind/>
    </w:pPr>
  </w:style>
  <w:style w:type="character" w:styleId="622">
    <w:name w:val="默认段落字体1"/>
    <w:next w:val="622"/>
    <w:link w:val="616"/>
    <w:pPr>
      <w:pBdr/>
      <w:spacing/>
      <w:ind/>
    </w:pPr>
  </w:style>
  <w:style w:type="paragraph" w:styleId="623">
    <w:name w:val="Heading"/>
    <w:basedOn w:val="616"/>
    <w:next w:val="620"/>
    <w:link w:val="616"/>
    <w:pPr>
      <w:keepNext w:val="true"/>
      <w:widowControl w:val="false"/>
      <w:pBdr/>
      <w:spacing w:after="120" w:before="240"/>
      <w:ind/>
    </w:pPr>
    <w:rPr>
      <w:rFonts w:ascii="Liberation Sans" w:hAnsi="Liberation Sans" w:eastAsia="Noto Sans CJK SC Regular" w:cs="Noto Sans CJK SC Regular"/>
      <w:sz w:val="28"/>
      <w:szCs w:val="28"/>
      <w:lang w:bidi="ar-SA"/>
    </w:rPr>
  </w:style>
  <w:style w:type="paragraph" w:styleId="624">
    <w:name w:val="Index"/>
    <w:basedOn w:val="616"/>
    <w:next w:val="624"/>
    <w:link w:val="616"/>
    <w:pPr>
      <w:widowControl w:val="false"/>
      <w:suppressLineNumbers w:val="true"/>
      <w:pBdr/>
      <w:spacing/>
      <w:ind/>
    </w:pPr>
  </w:style>
  <w:style w:type="character" w:styleId="724" w:default="1">
    <w:name w:val="Default Paragraph Font"/>
    <w:uiPriority w:val="1"/>
    <w:semiHidden/>
    <w:unhideWhenUsed/>
    <w:pPr>
      <w:pBdr/>
      <w:spacing/>
      <w:ind/>
    </w:pPr>
  </w:style>
  <w:style w:type="numbering" w:styleId="725" w:default="1">
    <w:name w:val="No List"/>
    <w:uiPriority w:val="99"/>
    <w:semiHidden/>
    <w:unhideWhenUsed/>
    <w:pPr>
      <w:pBdr/>
      <w:spacing/>
      <w:ind/>
    </w:pPr>
  </w:style>
  <w:style w:type="table" w:styleId="72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dc:creator>
  <cp:lastModifiedBy>匿名</cp:lastModifiedBy>
  <cp:revision>3</cp:revision>
  <dcterms:created xsi:type="dcterms:W3CDTF">2018-11-27T01:47:00Z</dcterms:created>
  <dcterms:modified xsi:type="dcterms:W3CDTF">2025-06-27T06:32:24Z</dcterms:modified>
</cp:coreProperties>
</file>